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12" w:rsidRPr="007956F1" w:rsidRDefault="00AC2D12" w:rsidP="002431AC">
      <w:pPr>
        <w:pStyle w:val="naisf"/>
        <w:spacing w:before="0" w:after="0"/>
        <w:jc w:val="center"/>
        <w:rPr>
          <w:rFonts w:eastAsia="Calibri"/>
          <w:b/>
          <w:bCs/>
          <w:sz w:val="28"/>
          <w:szCs w:val="28"/>
          <w:lang w:eastAsia="x-none"/>
        </w:rPr>
      </w:pPr>
    </w:p>
    <w:p w:rsidR="008078B8" w:rsidRPr="007956F1" w:rsidRDefault="001200AA" w:rsidP="002431AC">
      <w:pPr>
        <w:pStyle w:val="naisf"/>
        <w:spacing w:before="0" w:after="0"/>
        <w:jc w:val="center"/>
        <w:rPr>
          <w:rFonts w:eastAsia="Calibri"/>
          <w:b/>
          <w:bCs/>
          <w:sz w:val="28"/>
          <w:szCs w:val="28"/>
          <w:lang w:eastAsia="x-none"/>
        </w:rPr>
      </w:pPr>
      <w:r w:rsidRPr="007956F1">
        <w:rPr>
          <w:rFonts w:eastAsia="Calibri"/>
          <w:b/>
          <w:bCs/>
          <w:sz w:val="28"/>
          <w:szCs w:val="28"/>
          <w:lang w:eastAsia="x-none"/>
        </w:rPr>
        <w:t xml:space="preserve">Likumprojekta “Uzņēmumu ienākuma nodokļa likums” </w:t>
      </w:r>
      <w:r w:rsidR="008078B8" w:rsidRPr="007956F1">
        <w:rPr>
          <w:rFonts w:eastAsia="Calibri"/>
          <w:b/>
          <w:bCs/>
          <w:sz w:val="28"/>
          <w:szCs w:val="28"/>
          <w:lang w:eastAsia="x-none"/>
        </w:rPr>
        <w:t>sākotnējās ietekmes novērtējuma ziņojums (anotācija)</w:t>
      </w:r>
    </w:p>
    <w:p w:rsidR="0092720E" w:rsidRPr="007956F1" w:rsidRDefault="0092720E" w:rsidP="00D57F73">
      <w:pPr>
        <w:pStyle w:val="naisf"/>
        <w:spacing w:before="0" w:after="0"/>
        <w:ind w:firstLine="374"/>
        <w:jc w:val="center"/>
      </w:pPr>
    </w:p>
    <w:tbl>
      <w:tblPr>
        <w:tblpPr w:leftFromText="180" w:rightFromText="180" w:vertAnchor="text" w:horzAnchor="margin" w:tblpXSpec="center" w:tblpY="149"/>
        <w:tblW w:w="5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1311"/>
        <w:gridCol w:w="8957"/>
      </w:tblGrid>
      <w:tr w:rsidR="007956F1" w:rsidRPr="007956F1" w:rsidTr="003C2EB4">
        <w:trPr>
          <w:trHeight w:val="419"/>
        </w:trPr>
        <w:tc>
          <w:tcPr>
            <w:tcW w:w="5000" w:type="pct"/>
            <w:gridSpan w:val="3"/>
            <w:vAlign w:val="center"/>
          </w:tcPr>
          <w:p w:rsidR="008078B8" w:rsidRPr="007956F1" w:rsidRDefault="008078B8" w:rsidP="002431AC">
            <w:pPr>
              <w:pStyle w:val="naisnod"/>
              <w:spacing w:before="0" w:after="0"/>
              <w:ind w:left="57" w:right="57"/>
              <w:rPr>
                <w:b w:val="0"/>
                <w:lang w:val="lv-LV"/>
              </w:rPr>
            </w:pPr>
            <w:r w:rsidRPr="007956F1">
              <w:rPr>
                <w:lang w:val="lv-LV"/>
              </w:rPr>
              <w:t>I. Tiesību akta projekta izstrādes nepieciešamība</w:t>
            </w:r>
          </w:p>
        </w:tc>
      </w:tr>
      <w:tr w:rsidR="007956F1" w:rsidRPr="007956F1" w:rsidTr="003C2EB4">
        <w:trPr>
          <w:trHeight w:val="415"/>
        </w:trPr>
        <w:tc>
          <w:tcPr>
            <w:tcW w:w="154" w:type="pct"/>
          </w:tcPr>
          <w:p w:rsidR="008078B8" w:rsidRPr="007956F1" w:rsidRDefault="008078B8" w:rsidP="002431AC">
            <w:pPr>
              <w:pStyle w:val="naiskr"/>
              <w:spacing w:before="0" w:after="0"/>
              <w:ind w:left="57" w:right="57"/>
              <w:jc w:val="center"/>
            </w:pPr>
            <w:r w:rsidRPr="007956F1">
              <w:t>1.</w:t>
            </w:r>
          </w:p>
        </w:tc>
        <w:tc>
          <w:tcPr>
            <w:tcW w:w="661" w:type="pct"/>
          </w:tcPr>
          <w:p w:rsidR="00A03384" w:rsidRDefault="008078B8" w:rsidP="002431AC">
            <w:pPr>
              <w:pStyle w:val="naiskr"/>
              <w:spacing w:before="0" w:after="0"/>
              <w:ind w:left="57" w:right="57"/>
              <w:jc w:val="both"/>
            </w:pPr>
            <w:r w:rsidRPr="007956F1">
              <w:t>Pamatojums</w:t>
            </w:r>
          </w:p>
          <w:p w:rsidR="00A03384" w:rsidRPr="00A03384" w:rsidRDefault="00A03384" w:rsidP="00A03384"/>
          <w:p w:rsidR="00A03384" w:rsidRPr="00A03384" w:rsidRDefault="00A03384" w:rsidP="00A03384"/>
          <w:p w:rsidR="00A03384" w:rsidRPr="00A03384" w:rsidRDefault="00A03384" w:rsidP="00A03384"/>
          <w:p w:rsidR="00A03384" w:rsidRPr="00A03384" w:rsidRDefault="00A03384" w:rsidP="00A03384"/>
          <w:p w:rsidR="00A03384" w:rsidRDefault="00A03384" w:rsidP="00A03384"/>
          <w:p w:rsidR="00A03384" w:rsidRDefault="00A03384" w:rsidP="00A03384"/>
          <w:p w:rsidR="008078B8" w:rsidRPr="00A03384" w:rsidRDefault="008078B8" w:rsidP="00A03384">
            <w:pPr>
              <w:jc w:val="center"/>
            </w:pPr>
          </w:p>
        </w:tc>
        <w:tc>
          <w:tcPr>
            <w:tcW w:w="4185" w:type="pct"/>
          </w:tcPr>
          <w:p w:rsidR="003F0EB5" w:rsidRPr="007956F1" w:rsidRDefault="006A4ED7" w:rsidP="003F0EB5">
            <w:pPr>
              <w:ind w:right="149"/>
              <w:jc w:val="both"/>
            </w:pPr>
            <w:r w:rsidRPr="007956F1">
              <w:rPr>
                <w:rFonts w:eastAsia="Calibri"/>
                <w:bCs/>
                <w:lang w:eastAsia="x-none"/>
              </w:rPr>
              <w:t xml:space="preserve">   </w:t>
            </w:r>
            <w:r w:rsidR="001200AA" w:rsidRPr="007956F1">
              <w:rPr>
                <w:rFonts w:eastAsia="Calibri"/>
                <w:bCs/>
                <w:lang w:eastAsia="x-none"/>
              </w:rPr>
              <w:t xml:space="preserve">Likumprojekts “Uzņēmumu ienākuma nodokļa likums” (turpmāk – Likumprojekts) izstrādāts saskaņā ar </w:t>
            </w:r>
            <w:r w:rsidR="003F0EB5" w:rsidRPr="007956F1">
              <w:t>Ministru kabineta 2017.gada 9.maija sēdes protokola Nr.23 21.§ „Valsts nodokļu politikas pamatnostādnes 2018. – 2021.gadam” (turpmāk –Pamatnostādnes).</w:t>
            </w:r>
          </w:p>
          <w:p w:rsidR="003F0EB5" w:rsidRPr="007956F1" w:rsidRDefault="003F0EB5" w:rsidP="009622BA">
            <w:pPr>
              <w:ind w:right="147"/>
              <w:jc w:val="both"/>
            </w:pPr>
            <w:r w:rsidRPr="007956F1">
              <w:t xml:space="preserve">Pamatnostādnēs ietvertie uzdevumi: </w:t>
            </w:r>
          </w:p>
          <w:p w:rsidR="009622BA" w:rsidRPr="007956F1" w:rsidRDefault="003F0EB5" w:rsidP="009622BA">
            <w:pPr>
              <w:pStyle w:val="ListParagraph"/>
              <w:numPr>
                <w:ilvl w:val="0"/>
                <w:numId w:val="12"/>
              </w:numPr>
              <w:spacing w:after="0" w:line="240" w:lineRule="auto"/>
              <w:ind w:right="147"/>
              <w:jc w:val="both"/>
              <w:rPr>
                <w:rFonts w:ascii="Times New Roman" w:hAnsi="Times New Roman"/>
                <w:sz w:val="24"/>
                <w:szCs w:val="24"/>
                <w:lang w:val="lv-LV"/>
              </w:rPr>
            </w:pPr>
            <w:r w:rsidRPr="007956F1">
              <w:rPr>
                <w:rFonts w:ascii="Times New Roman" w:hAnsi="Times New Roman"/>
                <w:sz w:val="24"/>
                <w:szCs w:val="24"/>
                <w:lang w:val="lv-LV"/>
              </w:rPr>
              <w:t>noteikt uzņēmumu ienākuma nodokļa (turpmāk – UIN) likmi 20 procentu apmērā no bruto summas par sadalīto peļņu, kā arī paredzēt trīs gadu pārejas periodu attiecībā uz iepriekšējo gadu nesadalīto peļņu, par kuru jau ir samaksāts UIN;</w:t>
            </w:r>
          </w:p>
          <w:p w:rsidR="003F0EB5" w:rsidRPr="007956F1" w:rsidRDefault="003F0EB5" w:rsidP="009622BA">
            <w:pPr>
              <w:pStyle w:val="ListParagraph"/>
              <w:numPr>
                <w:ilvl w:val="0"/>
                <w:numId w:val="12"/>
              </w:numPr>
              <w:spacing w:after="0" w:line="240" w:lineRule="auto"/>
              <w:ind w:right="147"/>
              <w:jc w:val="both"/>
              <w:rPr>
                <w:rFonts w:ascii="Times New Roman" w:hAnsi="Times New Roman"/>
                <w:sz w:val="24"/>
                <w:szCs w:val="24"/>
                <w:lang w:val="lv-LV"/>
              </w:rPr>
            </w:pPr>
            <w:r w:rsidRPr="007956F1">
              <w:rPr>
                <w:rFonts w:ascii="Times New Roman" w:hAnsi="Times New Roman"/>
                <w:sz w:val="24"/>
                <w:szCs w:val="24"/>
                <w:lang w:val="lv-LV"/>
              </w:rPr>
              <w:t>saglabāt iespēju izmantot atlaides attiecībā uz tiem atbalstāmo investīciju projekta ietvaros veiktajiem sākotnējiem ilgtermiņa ieguldījumiem, par kuriem Ministru kabinets līdz 2017.gada 31.decembrim pieņēmis lēmumu;</w:t>
            </w:r>
          </w:p>
          <w:p w:rsidR="003F0EB5" w:rsidRPr="007956F1" w:rsidRDefault="001200AA" w:rsidP="001B6658">
            <w:pPr>
              <w:pStyle w:val="ListParagraph"/>
              <w:numPr>
                <w:ilvl w:val="0"/>
                <w:numId w:val="12"/>
              </w:numPr>
              <w:spacing w:after="0" w:line="240" w:lineRule="auto"/>
              <w:ind w:right="147"/>
              <w:jc w:val="both"/>
              <w:rPr>
                <w:rFonts w:ascii="Times New Roman" w:hAnsi="Times New Roman"/>
                <w:sz w:val="24"/>
                <w:szCs w:val="24"/>
                <w:lang w:val="lv-LV"/>
              </w:rPr>
            </w:pPr>
            <w:r w:rsidRPr="007956F1">
              <w:rPr>
                <w:rFonts w:ascii="Times New Roman" w:hAnsi="Times New Roman"/>
                <w:sz w:val="24"/>
                <w:szCs w:val="24"/>
                <w:lang w:val="lv-LV"/>
              </w:rPr>
              <w:t>saglabāt iespēju piemērot nodokļa atlaidi saskaņā ar likumu “Par nodokļu piemērošanu brīvostās un speciālajās ekonomiskajās zonās” par veiktajām investīcijām brīvostās un speciālajās ekonomiskajās zonās</w:t>
            </w:r>
            <w:r w:rsidR="003F0EB5" w:rsidRPr="007956F1">
              <w:rPr>
                <w:rFonts w:ascii="Times New Roman" w:hAnsi="Times New Roman"/>
                <w:sz w:val="24"/>
                <w:szCs w:val="24"/>
                <w:lang w:val="lv-LV"/>
              </w:rPr>
              <w:t>;</w:t>
            </w:r>
          </w:p>
          <w:p w:rsidR="00500C25" w:rsidRPr="007956F1" w:rsidRDefault="003F0EB5" w:rsidP="00AD4849">
            <w:pPr>
              <w:pStyle w:val="ListParagraph"/>
              <w:numPr>
                <w:ilvl w:val="0"/>
                <w:numId w:val="12"/>
              </w:numPr>
              <w:spacing w:after="0" w:line="240" w:lineRule="auto"/>
              <w:ind w:right="147"/>
              <w:jc w:val="both"/>
              <w:rPr>
                <w:lang w:val="lv-LV"/>
              </w:rPr>
            </w:pPr>
            <w:r w:rsidRPr="007956F1">
              <w:rPr>
                <w:rFonts w:ascii="Times New Roman" w:hAnsi="Times New Roman"/>
                <w:sz w:val="24"/>
                <w:szCs w:val="24"/>
                <w:lang w:val="lv-LV"/>
              </w:rPr>
              <w:t>paredzēt UIN atvieglojumu par ziedojumiem sabiedriskā labuma organizācijām (nosakot arī ierobežojumus).</w:t>
            </w:r>
          </w:p>
        </w:tc>
      </w:tr>
      <w:tr w:rsidR="007956F1" w:rsidRPr="007956F1" w:rsidTr="003C2EB4">
        <w:trPr>
          <w:trHeight w:val="472"/>
        </w:trPr>
        <w:tc>
          <w:tcPr>
            <w:tcW w:w="154" w:type="pct"/>
          </w:tcPr>
          <w:p w:rsidR="008078B8" w:rsidRPr="007956F1" w:rsidRDefault="008078B8" w:rsidP="002431AC">
            <w:pPr>
              <w:pStyle w:val="naiskr"/>
              <w:spacing w:before="0" w:after="0"/>
              <w:ind w:left="57" w:right="57"/>
              <w:jc w:val="center"/>
            </w:pPr>
            <w:r w:rsidRPr="007956F1">
              <w:t>2.</w:t>
            </w:r>
          </w:p>
        </w:tc>
        <w:tc>
          <w:tcPr>
            <w:tcW w:w="661" w:type="pct"/>
          </w:tcPr>
          <w:p w:rsidR="008078B8" w:rsidRPr="007956F1" w:rsidRDefault="008078B8" w:rsidP="002431AC">
            <w:pPr>
              <w:pStyle w:val="naiskr"/>
              <w:tabs>
                <w:tab w:val="left" w:pos="170"/>
              </w:tabs>
              <w:spacing w:before="0" w:after="0"/>
              <w:ind w:left="57" w:right="57"/>
            </w:pPr>
            <w:r w:rsidRPr="007956F1">
              <w:t>Pašreizējā situācija un problēmas, kuru risināšanai tiesību akta projekts izstrādāts, tiesiskā regulējuma mērķis un būtība</w:t>
            </w:r>
          </w:p>
        </w:tc>
        <w:tc>
          <w:tcPr>
            <w:tcW w:w="4185" w:type="pct"/>
          </w:tcPr>
          <w:p w:rsidR="00DA3E39" w:rsidRPr="007956F1" w:rsidRDefault="00DA3E39" w:rsidP="00DA3E39">
            <w:pPr>
              <w:ind w:right="149" w:firstLine="260"/>
              <w:jc w:val="both"/>
              <w:rPr>
                <w:b/>
                <w:i/>
              </w:rPr>
            </w:pPr>
            <w:r w:rsidRPr="007956F1">
              <w:rPr>
                <w:b/>
                <w:i/>
              </w:rPr>
              <w:t>Esošā situācija</w:t>
            </w:r>
          </w:p>
          <w:p w:rsidR="00DA3E39" w:rsidRPr="007956F1" w:rsidRDefault="00DA3E39" w:rsidP="00DA3E39">
            <w:pPr>
              <w:ind w:right="149" w:firstLine="260"/>
              <w:jc w:val="both"/>
            </w:pPr>
            <w:r w:rsidRPr="007956F1">
              <w:t xml:space="preserve">Latvijā tiek piemērota klasiskā sistēma </w:t>
            </w:r>
            <w:r w:rsidR="00847A5F" w:rsidRPr="007956F1">
              <w:t>UIN</w:t>
            </w:r>
            <w:r w:rsidRPr="007956F1">
              <w:t xml:space="preserve"> aprēķināšanai: UIN aprēķina (pamatojoties uz peļņas vai zaudējumu aprēķinā un grāmatvedības dokumentos nor</w:t>
            </w:r>
            <w:r w:rsidR="001200AA" w:rsidRPr="007956F1">
              <w:t>ā</w:t>
            </w:r>
            <w:r w:rsidRPr="007956F1">
              <w:t>dītajiem datiem) par taksācijas periodā uzņēmumā gūto  peļņu, kuru koriģē (samazina vai palielina) par specifiskām izdevumu vai ieņēmumu pozīcijām un gūto rezultātu reizina ar nodokļa likmi. Rezultātā UIN maksātājiem (atbilstoši klasiska</w:t>
            </w:r>
            <w:r w:rsidR="00E06C3D" w:rsidRPr="007956F1">
              <w:t>ja</w:t>
            </w:r>
            <w:r w:rsidRPr="007956F1">
              <w:t>i sistēmai) jāveic atbilstoša UIN samaksa neatkarīgi no tā</w:t>
            </w:r>
            <w:r w:rsidR="00C31DB5" w:rsidRPr="007956F1">
              <w:t>,</w:t>
            </w:r>
            <w:r w:rsidRPr="007956F1">
              <w:t xml:space="preserve"> vai peļņa ir tikusi vai nav tikusi sadalīta. Esošais regulējums paredz veikt nodokļ</w:t>
            </w:r>
            <w:r w:rsidR="001200AA" w:rsidRPr="007956F1">
              <w:t>a</w:t>
            </w:r>
            <w:r w:rsidRPr="007956F1">
              <w:t xml:space="preserve"> korekcijas un piemērot nodokļa atvieglojumus. UIN vispārējā likme šobrīd ir </w:t>
            </w:r>
            <w:r w:rsidRPr="007956F1">
              <w:rPr>
                <w:bCs/>
              </w:rPr>
              <w:t>15%</w:t>
            </w:r>
            <w:r w:rsidRPr="007956F1">
              <w:t>. UIN maksātāji ir saimnieciskās darbības veicēji</w:t>
            </w:r>
            <w:r w:rsidR="00C31DB5" w:rsidRPr="007956F1">
              <w:t xml:space="preserve"> - </w:t>
            </w:r>
            <w:r w:rsidRPr="007956F1">
              <w:t>Latvijas rezidenti, ārvalstu komercsabiedrības, fiziskās personas (no kura</w:t>
            </w:r>
            <w:r w:rsidR="00C31DB5" w:rsidRPr="007956F1">
              <w:t xml:space="preserve"> par gūto ienākumu </w:t>
            </w:r>
            <w:r w:rsidRPr="007956F1">
              <w:t>nav jāietur iedzīvotāju ienākuma nodoklis - IIN) un citas personas, kas nav Latvijas nerezidenti un to pastāvīgās pārstāvniecības. Attiecībā uz nerezidentiem ar nodokli apliekamais objekts ir Latvijā gūtie ieņēmumi no saimnieciskās darbības vai ar to saistītām darbībām.</w:t>
            </w:r>
          </w:p>
          <w:p w:rsidR="00DA3E39" w:rsidRPr="007956F1" w:rsidRDefault="00DA3E39" w:rsidP="00DA3E39">
            <w:pPr>
              <w:ind w:right="149" w:firstLine="260"/>
              <w:jc w:val="both"/>
            </w:pPr>
            <w:r w:rsidRPr="007956F1">
              <w:t xml:space="preserve">Īpašs </w:t>
            </w:r>
            <w:r w:rsidR="001200AA" w:rsidRPr="007956F1">
              <w:t>UIN</w:t>
            </w:r>
            <w:r w:rsidRPr="007956F1">
              <w:t xml:space="preserve"> un </w:t>
            </w:r>
            <w:r w:rsidR="001200AA" w:rsidRPr="007956F1">
              <w:t>IIN</w:t>
            </w:r>
            <w:r w:rsidRPr="007956F1">
              <w:t xml:space="preserve"> uzlikšanas modelis līdz šim tika piemērots:</w:t>
            </w:r>
          </w:p>
          <w:p w:rsidR="00DA3E39" w:rsidRPr="007956F1" w:rsidRDefault="00DA3E39" w:rsidP="00DA3E39">
            <w:pPr>
              <w:pStyle w:val="ListParagraph"/>
              <w:numPr>
                <w:ilvl w:val="0"/>
                <w:numId w:val="5"/>
              </w:numPr>
              <w:tabs>
                <w:tab w:val="left" w:pos="2127"/>
                <w:tab w:val="center" w:pos="4153"/>
                <w:tab w:val="left" w:pos="6096"/>
                <w:tab w:val="right" w:pos="8306"/>
              </w:tabs>
              <w:spacing w:after="0" w:line="240" w:lineRule="auto"/>
              <w:ind w:left="714" w:hanging="357"/>
              <w:jc w:val="both"/>
              <w:rPr>
                <w:rFonts w:ascii="Times New Roman" w:hAnsi="Times New Roman"/>
                <w:sz w:val="24"/>
                <w:szCs w:val="24"/>
                <w:lang w:val="lv-LV"/>
              </w:rPr>
            </w:pPr>
            <w:r w:rsidRPr="007956F1">
              <w:rPr>
                <w:rFonts w:ascii="Times New Roman" w:hAnsi="Times New Roman"/>
                <w:sz w:val="24"/>
                <w:szCs w:val="24"/>
                <w:lang w:val="lv-LV"/>
              </w:rPr>
              <w:t>personālsabiedrībām un to biedriem;</w:t>
            </w:r>
          </w:p>
          <w:p w:rsidR="00DA3E39" w:rsidRPr="007956F1" w:rsidRDefault="00DA3E39" w:rsidP="00DA3E39">
            <w:pPr>
              <w:pStyle w:val="ListParagraph"/>
              <w:numPr>
                <w:ilvl w:val="0"/>
                <w:numId w:val="5"/>
              </w:numPr>
              <w:tabs>
                <w:tab w:val="left" w:pos="2127"/>
                <w:tab w:val="center" w:pos="4153"/>
                <w:tab w:val="left" w:pos="6096"/>
                <w:tab w:val="right" w:pos="8306"/>
              </w:tabs>
              <w:spacing w:after="0" w:line="240" w:lineRule="auto"/>
              <w:ind w:left="714" w:hanging="357"/>
              <w:jc w:val="both"/>
              <w:rPr>
                <w:rFonts w:ascii="Times New Roman" w:hAnsi="Times New Roman"/>
                <w:sz w:val="24"/>
                <w:szCs w:val="24"/>
                <w:lang w:val="lv-LV"/>
              </w:rPr>
            </w:pPr>
            <w:r w:rsidRPr="007956F1">
              <w:rPr>
                <w:rFonts w:ascii="Times New Roman" w:hAnsi="Times New Roman"/>
                <w:sz w:val="24"/>
                <w:szCs w:val="24"/>
                <w:lang w:val="lv-LV"/>
              </w:rPr>
              <w:t>atbilstīgajām lauksaimniecības pakalpojumu kooperatīvajām sabiedrībām, atbilstīgajām mežsaimniecības pakalpojumu kooperatīvajām sabiedrībām un to biedriem;</w:t>
            </w:r>
          </w:p>
          <w:p w:rsidR="008B2ED5" w:rsidRPr="007956F1" w:rsidRDefault="008B2ED5" w:rsidP="008B2ED5">
            <w:pPr>
              <w:pStyle w:val="ListParagraph"/>
              <w:numPr>
                <w:ilvl w:val="0"/>
                <w:numId w:val="5"/>
              </w:numPr>
              <w:rPr>
                <w:rFonts w:ascii="Times New Roman" w:hAnsi="Times New Roman"/>
                <w:sz w:val="24"/>
                <w:szCs w:val="24"/>
                <w:lang w:val="lv-LV"/>
              </w:rPr>
            </w:pPr>
            <w:r w:rsidRPr="007956F1">
              <w:rPr>
                <w:rFonts w:ascii="Times New Roman" w:hAnsi="Times New Roman"/>
                <w:sz w:val="24"/>
                <w:szCs w:val="24"/>
                <w:lang w:val="lv-LV"/>
              </w:rPr>
              <w:t>kapitālsabiedrībām, kas ar kuģi veic starptautiskos pārvadājumus un ar tiem saistītas darbības un maksā tonnāžas nodokli;</w:t>
            </w:r>
          </w:p>
          <w:p w:rsidR="00DA3E39" w:rsidRPr="007956F1" w:rsidRDefault="00DA3E39" w:rsidP="00DA3E39">
            <w:pPr>
              <w:pStyle w:val="ListParagraph"/>
              <w:numPr>
                <w:ilvl w:val="0"/>
                <w:numId w:val="5"/>
              </w:numPr>
              <w:tabs>
                <w:tab w:val="left" w:pos="2127"/>
                <w:tab w:val="center" w:pos="4153"/>
                <w:tab w:val="left" w:pos="6096"/>
                <w:tab w:val="right" w:pos="8306"/>
              </w:tabs>
              <w:spacing w:after="0" w:line="240" w:lineRule="auto"/>
              <w:ind w:left="714" w:hanging="357"/>
              <w:jc w:val="both"/>
              <w:rPr>
                <w:rFonts w:ascii="Times New Roman" w:hAnsi="Times New Roman"/>
                <w:sz w:val="24"/>
                <w:szCs w:val="24"/>
                <w:lang w:val="lv-LV"/>
              </w:rPr>
            </w:pPr>
            <w:r w:rsidRPr="007956F1">
              <w:rPr>
                <w:rFonts w:ascii="Times New Roman" w:hAnsi="Times New Roman"/>
                <w:sz w:val="24"/>
                <w:szCs w:val="24"/>
                <w:lang w:val="lv-LV"/>
              </w:rPr>
              <w:t>dzīvokļu īpašnieku kooperatīvajām sabiedrībām, automašīnu garāžu īpašnieku kooperatīvajām sabiedrībām, laivu garāžu īpašnieku kooperatīvajām sabiedrībām un dārzkopības kooperatīvajām sabiedrībām un to biedriem.</w:t>
            </w:r>
          </w:p>
          <w:p w:rsidR="00D32ECD" w:rsidRPr="007956F1" w:rsidRDefault="00D32ECD" w:rsidP="00500C25">
            <w:pPr>
              <w:tabs>
                <w:tab w:val="left" w:pos="2127"/>
                <w:tab w:val="center" w:pos="4153"/>
                <w:tab w:val="left" w:pos="6096"/>
                <w:tab w:val="right" w:pos="8306"/>
              </w:tabs>
              <w:ind w:firstLine="365"/>
              <w:jc w:val="both"/>
            </w:pPr>
            <w:r w:rsidRPr="007956F1">
              <w:t xml:space="preserve">Esošā UIN sistēma ir raksturojama kā nodokļu sistēma ar plašiem atbrīvojumiem, kuri </w:t>
            </w:r>
            <w:r w:rsidR="00500C25" w:rsidRPr="007956F1">
              <w:t xml:space="preserve">nav </w:t>
            </w:r>
            <w:r w:rsidRPr="007956F1">
              <w:t>vērsti uz visām nozarēm vienmērīgi</w:t>
            </w:r>
            <w:r w:rsidR="00500C25" w:rsidRPr="007956F1">
              <w:t>.</w:t>
            </w:r>
            <w:r w:rsidRPr="007956F1">
              <w:t xml:space="preserve"> </w:t>
            </w:r>
          </w:p>
          <w:p w:rsidR="00D32ECD" w:rsidRPr="007956F1" w:rsidRDefault="00D32ECD" w:rsidP="00D32ECD">
            <w:pPr>
              <w:spacing w:after="40"/>
              <w:jc w:val="center"/>
              <w:rPr>
                <w:b/>
              </w:rPr>
            </w:pPr>
            <w:r w:rsidRPr="007956F1">
              <w:rPr>
                <w:b/>
              </w:rPr>
              <w:t>UIN atvieglojumi un to apmērs 2013. – 2015.gadā</w:t>
            </w:r>
          </w:p>
          <w:tbl>
            <w:tblPr>
              <w:tblW w:w="8937" w:type="dxa"/>
              <w:jc w:val="center"/>
              <w:tblLook w:val="04A0" w:firstRow="1" w:lastRow="0" w:firstColumn="1" w:lastColumn="0" w:noHBand="0" w:noVBand="1"/>
            </w:tblPr>
            <w:tblGrid>
              <w:gridCol w:w="4196"/>
              <w:gridCol w:w="680"/>
              <w:gridCol w:w="680"/>
              <w:gridCol w:w="666"/>
              <w:gridCol w:w="680"/>
              <w:gridCol w:w="700"/>
              <w:gridCol w:w="755"/>
              <w:gridCol w:w="580"/>
            </w:tblGrid>
            <w:tr w:rsidR="007956F1" w:rsidRPr="007956F1" w:rsidTr="00F56640">
              <w:trPr>
                <w:trHeight w:val="255"/>
                <w:jc w:val="center"/>
              </w:trPr>
              <w:tc>
                <w:tcPr>
                  <w:tcW w:w="4196"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2060"/>
                  <w:noWrap/>
                  <w:vAlign w:val="center"/>
                  <w:hideMark/>
                </w:tcPr>
                <w:p w:rsidR="00D32ECD" w:rsidRPr="007956F1" w:rsidRDefault="00D32ECD" w:rsidP="00D27A30">
                  <w:pPr>
                    <w:framePr w:hSpace="180" w:wrap="around" w:vAnchor="text" w:hAnchor="margin" w:xAlign="center" w:y="149"/>
                    <w:jc w:val="center"/>
                    <w:rPr>
                      <w:b/>
                      <w:bCs/>
                      <w:sz w:val="20"/>
                      <w:szCs w:val="20"/>
                    </w:rPr>
                  </w:pPr>
                  <w:r w:rsidRPr="007956F1">
                    <w:rPr>
                      <w:b/>
                      <w:bCs/>
                      <w:sz w:val="20"/>
                      <w:szCs w:val="20"/>
                    </w:rPr>
                    <w:t>Nodokļa atvieglojums</w:t>
                  </w:r>
                </w:p>
              </w:tc>
              <w:tc>
                <w:tcPr>
                  <w:tcW w:w="6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D32ECD" w:rsidRPr="007956F1" w:rsidRDefault="00D32ECD" w:rsidP="00D27A30">
                  <w:pPr>
                    <w:framePr w:hSpace="180" w:wrap="around" w:vAnchor="text" w:hAnchor="margin" w:xAlign="center" w:y="149"/>
                    <w:jc w:val="center"/>
                    <w:rPr>
                      <w:b/>
                      <w:bCs/>
                      <w:sz w:val="20"/>
                      <w:szCs w:val="20"/>
                    </w:rPr>
                  </w:pPr>
                  <w:r w:rsidRPr="007956F1">
                    <w:rPr>
                      <w:b/>
                      <w:bCs/>
                      <w:sz w:val="20"/>
                      <w:szCs w:val="20"/>
                    </w:rPr>
                    <w:t>2013</w:t>
                  </w:r>
                </w:p>
              </w:tc>
              <w:tc>
                <w:tcPr>
                  <w:tcW w:w="6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D32ECD" w:rsidRPr="007956F1" w:rsidRDefault="00D32ECD" w:rsidP="00D27A30">
                  <w:pPr>
                    <w:framePr w:hSpace="180" w:wrap="around" w:vAnchor="text" w:hAnchor="margin" w:xAlign="center" w:y="149"/>
                    <w:jc w:val="center"/>
                    <w:rPr>
                      <w:b/>
                      <w:bCs/>
                      <w:sz w:val="20"/>
                      <w:szCs w:val="20"/>
                    </w:rPr>
                  </w:pPr>
                  <w:r w:rsidRPr="007956F1">
                    <w:rPr>
                      <w:b/>
                      <w:bCs/>
                      <w:sz w:val="20"/>
                      <w:szCs w:val="20"/>
                    </w:rPr>
                    <w:t>2014</w:t>
                  </w:r>
                </w:p>
              </w:tc>
              <w:tc>
                <w:tcPr>
                  <w:tcW w:w="666"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D32ECD" w:rsidRPr="007956F1" w:rsidRDefault="00D32ECD" w:rsidP="00D27A30">
                  <w:pPr>
                    <w:framePr w:hSpace="180" w:wrap="around" w:vAnchor="text" w:hAnchor="margin" w:xAlign="center" w:y="149"/>
                    <w:jc w:val="center"/>
                    <w:rPr>
                      <w:i/>
                      <w:sz w:val="20"/>
                      <w:szCs w:val="20"/>
                    </w:rPr>
                  </w:pPr>
                  <w:r w:rsidRPr="007956F1">
                    <w:rPr>
                      <w:i/>
                      <w:sz w:val="20"/>
                      <w:szCs w:val="20"/>
                    </w:rPr>
                    <w:t xml:space="preserve">% pret iepr. gadu </w:t>
                  </w:r>
                </w:p>
              </w:tc>
              <w:tc>
                <w:tcPr>
                  <w:tcW w:w="2715" w:type="dxa"/>
                  <w:gridSpan w:val="4"/>
                  <w:tcBorders>
                    <w:top w:val="single" w:sz="4" w:space="0" w:color="auto"/>
                    <w:left w:val="single" w:sz="4" w:space="0" w:color="FFFFFF" w:themeColor="background1"/>
                    <w:bottom w:val="single" w:sz="4" w:space="0" w:color="FFFFFF" w:themeColor="background1"/>
                    <w:right w:val="single" w:sz="4" w:space="0" w:color="auto"/>
                  </w:tcBorders>
                  <w:shd w:val="clear" w:color="auto" w:fill="002060"/>
                  <w:noWrap/>
                  <w:vAlign w:val="bottom"/>
                  <w:hideMark/>
                </w:tcPr>
                <w:p w:rsidR="00D32ECD" w:rsidRPr="007956F1" w:rsidRDefault="00D32ECD" w:rsidP="00D27A30">
                  <w:pPr>
                    <w:framePr w:hSpace="180" w:wrap="around" w:vAnchor="text" w:hAnchor="margin" w:xAlign="center" w:y="149"/>
                    <w:jc w:val="center"/>
                    <w:rPr>
                      <w:b/>
                      <w:bCs/>
                      <w:sz w:val="20"/>
                      <w:szCs w:val="20"/>
                    </w:rPr>
                  </w:pPr>
                  <w:r w:rsidRPr="007956F1">
                    <w:rPr>
                      <w:b/>
                      <w:bCs/>
                      <w:sz w:val="20"/>
                      <w:szCs w:val="20"/>
                    </w:rPr>
                    <w:t>2015</w:t>
                  </w:r>
                </w:p>
              </w:tc>
            </w:tr>
            <w:tr w:rsidR="007956F1" w:rsidRPr="007956F1" w:rsidTr="00F56640">
              <w:trPr>
                <w:trHeight w:val="631"/>
                <w:jc w:val="center"/>
              </w:trPr>
              <w:tc>
                <w:tcPr>
                  <w:tcW w:w="4196" w:type="dxa"/>
                  <w:vMerge/>
                  <w:tcBorders>
                    <w:top w:val="single" w:sz="4" w:space="0" w:color="FFFFFF" w:themeColor="background1"/>
                    <w:left w:val="single" w:sz="4" w:space="0" w:color="auto"/>
                    <w:bottom w:val="single" w:sz="4" w:space="0" w:color="auto"/>
                    <w:right w:val="single" w:sz="4" w:space="0" w:color="FFFFFF" w:themeColor="background1"/>
                  </w:tcBorders>
                  <w:shd w:val="clear" w:color="auto" w:fill="002060"/>
                  <w:vAlign w:val="center"/>
                  <w:hideMark/>
                </w:tcPr>
                <w:p w:rsidR="00D32ECD" w:rsidRPr="007956F1" w:rsidRDefault="00D32ECD" w:rsidP="00D27A30">
                  <w:pPr>
                    <w:framePr w:hSpace="180" w:wrap="around" w:vAnchor="text" w:hAnchor="margin" w:xAlign="center" w:y="149"/>
                    <w:rPr>
                      <w:b/>
                      <w:bCs/>
                      <w:sz w:val="20"/>
                      <w:szCs w:val="20"/>
                    </w:rPr>
                  </w:pPr>
                </w:p>
              </w:tc>
              <w:tc>
                <w:tcPr>
                  <w:tcW w:w="68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rsidR="00D32ECD" w:rsidRPr="007956F1" w:rsidRDefault="00D32ECD" w:rsidP="00D27A30">
                  <w:pPr>
                    <w:framePr w:hSpace="180" w:wrap="around" w:vAnchor="text" w:hAnchor="margin" w:xAlign="center" w:y="149"/>
                    <w:jc w:val="center"/>
                    <w:rPr>
                      <w:b/>
                      <w:bCs/>
                      <w:i/>
                      <w:iCs/>
                      <w:sz w:val="20"/>
                      <w:szCs w:val="20"/>
                    </w:rPr>
                  </w:pPr>
                  <w:r w:rsidRPr="007956F1">
                    <w:rPr>
                      <w:b/>
                      <w:bCs/>
                      <w:sz w:val="20"/>
                      <w:szCs w:val="20"/>
                    </w:rPr>
                    <w:t xml:space="preserve">Milj. </w:t>
                  </w:r>
                  <w:proofErr w:type="spellStart"/>
                  <w:r w:rsidRPr="007956F1">
                    <w:rPr>
                      <w:b/>
                      <w:bCs/>
                      <w:i/>
                      <w:iCs/>
                      <w:sz w:val="20"/>
                      <w:szCs w:val="20"/>
                    </w:rPr>
                    <w:t>euro</w:t>
                  </w:r>
                  <w:proofErr w:type="spellEnd"/>
                </w:p>
              </w:tc>
              <w:tc>
                <w:tcPr>
                  <w:tcW w:w="68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rsidR="00D32ECD" w:rsidRPr="007956F1" w:rsidRDefault="00D32ECD" w:rsidP="00D27A30">
                  <w:pPr>
                    <w:framePr w:hSpace="180" w:wrap="around" w:vAnchor="text" w:hAnchor="margin" w:xAlign="center" w:y="149"/>
                    <w:jc w:val="center"/>
                    <w:rPr>
                      <w:b/>
                      <w:bCs/>
                      <w:i/>
                      <w:iCs/>
                      <w:sz w:val="20"/>
                      <w:szCs w:val="20"/>
                    </w:rPr>
                  </w:pPr>
                  <w:r w:rsidRPr="007956F1">
                    <w:rPr>
                      <w:b/>
                      <w:bCs/>
                      <w:sz w:val="20"/>
                      <w:szCs w:val="20"/>
                    </w:rPr>
                    <w:t xml:space="preserve">Milj. </w:t>
                  </w:r>
                  <w:proofErr w:type="spellStart"/>
                  <w:r w:rsidRPr="007956F1">
                    <w:rPr>
                      <w:b/>
                      <w:bCs/>
                      <w:i/>
                      <w:iCs/>
                      <w:sz w:val="20"/>
                      <w:szCs w:val="20"/>
                    </w:rPr>
                    <w:t>euro</w:t>
                  </w:r>
                  <w:proofErr w:type="spellEnd"/>
                </w:p>
              </w:tc>
              <w:tc>
                <w:tcPr>
                  <w:tcW w:w="666"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rsidR="00D32ECD" w:rsidRPr="007956F1" w:rsidRDefault="00D32ECD" w:rsidP="00D27A30">
                  <w:pPr>
                    <w:framePr w:hSpace="180" w:wrap="around" w:vAnchor="text" w:hAnchor="margin" w:xAlign="center" w:y="149"/>
                    <w:jc w:val="center"/>
                    <w:rPr>
                      <w:sz w:val="20"/>
                      <w:szCs w:val="20"/>
                    </w:rPr>
                  </w:pPr>
                </w:p>
              </w:tc>
              <w:tc>
                <w:tcPr>
                  <w:tcW w:w="68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rsidR="00D32ECD" w:rsidRPr="007956F1" w:rsidRDefault="00D32ECD" w:rsidP="00D27A30">
                  <w:pPr>
                    <w:framePr w:hSpace="180" w:wrap="around" w:vAnchor="text" w:hAnchor="margin" w:xAlign="center" w:y="149"/>
                    <w:jc w:val="center"/>
                    <w:rPr>
                      <w:b/>
                      <w:bCs/>
                      <w:i/>
                      <w:iCs/>
                      <w:sz w:val="20"/>
                      <w:szCs w:val="20"/>
                    </w:rPr>
                  </w:pPr>
                  <w:r w:rsidRPr="007956F1">
                    <w:rPr>
                      <w:b/>
                      <w:bCs/>
                      <w:sz w:val="20"/>
                      <w:szCs w:val="20"/>
                    </w:rPr>
                    <w:t xml:space="preserve">Milj. </w:t>
                  </w:r>
                  <w:proofErr w:type="spellStart"/>
                  <w:r w:rsidRPr="007956F1">
                    <w:rPr>
                      <w:b/>
                      <w:bCs/>
                      <w:i/>
                      <w:iCs/>
                      <w:sz w:val="20"/>
                      <w:szCs w:val="20"/>
                    </w:rPr>
                    <w:t>euro</w:t>
                  </w:r>
                  <w:proofErr w:type="spellEnd"/>
                </w:p>
              </w:tc>
              <w:tc>
                <w:tcPr>
                  <w:tcW w:w="70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rsidR="00D32ECD" w:rsidRPr="007956F1" w:rsidRDefault="00D32ECD" w:rsidP="00D27A30">
                  <w:pPr>
                    <w:framePr w:hSpace="180" w:wrap="around" w:vAnchor="text" w:hAnchor="margin" w:xAlign="center" w:y="149"/>
                    <w:jc w:val="center"/>
                    <w:rPr>
                      <w:i/>
                      <w:sz w:val="18"/>
                      <w:szCs w:val="18"/>
                    </w:rPr>
                  </w:pPr>
                  <w:r w:rsidRPr="007956F1">
                    <w:rPr>
                      <w:i/>
                      <w:sz w:val="18"/>
                      <w:szCs w:val="18"/>
                    </w:rPr>
                    <w:t>% pret iepr. gadu</w:t>
                  </w:r>
                </w:p>
              </w:tc>
              <w:tc>
                <w:tcPr>
                  <w:tcW w:w="75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rsidR="00D32ECD" w:rsidRPr="007956F1" w:rsidRDefault="00D32ECD" w:rsidP="00D27A30">
                  <w:pPr>
                    <w:framePr w:hSpace="180" w:wrap="around" w:vAnchor="text" w:hAnchor="margin" w:xAlign="center" w:y="149"/>
                    <w:jc w:val="center"/>
                    <w:rPr>
                      <w:i/>
                      <w:sz w:val="20"/>
                      <w:szCs w:val="20"/>
                    </w:rPr>
                  </w:pPr>
                  <w:r w:rsidRPr="007956F1">
                    <w:rPr>
                      <w:i/>
                      <w:sz w:val="20"/>
                      <w:szCs w:val="20"/>
                    </w:rPr>
                    <w:t xml:space="preserve">% pret UIN </w:t>
                  </w:r>
                  <w:proofErr w:type="spellStart"/>
                  <w:r w:rsidRPr="007956F1">
                    <w:rPr>
                      <w:i/>
                      <w:sz w:val="20"/>
                      <w:szCs w:val="20"/>
                    </w:rPr>
                    <w:t>ieņēm</w:t>
                  </w:r>
                  <w:proofErr w:type="spellEnd"/>
                  <w:r w:rsidRPr="007956F1">
                    <w:rPr>
                      <w:i/>
                      <w:sz w:val="20"/>
                      <w:szCs w:val="20"/>
                    </w:rPr>
                    <w:t>.</w:t>
                  </w:r>
                </w:p>
              </w:tc>
              <w:tc>
                <w:tcPr>
                  <w:tcW w:w="58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2060"/>
                  <w:vAlign w:val="center"/>
                  <w:hideMark/>
                </w:tcPr>
                <w:p w:rsidR="00D32ECD" w:rsidRPr="007956F1" w:rsidRDefault="00D32ECD" w:rsidP="00D27A30">
                  <w:pPr>
                    <w:framePr w:hSpace="180" w:wrap="around" w:vAnchor="text" w:hAnchor="margin" w:xAlign="center" w:y="149"/>
                    <w:jc w:val="center"/>
                    <w:rPr>
                      <w:i/>
                      <w:sz w:val="20"/>
                      <w:szCs w:val="20"/>
                    </w:rPr>
                  </w:pPr>
                  <w:r w:rsidRPr="007956F1">
                    <w:rPr>
                      <w:i/>
                      <w:sz w:val="20"/>
                      <w:szCs w:val="20"/>
                    </w:rPr>
                    <w:t>% pret IKP</w:t>
                  </w:r>
                </w:p>
              </w:tc>
            </w:tr>
            <w:tr w:rsidR="007956F1" w:rsidRPr="007956F1" w:rsidTr="00F56640">
              <w:trPr>
                <w:trHeight w:val="217"/>
                <w:jc w:val="center"/>
              </w:trPr>
              <w:tc>
                <w:tcPr>
                  <w:tcW w:w="4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32ECD" w:rsidRPr="007956F1" w:rsidRDefault="00D32ECD" w:rsidP="00D27A30">
                  <w:pPr>
                    <w:framePr w:hSpace="180" w:wrap="around" w:vAnchor="text" w:hAnchor="margin" w:xAlign="center" w:y="149"/>
                    <w:ind w:left="159" w:hanging="159"/>
                    <w:rPr>
                      <w:b/>
                      <w:bCs/>
                      <w:sz w:val="20"/>
                      <w:szCs w:val="20"/>
                    </w:rPr>
                  </w:pPr>
                  <w:r w:rsidRPr="007956F1">
                    <w:rPr>
                      <w:b/>
                      <w:bCs/>
                      <w:sz w:val="20"/>
                      <w:szCs w:val="20"/>
                    </w:rPr>
                    <w:t>1. Atvieglojumi investīciju veicināšanai, t.sk.</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sz w:val="20"/>
                      <w:szCs w:val="20"/>
                    </w:rPr>
                  </w:pPr>
                  <w:r w:rsidRPr="007956F1">
                    <w:rPr>
                      <w:b/>
                      <w:bCs/>
                      <w:sz w:val="20"/>
                      <w:szCs w:val="20"/>
                    </w:rPr>
                    <w:t>274,2</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sz w:val="20"/>
                      <w:szCs w:val="20"/>
                    </w:rPr>
                  </w:pPr>
                  <w:r w:rsidRPr="007956F1">
                    <w:rPr>
                      <w:b/>
                      <w:bCs/>
                      <w:sz w:val="20"/>
                      <w:szCs w:val="20"/>
                    </w:rPr>
                    <w:t>279,6</w:t>
                  </w:r>
                </w:p>
              </w:tc>
              <w:tc>
                <w:tcPr>
                  <w:tcW w:w="66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i/>
                      <w:iCs/>
                      <w:sz w:val="20"/>
                      <w:szCs w:val="20"/>
                    </w:rPr>
                  </w:pPr>
                  <w:r w:rsidRPr="007956F1">
                    <w:rPr>
                      <w:b/>
                      <w:bCs/>
                      <w:i/>
                      <w:iCs/>
                      <w:sz w:val="20"/>
                      <w:szCs w:val="20"/>
                    </w:rPr>
                    <w:t>2,0</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sz w:val="20"/>
                      <w:szCs w:val="20"/>
                    </w:rPr>
                  </w:pPr>
                  <w:r w:rsidRPr="007956F1">
                    <w:rPr>
                      <w:b/>
                      <w:bCs/>
                      <w:sz w:val="20"/>
                      <w:szCs w:val="20"/>
                    </w:rPr>
                    <w:t>312,0</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i/>
                      <w:iCs/>
                      <w:sz w:val="20"/>
                      <w:szCs w:val="20"/>
                    </w:rPr>
                  </w:pPr>
                  <w:r w:rsidRPr="007956F1">
                    <w:rPr>
                      <w:b/>
                      <w:bCs/>
                      <w:i/>
                      <w:iCs/>
                      <w:sz w:val="20"/>
                      <w:szCs w:val="20"/>
                    </w:rPr>
                    <w:t>11,6</w:t>
                  </w:r>
                </w:p>
              </w:tc>
              <w:tc>
                <w:tcPr>
                  <w:tcW w:w="7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i/>
                      <w:iCs/>
                      <w:sz w:val="20"/>
                      <w:szCs w:val="20"/>
                    </w:rPr>
                  </w:pPr>
                  <w:r w:rsidRPr="007956F1">
                    <w:rPr>
                      <w:b/>
                      <w:bCs/>
                      <w:i/>
                      <w:iCs/>
                      <w:sz w:val="20"/>
                      <w:szCs w:val="20"/>
                    </w:rPr>
                    <w:t>81,4</w:t>
                  </w:r>
                </w:p>
              </w:tc>
              <w:tc>
                <w:tcPr>
                  <w:tcW w:w="5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i/>
                      <w:iCs/>
                      <w:sz w:val="20"/>
                      <w:szCs w:val="20"/>
                    </w:rPr>
                  </w:pPr>
                  <w:r w:rsidRPr="007956F1">
                    <w:rPr>
                      <w:b/>
                      <w:bCs/>
                      <w:i/>
                      <w:iCs/>
                      <w:sz w:val="20"/>
                      <w:szCs w:val="20"/>
                    </w:rPr>
                    <w:t>1,28</w:t>
                  </w:r>
                </w:p>
              </w:tc>
            </w:tr>
            <w:tr w:rsidR="007956F1" w:rsidRPr="007956F1" w:rsidTr="00F56640">
              <w:trPr>
                <w:trHeight w:val="193"/>
                <w:jc w:val="center"/>
              </w:trPr>
              <w:tc>
                <w:tcPr>
                  <w:tcW w:w="4196" w:type="dxa"/>
                  <w:tcBorders>
                    <w:top w:val="single" w:sz="4" w:space="0" w:color="auto"/>
                    <w:left w:val="single" w:sz="4" w:space="0" w:color="auto"/>
                    <w:bottom w:val="single" w:sz="4" w:space="0" w:color="808080" w:themeColor="background1" w:themeShade="80"/>
                    <w:right w:val="single" w:sz="4" w:space="0" w:color="auto"/>
                  </w:tcBorders>
                  <w:shd w:val="clear" w:color="auto" w:fill="auto"/>
                  <w:vAlign w:val="bottom"/>
                  <w:hideMark/>
                </w:tcPr>
                <w:p w:rsidR="00D32ECD" w:rsidRPr="007956F1" w:rsidRDefault="00D32ECD" w:rsidP="00D27A30">
                  <w:pPr>
                    <w:pStyle w:val="ListParagraph"/>
                    <w:framePr w:hSpace="180" w:wrap="around" w:vAnchor="text" w:hAnchor="margin" w:xAlign="center" w:y="149"/>
                    <w:numPr>
                      <w:ilvl w:val="1"/>
                      <w:numId w:val="13"/>
                    </w:numPr>
                    <w:spacing w:after="0" w:line="240" w:lineRule="auto"/>
                    <w:ind w:left="444" w:hanging="416"/>
                    <w:contextualSpacing w:val="0"/>
                    <w:jc w:val="both"/>
                    <w:rPr>
                      <w:rFonts w:ascii="Times New Roman" w:hAnsi="Times New Roman"/>
                      <w:sz w:val="20"/>
                      <w:szCs w:val="20"/>
                    </w:rPr>
                  </w:pPr>
                  <w:proofErr w:type="spellStart"/>
                  <w:r w:rsidRPr="007956F1">
                    <w:rPr>
                      <w:rFonts w:ascii="Times New Roman" w:hAnsi="Times New Roman"/>
                      <w:sz w:val="20"/>
                      <w:szCs w:val="20"/>
                    </w:rPr>
                    <w:t>Iespēja</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segt</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taksācijas</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perioda</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zaudējumus</w:t>
                  </w:r>
                  <w:proofErr w:type="spellEnd"/>
                </w:p>
              </w:tc>
              <w:tc>
                <w:tcPr>
                  <w:tcW w:w="6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98,5</w:t>
                  </w:r>
                </w:p>
              </w:tc>
              <w:tc>
                <w:tcPr>
                  <w:tcW w:w="6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123,0</w:t>
                  </w:r>
                </w:p>
              </w:tc>
              <w:tc>
                <w:tcPr>
                  <w:tcW w:w="666"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24,8</w:t>
                  </w:r>
                </w:p>
              </w:tc>
              <w:tc>
                <w:tcPr>
                  <w:tcW w:w="6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103,2</w:t>
                  </w:r>
                </w:p>
              </w:tc>
              <w:tc>
                <w:tcPr>
                  <w:tcW w:w="70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-16,1</w:t>
                  </w:r>
                </w:p>
              </w:tc>
              <w:tc>
                <w:tcPr>
                  <w:tcW w:w="755"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26,9</w:t>
                  </w:r>
                </w:p>
              </w:tc>
              <w:tc>
                <w:tcPr>
                  <w:tcW w:w="5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0,42</w:t>
                  </w:r>
                </w:p>
              </w:tc>
            </w:tr>
            <w:tr w:rsidR="007956F1" w:rsidRPr="007956F1" w:rsidTr="00F56640">
              <w:trPr>
                <w:trHeight w:val="480"/>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hideMark/>
                </w:tcPr>
                <w:p w:rsidR="00D32ECD" w:rsidRPr="007956F1" w:rsidRDefault="00D32ECD" w:rsidP="00D27A30">
                  <w:pPr>
                    <w:pStyle w:val="ListParagraph"/>
                    <w:framePr w:hSpace="180" w:wrap="around" w:vAnchor="text" w:hAnchor="margin" w:xAlign="center" w:y="149"/>
                    <w:numPr>
                      <w:ilvl w:val="1"/>
                      <w:numId w:val="13"/>
                    </w:numPr>
                    <w:spacing w:after="0" w:line="240" w:lineRule="auto"/>
                    <w:ind w:left="444" w:hanging="416"/>
                    <w:contextualSpacing w:val="0"/>
                    <w:jc w:val="both"/>
                    <w:rPr>
                      <w:rFonts w:ascii="Times New Roman" w:hAnsi="Times New Roman"/>
                      <w:sz w:val="20"/>
                      <w:szCs w:val="20"/>
                    </w:rPr>
                  </w:pPr>
                  <w:proofErr w:type="spellStart"/>
                  <w:r w:rsidRPr="007956F1">
                    <w:rPr>
                      <w:rFonts w:ascii="Times New Roman" w:hAnsi="Times New Roman"/>
                      <w:sz w:val="20"/>
                      <w:szCs w:val="20"/>
                    </w:rPr>
                    <w:t>Paātrināta</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pamatlīdzekļu</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norakstīšanas</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kārtība</w:t>
                  </w:r>
                  <w:proofErr w:type="spellEnd"/>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40,8</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51,2</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25,3</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44,5</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-13,1</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11,6</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0,18</w:t>
                  </w:r>
                </w:p>
              </w:tc>
            </w:tr>
            <w:tr w:rsidR="007956F1" w:rsidRPr="007956F1" w:rsidTr="00F56640">
              <w:trPr>
                <w:trHeight w:val="480"/>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hideMark/>
                </w:tcPr>
                <w:p w:rsidR="00D32ECD" w:rsidRPr="007956F1" w:rsidRDefault="00D32ECD" w:rsidP="00D27A30">
                  <w:pPr>
                    <w:pStyle w:val="ListParagraph"/>
                    <w:framePr w:hSpace="180" w:wrap="around" w:vAnchor="text" w:hAnchor="margin" w:xAlign="center" w:y="149"/>
                    <w:numPr>
                      <w:ilvl w:val="1"/>
                      <w:numId w:val="13"/>
                    </w:numPr>
                    <w:spacing w:after="0" w:line="240" w:lineRule="auto"/>
                    <w:ind w:left="444" w:hanging="416"/>
                    <w:contextualSpacing w:val="0"/>
                    <w:jc w:val="both"/>
                    <w:rPr>
                      <w:rFonts w:ascii="Times New Roman" w:hAnsi="Times New Roman"/>
                      <w:sz w:val="20"/>
                      <w:szCs w:val="20"/>
                      <w:lang w:val="lv-LV"/>
                    </w:rPr>
                  </w:pPr>
                  <w:r w:rsidRPr="007956F1">
                    <w:rPr>
                      <w:rFonts w:ascii="Times New Roman" w:hAnsi="Times New Roman"/>
                      <w:sz w:val="20"/>
                      <w:szCs w:val="20"/>
                      <w:lang w:val="lv-LV"/>
                    </w:rPr>
                    <w:t>Atvieglojums iegādājoties jaunas ražošanas tehnoloģiskās iekārtas</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37,4</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28,3</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-24,5</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38,4</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36,0</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10,0</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0,16</w:t>
                  </w:r>
                </w:p>
              </w:tc>
            </w:tr>
            <w:tr w:rsidR="007956F1" w:rsidRPr="007956F1" w:rsidTr="00F56640">
              <w:trPr>
                <w:trHeight w:val="255"/>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hideMark/>
                </w:tcPr>
                <w:p w:rsidR="00D32ECD" w:rsidRPr="007956F1" w:rsidRDefault="00D32ECD" w:rsidP="00D27A30">
                  <w:pPr>
                    <w:pStyle w:val="ListParagraph"/>
                    <w:framePr w:hSpace="180" w:wrap="around" w:vAnchor="text" w:hAnchor="margin" w:xAlign="center" w:y="149"/>
                    <w:numPr>
                      <w:ilvl w:val="1"/>
                      <w:numId w:val="13"/>
                    </w:numPr>
                    <w:spacing w:after="0" w:line="240" w:lineRule="auto"/>
                    <w:ind w:left="444" w:hanging="416"/>
                    <w:contextualSpacing w:val="0"/>
                    <w:jc w:val="both"/>
                    <w:rPr>
                      <w:rFonts w:ascii="Times New Roman" w:hAnsi="Times New Roman"/>
                      <w:sz w:val="20"/>
                      <w:szCs w:val="20"/>
                    </w:rPr>
                  </w:pPr>
                  <w:proofErr w:type="spellStart"/>
                  <w:r w:rsidRPr="007956F1">
                    <w:rPr>
                      <w:rFonts w:ascii="Times New Roman" w:hAnsi="Times New Roman"/>
                      <w:sz w:val="20"/>
                      <w:szCs w:val="20"/>
                    </w:rPr>
                    <w:t>Atlaide</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investīcijām</w:t>
                  </w:r>
                  <w:proofErr w:type="spellEnd"/>
                  <w:r w:rsidRPr="007956F1">
                    <w:rPr>
                      <w:rFonts w:ascii="Times New Roman" w:hAnsi="Times New Roman"/>
                      <w:sz w:val="20"/>
                      <w:szCs w:val="20"/>
                    </w:rPr>
                    <w:t xml:space="preserve"> BO </w:t>
                  </w:r>
                  <w:proofErr w:type="spellStart"/>
                  <w:r w:rsidRPr="007956F1">
                    <w:rPr>
                      <w:rFonts w:ascii="Times New Roman" w:hAnsi="Times New Roman"/>
                      <w:sz w:val="20"/>
                      <w:szCs w:val="20"/>
                    </w:rPr>
                    <w:t>vai</w:t>
                  </w:r>
                  <w:proofErr w:type="spellEnd"/>
                  <w:r w:rsidRPr="007956F1">
                    <w:rPr>
                      <w:rFonts w:ascii="Times New Roman" w:hAnsi="Times New Roman"/>
                      <w:sz w:val="20"/>
                      <w:szCs w:val="20"/>
                    </w:rPr>
                    <w:t xml:space="preserve"> SEZ</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5,5</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6,8</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23,6</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7,5</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11,1</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2,0</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0,03</w:t>
                  </w:r>
                </w:p>
              </w:tc>
            </w:tr>
            <w:tr w:rsidR="007956F1" w:rsidRPr="007956F1" w:rsidTr="00F56640">
              <w:trPr>
                <w:trHeight w:val="945"/>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hideMark/>
                </w:tcPr>
                <w:p w:rsidR="00D32ECD" w:rsidRPr="007956F1" w:rsidRDefault="00D32ECD" w:rsidP="00D27A30">
                  <w:pPr>
                    <w:pStyle w:val="ListParagraph"/>
                    <w:framePr w:hSpace="180" w:wrap="around" w:vAnchor="text" w:hAnchor="margin" w:xAlign="center" w:y="149"/>
                    <w:numPr>
                      <w:ilvl w:val="1"/>
                      <w:numId w:val="13"/>
                    </w:numPr>
                    <w:spacing w:after="0" w:line="240" w:lineRule="auto"/>
                    <w:ind w:left="444" w:hanging="416"/>
                    <w:contextualSpacing w:val="0"/>
                    <w:jc w:val="both"/>
                    <w:rPr>
                      <w:rFonts w:ascii="Times New Roman" w:hAnsi="Times New Roman"/>
                      <w:sz w:val="20"/>
                      <w:szCs w:val="20"/>
                      <w:lang w:val="lv-LV"/>
                    </w:rPr>
                  </w:pPr>
                  <w:r w:rsidRPr="007956F1">
                    <w:rPr>
                      <w:rFonts w:ascii="Times New Roman" w:hAnsi="Times New Roman"/>
                      <w:sz w:val="20"/>
                      <w:szCs w:val="20"/>
                      <w:lang w:val="lv-LV"/>
                    </w:rPr>
                    <w:t>Dividenžu summa, kas saņemta no citiem maksātājiem vai izmaksāta ne</w:t>
                  </w:r>
                  <w:r w:rsidRPr="007956F1">
                    <w:rPr>
                      <w:rFonts w:ascii="Times New Roman" w:hAnsi="Times New Roman"/>
                      <w:sz w:val="20"/>
                      <w:szCs w:val="20"/>
                      <w:lang w:val="lv-LV"/>
                    </w:rPr>
                    <w:softHyphen/>
                    <w:t>re</w:t>
                  </w:r>
                  <w:r w:rsidRPr="007956F1">
                    <w:rPr>
                      <w:rFonts w:ascii="Times New Roman" w:hAnsi="Times New Roman"/>
                      <w:sz w:val="20"/>
                      <w:szCs w:val="20"/>
                      <w:lang w:val="lv-LV"/>
                    </w:rPr>
                    <w:softHyphen/>
                    <w:t>zi</w:t>
                  </w:r>
                  <w:r w:rsidRPr="007956F1">
                    <w:rPr>
                      <w:rFonts w:ascii="Times New Roman" w:hAnsi="Times New Roman"/>
                      <w:sz w:val="20"/>
                      <w:szCs w:val="20"/>
                      <w:lang w:val="lv-LV"/>
                    </w:rPr>
                    <w:softHyphen/>
                    <w:t>dentiem, kuri neatrodas zemu no</w:t>
                  </w:r>
                  <w:r w:rsidRPr="007956F1">
                    <w:rPr>
                      <w:rFonts w:ascii="Times New Roman" w:hAnsi="Times New Roman"/>
                      <w:sz w:val="20"/>
                      <w:szCs w:val="20"/>
                      <w:lang w:val="lv-LV"/>
                    </w:rPr>
                    <w:softHyphen/>
                    <w:t xml:space="preserve">dokļu vai beznodokļu valstīs vai zonās </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57,4</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62,3</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8,5</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97,4</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56,3</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25,4</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0,40</w:t>
                  </w:r>
                </w:p>
              </w:tc>
            </w:tr>
            <w:tr w:rsidR="007956F1" w:rsidRPr="007956F1" w:rsidTr="00F56640">
              <w:trPr>
                <w:trHeight w:val="125"/>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tcPr>
                <w:p w:rsidR="00D32ECD" w:rsidRPr="007956F1" w:rsidRDefault="00D32ECD" w:rsidP="00D27A30">
                  <w:pPr>
                    <w:pStyle w:val="ListParagraph"/>
                    <w:framePr w:hSpace="180" w:wrap="around" w:vAnchor="text" w:hAnchor="margin" w:xAlign="center" w:y="149"/>
                    <w:numPr>
                      <w:ilvl w:val="1"/>
                      <w:numId w:val="13"/>
                    </w:numPr>
                    <w:spacing w:after="0" w:line="240" w:lineRule="auto"/>
                    <w:ind w:left="444" w:hanging="416"/>
                    <w:contextualSpacing w:val="0"/>
                    <w:jc w:val="both"/>
                    <w:rPr>
                      <w:rFonts w:ascii="Times New Roman" w:hAnsi="Times New Roman"/>
                      <w:sz w:val="20"/>
                      <w:szCs w:val="20"/>
                    </w:rPr>
                  </w:pPr>
                  <w:proofErr w:type="spellStart"/>
                  <w:r w:rsidRPr="007956F1">
                    <w:rPr>
                      <w:rFonts w:ascii="Times New Roman" w:hAnsi="Times New Roman"/>
                      <w:sz w:val="20"/>
                      <w:szCs w:val="20"/>
                    </w:rPr>
                    <w:t>Atlaides</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realizējot</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atbalstāmo</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investīciju</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projektus</w:t>
                  </w:r>
                  <w:proofErr w:type="spellEnd"/>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3,0</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3,4</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10,6</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2,5</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-26,8</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0,6</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0,01</w:t>
                  </w:r>
                </w:p>
              </w:tc>
            </w:tr>
            <w:tr w:rsidR="007956F1" w:rsidRPr="007956F1" w:rsidTr="00F56640">
              <w:trPr>
                <w:trHeight w:val="285"/>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tcPr>
                <w:p w:rsidR="00D32ECD" w:rsidRPr="007956F1" w:rsidRDefault="00D32ECD" w:rsidP="00D27A30">
                  <w:pPr>
                    <w:pStyle w:val="ListParagraph"/>
                    <w:framePr w:hSpace="180" w:wrap="around" w:vAnchor="text" w:hAnchor="margin" w:xAlign="center" w:y="149"/>
                    <w:numPr>
                      <w:ilvl w:val="1"/>
                      <w:numId w:val="13"/>
                    </w:numPr>
                    <w:spacing w:after="0" w:line="240" w:lineRule="auto"/>
                    <w:ind w:left="444" w:hanging="416"/>
                    <w:contextualSpacing w:val="0"/>
                    <w:jc w:val="both"/>
                    <w:rPr>
                      <w:rFonts w:ascii="Times New Roman" w:hAnsi="Times New Roman"/>
                      <w:sz w:val="20"/>
                      <w:szCs w:val="20"/>
                    </w:rPr>
                  </w:pPr>
                  <w:proofErr w:type="spellStart"/>
                  <w:r w:rsidRPr="007956F1">
                    <w:rPr>
                      <w:rFonts w:ascii="Times New Roman" w:hAnsi="Times New Roman"/>
                      <w:sz w:val="20"/>
                      <w:szCs w:val="20"/>
                    </w:rPr>
                    <w:t>Atvieglojums</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pamatlīdzekļu</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aizstāšanas</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gadījumā</w:t>
                  </w:r>
                  <w:proofErr w:type="spellEnd"/>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0,1</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0,3</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357,7</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0,1</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-71,9</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0,0</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0,00</w:t>
                  </w:r>
                </w:p>
              </w:tc>
            </w:tr>
            <w:tr w:rsidR="007956F1" w:rsidRPr="007956F1" w:rsidTr="00F56640">
              <w:trPr>
                <w:trHeight w:val="285"/>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tcPr>
                <w:p w:rsidR="00D32ECD" w:rsidRPr="007956F1" w:rsidRDefault="00D32ECD" w:rsidP="00D27A30">
                  <w:pPr>
                    <w:pStyle w:val="ListParagraph"/>
                    <w:framePr w:hSpace="180" w:wrap="around" w:vAnchor="text" w:hAnchor="margin" w:xAlign="center" w:y="149"/>
                    <w:numPr>
                      <w:ilvl w:val="1"/>
                      <w:numId w:val="13"/>
                    </w:numPr>
                    <w:spacing w:after="0" w:line="240" w:lineRule="auto"/>
                    <w:ind w:left="444" w:hanging="416"/>
                    <w:contextualSpacing w:val="0"/>
                    <w:jc w:val="both"/>
                    <w:rPr>
                      <w:rFonts w:ascii="Times New Roman" w:hAnsi="Times New Roman"/>
                      <w:sz w:val="20"/>
                      <w:szCs w:val="20"/>
                      <w:lang w:val="lv-LV"/>
                    </w:rPr>
                  </w:pPr>
                  <w:r w:rsidRPr="007956F1">
                    <w:rPr>
                      <w:rFonts w:ascii="Times New Roman" w:hAnsi="Times New Roman"/>
                      <w:sz w:val="20"/>
                      <w:szCs w:val="20"/>
                      <w:lang w:val="lv-LV"/>
                    </w:rPr>
                    <w:t xml:space="preserve">Atvieglojums pētniecības un attīstības izmaksām, piemērojot koeficientu 3 </w:t>
                  </w:r>
                  <w:r w:rsidRPr="007956F1">
                    <w:rPr>
                      <w:rFonts w:ascii="Times New Roman" w:hAnsi="Times New Roman"/>
                      <w:i/>
                      <w:sz w:val="20"/>
                      <w:szCs w:val="20"/>
                      <w:lang w:val="lv-LV"/>
                    </w:rPr>
                    <w:t>(spēkā no 01.07.2014.)</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0,1</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0,4</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199,0</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0,1</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0,00</w:t>
                  </w:r>
                </w:p>
              </w:tc>
            </w:tr>
            <w:tr w:rsidR="007956F1" w:rsidRPr="007956F1" w:rsidTr="00F56640">
              <w:trPr>
                <w:trHeight w:val="125"/>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tcPr>
                <w:p w:rsidR="00D32ECD" w:rsidRPr="007956F1" w:rsidRDefault="00D32ECD" w:rsidP="00D27A30">
                  <w:pPr>
                    <w:pStyle w:val="ListParagraph"/>
                    <w:framePr w:hSpace="180" w:wrap="around" w:vAnchor="text" w:hAnchor="margin" w:xAlign="center" w:y="149"/>
                    <w:numPr>
                      <w:ilvl w:val="1"/>
                      <w:numId w:val="13"/>
                    </w:numPr>
                    <w:spacing w:after="0" w:line="240" w:lineRule="auto"/>
                    <w:ind w:left="444" w:hanging="416"/>
                    <w:contextualSpacing w:val="0"/>
                    <w:jc w:val="both"/>
                    <w:rPr>
                      <w:rFonts w:ascii="Times New Roman" w:hAnsi="Times New Roman"/>
                      <w:sz w:val="20"/>
                      <w:szCs w:val="20"/>
                    </w:rPr>
                  </w:pPr>
                  <w:proofErr w:type="spellStart"/>
                  <w:r w:rsidRPr="007956F1">
                    <w:rPr>
                      <w:rFonts w:ascii="Times New Roman" w:hAnsi="Times New Roman"/>
                      <w:sz w:val="20"/>
                      <w:szCs w:val="20"/>
                    </w:rPr>
                    <w:t>Atvieglojums</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akciju</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atsavināšanai</w:t>
                  </w:r>
                  <w:proofErr w:type="spellEnd"/>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17,8</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4,7</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0,07</w:t>
                  </w:r>
                </w:p>
              </w:tc>
            </w:tr>
            <w:tr w:rsidR="007956F1" w:rsidRPr="007956F1" w:rsidTr="00F56640">
              <w:trPr>
                <w:trHeight w:val="285"/>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tcPr>
                <w:p w:rsidR="00D32ECD" w:rsidRPr="007956F1" w:rsidRDefault="00D32ECD" w:rsidP="00D27A30">
                  <w:pPr>
                    <w:pStyle w:val="ListParagraph"/>
                    <w:framePr w:hSpace="180" w:wrap="around" w:vAnchor="text" w:hAnchor="margin" w:xAlign="center" w:y="149"/>
                    <w:numPr>
                      <w:ilvl w:val="1"/>
                      <w:numId w:val="13"/>
                    </w:numPr>
                    <w:spacing w:after="0" w:line="240" w:lineRule="auto"/>
                    <w:ind w:left="444" w:hanging="416"/>
                    <w:contextualSpacing w:val="0"/>
                    <w:jc w:val="both"/>
                    <w:rPr>
                      <w:rFonts w:ascii="Times New Roman" w:hAnsi="Times New Roman"/>
                      <w:sz w:val="20"/>
                      <w:szCs w:val="20"/>
                      <w:lang w:val="lv-LV"/>
                    </w:rPr>
                  </w:pPr>
                  <w:r w:rsidRPr="007956F1">
                    <w:rPr>
                      <w:rFonts w:ascii="Times New Roman" w:hAnsi="Times New Roman"/>
                      <w:sz w:val="20"/>
                      <w:szCs w:val="20"/>
                      <w:lang w:val="lv-LV"/>
                    </w:rPr>
                    <w:t xml:space="preserve">Nodokļa atlaide par atbalstāmo investīciju projekta ietvaros veiktajiem sākotnējiem ilgtermiņa ieguldījumiem </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18"/>
                    </w:rPr>
                    <w:t>0,04</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18"/>
                    </w:rPr>
                    <w:t>0,03</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18"/>
                    </w:rPr>
                    <w:t>-22,2</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18"/>
                    </w:rPr>
                    <w:t>0,1</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18"/>
                    </w:rPr>
                    <w:t>200,1</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18"/>
                    </w:rPr>
                    <w:t>0,0</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18"/>
                    </w:rPr>
                    <w:t>0,00</w:t>
                  </w:r>
                </w:p>
              </w:tc>
            </w:tr>
            <w:tr w:rsidR="007956F1" w:rsidRPr="007956F1" w:rsidTr="00F56640">
              <w:trPr>
                <w:trHeight w:val="285"/>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2F2F2" w:themeFill="background1" w:themeFillShade="F2"/>
                  <w:vAlign w:val="bottom"/>
                </w:tcPr>
                <w:p w:rsidR="00D32ECD" w:rsidRPr="007956F1" w:rsidRDefault="00D32ECD" w:rsidP="00D27A30">
                  <w:pPr>
                    <w:framePr w:hSpace="180" w:wrap="around" w:vAnchor="text" w:hAnchor="margin" w:xAlign="center" w:y="149"/>
                    <w:ind w:left="444"/>
                    <w:jc w:val="both"/>
                    <w:rPr>
                      <w:sz w:val="20"/>
                      <w:szCs w:val="20"/>
                    </w:rPr>
                  </w:pPr>
                  <w:r w:rsidRPr="007956F1">
                    <w:rPr>
                      <w:sz w:val="20"/>
                      <w:szCs w:val="20"/>
                    </w:rPr>
                    <w:t>Atvieglojums izpētei un attīstībai (</w:t>
                  </w:r>
                  <w:proofErr w:type="spellStart"/>
                  <w:r w:rsidRPr="007956F1">
                    <w:rPr>
                      <w:sz w:val="20"/>
                      <w:szCs w:val="20"/>
                    </w:rPr>
                    <w:t>koef</w:t>
                  </w:r>
                  <w:proofErr w:type="spellEnd"/>
                  <w:r w:rsidRPr="007956F1">
                    <w:rPr>
                      <w:sz w:val="20"/>
                      <w:szCs w:val="20"/>
                    </w:rPr>
                    <w:t xml:space="preserve">. 1,5) </w:t>
                  </w:r>
                  <w:r w:rsidRPr="007956F1">
                    <w:rPr>
                      <w:i/>
                      <w:sz w:val="20"/>
                      <w:szCs w:val="20"/>
                    </w:rPr>
                    <w:t>(atcelts no 01.01.2015.)</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0,1</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0,0</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-31,9</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0,0</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-99,9</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0,0</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0,00</w:t>
                  </w:r>
                </w:p>
              </w:tc>
            </w:tr>
            <w:tr w:rsidR="007956F1" w:rsidRPr="007956F1" w:rsidTr="00F56640">
              <w:trPr>
                <w:trHeight w:val="583"/>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2F2F2" w:themeFill="background1" w:themeFillShade="F2"/>
                  <w:vAlign w:val="bottom"/>
                </w:tcPr>
                <w:p w:rsidR="00D32ECD" w:rsidRPr="007956F1" w:rsidRDefault="00D32ECD" w:rsidP="00D27A30">
                  <w:pPr>
                    <w:pStyle w:val="ListParagraph"/>
                    <w:framePr w:hSpace="180" w:wrap="around" w:vAnchor="text" w:hAnchor="margin" w:xAlign="center" w:y="149"/>
                    <w:spacing w:after="0" w:line="240" w:lineRule="auto"/>
                    <w:ind w:left="444"/>
                    <w:jc w:val="both"/>
                    <w:rPr>
                      <w:rFonts w:ascii="Times New Roman" w:hAnsi="Times New Roman"/>
                      <w:sz w:val="20"/>
                      <w:szCs w:val="20"/>
                      <w:lang w:val="lv-LV"/>
                    </w:rPr>
                  </w:pPr>
                  <w:r w:rsidRPr="007956F1">
                    <w:rPr>
                      <w:rFonts w:ascii="Times New Roman" w:hAnsi="Times New Roman"/>
                      <w:sz w:val="20"/>
                      <w:szCs w:val="20"/>
                      <w:lang w:val="lv-LV"/>
                    </w:rPr>
                    <w:t xml:space="preserve">Atvieglojums investīciju veikšanai pamatlīdzekļos īpaši atbalstāmajās teritorijās </w:t>
                  </w:r>
                  <w:r w:rsidRPr="007956F1">
                    <w:rPr>
                      <w:rFonts w:ascii="Times New Roman" w:hAnsi="Times New Roman"/>
                      <w:i/>
                      <w:sz w:val="20"/>
                      <w:szCs w:val="20"/>
                      <w:lang w:val="lv-LV"/>
                    </w:rPr>
                    <w:t>(atcelts no 01.01.2014.)</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1,9</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3,1</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61,6</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0,0</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-98,5</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0,0</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0,00</w:t>
                  </w:r>
                </w:p>
              </w:tc>
            </w:tr>
            <w:tr w:rsidR="007956F1" w:rsidRPr="007956F1" w:rsidTr="00F56640">
              <w:trPr>
                <w:trHeight w:val="285"/>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2F2F2" w:themeFill="background1" w:themeFillShade="F2"/>
                  <w:vAlign w:val="bottom"/>
                </w:tcPr>
                <w:p w:rsidR="00D32ECD" w:rsidRPr="007956F1" w:rsidRDefault="00D32ECD" w:rsidP="00D27A30">
                  <w:pPr>
                    <w:pStyle w:val="ListParagraph"/>
                    <w:framePr w:hSpace="180" w:wrap="around" w:vAnchor="text" w:hAnchor="margin" w:xAlign="center" w:y="149"/>
                    <w:spacing w:after="0" w:line="240" w:lineRule="auto"/>
                    <w:ind w:left="444"/>
                    <w:jc w:val="both"/>
                    <w:rPr>
                      <w:rFonts w:ascii="Times New Roman" w:hAnsi="Times New Roman"/>
                      <w:sz w:val="20"/>
                      <w:szCs w:val="20"/>
                      <w:lang w:val="lv-LV"/>
                    </w:rPr>
                  </w:pPr>
                  <w:r w:rsidRPr="007956F1">
                    <w:rPr>
                      <w:rFonts w:ascii="Times New Roman" w:hAnsi="Times New Roman"/>
                      <w:sz w:val="20"/>
                      <w:szCs w:val="20"/>
                      <w:lang w:val="lv-LV"/>
                    </w:rPr>
                    <w:t>Iespēja pārnest zaudējumus uzņē</w:t>
                  </w:r>
                  <w:r w:rsidRPr="007956F1">
                    <w:rPr>
                      <w:rFonts w:ascii="Times New Roman" w:hAnsi="Times New Roman"/>
                      <w:sz w:val="20"/>
                      <w:szCs w:val="20"/>
                      <w:lang w:val="lv-LV"/>
                    </w:rPr>
                    <w:softHyphen/>
                    <w:t xml:space="preserve">mumu grupā </w:t>
                  </w:r>
                  <w:r w:rsidRPr="007956F1">
                    <w:rPr>
                      <w:rFonts w:ascii="Times New Roman" w:hAnsi="Times New Roman"/>
                      <w:i/>
                      <w:sz w:val="20"/>
                      <w:szCs w:val="20"/>
                      <w:lang w:val="lv-LV"/>
                    </w:rPr>
                    <w:t>(atcelts no 01.01.2014.)</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11,4</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0,1</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-99,5</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w:t>
                  </w:r>
                </w:p>
              </w:tc>
            </w:tr>
            <w:tr w:rsidR="007956F1" w:rsidRPr="007956F1" w:rsidTr="00F56640">
              <w:trPr>
                <w:trHeight w:val="285"/>
                <w:jc w:val="center"/>
              </w:trPr>
              <w:tc>
                <w:tcPr>
                  <w:tcW w:w="4196" w:type="dxa"/>
                  <w:tcBorders>
                    <w:top w:val="single" w:sz="4" w:space="0" w:color="808080" w:themeColor="background1" w:themeShade="80"/>
                    <w:left w:val="single" w:sz="4" w:space="0" w:color="auto"/>
                    <w:bottom w:val="single" w:sz="4" w:space="0" w:color="auto"/>
                    <w:right w:val="single" w:sz="4" w:space="0" w:color="auto"/>
                  </w:tcBorders>
                  <w:shd w:val="clear" w:color="auto" w:fill="F2F2F2" w:themeFill="background1" w:themeFillShade="F2"/>
                  <w:vAlign w:val="bottom"/>
                  <w:hideMark/>
                </w:tcPr>
                <w:p w:rsidR="00D32ECD" w:rsidRPr="007956F1" w:rsidRDefault="00D32ECD" w:rsidP="00D27A30">
                  <w:pPr>
                    <w:pStyle w:val="ListParagraph"/>
                    <w:framePr w:hSpace="180" w:wrap="around" w:vAnchor="text" w:hAnchor="margin" w:xAlign="center" w:y="149"/>
                    <w:spacing w:after="0" w:line="240" w:lineRule="auto"/>
                    <w:ind w:left="385"/>
                    <w:jc w:val="both"/>
                    <w:rPr>
                      <w:rFonts w:ascii="Times New Roman" w:hAnsi="Times New Roman"/>
                      <w:sz w:val="20"/>
                      <w:szCs w:val="20"/>
                    </w:rPr>
                  </w:pPr>
                  <w:proofErr w:type="spellStart"/>
                  <w:r w:rsidRPr="007956F1">
                    <w:rPr>
                      <w:rFonts w:ascii="Times New Roman" w:hAnsi="Times New Roman"/>
                      <w:sz w:val="20"/>
                      <w:szCs w:val="20"/>
                    </w:rPr>
                    <w:t>Apliekamā</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ienākuma</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samazinājums</w:t>
                  </w:r>
                  <w:proofErr w:type="spellEnd"/>
                  <w:r w:rsidRPr="007956F1">
                    <w:rPr>
                      <w:rFonts w:ascii="Times New Roman" w:hAnsi="Times New Roman"/>
                      <w:sz w:val="20"/>
                      <w:szCs w:val="20"/>
                    </w:rPr>
                    <w:t xml:space="preserve"> par </w:t>
                  </w:r>
                  <w:proofErr w:type="spellStart"/>
                  <w:r w:rsidRPr="007956F1">
                    <w:rPr>
                      <w:rFonts w:ascii="Times New Roman" w:hAnsi="Times New Roman"/>
                      <w:sz w:val="20"/>
                      <w:szCs w:val="20"/>
                    </w:rPr>
                    <w:t>nosacītu</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kredītprocentu</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summu</w:t>
                  </w:r>
                  <w:proofErr w:type="spellEnd"/>
                  <w:r w:rsidRPr="007956F1">
                    <w:rPr>
                      <w:rFonts w:ascii="Times New Roman" w:hAnsi="Times New Roman"/>
                      <w:sz w:val="20"/>
                      <w:szCs w:val="20"/>
                    </w:rPr>
                    <w:t xml:space="preserve"> </w:t>
                  </w:r>
                  <w:r w:rsidRPr="007956F1">
                    <w:rPr>
                      <w:rFonts w:ascii="Times New Roman" w:hAnsi="Times New Roman"/>
                      <w:i/>
                      <w:sz w:val="20"/>
                      <w:szCs w:val="20"/>
                    </w:rPr>
                    <w:t>(</w:t>
                  </w:r>
                  <w:proofErr w:type="spellStart"/>
                  <w:r w:rsidRPr="007956F1">
                    <w:rPr>
                      <w:rFonts w:ascii="Times New Roman" w:hAnsi="Times New Roman"/>
                      <w:i/>
                      <w:sz w:val="20"/>
                      <w:szCs w:val="20"/>
                    </w:rPr>
                    <w:t>atcelts</w:t>
                  </w:r>
                  <w:proofErr w:type="spellEnd"/>
                  <w:r w:rsidRPr="007956F1">
                    <w:rPr>
                      <w:rFonts w:ascii="Times New Roman" w:hAnsi="Times New Roman"/>
                      <w:i/>
                      <w:sz w:val="20"/>
                      <w:szCs w:val="20"/>
                    </w:rPr>
                    <w:t xml:space="preserve"> no 01.01.2014.)</w:t>
                  </w:r>
                </w:p>
              </w:tc>
              <w:tc>
                <w:tcPr>
                  <w:tcW w:w="680" w:type="dxa"/>
                  <w:tcBorders>
                    <w:top w:val="single" w:sz="4" w:space="0" w:color="808080" w:themeColor="background1" w:themeShade="80"/>
                    <w:left w:val="nil"/>
                    <w:bottom w:val="single" w:sz="4" w:space="0" w:color="auto"/>
                    <w:right w:val="single" w:sz="4" w:space="0" w:color="auto"/>
                  </w:tcBorders>
                  <w:shd w:val="clear" w:color="auto" w:fill="F2F2F2" w:themeFill="background1" w:themeFillShade="F2"/>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18,0</w:t>
                  </w:r>
                </w:p>
              </w:tc>
              <w:tc>
                <w:tcPr>
                  <w:tcW w:w="680" w:type="dxa"/>
                  <w:tcBorders>
                    <w:top w:val="single" w:sz="4" w:space="0" w:color="808080" w:themeColor="background1" w:themeShade="80"/>
                    <w:left w:val="nil"/>
                    <w:bottom w:val="single" w:sz="4" w:space="0" w:color="auto"/>
                    <w:right w:val="single" w:sz="4" w:space="0" w:color="auto"/>
                  </w:tcBorders>
                  <w:shd w:val="clear" w:color="auto" w:fill="F2F2F2" w:themeFill="background1" w:themeFillShade="F2"/>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1,0</w:t>
                  </w:r>
                </w:p>
              </w:tc>
              <w:tc>
                <w:tcPr>
                  <w:tcW w:w="666" w:type="dxa"/>
                  <w:tcBorders>
                    <w:top w:val="single" w:sz="4" w:space="0" w:color="808080" w:themeColor="background1" w:themeShade="80"/>
                    <w:left w:val="nil"/>
                    <w:bottom w:val="single" w:sz="4" w:space="0" w:color="auto"/>
                    <w:right w:val="single" w:sz="4" w:space="0" w:color="auto"/>
                  </w:tcBorders>
                  <w:shd w:val="clear" w:color="auto" w:fill="F2F2F2" w:themeFill="background1" w:themeFillShade="F2"/>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-94,2</w:t>
                  </w:r>
                </w:p>
              </w:tc>
              <w:tc>
                <w:tcPr>
                  <w:tcW w:w="680" w:type="dxa"/>
                  <w:tcBorders>
                    <w:top w:val="single" w:sz="4" w:space="0" w:color="808080" w:themeColor="background1" w:themeShade="80"/>
                    <w:left w:val="nil"/>
                    <w:bottom w:val="single" w:sz="4" w:space="0" w:color="auto"/>
                    <w:right w:val="single" w:sz="4" w:space="0" w:color="auto"/>
                  </w:tcBorders>
                  <w:shd w:val="clear" w:color="auto" w:fill="F2F2F2" w:themeFill="background1" w:themeFillShade="F2"/>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w:t>
                  </w:r>
                </w:p>
              </w:tc>
              <w:tc>
                <w:tcPr>
                  <w:tcW w:w="700" w:type="dxa"/>
                  <w:tcBorders>
                    <w:top w:val="single" w:sz="4" w:space="0" w:color="808080" w:themeColor="background1" w:themeShade="80"/>
                    <w:left w:val="nil"/>
                    <w:bottom w:val="single" w:sz="4" w:space="0" w:color="auto"/>
                    <w:right w:val="single" w:sz="4" w:space="0" w:color="auto"/>
                  </w:tcBorders>
                  <w:shd w:val="clear" w:color="auto" w:fill="F2F2F2" w:themeFill="background1" w:themeFillShade="F2"/>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w:t>
                  </w:r>
                </w:p>
              </w:tc>
              <w:tc>
                <w:tcPr>
                  <w:tcW w:w="755" w:type="dxa"/>
                  <w:tcBorders>
                    <w:top w:val="single" w:sz="4" w:space="0" w:color="808080" w:themeColor="background1" w:themeShade="80"/>
                    <w:left w:val="nil"/>
                    <w:bottom w:val="single" w:sz="4" w:space="0" w:color="auto"/>
                    <w:right w:val="single" w:sz="4" w:space="0" w:color="auto"/>
                  </w:tcBorders>
                  <w:shd w:val="clear" w:color="auto" w:fill="F2F2F2" w:themeFill="background1" w:themeFillShade="F2"/>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w:t>
                  </w:r>
                </w:p>
              </w:tc>
              <w:tc>
                <w:tcPr>
                  <w:tcW w:w="580" w:type="dxa"/>
                  <w:tcBorders>
                    <w:top w:val="single" w:sz="4" w:space="0" w:color="808080" w:themeColor="background1" w:themeShade="80"/>
                    <w:left w:val="nil"/>
                    <w:bottom w:val="single" w:sz="4" w:space="0" w:color="auto"/>
                    <w:right w:val="single" w:sz="4" w:space="0" w:color="auto"/>
                  </w:tcBorders>
                  <w:shd w:val="clear" w:color="auto" w:fill="F2F2F2" w:themeFill="background1" w:themeFillShade="F2"/>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w:t>
                  </w:r>
                </w:p>
              </w:tc>
            </w:tr>
            <w:tr w:rsidR="007956F1" w:rsidRPr="007956F1" w:rsidTr="00F56640">
              <w:trPr>
                <w:trHeight w:val="58"/>
                <w:jc w:val="center"/>
              </w:trPr>
              <w:tc>
                <w:tcPr>
                  <w:tcW w:w="419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D32ECD" w:rsidRPr="007956F1" w:rsidRDefault="00D32ECD" w:rsidP="00D27A30">
                  <w:pPr>
                    <w:framePr w:hSpace="180" w:wrap="around" w:vAnchor="text" w:hAnchor="margin" w:xAlign="center" w:y="149"/>
                    <w:rPr>
                      <w:b/>
                      <w:bCs/>
                      <w:sz w:val="20"/>
                      <w:szCs w:val="20"/>
                    </w:rPr>
                  </w:pPr>
                  <w:r w:rsidRPr="007956F1">
                    <w:rPr>
                      <w:b/>
                      <w:bCs/>
                      <w:sz w:val="20"/>
                      <w:szCs w:val="20"/>
                    </w:rPr>
                    <w:t>2. Atvieglojumi nozarēm, no tā:</w:t>
                  </w:r>
                </w:p>
              </w:tc>
              <w:tc>
                <w:tcPr>
                  <w:tcW w:w="680"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sz w:val="20"/>
                      <w:szCs w:val="20"/>
                    </w:rPr>
                  </w:pPr>
                  <w:r w:rsidRPr="007956F1">
                    <w:rPr>
                      <w:b/>
                      <w:bCs/>
                      <w:sz w:val="20"/>
                      <w:szCs w:val="20"/>
                    </w:rPr>
                    <w:t>80,6</w:t>
                  </w:r>
                </w:p>
              </w:tc>
              <w:tc>
                <w:tcPr>
                  <w:tcW w:w="680"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sz w:val="20"/>
                      <w:szCs w:val="20"/>
                    </w:rPr>
                  </w:pPr>
                  <w:r w:rsidRPr="007956F1">
                    <w:rPr>
                      <w:b/>
                      <w:bCs/>
                      <w:sz w:val="20"/>
                      <w:szCs w:val="20"/>
                    </w:rPr>
                    <w:t>47,1</w:t>
                  </w:r>
                </w:p>
              </w:tc>
              <w:tc>
                <w:tcPr>
                  <w:tcW w:w="666"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i/>
                      <w:iCs/>
                      <w:sz w:val="20"/>
                      <w:szCs w:val="20"/>
                    </w:rPr>
                  </w:pPr>
                  <w:r w:rsidRPr="007956F1">
                    <w:rPr>
                      <w:b/>
                      <w:bCs/>
                      <w:i/>
                      <w:iCs/>
                      <w:sz w:val="20"/>
                      <w:szCs w:val="20"/>
                    </w:rPr>
                    <w:t>-41,5</w:t>
                  </w:r>
                </w:p>
              </w:tc>
              <w:tc>
                <w:tcPr>
                  <w:tcW w:w="680"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sz w:val="20"/>
                      <w:szCs w:val="20"/>
                    </w:rPr>
                  </w:pPr>
                  <w:r w:rsidRPr="007956F1">
                    <w:rPr>
                      <w:b/>
                      <w:bCs/>
                      <w:sz w:val="20"/>
                      <w:szCs w:val="20"/>
                    </w:rPr>
                    <w:t>62,3</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i/>
                      <w:iCs/>
                      <w:sz w:val="20"/>
                      <w:szCs w:val="20"/>
                    </w:rPr>
                  </w:pPr>
                  <w:r w:rsidRPr="007956F1">
                    <w:rPr>
                      <w:b/>
                      <w:bCs/>
                      <w:i/>
                      <w:iCs/>
                      <w:sz w:val="20"/>
                      <w:szCs w:val="20"/>
                    </w:rPr>
                    <w:t>32,1</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i/>
                      <w:iCs/>
                      <w:sz w:val="20"/>
                      <w:szCs w:val="20"/>
                    </w:rPr>
                  </w:pPr>
                  <w:r w:rsidRPr="007956F1">
                    <w:rPr>
                      <w:b/>
                      <w:bCs/>
                      <w:i/>
                      <w:iCs/>
                      <w:sz w:val="20"/>
                      <w:szCs w:val="20"/>
                    </w:rPr>
                    <w:t>16,3</w:t>
                  </w:r>
                </w:p>
              </w:tc>
              <w:tc>
                <w:tcPr>
                  <w:tcW w:w="580"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i/>
                      <w:iCs/>
                      <w:sz w:val="20"/>
                      <w:szCs w:val="20"/>
                    </w:rPr>
                  </w:pPr>
                  <w:r w:rsidRPr="007956F1">
                    <w:rPr>
                      <w:b/>
                      <w:bCs/>
                      <w:i/>
                      <w:iCs/>
                      <w:sz w:val="20"/>
                      <w:szCs w:val="20"/>
                    </w:rPr>
                    <w:t>0,26</w:t>
                  </w:r>
                </w:p>
              </w:tc>
            </w:tr>
            <w:tr w:rsidR="007956F1" w:rsidRPr="007956F1" w:rsidTr="00F56640">
              <w:trPr>
                <w:trHeight w:val="720"/>
                <w:jc w:val="center"/>
              </w:trPr>
              <w:tc>
                <w:tcPr>
                  <w:tcW w:w="4196" w:type="dxa"/>
                  <w:tcBorders>
                    <w:top w:val="single" w:sz="4" w:space="0" w:color="auto"/>
                    <w:left w:val="single" w:sz="4" w:space="0" w:color="auto"/>
                    <w:bottom w:val="single" w:sz="4" w:space="0" w:color="808080" w:themeColor="background1" w:themeShade="80"/>
                    <w:right w:val="single" w:sz="4" w:space="0" w:color="auto"/>
                  </w:tcBorders>
                  <w:shd w:val="clear" w:color="auto" w:fill="auto"/>
                  <w:vAlign w:val="bottom"/>
                  <w:hideMark/>
                </w:tcPr>
                <w:p w:rsidR="00D32ECD" w:rsidRPr="007956F1" w:rsidRDefault="00D32ECD" w:rsidP="00D27A30">
                  <w:pPr>
                    <w:framePr w:hSpace="180" w:wrap="around" w:vAnchor="text" w:hAnchor="margin" w:xAlign="center" w:y="149"/>
                    <w:tabs>
                      <w:tab w:val="left" w:pos="444"/>
                    </w:tabs>
                    <w:ind w:left="444" w:hanging="444"/>
                    <w:jc w:val="both"/>
                    <w:rPr>
                      <w:sz w:val="20"/>
                      <w:szCs w:val="20"/>
                    </w:rPr>
                  </w:pPr>
                  <w:r w:rsidRPr="007956F1">
                    <w:rPr>
                      <w:sz w:val="20"/>
                      <w:szCs w:val="20"/>
                    </w:rPr>
                    <w:t>2.1.  Nodokļa atvieglojums lauksaimniecībai par sum</w:t>
                  </w:r>
                  <w:r w:rsidRPr="007956F1">
                    <w:rPr>
                      <w:sz w:val="20"/>
                      <w:szCs w:val="20"/>
                    </w:rPr>
                    <w:softHyphen/>
                    <w:t>mām, kas izmaksātas subsīdiju veidā attīstībai</w:t>
                  </w:r>
                </w:p>
              </w:tc>
              <w:tc>
                <w:tcPr>
                  <w:tcW w:w="6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16,3</w:t>
                  </w:r>
                </w:p>
              </w:tc>
              <w:tc>
                <w:tcPr>
                  <w:tcW w:w="6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17,3</w:t>
                  </w:r>
                </w:p>
              </w:tc>
              <w:tc>
                <w:tcPr>
                  <w:tcW w:w="666"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6,2</w:t>
                  </w:r>
                </w:p>
              </w:tc>
              <w:tc>
                <w:tcPr>
                  <w:tcW w:w="6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16,4</w:t>
                  </w:r>
                </w:p>
              </w:tc>
              <w:tc>
                <w:tcPr>
                  <w:tcW w:w="70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-5,3</w:t>
                  </w:r>
                </w:p>
              </w:tc>
              <w:tc>
                <w:tcPr>
                  <w:tcW w:w="755"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4,3</w:t>
                  </w:r>
                </w:p>
              </w:tc>
              <w:tc>
                <w:tcPr>
                  <w:tcW w:w="5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0,07</w:t>
                  </w:r>
                </w:p>
              </w:tc>
            </w:tr>
            <w:tr w:rsidR="007956F1" w:rsidRPr="007956F1" w:rsidTr="00F56640">
              <w:trPr>
                <w:trHeight w:val="297"/>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hideMark/>
                </w:tcPr>
                <w:p w:rsidR="00D32ECD" w:rsidRPr="007956F1" w:rsidRDefault="00D32ECD" w:rsidP="00D27A30">
                  <w:pPr>
                    <w:framePr w:hSpace="180" w:wrap="around" w:vAnchor="text" w:hAnchor="margin" w:xAlign="center" w:y="149"/>
                    <w:tabs>
                      <w:tab w:val="left" w:pos="444"/>
                    </w:tabs>
                    <w:ind w:left="444" w:hanging="444"/>
                    <w:jc w:val="both"/>
                    <w:rPr>
                      <w:sz w:val="20"/>
                      <w:szCs w:val="20"/>
                    </w:rPr>
                  </w:pPr>
                  <w:r w:rsidRPr="007956F1">
                    <w:rPr>
                      <w:sz w:val="20"/>
                      <w:szCs w:val="20"/>
                    </w:rPr>
                    <w:t>2.2.  Atbalsts finanšu nozarei saistībā ar pub</w:t>
                  </w:r>
                  <w:r w:rsidRPr="007956F1">
                    <w:rPr>
                      <w:sz w:val="20"/>
                      <w:szCs w:val="20"/>
                    </w:rPr>
                    <w:softHyphen/>
                    <w:t>liskā apgrozībā esošiem vērtspapīriem</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8,4</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14,5</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72,1</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18,1</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25,3</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4,7</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0,07</w:t>
                  </w:r>
                </w:p>
              </w:tc>
            </w:tr>
            <w:tr w:rsidR="007956F1" w:rsidRPr="007956F1" w:rsidTr="00F56640">
              <w:trPr>
                <w:trHeight w:val="472"/>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hideMark/>
                </w:tcPr>
                <w:p w:rsidR="00D32ECD" w:rsidRPr="007956F1" w:rsidRDefault="00D32ECD" w:rsidP="00D27A30">
                  <w:pPr>
                    <w:framePr w:hSpace="180" w:wrap="around" w:vAnchor="text" w:hAnchor="margin" w:xAlign="center" w:y="149"/>
                    <w:tabs>
                      <w:tab w:val="left" w:pos="444"/>
                    </w:tabs>
                    <w:ind w:left="444" w:hanging="444"/>
                    <w:jc w:val="both"/>
                    <w:rPr>
                      <w:sz w:val="20"/>
                      <w:szCs w:val="20"/>
                    </w:rPr>
                  </w:pPr>
                  <w:r w:rsidRPr="007956F1">
                    <w:rPr>
                      <w:sz w:val="20"/>
                      <w:szCs w:val="20"/>
                    </w:rPr>
                    <w:t>2.3. Banku uzkrājumi debitoru parādiem un apdrošināšanas un pārapdrošināšanas sabiedrību tehniskās rezerves</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51,7</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12,2</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-76,4</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21,7</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78,0</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5,7</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0,09</w:t>
                  </w:r>
                </w:p>
              </w:tc>
            </w:tr>
            <w:tr w:rsidR="007956F1" w:rsidRPr="007956F1" w:rsidTr="00F56640">
              <w:trPr>
                <w:trHeight w:val="327"/>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tcPr>
                <w:p w:rsidR="00D32ECD" w:rsidRPr="007956F1" w:rsidRDefault="00D32ECD" w:rsidP="00D27A30">
                  <w:pPr>
                    <w:framePr w:hSpace="180" w:wrap="around" w:vAnchor="text" w:hAnchor="margin" w:xAlign="center" w:y="149"/>
                    <w:tabs>
                      <w:tab w:val="left" w:pos="444"/>
                    </w:tabs>
                    <w:ind w:left="444" w:hanging="444"/>
                    <w:jc w:val="both"/>
                    <w:rPr>
                      <w:sz w:val="20"/>
                      <w:szCs w:val="20"/>
                    </w:rPr>
                  </w:pPr>
                  <w:r w:rsidRPr="007956F1">
                    <w:rPr>
                      <w:sz w:val="20"/>
                      <w:szCs w:val="20"/>
                    </w:rPr>
                    <w:t>2.4. Nodokļa atlaide par lauksaimniecībā izmantojamo zemi</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2,4</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1,4</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-41,9</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2,7</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94,6</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0,7</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0,01</w:t>
                  </w:r>
                </w:p>
              </w:tc>
            </w:tr>
            <w:tr w:rsidR="007956F1" w:rsidRPr="007956F1" w:rsidTr="00F56640">
              <w:trPr>
                <w:trHeight w:val="166"/>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tcPr>
                <w:p w:rsidR="00D32ECD" w:rsidRPr="007956F1" w:rsidRDefault="00D32ECD" w:rsidP="00D27A30">
                  <w:pPr>
                    <w:framePr w:hSpace="180" w:wrap="around" w:vAnchor="text" w:hAnchor="margin" w:xAlign="center" w:y="149"/>
                    <w:tabs>
                      <w:tab w:val="left" w:pos="444"/>
                    </w:tabs>
                    <w:ind w:left="444" w:hanging="444"/>
                    <w:jc w:val="both"/>
                    <w:rPr>
                      <w:sz w:val="20"/>
                      <w:szCs w:val="20"/>
                    </w:rPr>
                  </w:pPr>
                  <w:r w:rsidRPr="007956F1">
                    <w:rPr>
                      <w:sz w:val="20"/>
                      <w:szCs w:val="20"/>
                    </w:rPr>
                    <w:t>2.5.  Nodokļa atlaide gaisa transporta sabiedrībām</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1,8</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1,8</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0,0</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1,8</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0,0</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0,5</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0,01</w:t>
                  </w:r>
                </w:p>
              </w:tc>
            </w:tr>
            <w:tr w:rsidR="007956F1" w:rsidRPr="007956F1" w:rsidTr="00F56640">
              <w:trPr>
                <w:trHeight w:val="255"/>
                <w:jc w:val="center"/>
              </w:trPr>
              <w:tc>
                <w:tcPr>
                  <w:tcW w:w="4196" w:type="dxa"/>
                  <w:tcBorders>
                    <w:top w:val="single" w:sz="4" w:space="0" w:color="808080" w:themeColor="background1" w:themeShade="80"/>
                    <w:left w:val="single" w:sz="4" w:space="0" w:color="auto"/>
                    <w:bottom w:val="single" w:sz="4" w:space="0" w:color="auto"/>
                    <w:right w:val="single" w:sz="4" w:space="0" w:color="auto"/>
                  </w:tcBorders>
                  <w:shd w:val="clear" w:color="auto" w:fill="auto"/>
                  <w:vAlign w:val="bottom"/>
                </w:tcPr>
                <w:p w:rsidR="00D32ECD" w:rsidRPr="007956F1" w:rsidRDefault="00D32ECD" w:rsidP="00D27A30">
                  <w:pPr>
                    <w:framePr w:hSpace="180" w:wrap="around" w:vAnchor="text" w:hAnchor="margin" w:xAlign="center" w:y="149"/>
                    <w:tabs>
                      <w:tab w:val="left" w:pos="444"/>
                    </w:tabs>
                    <w:ind w:left="444" w:hanging="444"/>
                    <w:jc w:val="both"/>
                    <w:rPr>
                      <w:sz w:val="20"/>
                      <w:szCs w:val="20"/>
                    </w:rPr>
                  </w:pPr>
                  <w:r w:rsidRPr="007956F1">
                    <w:rPr>
                      <w:sz w:val="20"/>
                      <w:szCs w:val="20"/>
                    </w:rPr>
                    <w:t xml:space="preserve">2.6.  Atbalsts par ienākumiem, kas gūti no mācību procesa </w:t>
                  </w:r>
                  <w:r w:rsidRPr="007956F1">
                    <w:rPr>
                      <w:i/>
                      <w:sz w:val="20"/>
                      <w:szCs w:val="20"/>
                    </w:rPr>
                    <w:t>(spēkā no 01.01.2014.)</w:t>
                  </w:r>
                </w:p>
              </w:tc>
              <w:tc>
                <w:tcPr>
                  <w:tcW w:w="680" w:type="dxa"/>
                  <w:tcBorders>
                    <w:top w:val="single" w:sz="4" w:space="0" w:color="808080" w:themeColor="background1" w:themeShade="80"/>
                    <w:left w:val="nil"/>
                    <w:bottom w:val="single" w:sz="4" w:space="0" w:color="auto"/>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w:t>
                  </w:r>
                </w:p>
              </w:tc>
              <w:tc>
                <w:tcPr>
                  <w:tcW w:w="680" w:type="dxa"/>
                  <w:tcBorders>
                    <w:top w:val="single" w:sz="4" w:space="0" w:color="808080" w:themeColor="background1" w:themeShade="80"/>
                    <w:left w:val="nil"/>
                    <w:bottom w:val="single" w:sz="4" w:space="0" w:color="auto"/>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w:t>
                  </w:r>
                </w:p>
              </w:tc>
              <w:tc>
                <w:tcPr>
                  <w:tcW w:w="666" w:type="dxa"/>
                  <w:tcBorders>
                    <w:top w:val="single" w:sz="4" w:space="0" w:color="808080" w:themeColor="background1" w:themeShade="80"/>
                    <w:left w:val="nil"/>
                    <w:bottom w:val="single" w:sz="4" w:space="0" w:color="auto"/>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w:t>
                  </w:r>
                </w:p>
              </w:tc>
              <w:tc>
                <w:tcPr>
                  <w:tcW w:w="680" w:type="dxa"/>
                  <w:tcBorders>
                    <w:top w:val="single" w:sz="4" w:space="0" w:color="808080" w:themeColor="background1" w:themeShade="80"/>
                    <w:left w:val="nil"/>
                    <w:bottom w:val="single" w:sz="4" w:space="0" w:color="auto"/>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sz w:val="20"/>
                      <w:szCs w:val="20"/>
                    </w:rPr>
                  </w:pPr>
                  <w:r w:rsidRPr="007956F1">
                    <w:rPr>
                      <w:sz w:val="20"/>
                      <w:szCs w:val="20"/>
                    </w:rPr>
                    <w:t>1,6</w:t>
                  </w:r>
                </w:p>
              </w:tc>
              <w:tc>
                <w:tcPr>
                  <w:tcW w:w="700" w:type="dxa"/>
                  <w:tcBorders>
                    <w:top w:val="single" w:sz="4" w:space="0" w:color="808080" w:themeColor="background1" w:themeShade="80"/>
                    <w:left w:val="nil"/>
                    <w:bottom w:val="single" w:sz="4" w:space="0" w:color="auto"/>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w:t>
                  </w:r>
                </w:p>
              </w:tc>
              <w:tc>
                <w:tcPr>
                  <w:tcW w:w="755" w:type="dxa"/>
                  <w:tcBorders>
                    <w:top w:val="single" w:sz="4" w:space="0" w:color="808080" w:themeColor="background1" w:themeShade="80"/>
                    <w:left w:val="nil"/>
                    <w:bottom w:val="single" w:sz="4" w:space="0" w:color="auto"/>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0,4</w:t>
                  </w:r>
                </w:p>
              </w:tc>
              <w:tc>
                <w:tcPr>
                  <w:tcW w:w="580" w:type="dxa"/>
                  <w:tcBorders>
                    <w:top w:val="single" w:sz="4" w:space="0" w:color="808080" w:themeColor="background1" w:themeShade="80"/>
                    <w:left w:val="nil"/>
                    <w:bottom w:val="single" w:sz="4" w:space="0" w:color="auto"/>
                    <w:right w:val="single" w:sz="4" w:space="0" w:color="auto"/>
                  </w:tcBorders>
                  <w:shd w:val="clear" w:color="auto" w:fill="auto"/>
                  <w:noWrap/>
                  <w:vAlign w:val="center"/>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0,01</w:t>
                  </w:r>
                </w:p>
              </w:tc>
            </w:tr>
            <w:tr w:rsidR="007956F1" w:rsidRPr="007956F1" w:rsidTr="00F56640">
              <w:tblPrEx>
                <w:jc w:val="left"/>
              </w:tblPrEx>
              <w:trPr>
                <w:trHeight w:val="133"/>
              </w:trPr>
              <w:tc>
                <w:tcPr>
                  <w:tcW w:w="4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32ECD" w:rsidRPr="007956F1" w:rsidRDefault="00D32ECD" w:rsidP="00D27A30">
                  <w:pPr>
                    <w:framePr w:hSpace="180" w:wrap="around" w:vAnchor="text" w:hAnchor="margin" w:xAlign="center" w:y="149"/>
                    <w:rPr>
                      <w:b/>
                      <w:bCs/>
                      <w:sz w:val="20"/>
                      <w:szCs w:val="20"/>
                    </w:rPr>
                  </w:pPr>
                  <w:r w:rsidRPr="007956F1">
                    <w:rPr>
                      <w:b/>
                      <w:bCs/>
                      <w:sz w:val="20"/>
                      <w:szCs w:val="20"/>
                    </w:rPr>
                    <w:t>3. Sociālā rakstura atvieglojumi, no tā:</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sz w:val="20"/>
                      <w:szCs w:val="20"/>
                    </w:rPr>
                  </w:pPr>
                  <w:r w:rsidRPr="007956F1">
                    <w:rPr>
                      <w:b/>
                      <w:bCs/>
                      <w:sz w:val="20"/>
                      <w:szCs w:val="20"/>
                    </w:rPr>
                    <w:t>22,6</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sz w:val="20"/>
                      <w:szCs w:val="20"/>
                    </w:rPr>
                  </w:pPr>
                  <w:r w:rsidRPr="007956F1">
                    <w:rPr>
                      <w:b/>
                      <w:bCs/>
                      <w:sz w:val="20"/>
                      <w:szCs w:val="20"/>
                    </w:rPr>
                    <w:t>22,3</w:t>
                  </w:r>
                </w:p>
              </w:tc>
              <w:tc>
                <w:tcPr>
                  <w:tcW w:w="66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i/>
                      <w:iCs/>
                      <w:sz w:val="20"/>
                      <w:szCs w:val="20"/>
                    </w:rPr>
                  </w:pPr>
                  <w:r w:rsidRPr="007956F1">
                    <w:rPr>
                      <w:b/>
                      <w:bCs/>
                      <w:i/>
                      <w:iCs/>
                      <w:sz w:val="20"/>
                      <w:szCs w:val="20"/>
                    </w:rPr>
                    <w:t>-1,3</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sz w:val="20"/>
                      <w:szCs w:val="20"/>
                    </w:rPr>
                  </w:pPr>
                  <w:r w:rsidRPr="007956F1">
                    <w:rPr>
                      <w:b/>
                      <w:bCs/>
                      <w:sz w:val="20"/>
                      <w:szCs w:val="20"/>
                    </w:rPr>
                    <w:t>25,1</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i/>
                      <w:iCs/>
                      <w:sz w:val="20"/>
                      <w:szCs w:val="20"/>
                    </w:rPr>
                  </w:pPr>
                  <w:r w:rsidRPr="007956F1">
                    <w:rPr>
                      <w:b/>
                      <w:bCs/>
                      <w:i/>
                      <w:iCs/>
                      <w:sz w:val="20"/>
                      <w:szCs w:val="20"/>
                    </w:rPr>
                    <w:t>12,2</w:t>
                  </w:r>
                </w:p>
              </w:tc>
              <w:tc>
                <w:tcPr>
                  <w:tcW w:w="7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i/>
                      <w:iCs/>
                      <w:sz w:val="20"/>
                      <w:szCs w:val="20"/>
                    </w:rPr>
                  </w:pPr>
                  <w:r w:rsidRPr="007956F1">
                    <w:rPr>
                      <w:b/>
                      <w:bCs/>
                      <w:i/>
                      <w:iCs/>
                      <w:sz w:val="20"/>
                      <w:szCs w:val="20"/>
                    </w:rPr>
                    <w:t>6,5</w:t>
                  </w:r>
                </w:p>
              </w:tc>
              <w:tc>
                <w:tcPr>
                  <w:tcW w:w="5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i/>
                      <w:iCs/>
                      <w:sz w:val="20"/>
                      <w:szCs w:val="20"/>
                    </w:rPr>
                  </w:pPr>
                  <w:r w:rsidRPr="007956F1">
                    <w:rPr>
                      <w:b/>
                      <w:bCs/>
                      <w:i/>
                      <w:iCs/>
                      <w:sz w:val="20"/>
                      <w:szCs w:val="20"/>
                    </w:rPr>
                    <w:t>0,10</w:t>
                  </w:r>
                </w:p>
              </w:tc>
            </w:tr>
            <w:tr w:rsidR="007956F1" w:rsidRPr="007956F1" w:rsidTr="00F56640">
              <w:tblPrEx>
                <w:jc w:val="left"/>
              </w:tblPrEx>
              <w:trPr>
                <w:trHeight w:val="165"/>
              </w:trPr>
              <w:tc>
                <w:tcPr>
                  <w:tcW w:w="4196" w:type="dxa"/>
                  <w:tcBorders>
                    <w:top w:val="single" w:sz="4" w:space="0" w:color="auto"/>
                    <w:left w:val="single" w:sz="4" w:space="0" w:color="auto"/>
                    <w:bottom w:val="single" w:sz="4" w:space="0" w:color="808080" w:themeColor="background1" w:themeShade="80"/>
                    <w:right w:val="single" w:sz="4" w:space="0" w:color="auto"/>
                  </w:tcBorders>
                  <w:shd w:val="clear" w:color="auto" w:fill="auto"/>
                  <w:vAlign w:val="bottom"/>
                  <w:hideMark/>
                </w:tcPr>
                <w:p w:rsidR="00D32ECD" w:rsidRPr="007956F1" w:rsidRDefault="00D32ECD" w:rsidP="00D27A30">
                  <w:pPr>
                    <w:framePr w:hSpace="180" w:wrap="around" w:vAnchor="text" w:hAnchor="margin" w:xAlign="center" w:y="149"/>
                    <w:ind w:left="28"/>
                    <w:rPr>
                      <w:sz w:val="20"/>
                      <w:szCs w:val="20"/>
                    </w:rPr>
                  </w:pPr>
                  <w:r w:rsidRPr="007956F1">
                    <w:rPr>
                      <w:sz w:val="20"/>
                      <w:szCs w:val="20"/>
                    </w:rPr>
                    <w:t>3.1. Atlaides ziedotājiem</w:t>
                  </w:r>
                </w:p>
              </w:tc>
              <w:tc>
                <w:tcPr>
                  <w:tcW w:w="6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22,6</w:t>
                  </w:r>
                </w:p>
              </w:tc>
              <w:tc>
                <w:tcPr>
                  <w:tcW w:w="6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22,3</w:t>
                  </w:r>
                </w:p>
              </w:tc>
              <w:tc>
                <w:tcPr>
                  <w:tcW w:w="666"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-1,3</w:t>
                  </w:r>
                </w:p>
              </w:tc>
              <w:tc>
                <w:tcPr>
                  <w:tcW w:w="6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24,9</w:t>
                  </w:r>
                </w:p>
              </w:tc>
              <w:tc>
                <w:tcPr>
                  <w:tcW w:w="70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11,5</w:t>
                  </w:r>
                </w:p>
              </w:tc>
              <w:tc>
                <w:tcPr>
                  <w:tcW w:w="755"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6,5</w:t>
                  </w:r>
                </w:p>
              </w:tc>
              <w:tc>
                <w:tcPr>
                  <w:tcW w:w="5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0,10</w:t>
                  </w:r>
                </w:p>
              </w:tc>
            </w:tr>
            <w:tr w:rsidR="007956F1" w:rsidRPr="007956F1" w:rsidTr="00F56640">
              <w:tblPrEx>
                <w:jc w:val="left"/>
              </w:tblPrEx>
              <w:trPr>
                <w:trHeight w:val="183"/>
              </w:trPr>
              <w:tc>
                <w:tcPr>
                  <w:tcW w:w="4196" w:type="dxa"/>
                  <w:tcBorders>
                    <w:top w:val="single" w:sz="4" w:space="0" w:color="808080" w:themeColor="background1" w:themeShade="80"/>
                    <w:left w:val="single" w:sz="4" w:space="0" w:color="auto"/>
                    <w:bottom w:val="single" w:sz="4" w:space="0" w:color="auto"/>
                    <w:right w:val="single" w:sz="4" w:space="0" w:color="auto"/>
                  </w:tcBorders>
                  <w:shd w:val="clear" w:color="auto" w:fill="auto"/>
                  <w:vAlign w:val="bottom"/>
                  <w:hideMark/>
                </w:tcPr>
                <w:p w:rsidR="00D32ECD" w:rsidRPr="007956F1" w:rsidRDefault="00D32ECD" w:rsidP="00D27A30">
                  <w:pPr>
                    <w:framePr w:hSpace="180" w:wrap="around" w:vAnchor="text" w:hAnchor="margin" w:xAlign="center" w:y="149"/>
                    <w:ind w:left="28"/>
                    <w:rPr>
                      <w:sz w:val="20"/>
                      <w:szCs w:val="20"/>
                    </w:rPr>
                  </w:pPr>
                  <w:r w:rsidRPr="007956F1">
                    <w:rPr>
                      <w:sz w:val="20"/>
                      <w:szCs w:val="20"/>
                    </w:rPr>
                    <w:t>3.2. Citi sociāla rakstura atvieglojumi</w:t>
                  </w:r>
                </w:p>
              </w:tc>
              <w:tc>
                <w:tcPr>
                  <w:tcW w:w="680" w:type="dxa"/>
                  <w:tcBorders>
                    <w:top w:val="single" w:sz="4" w:space="0" w:color="808080" w:themeColor="background1" w:themeShade="80"/>
                    <w:left w:val="nil"/>
                    <w:bottom w:val="single" w:sz="4" w:space="0" w:color="auto"/>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0,1</w:t>
                  </w:r>
                </w:p>
              </w:tc>
              <w:tc>
                <w:tcPr>
                  <w:tcW w:w="680" w:type="dxa"/>
                  <w:tcBorders>
                    <w:top w:val="single" w:sz="4" w:space="0" w:color="808080" w:themeColor="background1" w:themeShade="80"/>
                    <w:left w:val="nil"/>
                    <w:bottom w:val="single" w:sz="4" w:space="0" w:color="auto"/>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0,0</w:t>
                  </w:r>
                </w:p>
              </w:tc>
              <w:tc>
                <w:tcPr>
                  <w:tcW w:w="666" w:type="dxa"/>
                  <w:tcBorders>
                    <w:top w:val="single" w:sz="4" w:space="0" w:color="808080" w:themeColor="background1" w:themeShade="80"/>
                    <w:left w:val="nil"/>
                    <w:bottom w:val="single" w:sz="4" w:space="0" w:color="auto"/>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-29,9</w:t>
                  </w:r>
                </w:p>
              </w:tc>
              <w:tc>
                <w:tcPr>
                  <w:tcW w:w="680" w:type="dxa"/>
                  <w:tcBorders>
                    <w:top w:val="single" w:sz="4" w:space="0" w:color="808080" w:themeColor="background1" w:themeShade="80"/>
                    <w:left w:val="nil"/>
                    <w:bottom w:val="single" w:sz="4" w:space="0" w:color="auto"/>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sz w:val="20"/>
                      <w:szCs w:val="20"/>
                    </w:rPr>
                  </w:pPr>
                  <w:r w:rsidRPr="007956F1">
                    <w:rPr>
                      <w:sz w:val="20"/>
                      <w:szCs w:val="20"/>
                    </w:rPr>
                    <w:t>0,2</w:t>
                  </w:r>
                </w:p>
              </w:tc>
              <w:tc>
                <w:tcPr>
                  <w:tcW w:w="700" w:type="dxa"/>
                  <w:tcBorders>
                    <w:top w:val="single" w:sz="4" w:space="0" w:color="808080" w:themeColor="background1" w:themeShade="80"/>
                    <w:left w:val="nil"/>
                    <w:bottom w:val="single" w:sz="4" w:space="0" w:color="auto"/>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396,5</w:t>
                  </w:r>
                </w:p>
              </w:tc>
              <w:tc>
                <w:tcPr>
                  <w:tcW w:w="755" w:type="dxa"/>
                  <w:tcBorders>
                    <w:top w:val="single" w:sz="4" w:space="0" w:color="808080" w:themeColor="background1" w:themeShade="80"/>
                    <w:left w:val="nil"/>
                    <w:bottom w:val="single" w:sz="4" w:space="0" w:color="auto"/>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0,1</w:t>
                  </w:r>
                </w:p>
              </w:tc>
              <w:tc>
                <w:tcPr>
                  <w:tcW w:w="580" w:type="dxa"/>
                  <w:tcBorders>
                    <w:top w:val="single" w:sz="4" w:space="0" w:color="808080" w:themeColor="background1" w:themeShade="80"/>
                    <w:left w:val="nil"/>
                    <w:bottom w:val="single" w:sz="4" w:space="0" w:color="auto"/>
                    <w:right w:val="single" w:sz="4" w:space="0" w:color="auto"/>
                  </w:tcBorders>
                  <w:shd w:val="clear" w:color="auto" w:fill="auto"/>
                  <w:noWrap/>
                  <w:vAlign w:val="center"/>
                  <w:hideMark/>
                </w:tcPr>
                <w:p w:rsidR="00D32ECD" w:rsidRPr="007956F1" w:rsidRDefault="00D32ECD" w:rsidP="00D27A30">
                  <w:pPr>
                    <w:framePr w:hSpace="180" w:wrap="around" w:vAnchor="text" w:hAnchor="margin" w:xAlign="center" w:y="149"/>
                    <w:jc w:val="center"/>
                    <w:rPr>
                      <w:i/>
                      <w:iCs/>
                      <w:sz w:val="20"/>
                      <w:szCs w:val="20"/>
                    </w:rPr>
                  </w:pPr>
                  <w:r w:rsidRPr="007956F1">
                    <w:rPr>
                      <w:i/>
                      <w:iCs/>
                      <w:sz w:val="20"/>
                      <w:szCs w:val="20"/>
                    </w:rPr>
                    <w:t>0,00</w:t>
                  </w:r>
                </w:p>
              </w:tc>
            </w:tr>
            <w:tr w:rsidR="007956F1" w:rsidRPr="007956F1" w:rsidTr="00F56640">
              <w:tblPrEx>
                <w:jc w:val="left"/>
              </w:tblPrEx>
              <w:trPr>
                <w:trHeight w:val="59"/>
              </w:trPr>
              <w:tc>
                <w:tcPr>
                  <w:tcW w:w="419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D32ECD" w:rsidRPr="007956F1" w:rsidRDefault="00D32ECD" w:rsidP="00D27A30">
                  <w:pPr>
                    <w:framePr w:hSpace="180" w:wrap="around" w:vAnchor="text" w:hAnchor="margin" w:xAlign="center" w:y="149"/>
                    <w:rPr>
                      <w:b/>
                      <w:bCs/>
                      <w:sz w:val="20"/>
                      <w:szCs w:val="20"/>
                    </w:rPr>
                  </w:pPr>
                  <w:r w:rsidRPr="007956F1">
                    <w:rPr>
                      <w:b/>
                      <w:bCs/>
                      <w:sz w:val="20"/>
                      <w:szCs w:val="20"/>
                    </w:rPr>
                    <w:t>4. Citi atvieglojumi</w:t>
                  </w:r>
                </w:p>
              </w:tc>
              <w:tc>
                <w:tcPr>
                  <w:tcW w:w="680"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sz w:val="20"/>
                      <w:szCs w:val="20"/>
                    </w:rPr>
                  </w:pPr>
                  <w:r w:rsidRPr="007956F1">
                    <w:rPr>
                      <w:b/>
                      <w:bCs/>
                      <w:sz w:val="20"/>
                      <w:szCs w:val="18"/>
                    </w:rPr>
                    <w:t>0,0</w:t>
                  </w:r>
                </w:p>
              </w:tc>
              <w:tc>
                <w:tcPr>
                  <w:tcW w:w="680"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sz w:val="20"/>
                      <w:szCs w:val="20"/>
                    </w:rPr>
                  </w:pPr>
                  <w:r w:rsidRPr="007956F1">
                    <w:rPr>
                      <w:b/>
                      <w:bCs/>
                      <w:sz w:val="20"/>
                      <w:szCs w:val="18"/>
                    </w:rPr>
                    <w:t>0,0</w:t>
                  </w:r>
                </w:p>
              </w:tc>
              <w:tc>
                <w:tcPr>
                  <w:tcW w:w="666"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Cs/>
                      <w:i/>
                      <w:iCs/>
                      <w:sz w:val="20"/>
                      <w:szCs w:val="20"/>
                    </w:rPr>
                  </w:pPr>
                  <w:r w:rsidRPr="007956F1">
                    <w:rPr>
                      <w:b/>
                      <w:bCs/>
                      <w:i/>
                      <w:iCs/>
                      <w:sz w:val="20"/>
                      <w:szCs w:val="18"/>
                    </w:rPr>
                    <w:t>-3,0</w:t>
                  </w:r>
                </w:p>
              </w:tc>
              <w:tc>
                <w:tcPr>
                  <w:tcW w:w="680"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
                      <w:bCs/>
                      <w:sz w:val="20"/>
                      <w:szCs w:val="20"/>
                    </w:rPr>
                  </w:pPr>
                  <w:r w:rsidRPr="007956F1">
                    <w:rPr>
                      <w:b/>
                      <w:bCs/>
                      <w:sz w:val="20"/>
                      <w:szCs w:val="18"/>
                    </w:rPr>
                    <w:t>0,0</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Cs/>
                      <w:i/>
                      <w:iCs/>
                      <w:sz w:val="20"/>
                      <w:szCs w:val="20"/>
                    </w:rPr>
                  </w:pPr>
                  <w:r w:rsidRPr="007956F1">
                    <w:rPr>
                      <w:b/>
                      <w:bCs/>
                      <w:i/>
                      <w:iCs/>
                      <w:sz w:val="20"/>
                      <w:szCs w:val="18"/>
                    </w:rPr>
                    <w:t>3,9</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Cs/>
                      <w:i/>
                      <w:iCs/>
                      <w:sz w:val="20"/>
                      <w:szCs w:val="20"/>
                    </w:rPr>
                  </w:pPr>
                  <w:r w:rsidRPr="007956F1">
                    <w:rPr>
                      <w:b/>
                      <w:bCs/>
                      <w:i/>
                      <w:iCs/>
                      <w:sz w:val="20"/>
                      <w:szCs w:val="18"/>
                    </w:rPr>
                    <w:t>0,0</w:t>
                  </w:r>
                </w:p>
              </w:tc>
              <w:tc>
                <w:tcPr>
                  <w:tcW w:w="580"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D27A30">
                  <w:pPr>
                    <w:framePr w:hSpace="180" w:wrap="around" w:vAnchor="text" w:hAnchor="margin" w:xAlign="center" w:y="149"/>
                    <w:jc w:val="center"/>
                    <w:rPr>
                      <w:bCs/>
                      <w:i/>
                      <w:iCs/>
                      <w:sz w:val="20"/>
                      <w:szCs w:val="20"/>
                    </w:rPr>
                  </w:pPr>
                  <w:r w:rsidRPr="007956F1">
                    <w:rPr>
                      <w:b/>
                      <w:bCs/>
                      <w:i/>
                      <w:iCs/>
                      <w:sz w:val="20"/>
                      <w:szCs w:val="18"/>
                    </w:rPr>
                    <w:t>0,00</w:t>
                  </w:r>
                </w:p>
              </w:tc>
            </w:tr>
            <w:tr w:rsidR="007956F1" w:rsidRPr="007956F1" w:rsidTr="00F56640">
              <w:tblPrEx>
                <w:jc w:val="left"/>
              </w:tblPrEx>
              <w:trPr>
                <w:trHeight w:val="177"/>
              </w:trPr>
              <w:tc>
                <w:tcPr>
                  <w:tcW w:w="4196"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32ECD" w:rsidRPr="007956F1" w:rsidRDefault="00D32ECD" w:rsidP="00D27A30">
                  <w:pPr>
                    <w:framePr w:hSpace="180" w:wrap="around" w:vAnchor="text" w:hAnchor="margin" w:xAlign="center" w:y="149"/>
                    <w:rPr>
                      <w:b/>
                      <w:bCs/>
                      <w:sz w:val="20"/>
                      <w:szCs w:val="20"/>
                    </w:rPr>
                  </w:pPr>
                  <w:r w:rsidRPr="007956F1">
                    <w:rPr>
                      <w:b/>
                      <w:bCs/>
                      <w:sz w:val="20"/>
                      <w:szCs w:val="20"/>
                    </w:rPr>
                    <w:t>KOPĀ</w:t>
                  </w:r>
                </w:p>
              </w:tc>
              <w:tc>
                <w:tcPr>
                  <w:tcW w:w="680" w:type="dxa"/>
                  <w:tcBorders>
                    <w:top w:val="single" w:sz="4" w:space="0" w:color="auto"/>
                    <w:left w:val="nil"/>
                    <w:bottom w:val="single" w:sz="4" w:space="0" w:color="auto"/>
                    <w:right w:val="single" w:sz="4" w:space="0" w:color="auto"/>
                  </w:tcBorders>
                  <w:shd w:val="clear" w:color="auto" w:fill="FFFFCC"/>
                  <w:noWrap/>
                  <w:vAlign w:val="center"/>
                  <w:hideMark/>
                </w:tcPr>
                <w:p w:rsidR="00D32ECD" w:rsidRPr="007956F1" w:rsidRDefault="00D32ECD" w:rsidP="00D27A30">
                  <w:pPr>
                    <w:framePr w:hSpace="180" w:wrap="around" w:vAnchor="text" w:hAnchor="margin" w:xAlign="center" w:y="149"/>
                    <w:jc w:val="center"/>
                    <w:rPr>
                      <w:b/>
                      <w:bCs/>
                      <w:sz w:val="20"/>
                      <w:szCs w:val="20"/>
                    </w:rPr>
                  </w:pPr>
                  <w:r w:rsidRPr="007956F1">
                    <w:rPr>
                      <w:b/>
                      <w:bCs/>
                      <w:sz w:val="20"/>
                      <w:szCs w:val="18"/>
                    </w:rPr>
                    <w:t>377,4</w:t>
                  </w:r>
                </w:p>
              </w:tc>
              <w:tc>
                <w:tcPr>
                  <w:tcW w:w="680" w:type="dxa"/>
                  <w:tcBorders>
                    <w:top w:val="single" w:sz="4" w:space="0" w:color="auto"/>
                    <w:left w:val="nil"/>
                    <w:bottom w:val="single" w:sz="4" w:space="0" w:color="auto"/>
                    <w:right w:val="single" w:sz="4" w:space="0" w:color="auto"/>
                  </w:tcBorders>
                  <w:shd w:val="clear" w:color="auto" w:fill="FFFFCC"/>
                  <w:noWrap/>
                  <w:vAlign w:val="center"/>
                  <w:hideMark/>
                </w:tcPr>
                <w:p w:rsidR="00D32ECD" w:rsidRPr="007956F1" w:rsidRDefault="00D32ECD" w:rsidP="00D27A30">
                  <w:pPr>
                    <w:framePr w:hSpace="180" w:wrap="around" w:vAnchor="text" w:hAnchor="margin" w:xAlign="center" w:y="149"/>
                    <w:jc w:val="center"/>
                    <w:rPr>
                      <w:b/>
                      <w:bCs/>
                      <w:sz w:val="20"/>
                      <w:szCs w:val="20"/>
                    </w:rPr>
                  </w:pPr>
                  <w:r w:rsidRPr="007956F1">
                    <w:rPr>
                      <w:b/>
                      <w:bCs/>
                      <w:sz w:val="20"/>
                      <w:szCs w:val="18"/>
                    </w:rPr>
                    <w:t>349,2</w:t>
                  </w:r>
                </w:p>
              </w:tc>
              <w:tc>
                <w:tcPr>
                  <w:tcW w:w="666" w:type="dxa"/>
                  <w:tcBorders>
                    <w:top w:val="single" w:sz="4" w:space="0" w:color="auto"/>
                    <w:left w:val="nil"/>
                    <w:bottom w:val="single" w:sz="4" w:space="0" w:color="auto"/>
                    <w:right w:val="single" w:sz="4" w:space="0" w:color="auto"/>
                  </w:tcBorders>
                  <w:shd w:val="clear" w:color="auto" w:fill="FFFFCC"/>
                  <w:noWrap/>
                  <w:vAlign w:val="center"/>
                  <w:hideMark/>
                </w:tcPr>
                <w:p w:rsidR="00D32ECD" w:rsidRPr="007956F1" w:rsidRDefault="00D32ECD" w:rsidP="00D27A30">
                  <w:pPr>
                    <w:framePr w:hSpace="180" w:wrap="around" w:vAnchor="text" w:hAnchor="margin" w:xAlign="center" w:y="149"/>
                    <w:jc w:val="center"/>
                    <w:rPr>
                      <w:b/>
                      <w:bCs/>
                      <w:i/>
                      <w:iCs/>
                      <w:sz w:val="20"/>
                      <w:szCs w:val="20"/>
                    </w:rPr>
                  </w:pPr>
                  <w:r w:rsidRPr="007956F1">
                    <w:rPr>
                      <w:b/>
                      <w:bCs/>
                      <w:i/>
                      <w:iCs/>
                      <w:sz w:val="20"/>
                      <w:szCs w:val="18"/>
                    </w:rPr>
                    <w:t>-7,5</w:t>
                  </w:r>
                </w:p>
              </w:tc>
              <w:tc>
                <w:tcPr>
                  <w:tcW w:w="680" w:type="dxa"/>
                  <w:tcBorders>
                    <w:top w:val="single" w:sz="4" w:space="0" w:color="auto"/>
                    <w:left w:val="nil"/>
                    <w:bottom w:val="single" w:sz="4" w:space="0" w:color="auto"/>
                    <w:right w:val="single" w:sz="4" w:space="0" w:color="auto"/>
                  </w:tcBorders>
                  <w:shd w:val="clear" w:color="auto" w:fill="FFFFCC"/>
                  <w:noWrap/>
                  <w:vAlign w:val="center"/>
                  <w:hideMark/>
                </w:tcPr>
                <w:p w:rsidR="00D32ECD" w:rsidRPr="007956F1" w:rsidRDefault="00D32ECD" w:rsidP="00D27A30">
                  <w:pPr>
                    <w:framePr w:hSpace="180" w:wrap="around" w:vAnchor="text" w:hAnchor="margin" w:xAlign="center" w:y="149"/>
                    <w:jc w:val="center"/>
                    <w:rPr>
                      <w:b/>
                      <w:bCs/>
                      <w:sz w:val="20"/>
                      <w:szCs w:val="20"/>
                    </w:rPr>
                  </w:pPr>
                  <w:r w:rsidRPr="007956F1">
                    <w:rPr>
                      <w:b/>
                      <w:bCs/>
                      <w:sz w:val="20"/>
                      <w:szCs w:val="18"/>
                    </w:rPr>
                    <w:t>399,4</w:t>
                  </w:r>
                </w:p>
              </w:tc>
              <w:tc>
                <w:tcPr>
                  <w:tcW w:w="700" w:type="dxa"/>
                  <w:tcBorders>
                    <w:top w:val="single" w:sz="4" w:space="0" w:color="auto"/>
                    <w:left w:val="nil"/>
                    <w:bottom w:val="single" w:sz="4" w:space="0" w:color="auto"/>
                    <w:right w:val="single" w:sz="4" w:space="0" w:color="auto"/>
                  </w:tcBorders>
                  <w:shd w:val="clear" w:color="auto" w:fill="FFFFCC"/>
                  <w:noWrap/>
                  <w:vAlign w:val="center"/>
                  <w:hideMark/>
                </w:tcPr>
                <w:p w:rsidR="00D32ECD" w:rsidRPr="007956F1" w:rsidRDefault="00D32ECD" w:rsidP="00D27A30">
                  <w:pPr>
                    <w:framePr w:hSpace="180" w:wrap="around" w:vAnchor="text" w:hAnchor="margin" w:xAlign="center" w:y="149"/>
                    <w:jc w:val="center"/>
                    <w:rPr>
                      <w:b/>
                      <w:bCs/>
                      <w:i/>
                      <w:iCs/>
                      <w:sz w:val="20"/>
                      <w:szCs w:val="20"/>
                    </w:rPr>
                  </w:pPr>
                  <w:r w:rsidRPr="007956F1">
                    <w:rPr>
                      <w:b/>
                      <w:bCs/>
                      <w:i/>
                      <w:iCs/>
                      <w:sz w:val="20"/>
                      <w:szCs w:val="18"/>
                    </w:rPr>
                    <w:t>14,4</w:t>
                  </w:r>
                </w:p>
              </w:tc>
              <w:tc>
                <w:tcPr>
                  <w:tcW w:w="755" w:type="dxa"/>
                  <w:tcBorders>
                    <w:top w:val="single" w:sz="4" w:space="0" w:color="auto"/>
                    <w:left w:val="nil"/>
                    <w:bottom w:val="single" w:sz="4" w:space="0" w:color="auto"/>
                    <w:right w:val="single" w:sz="4" w:space="0" w:color="auto"/>
                  </w:tcBorders>
                  <w:shd w:val="clear" w:color="auto" w:fill="FFFFCC"/>
                  <w:noWrap/>
                  <w:vAlign w:val="center"/>
                  <w:hideMark/>
                </w:tcPr>
                <w:p w:rsidR="00D32ECD" w:rsidRPr="007956F1" w:rsidRDefault="00D32ECD" w:rsidP="00D27A30">
                  <w:pPr>
                    <w:framePr w:hSpace="180" w:wrap="around" w:vAnchor="text" w:hAnchor="margin" w:xAlign="center" w:y="149"/>
                    <w:jc w:val="center"/>
                    <w:rPr>
                      <w:b/>
                      <w:bCs/>
                      <w:i/>
                      <w:iCs/>
                      <w:sz w:val="20"/>
                      <w:szCs w:val="20"/>
                    </w:rPr>
                  </w:pPr>
                  <w:r w:rsidRPr="007956F1">
                    <w:rPr>
                      <w:b/>
                      <w:bCs/>
                      <w:i/>
                      <w:iCs/>
                      <w:sz w:val="20"/>
                      <w:szCs w:val="18"/>
                    </w:rPr>
                    <w:t>104,2</w:t>
                  </w:r>
                </w:p>
              </w:tc>
              <w:tc>
                <w:tcPr>
                  <w:tcW w:w="580" w:type="dxa"/>
                  <w:tcBorders>
                    <w:top w:val="single" w:sz="4" w:space="0" w:color="auto"/>
                    <w:left w:val="nil"/>
                    <w:bottom w:val="single" w:sz="4" w:space="0" w:color="auto"/>
                    <w:right w:val="single" w:sz="4" w:space="0" w:color="auto"/>
                  </w:tcBorders>
                  <w:shd w:val="clear" w:color="auto" w:fill="FFFFCC"/>
                  <w:noWrap/>
                  <w:vAlign w:val="center"/>
                  <w:hideMark/>
                </w:tcPr>
                <w:p w:rsidR="00D32ECD" w:rsidRPr="007956F1" w:rsidRDefault="00D32ECD" w:rsidP="00D27A30">
                  <w:pPr>
                    <w:framePr w:hSpace="180" w:wrap="around" w:vAnchor="text" w:hAnchor="margin" w:xAlign="center" w:y="149"/>
                    <w:jc w:val="center"/>
                    <w:rPr>
                      <w:b/>
                      <w:bCs/>
                      <w:i/>
                      <w:iCs/>
                      <w:sz w:val="20"/>
                      <w:szCs w:val="20"/>
                    </w:rPr>
                  </w:pPr>
                  <w:r w:rsidRPr="007956F1">
                    <w:rPr>
                      <w:b/>
                      <w:bCs/>
                      <w:i/>
                      <w:iCs/>
                      <w:sz w:val="20"/>
                      <w:szCs w:val="18"/>
                    </w:rPr>
                    <w:t>1,64</w:t>
                  </w:r>
                </w:p>
              </w:tc>
            </w:tr>
          </w:tbl>
          <w:p w:rsidR="00D32ECD" w:rsidRPr="007956F1" w:rsidRDefault="00D32ECD" w:rsidP="00D32ECD">
            <w:pPr>
              <w:tabs>
                <w:tab w:val="left" w:pos="284"/>
              </w:tabs>
              <w:spacing w:before="40" w:after="40"/>
              <w:ind w:left="284" w:hanging="284"/>
              <w:jc w:val="both"/>
              <w:rPr>
                <w:bCs/>
                <w:i/>
                <w:sz w:val="16"/>
                <w:szCs w:val="16"/>
              </w:rPr>
            </w:pPr>
            <w:r w:rsidRPr="007956F1">
              <w:rPr>
                <w:bCs/>
                <w:i/>
                <w:sz w:val="16"/>
                <w:szCs w:val="16"/>
              </w:rPr>
              <w:t xml:space="preserve">* </w:t>
            </w:r>
            <w:r w:rsidRPr="007956F1">
              <w:rPr>
                <w:bCs/>
                <w:i/>
                <w:sz w:val="16"/>
                <w:szCs w:val="16"/>
              </w:rPr>
              <w:tab/>
              <w:t>2013. un 2014. gadā nav iekļauts atvieglojuma apmērs akciju atsavināšanai un 2014.gadā atvieglojuma apmērs ienākumiem, kas gūti no mācību procesa, par cik UIN deklarācijā līdz 2015.gadam atsevišķas rindas šiem atvieglojumiem nebija paredzētas.</w:t>
            </w:r>
          </w:p>
          <w:p w:rsidR="00D32ECD" w:rsidRPr="007956F1" w:rsidRDefault="00D32ECD" w:rsidP="00D32ECD">
            <w:pPr>
              <w:spacing w:after="120"/>
              <w:rPr>
                <w:i/>
                <w:sz w:val="20"/>
                <w:szCs w:val="20"/>
              </w:rPr>
            </w:pPr>
            <w:r w:rsidRPr="007956F1">
              <w:rPr>
                <w:b/>
                <w:i/>
                <w:sz w:val="20"/>
                <w:szCs w:val="20"/>
              </w:rPr>
              <w:t>Avots:</w:t>
            </w:r>
            <w:r w:rsidRPr="007956F1">
              <w:rPr>
                <w:i/>
                <w:sz w:val="20"/>
                <w:szCs w:val="20"/>
              </w:rPr>
              <w:t xml:space="preserve"> FM aprēķini un dati no UIN deklarācijām uz 28.09.2016.</w:t>
            </w:r>
          </w:p>
          <w:p w:rsidR="00107771" w:rsidRPr="007956F1" w:rsidRDefault="00107771" w:rsidP="00AD4849">
            <w:pPr>
              <w:ind w:right="149"/>
              <w:jc w:val="both"/>
              <w:rPr>
                <w:b/>
                <w:i/>
              </w:rPr>
            </w:pPr>
            <w:r w:rsidRPr="007956F1">
              <w:rPr>
                <w:b/>
                <w:i/>
              </w:rPr>
              <w:t>Jaunā UIN regulējuma izstrādes nepieciešamība</w:t>
            </w:r>
          </w:p>
          <w:p w:rsidR="00107771" w:rsidRPr="007956F1" w:rsidRDefault="009622BA" w:rsidP="00107771">
            <w:pPr>
              <w:ind w:right="149" w:firstLine="260"/>
              <w:jc w:val="both"/>
            </w:pPr>
            <w:r w:rsidRPr="007956F1">
              <w:t xml:space="preserve">Latvijas UIN regulējums ir plaši pētīts. </w:t>
            </w:r>
          </w:p>
          <w:p w:rsidR="009622BA" w:rsidRPr="007956F1" w:rsidRDefault="009622BA" w:rsidP="00107771">
            <w:pPr>
              <w:ind w:right="149" w:firstLine="260"/>
              <w:jc w:val="both"/>
            </w:pPr>
            <w:r w:rsidRPr="007956F1">
              <w:t xml:space="preserve">2017.gadā Pasaules Banka ir </w:t>
            </w:r>
            <w:r w:rsidR="00C27F39" w:rsidRPr="007956F1">
              <w:t>norādījusi, ka Latvijā ir zema likumā noteiktā UIN likme, kā arī efektīvā nodokļa likme, salīdzinot ar ES dalībvalstīm. Ņemot vērā zemo ieņēmumu bāzi, būtu jāizvērtē izmaksas un ieguvumi no nodokļu atbrīvojumu un atlaižu piemērošanas. Ir iespējams mainīt uzsvaru attiecībā uz uzņēmumu aplikšanu ar nodokļiem, kuriem</w:t>
            </w:r>
            <w:r w:rsidR="00427BFE" w:rsidRPr="007956F1">
              <w:t>,</w:t>
            </w:r>
            <w:r w:rsidR="00C27F39" w:rsidRPr="007956F1">
              <w:t xml:space="preserve"> atkarībā no ražotās produkcijas veida</w:t>
            </w:r>
            <w:r w:rsidR="00427BFE" w:rsidRPr="007956F1">
              <w:t>,</w:t>
            </w:r>
            <w:r w:rsidR="00C27F39" w:rsidRPr="007956F1">
              <w:t xml:space="preserve"> var piemērot atšķirīgus nodokļu atvieglojumus. Valsts resursu ieguldīšana ar mērķi sekmēt uzņēmumu sektora darbību vai nu ar nodokļu atvieglojumu starpniecību vai izdevumu kompensāciju, ir lēmums par jau tā nepietiekamo budžeta resursu izlietojumu uzņēmumu sektoram, un šāda ieguldīšana būtu jāizvērtē no izmaksu - ieguvumu viedokļa.</w:t>
            </w:r>
            <w:r w:rsidR="00C2755B" w:rsidRPr="007956F1">
              <w:rPr>
                <w:rStyle w:val="FootnoteReference"/>
              </w:rPr>
              <w:footnoteReference w:id="1"/>
            </w:r>
          </w:p>
          <w:p w:rsidR="00C27F39" w:rsidRPr="007956F1" w:rsidRDefault="009622BA" w:rsidP="00C27F39">
            <w:pPr>
              <w:ind w:right="149" w:firstLine="260"/>
              <w:jc w:val="both"/>
            </w:pPr>
            <w:proofErr w:type="spellStart"/>
            <w:r w:rsidRPr="007956F1">
              <w:t>Domnīca</w:t>
            </w:r>
            <w:proofErr w:type="spellEnd"/>
            <w:r w:rsidRPr="007956F1">
              <w:t xml:space="preserve"> “</w:t>
            </w:r>
            <w:proofErr w:type="spellStart"/>
            <w:r w:rsidRPr="007956F1">
              <w:t>Certus</w:t>
            </w:r>
            <w:proofErr w:type="spellEnd"/>
            <w:r w:rsidRPr="007956F1">
              <w:t>”</w:t>
            </w:r>
            <w:r w:rsidR="00C27F39" w:rsidRPr="007956F1">
              <w:t xml:space="preserve"> norāda</w:t>
            </w:r>
            <w:r w:rsidR="00C27F39" w:rsidRPr="007956F1">
              <w:rPr>
                <w:rStyle w:val="FootnoteReference"/>
              </w:rPr>
              <w:footnoteReference w:id="2"/>
            </w:r>
            <w:r w:rsidR="00C27F39" w:rsidRPr="007956F1">
              <w:t>, ka  kamēr vien Latvijā nav tāda veida</w:t>
            </w:r>
          </w:p>
          <w:p w:rsidR="009622BA" w:rsidRPr="007956F1" w:rsidRDefault="00C27F39" w:rsidP="00C27F39">
            <w:pPr>
              <w:ind w:right="149"/>
              <w:jc w:val="both"/>
            </w:pPr>
            <w:r w:rsidRPr="007956F1">
              <w:t xml:space="preserve">nozaru stratēģijas, labākais, ko var darīt, lai uzlabotu Latvijas UIN konkurētspēju, ir pieņemt Igaunijas nulles uzņēmumu ienākuma nodokļa režīmu </w:t>
            </w:r>
            <w:proofErr w:type="spellStart"/>
            <w:r w:rsidRPr="007956F1">
              <w:t>reinvestētajai</w:t>
            </w:r>
            <w:proofErr w:type="spellEnd"/>
            <w:r w:rsidRPr="007956F1">
              <w:t xml:space="preserve"> peļņai.</w:t>
            </w:r>
          </w:p>
          <w:p w:rsidR="00F96B06" w:rsidRPr="007956F1" w:rsidRDefault="009622BA" w:rsidP="00107771">
            <w:pPr>
              <w:ind w:right="149" w:firstLine="260"/>
              <w:jc w:val="both"/>
            </w:pPr>
            <w:r w:rsidRPr="007956F1">
              <w:t xml:space="preserve">Savukārt, </w:t>
            </w:r>
            <w:proofErr w:type="spellStart"/>
            <w:r w:rsidR="00F96B06" w:rsidRPr="007956F1">
              <w:t>A.Prohorova</w:t>
            </w:r>
            <w:proofErr w:type="spellEnd"/>
            <w:r w:rsidR="00F96B06" w:rsidRPr="007956F1">
              <w:t xml:space="preserve"> pētījumā</w:t>
            </w:r>
            <w:r w:rsidR="00F96B06" w:rsidRPr="007956F1">
              <w:rPr>
                <w:rStyle w:val="FootnoteReference"/>
              </w:rPr>
              <w:footnoteReference w:id="3"/>
            </w:r>
            <w:r w:rsidR="00F96B06" w:rsidRPr="007956F1">
              <w:t xml:space="preserve"> norādīts, ka </w:t>
            </w:r>
            <w:r w:rsidRPr="007956F1">
              <w:t>UIN atliktā maksājuma ieviešana ir viena no nodokļu stimulēšanas formām, kas tiek izmantota dažādu ekonomisko un sociālo mērķu sasniegšanai. Piecpadsmit gadus ilgā UIN atliktā maksājuma darbības pieredze Igaunijā pārliecinoši apliecina šādas nodokļu stimulēšanas formas lietderīgumu</w:t>
            </w:r>
            <w:r w:rsidR="00E4325C" w:rsidRPr="007956F1">
              <w:t xml:space="preserve"> (</w:t>
            </w:r>
            <w:proofErr w:type="spellStart"/>
            <w:r w:rsidR="00E4325C" w:rsidRPr="007956F1">
              <w:t>A.Prohorovs</w:t>
            </w:r>
            <w:proofErr w:type="spellEnd"/>
            <w:r w:rsidR="00E4325C" w:rsidRPr="007956F1">
              <w:t>, 2017)</w:t>
            </w:r>
            <w:r w:rsidRPr="007956F1">
              <w:t>.</w:t>
            </w:r>
            <w:r w:rsidR="00F96B06" w:rsidRPr="007956F1">
              <w:t xml:space="preserve"> Tāpat ir minēts, ka UIN atliktā maksājuma ieviešana Latvijā ir aktuāla arī tāpēc, ka vidēja termiņa perspektīvā var beigties vai būtiski samazināties Latvijas projektu finansējums, ko nodrošina ES fondi un programmas. Iegūtie  dati liecina, ka UIN maksājuma pārnešana no uzņēmumu saņemtās peļņas uz sadalāmo peļņas daļu ļaus pilnā apjomā kompensēt Eiropas fondu un programmu finansējuma izbeigšanos Latvijas projektiem, jo palielināsies Latvijas uzņēmumu investīciju aktivitāte un ārvalstu tiešo investīciju apjoms.</w:t>
            </w:r>
          </w:p>
          <w:p w:rsidR="00C27F39" w:rsidRPr="007956F1" w:rsidRDefault="00C27F39" w:rsidP="00107771">
            <w:pPr>
              <w:ind w:right="149" w:firstLine="260"/>
              <w:jc w:val="both"/>
            </w:pPr>
            <w:r w:rsidRPr="007956F1">
              <w:t>Latvijas ekonomikā ir konstatētas šādas problēmas:</w:t>
            </w:r>
          </w:p>
          <w:p w:rsidR="00C27F39" w:rsidRPr="007956F1" w:rsidRDefault="00C27F39" w:rsidP="00107771">
            <w:pPr>
              <w:ind w:right="149" w:firstLine="260"/>
              <w:jc w:val="both"/>
            </w:pPr>
            <w:r w:rsidRPr="007956F1">
              <w:t xml:space="preserve">1.  Kreditēšanas aktivitāte laikā kopš ekonomiskās krīzes Latvijā ir bijusi zema un kopējais rezidentiem izsniegto kredītu portfelis līdz pat 2016.gadam pastāvīgi samazinājās. Kopējais rezidentiem izsniegto kredītu apjoms no pāri par 20 miljardiem </w:t>
            </w:r>
            <w:proofErr w:type="spellStart"/>
            <w:r w:rsidRPr="007956F1">
              <w:t>euro</w:t>
            </w:r>
            <w:proofErr w:type="spellEnd"/>
            <w:r w:rsidRPr="007956F1">
              <w:t xml:space="preserve"> 2008.gada beigās bija samazinājies līdz 12,4 miljardiem </w:t>
            </w:r>
            <w:proofErr w:type="spellStart"/>
            <w:r w:rsidRPr="007956F1">
              <w:t>euro</w:t>
            </w:r>
            <w:proofErr w:type="spellEnd"/>
            <w:r w:rsidRPr="007956F1">
              <w:t xml:space="preserve"> 2015.gada beigās. Kredītportfeļa pieaugums atsākās tikai 2016.gadā, kad rezidentiem </w:t>
            </w:r>
            <w:proofErr w:type="spellStart"/>
            <w:r w:rsidRPr="007956F1">
              <w:t>jaunizsniegtie</w:t>
            </w:r>
            <w:proofErr w:type="spellEnd"/>
            <w:r w:rsidRPr="007956F1">
              <w:t xml:space="preserve"> kredīti salīdzinājumā ar 2015.gadu palielinājās par 46%, sasniedzot 2 miljardus </w:t>
            </w:r>
            <w:proofErr w:type="spellStart"/>
            <w:r w:rsidRPr="007956F1">
              <w:t>euro</w:t>
            </w:r>
            <w:proofErr w:type="spellEnd"/>
            <w:r w:rsidRPr="007956F1">
              <w:t xml:space="preserve">. Attiecīgi kopējais rezidentu kredītportfelis 2016.gada 4.ceturkšņa beigās veidoja 12,8 miljardus </w:t>
            </w:r>
            <w:proofErr w:type="spellStart"/>
            <w:r w:rsidRPr="007956F1">
              <w:t>euro</w:t>
            </w:r>
            <w:proofErr w:type="spellEnd"/>
            <w:r w:rsidRPr="007956F1">
              <w:t>, kas bija par 3,1% vairāk nekā 2015.gada 4.ceturkšņa beigās.</w:t>
            </w:r>
          </w:p>
          <w:p w:rsidR="00C27F39" w:rsidRPr="007956F1" w:rsidRDefault="00C27F39" w:rsidP="00107771">
            <w:pPr>
              <w:ind w:right="149" w:firstLine="260"/>
              <w:jc w:val="both"/>
            </w:pPr>
            <w:r w:rsidRPr="007956F1">
              <w:t xml:space="preserve">2.  Statistikas dati par uzņēmumu ilgtermiņa ieguldījumiem liecina, ka uzņēmumu uzkrātās investīcijas kopš 2015.gada vidus vairs nepieaug, un tāpat 2016.gada sākumā ir samazinājušās uzkrātās ārvalstu tiešās investīcijas. Lai gan ārvalstu tiešās investīcijas investīciju samazinājumu 2016.gada sākumā ir ietekmējuši arī vienreizēji un ar kopējo investīciju vidi tieši nesaistīti faktori, kā Swedbank AS pamatkapitāla samazinājums par 367,9 milj. </w:t>
            </w:r>
            <w:proofErr w:type="spellStart"/>
            <w:r w:rsidRPr="007956F1">
              <w:t>euro</w:t>
            </w:r>
            <w:proofErr w:type="spellEnd"/>
            <w:r w:rsidRPr="007956F1">
              <w:t>, kopējā investīciju dinamika uzrādīja investīciju samazināšanos ekonomikā. 2016.gadā kopā investīcijas pamatkapitālā (bruto pamatkapitāla veidošana) bijušas par 11,2% mazākas nekā pirms gada, un investīciju līmenis ekonomikā jau no 2013.gada ir bijis zems.</w:t>
            </w:r>
          </w:p>
          <w:p w:rsidR="00C27F39" w:rsidRPr="007956F1" w:rsidRDefault="00D32ECD" w:rsidP="00107771">
            <w:pPr>
              <w:ind w:right="149" w:firstLine="260"/>
              <w:jc w:val="both"/>
            </w:pPr>
            <w:r w:rsidRPr="007956F1">
              <w:t>3.  Latvijas ekonomikas potenciālo izaugsmi vidējā termiņā noteiks kapitāla un produktivitātes pieaugums, savukārt nodarbinātības pieauguma ietekme, samazinoties darbspējas vecuma iedzīvotāju skaitam, būs nebūtiska. Lēns kreditēšanas pieaugums un nepietiekami stimuli uzņēmumiem ieguldīt savā attīstībā negatīvi ietekmē izaugsmes tendences.</w:t>
            </w:r>
          </w:p>
          <w:p w:rsidR="00D32ECD" w:rsidRPr="007956F1" w:rsidRDefault="00D32ECD" w:rsidP="00107771">
            <w:pPr>
              <w:ind w:right="149" w:firstLine="260"/>
              <w:jc w:val="both"/>
            </w:pPr>
            <w:r w:rsidRPr="007956F1">
              <w:t xml:space="preserve">Pāreja no visas iegūtās peļņas aplikšanas ar nodokli uz dividendēs sadalāmās peļņas daļas aplikšanu ir ekonomiskās stimulēšanas metode, kas mudina privātos uzņēmumus nesadalīt, bet gan </w:t>
            </w:r>
            <w:proofErr w:type="spellStart"/>
            <w:r w:rsidRPr="007956F1">
              <w:t>reinvestēt</w:t>
            </w:r>
            <w:proofErr w:type="spellEnd"/>
            <w:r w:rsidRPr="007956F1">
              <w:t xml:space="preserve"> iegūto peļņu. Ekonomiskās stimulēšanas metodes vairumā gadījumu darbojas efektīvāk nekā administratīvie noteikumi. Rezultāti, kas gūti, ieviešot UIN atlikto maksājumu un samazinot UIN likmi, kā arī tam sekojošā UIN likmes samazināšana Igaunijā liecina, ka ekonomiskās stimulēšanas metodes efektīvi ietekmē uzņēmumu attīstības un investīciju aktivitātes atbalstīšanu un stimulēšanu, kā arī uzņēmējdarbības aktivitātes palielināšanos (</w:t>
            </w:r>
            <w:proofErr w:type="spellStart"/>
            <w:r w:rsidRPr="007956F1">
              <w:t>A.Prohorovs</w:t>
            </w:r>
            <w:proofErr w:type="spellEnd"/>
            <w:r w:rsidRPr="007956F1">
              <w:t>, 2017).</w:t>
            </w:r>
          </w:p>
          <w:p w:rsidR="009A4681" w:rsidRPr="007956F1" w:rsidRDefault="009A4681" w:rsidP="00DA3E39">
            <w:pPr>
              <w:ind w:right="149" w:firstLine="260"/>
              <w:jc w:val="both"/>
              <w:rPr>
                <w:b/>
                <w:i/>
              </w:rPr>
            </w:pPr>
          </w:p>
          <w:p w:rsidR="00DA3E39" w:rsidRPr="007956F1" w:rsidRDefault="00DA3E39" w:rsidP="00DA3E39">
            <w:pPr>
              <w:ind w:right="149" w:firstLine="260"/>
              <w:jc w:val="both"/>
              <w:rPr>
                <w:b/>
                <w:i/>
              </w:rPr>
            </w:pPr>
            <w:r w:rsidRPr="007956F1">
              <w:rPr>
                <w:b/>
                <w:i/>
              </w:rPr>
              <w:t>Jaunais UIN regulējums</w:t>
            </w:r>
          </w:p>
          <w:p w:rsidR="00DA3E39" w:rsidRPr="007956F1" w:rsidRDefault="00DA3E39" w:rsidP="00DA3E39">
            <w:pPr>
              <w:ind w:right="149" w:firstLine="260"/>
              <w:jc w:val="both"/>
            </w:pPr>
            <w:r w:rsidRPr="007956F1">
              <w:t>Izstrādāts jauns Uzņēmumu ienākuma nodokļa likum</w:t>
            </w:r>
            <w:r w:rsidR="001200AA" w:rsidRPr="007956F1">
              <w:t>s</w:t>
            </w:r>
            <w:r w:rsidR="00D479AC" w:rsidRPr="007956F1">
              <w:t xml:space="preserve"> </w:t>
            </w:r>
            <w:r w:rsidRPr="007956F1">
              <w:t>(turpmāk – Likums), kas paredz konceptuāli jaunu UIN maksāšanas režīmu</w:t>
            </w:r>
            <w:r w:rsidR="00E06C3D" w:rsidRPr="007956F1">
              <w:t>.</w:t>
            </w:r>
            <w:r w:rsidRPr="007956F1">
              <w:t xml:space="preserve"> Jaunais UIN modelis paredz UIN maksāšanas brīdi atlikt līdz brīdim, kad peļņa tiek sadalīta vai citādā veidā novirzīta tādiem izdevumiem, kuri nenodrošina uzņēmuma turpmāku attīstību. Tādējādi šāds režīms pēc būtības atšķiras no esošā UIN regulējuma, paredzot atšķirīgu UIN bāzes aprēķinu un maksāšanas brīdi. Tomēr kopumā jaunais UIN režīms paredz aplikt ar UIN jau esošās UIN korekcijas, par kurām nav tiesības samazināt ar UIN apliekamo ienākumu, piemēram, norakstītie nedrošie parādi, ar saimniecisko </w:t>
            </w:r>
            <w:r w:rsidR="0030294E" w:rsidRPr="007956F1">
              <w:t>darbību</w:t>
            </w:r>
            <w:r w:rsidRPr="007956F1">
              <w:t xml:space="preserve"> nesaistīti izdevumi, t.sk., ziedojumi u.c.</w:t>
            </w:r>
          </w:p>
          <w:p w:rsidR="00DA3E39" w:rsidRDefault="00DA3E39" w:rsidP="00DA3E39">
            <w:pPr>
              <w:ind w:right="149" w:firstLine="260"/>
              <w:jc w:val="both"/>
            </w:pPr>
            <w:r w:rsidRPr="007956F1">
              <w:t>Likums paredz, ka aprēķinātās dividendes turpmāk tiks apliktas uzņēmuma līmenī</w:t>
            </w:r>
            <w:r w:rsidR="00E06C3D" w:rsidRPr="007956F1">
              <w:t>,</w:t>
            </w:r>
            <w:r w:rsidRPr="007956F1">
              <w:t xml:space="preserve"> piemērojot 2</w:t>
            </w:r>
            <w:r w:rsidR="00E06C3D" w:rsidRPr="007956F1">
              <w:t>0 procentu likmi, t.i., fiziskās</w:t>
            </w:r>
            <w:r w:rsidRPr="007956F1">
              <w:t xml:space="preserve"> persona</w:t>
            </w:r>
            <w:r w:rsidR="00E06C3D" w:rsidRPr="007956F1">
              <w:t>s</w:t>
            </w:r>
            <w:r w:rsidRPr="007956F1">
              <w:t xml:space="preserve"> saņemtās dividendes netiks apliktas ar </w:t>
            </w:r>
            <w:r w:rsidR="001200AA" w:rsidRPr="007956F1">
              <w:t>IIN</w:t>
            </w:r>
            <w:r w:rsidRPr="007956F1">
              <w:t>. Arī pārējai peļņai, kura tiek novirzīta tādu izdevumu segšanai, kuri nenodrošina</w:t>
            </w:r>
            <w:r w:rsidR="00E06C3D" w:rsidRPr="007956F1">
              <w:t xml:space="preserve"> turpmāku uzņēmuma attīstību ti</w:t>
            </w:r>
            <w:r w:rsidRPr="007956F1">
              <w:t>k</w:t>
            </w:r>
            <w:r w:rsidR="00E06C3D" w:rsidRPr="007956F1">
              <w:t>s</w:t>
            </w:r>
            <w:r w:rsidRPr="007956F1">
              <w:t xml:space="preserve"> piemērota 20 procentu UIN likme</w:t>
            </w:r>
            <w:r w:rsidR="00E06C3D" w:rsidRPr="007956F1">
              <w:t>.</w:t>
            </w:r>
            <w:r w:rsidRPr="007956F1">
              <w:t xml:space="preserve"> Salīdzinoši ar esošo regulējumu, kur taksācijas periods ir gads, </w:t>
            </w:r>
            <w:r w:rsidR="00E06C3D" w:rsidRPr="007956F1">
              <w:t>L</w:t>
            </w:r>
            <w:r w:rsidRPr="007956F1">
              <w:t xml:space="preserve">ikumā ir noteikts, ka taksācijas periods ir viens kalendārais mēnesis. Ņemot vērā, ka vairāki ar UIN apliekamie objekti tiek vērtēti pret pirmstaksācijas pārskata gada (t.i., pārskata gads, kas noteikts saskaņā ar </w:t>
            </w:r>
            <w:r w:rsidR="00DD6745" w:rsidRPr="007956F1">
              <w:t>Gada pārskatu un konsolidēto gada pārskatu likumu</w:t>
            </w:r>
            <w:r w:rsidR="002E4B29" w:rsidRPr="007956F1">
              <w:t>) rādītājiem, un tie tiek vērtēti kopumā par visu pārskata gadu, tad atsevišķi ar UIN apliekamie objekti jāietver tikai pārskata gada pēdējā taksācijas perioda deklarācijā. Vienlaikus jaunais UIN modelis neparedz avansa maksājumu veikšanu (izņemot pārejas posmā par periodu no 2018.gada 1.janvāra līdz 30.jūnijam), kas ievērojami uzlabo uzņēmumu naudas plūsmu.</w:t>
            </w:r>
          </w:p>
          <w:p w:rsidR="0066540B" w:rsidRPr="007956F1" w:rsidRDefault="0066540B" w:rsidP="00DA3E39">
            <w:pPr>
              <w:ind w:right="149" w:firstLine="260"/>
              <w:jc w:val="both"/>
            </w:pPr>
          </w:p>
          <w:p w:rsidR="00350448" w:rsidRDefault="00350448" w:rsidP="00DA3E39">
            <w:pPr>
              <w:ind w:right="149" w:firstLine="260"/>
              <w:jc w:val="both"/>
            </w:pPr>
            <w:r w:rsidRPr="007956F1">
              <w:t>Ņemot vērā, ka kapitālsabiedrībai saskaņā Uzņēmumu ienākuma nodokļa likuma Pārejas noteikumiem ir tiesības, par periodu no 2018.gada janvāra līdz jūnijam, iesniegt vienu UIN deklarāciju, tad Likuma Pārejas noteikumi, par minēto periodu, paredz UIN avansa maksājumus. Avansa maksājumi par katru mēnesi tiek aprēķināti dalot taksācijas perioda, kas sākās 2016.gadā aprēķināto UIN ar 12 (mēnešu skaits).</w:t>
            </w:r>
          </w:p>
          <w:p w:rsidR="0066540B" w:rsidRPr="007956F1" w:rsidRDefault="0066540B" w:rsidP="00DA3E39">
            <w:pPr>
              <w:ind w:right="149" w:firstLine="260"/>
              <w:jc w:val="both"/>
            </w:pPr>
          </w:p>
          <w:p w:rsidR="00DA3E39" w:rsidRPr="007956F1" w:rsidRDefault="00DA3E39" w:rsidP="00DA3E39">
            <w:pPr>
              <w:ind w:right="149" w:firstLine="260"/>
              <w:jc w:val="both"/>
            </w:pPr>
            <w:r w:rsidRPr="007956F1">
              <w:t>Jaunais UIN modelis pēc būtības nav savienojams ar atvieglojumiem un atlaidēm, jo ar UIN tiek aplikti izdevumi, kuru atb</w:t>
            </w:r>
            <w:r w:rsidR="00DD6745" w:rsidRPr="007956F1">
              <w:t>rīvošanai no UIN nav pamata.</w:t>
            </w:r>
            <w:r w:rsidR="00500C25" w:rsidRPr="007956F1">
              <w:t xml:space="preserve"> Būtībā līdzšinējās atlaides tiek aizstātas ar vienu, piemērojamu visām nozarēm – atlikto nodokļa maksājumu.</w:t>
            </w:r>
            <w:r w:rsidR="00DD6745" w:rsidRPr="007956F1">
              <w:t xml:space="preserve"> </w:t>
            </w:r>
            <w:r w:rsidRPr="007956F1">
              <w:t>Minētais neattiecas uz tiem ziedojumiem, kuri veikti sabiedriskā labuma organizācijām ievērojot Likumā noteiktos kritērijus</w:t>
            </w:r>
            <w:r w:rsidR="001200AA" w:rsidRPr="007956F1">
              <w:t>.</w:t>
            </w:r>
            <w:r w:rsidRPr="007956F1">
              <w:t xml:space="preserve"> </w:t>
            </w:r>
            <w:r w:rsidR="002E4B29" w:rsidRPr="007956F1">
              <w:t>Kā arī attiecībā uz  saņemtajām subsīdijām, kuras saņemtas kā atbalsts lauksaimniecībai.</w:t>
            </w:r>
          </w:p>
          <w:p w:rsidR="0066540B" w:rsidRDefault="0066540B" w:rsidP="002E4B29">
            <w:pPr>
              <w:ind w:right="149" w:firstLine="260"/>
              <w:contextualSpacing/>
              <w:jc w:val="both"/>
            </w:pPr>
          </w:p>
          <w:p w:rsidR="00DA3E39" w:rsidRPr="007956F1" w:rsidRDefault="00DA3E39" w:rsidP="002E4B29">
            <w:pPr>
              <w:ind w:right="149" w:firstLine="260"/>
              <w:contextualSpacing/>
              <w:jc w:val="both"/>
            </w:pPr>
            <w:r w:rsidRPr="007956F1">
              <w:t>Lai pēc iespējas novērstu izvairīšanos no nodokļu maksāšanas un nodokļu plānošanu, Likumā iestrādāta norma attiecībā uz nodokļu bāzes samazināšanas pasākumu novēršanu.</w:t>
            </w:r>
          </w:p>
          <w:p w:rsidR="0066540B" w:rsidRDefault="0066540B" w:rsidP="002E4B29">
            <w:pPr>
              <w:ind w:right="28" w:firstLine="222"/>
              <w:contextualSpacing/>
              <w:jc w:val="both"/>
            </w:pPr>
          </w:p>
          <w:p w:rsidR="002E4B29" w:rsidRPr="007956F1" w:rsidRDefault="002E4B29" w:rsidP="002E4B29">
            <w:pPr>
              <w:ind w:right="28" w:firstLine="222"/>
              <w:contextualSpacing/>
              <w:jc w:val="both"/>
            </w:pPr>
            <w:r w:rsidRPr="007956F1">
              <w:t xml:space="preserve">Ņemot vērā likuma “Par uzņēmumu ienākuma nodokli” 13.pantā noteikto labvēlīgo nolietojuma aprēķinu, kas atšķiras no finanšu grāmatvedībā aprēķinātā nolietojuma, nodokļa maksātājiem veidojas zaudējumi UIN aprēķina rezultātā. Neatkarīgi no tā, ka minētajā gadījumā UIN ir atlikts, Likuma normas neparedz pienākumu minēto nodokli valsts budžetā. </w:t>
            </w:r>
          </w:p>
          <w:p w:rsidR="002E4B29" w:rsidRPr="007956F1" w:rsidRDefault="002E4B29" w:rsidP="00DA3E39">
            <w:pPr>
              <w:ind w:right="149" w:firstLine="260"/>
              <w:jc w:val="both"/>
              <w:rPr>
                <w:b/>
                <w:i/>
              </w:rPr>
            </w:pPr>
          </w:p>
          <w:p w:rsidR="00DA3E39" w:rsidRPr="007956F1" w:rsidRDefault="00DA3E39" w:rsidP="00DA3E39">
            <w:pPr>
              <w:ind w:right="149" w:firstLine="260"/>
              <w:jc w:val="both"/>
            </w:pPr>
            <w:r w:rsidRPr="007956F1">
              <w:rPr>
                <w:b/>
                <w:i/>
              </w:rPr>
              <w:t>Likumā ietvertās normas</w:t>
            </w:r>
          </w:p>
          <w:p w:rsidR="001200AA" w:rsidRPr="007956F1" w:rsidRDefault="00DA3E39" w:rsidP="001200AA">
            <w:pPr>
              <w:ind w:right="149" w:firstLine="260"/>
              <w:jc w:val="both"/>
            </w:pPr>
            <w:r w:rsidRPr="007956F1">
              <w:rPr>
                <w:b/>
                <w:u w:val="single"/>
              </w:rPr>
              <w:t>Likuma 1.pantā</w:t>
            </w:r>
            <w:r w:rsidR="00696756" w:rsidRPr="007956F1">
              <w:t xml:space="preserve"> definēti lietotie termini.</w:t>
            </w:r>
            <w:r w:rsidRPr="007956F1">
              <w:t xml:space="preserve"> </w:t>
            </w:r>
            <w:r w:rsidR="005C57D3" w:rsidRPr="007956F1">
              <w:t xml:space="preserve">Galvenokārt likumprojekta 1.pantā  izmantotas likumā “Par uzņēmumu ienākuma nodokli” līdz šim lietotās definīcijas un terminiem, kas netiek speciāli definēti </w:t>
            </w:r>
            <w:r w:rsidR="001200AA" w:rsidRPr="007956F1">
              <w:t xml:space="preserve">tiek izmantoti </w:t>
            </w:r>
            <w:r w:rsidR="005C57D3" w:rsidRPr="007956F1">
              <w:t xml:space="preserve">jau </w:t>
            </w:r>
            <w:r w:rsidR="001200AA" w:rsidRPr="007956F1">
              <w:t>citos likumos lietot</w:t>
            </w:r>
            <w:r w:rsidR="00644565" w:rsidRPr="007956F1">
              <w:t>ie</w:t>
            </w:r>
            <w:r w:rsidR="001200AA" w:rsidRPr="007956F1">
              <w:t xml:space="preserve"> termini (Likuma 1.panta pirmā daļa), piemēram,</w:t>
            </w:r>
            <w:r w:rsidR="00696756" w:rsidRPr="007956F1">
              <w:t xml:space="preserve"> terminu “saistīta persona”</w:t>
            </w:r>
            <w:r w:rsidR="001200AA" w:rsidRPr="007956F1">
              <w:t xml:space="preserve"> lieto atbilstoši likumā “Par nodokļiem un nod</w:t>
            </w:r>
            <w:r w:rsidR="00696756" w:rsidRPr="007956F1">
              <w:t>evām” definētajai.</w:t>
            </w:r>
            <w:r w:rsidR="001200AA" w:rsidRPr="007956F1">
              <w:t xml:space="preserve"> Likumā ir ietvertas definīcijas</w:t>
            </w:r>
            <w:r w:rsidR="00644565" w:rsidRPr="007956F1">
              <w:t>,</w:t>
            </w:r>
            <w:r w:rsidR="001200AA" w:rsidRPr="007956F1">
              <w:t xml:space="preserve">  balstoties uz pārņemtajām </w:t>
            </w:r>
            <w:r w:rsidR="00644565" w:rsidRPr="007956F1">
              <w:t xml:space="preserve">Eiropas Savienības </w:t>
            </w:r>
            <w:r w:rsidR="001200AA" w:rsidRPr="007956F1">
              <w:t>direktīvām, kā arī jaunas definīcijas, ņemot vērā specifisku UIN piemērošanu atsevišķiem UIN bāzes elementiem, piemēram, dividendei pielīdzināt</w:t>
            </w:r>
            <w:r w:rsidR="00644565" w:rsidRPr="007956F1">
              <w:t xml:space="preserve">as izmaksas. </w:t>
            </w:r>
          </w:p>
          <w:p w:rsidR="00380988" w:rsidRPr="007956F1" w:rsidRDefault="00380988" w:rsidP="00380988">
            <w:pPr>
              <w:ind w:right="149" w:firstLine="260"/>
              <w:jc w:val="both"/>
            </w:pPr>
            <w:r w:rsidRPr="007956F1">
              <w:t>Likuma 1.panta astotā daļa paredz, ka dividendei pielīdzināta izmaksa ir:</w:t>
            </w:r>
          </w:p>
          <w:p w:rsidR="00380988" w:rsidRPr="007956F1" w:rsidRDefault="00380988" w:rsidP="00380988">
            <w:pPr>
              <w:ind w:right="149" w:firstLine="260"/>
              <w:jc w:val="both"/>
            </w:pPr>
            <w:r w:rsidRPr="007956F1">
              <w:t>1)</w:t>
            </w:r>
            <w:r w:rsidRPr="007956F1">
              <w:tab/>
              <w:t>kooperatīvās sabiedrības peļņas (atbilstīgajā lauksaimniecības pakalpojumu kooperatīvajā sabiedrībā un atbilstīgajā mežsaimniecības pakalpojumu kooperatīvajā sabiedrībā — pārpalikuma) atmaksa sabiedrības biedriem atbilstoši viņu izmantoto kooperatīvās sabiedrības pakalpojumu apjomam;</w:t>
            </w:r>
          </w:p>
          <w:p w:rsidR="00380988" w:rsidRPr="007956F1" w:rsidRDefault="00380988" w:rsidP="00380988">
            <w:pPr>
              <w:ind w:right="149" w:firstLine="260"/>
              <w:jc w:val="both"/>
            </w:pPr>
            <w:r w:rsidRPr="007956F1">
              <w:t>2)</w:t>
            </w:r>
            <w:r w:rsidRPr="007956F1">
              <w:tab/>
              <w:t xml:space="preserve">individuālā uzņēmuma (arī zemnieka vai zvejnieka saimniecības) pārskata gada un iepriekšējo gadu nesadalītās peļņas sadale, kas nav minēta šā likuma 4.panta otrās daļas 2.punktā; </w:t>
            </w:r>
          </w:p>
          <w:p w:rsidR="00380988" w:rsidRPr="007956F1" w:rsidRDefault="00380988" w:rsidP="00380988">
            <w:pPr>
              <w:ind w:right="149" w:firstLine="260"/>
              <w:jc w:val="both"/>
            </w:pPr>
            <w:r w:rsidRPr="007956F1">
              <w:t>3)</w:t>
            </w:r>
            <w:r w:rsidRPr="007956F1">
              <w:tab/>
              <w:t>personālsabiedrības peļņas daļas izmaksa, izņemot personālsabiedrības formā nodibināta ieguldījumu fonda peļņas daļas izmaksu;</w:t>
            </w:r>
          </w:p>
          <w:p w:rsidR="00380988" w:rsidRPr="007956F1" w:rsidRDefault="00380988" w:rsidP="00380988">
            <w:pPr>
              <w:ind w:right="149" w:firstLine="260"/>
              <w:jc w:val="both"/>
            </w:pPr>
            <w:r w:rsidRPr="007956F1">
              <w:t>4)</w:t>
            </w:r>
            <w:r w:rsidRPr="007956F1">
              <w:tab/>
              <w:t>nerezidenta patstāvīgās pārstāvniecības (turpmāk – pastāvīgā pārstāvniecība) maksājumi nerezidentam, kura pastāvīgā pārstāvniecība tā ir, ja tie nav uzskatāmi par nerezidenta izdevumiem, kas nodrošina patstāvīgās pārstāvniecības saimniecisko darbību.</w:t>
            </w:r>
          </w:p>
          <w:p w:rsidR="00380988" w:rsidRPr="007956F1" w:rsidRDefault="00380988" w:rsidP="00380988">
            <w:pPr>
              <w:ind w:right="149" w:firstLine="260"/>
              <w:jc w:val="both"/>
            </w:pPr>
            <w:r w:rsidRPr="007956F1">
              <w:t xml:space="preserve">Minētā definīcija iekļauta ņemot vērā, ka </w:t>
            </w:r>
            <w:r w:rsidR="00E31D70" w:rsidRPr="007956F1">
              <w:t xml:space="preserve">šiem subjektiem salīdzinājumā ar kapitālsabiedrību nav noteikts pamatkapitāla lielums. Lai nodrošinātu vispārējo UIN principu, ka UIN tiek </w:t>
            </w:r>
            <w:r w:rsidR="003A6AA6" w:rsidRPr="007956F1">
              <w:t>uz</w:t>
            </w:r>
            <w:r w:rsidR="00E31D70" w:rsidRPr="007956F1">
              <w:t xml:space="preserve">likts tikai tad, kad </w:t>
            </w:r>
            <w:r w:rsidR="003A6AA6" w:rsidRPr="007956F1">
              <w:t xml:space="preserve">uzņēmuma </w:t>
            </w:r>
            <w:r w:rsidR="00E31D70" w:rsidRPr="007956F1">
              <w:t>līdzekļi ne</w:t>
            </w:r>
            <w:r w:rsidR="003A6AA6" w:rsidRPr="007956F1">
              <w:t xml:space="preserve">tiek izmantoti </w:t>
            </w:r>
            <w:r w:rsidR="00E31D70" w:rsidRPr="007956F1">
              <w:t>uzņēmuma attīstībai, bet tad</w:t>
            </w:r>
            <w:r w:rsidR="00F9160C" w:rsidRPr="007956F1">
              <w:t>,</w:t>
            </w:r>
            <w:r w:rsidR="00E31D70" w:rsidRPr="007956F1">
              <w:t xml:space="preserve"> kad t</w:t>
            </w:r>
            <w:r w:rsidR="003A6AA6" w:rsidRPr="007956F1">
              <w:t>ā</w:t>
            </w:r>
            <w:r w:rsidR="00E31D70" w:rsidRPr="007956F1">
              <w:t xml:space="preserve"> dalībnieks gūst labumu, ar Likuma 1.panta astoto daļu tiek nodrošināt</w:t>
            </w:r>
            <w:r w:rsidR="003A6AA6" w:rsidRPr="007956F1">
              <w:t>a</w:t>
            </w:r>
            <w:r w:rsidR="00E31D70" w:rsidRPr="007956F1">
              <w:t xml:space="preserve"> viennozīmīga izpratne, kurā brīdī uzņēmuma dalībnieks gūst ienākumu un rodas ar UIN apliekams objekts.</w:t>
            </w:r>
          </w:p>
          <w:p w:rsidR="00380988" w:rsidRPr="007956F1" w:rsidRDefault="00380988" w:rsidP="00380988">
            <w:pPr>
              <w:ind w:right="149" w:firstLine="260"/>
              <w:jc w:val="both"/>
            </w:pPr>
            <w:r w:rsidRPr="007956F1">
              <w:t>Likuma 1.panta astotās daļas 2.punkts nosaka, ka dividendei pielīdzināta izmaksa ir arī individuālā uzņēmuma (arī zemnieka vai zvejnieka saimniecības)</w:t>
            </w:r>
            <w:r w:rsidR="00F9160C" w:rsidRPr="007956F1">
              <w:t xml:space="preserve"> (turpmāk - IU)</w:t>
            </w:r>
            <w:r w:rsidRPr="007956F1">
              <w:t xml:space="preserve"> pārskata gada un iepriekšējo gadu nesadalītās peļņas sadale, kas nav minēta likuma 4.panta otrās daļas 2.punktā.  </w:t>
            </w:r>
            <w:r w:rsidR="00F9160C" w:rsidRPr="007956F1">
              <w:t>Ņ</w:t>
            </w:r>
            <w:r w:rsidRPr="007956F1">
              <w:t xml:space="preserve">emot vērā, ka </w:t>
            </w:r>
            <w:r w:rsidR="00F9160C" w:rsidRPr="007956F1">
              <w:t>IU</w:t>
            </w:r>
            <w:r w:rsidRPr="007956F1">
              <w:t xml:space="preserve"> ir juridiskas personas, tad gan </w:t>
            </w:r>
            <w:r w:rsidR="003A6AA6" w:rsidRPr="007956F1">
              <w:t xml:space="preserve">esošā </w:t>
            </w:r>
            <w:r w:rsidRPr="007956F1">
              <w:t>likuma “Par uzņēmumu ienākuma nodokli”, gan arī Likuma normas paredz, ka minētie uzņēmumi var būt UIN maksātāji. Savukārt, ņemot vērā, ka šo uzņēmumu īpašnieks atbild ar visu savu mantu, tad minētie uzņēmumi var izvēlēties būt UIN maksātāji vai</w:t>
            </w:r>
            <w:r w:rsidR="003A6AA6" w:rsidRPr="007956F1">
              <w:t xml:space="preserve">, ka </w:t>
            </w:r>
            <w:r w:rsidRPr="007956F1">
              <w:t>to īpašnieks par IU ienākumu maksā iedzīvotāju ienākuma nodokli</w:t>
            </w:r>
            <w:r w:rsidR="00F9160C" w:rsidRPr="007956F1">
              <w:t xml:space="preserve"> (turpmāk </w:t>
            </w:r>
            <w:r w:rsidR="003A6AA6" w:rsidRPr="007956F1">
              <w:t xml:space="preserve">- </w:t>
            </w:r>
            <w:r w:rsidR="00F9160C" w:rsidRPr="007956F1">
              <w:t>IIN)</w:t>
            </w:r>
            <w:r w:rsidRPr="007956F1">
              <w:t xml:space="preserve">. </w:t>
            </w:r>
            <w:r w:rsidR="00F9160C" w:rsidRPr="007956F1">
              <w:t>L</w:t>
            </w:r>
            <w:r w:rsidRPr="007956F1">
              <w:t>ikuma “Par uzņēmumu ienākuma nodokli”, gan arī Likuma normas saglabā vienādu</w:t>
            </w:r>
            <w:r w:rsidR="003A6AA6" w:rsidRPr="007956F1">
              <w:t>s</w:t>
            </w:r>
            <w:r w:rsidRPr="007956F1">
              <w:t xml:space="preserve"> UIN piemērošanas principus neatkarīgi no tā, vai nodokļu maksātājs atbild vai neatbild ar visu savu mantu. IU maksājot UIN vai attiecīgi IIN par IU ienākumu ir jānodala visi aktīvi, kurus IU izmanto savas saimnieciskās darbības veikšanai. Savukārt visi līdzekļi, kurus IU izņem no IU un turpmāk nav paredzēti saimnieciskās darbības nodrošināšanai veido ar IIN vai attiecīgi ar UIN apliekamu objektu. Nenodalot IU peļņu, veidosies situācija, kad visi IU gūtie ienākumi ir apliekami ar IIN vai UIN jau tā gūšanas posmā, kas ir netaisnīgi vērtējot pret citiem </w:t>
            </w:r>
            <w:r w:rsidR="00F9160C" w:rsidRPr="007956F1">
              <w:t xml:space="preserve">nodokļa </w:t>
            </w:r>
            <w:r w:rsidRPr="007956F1">
              <w:t>maksātājiem.</w:t>
            </w:r>
          </w:p>
          <w:p w:rsidR="00D61B9A" w:rsidRPr="007956F1" w:rsidRDefault="00D61B9A" w:rsidP="00380988">
            <w:pPr>
              <w:ind w:right="149" w:firstLine="260"/>
              <w:jc w:val="both"/>
            </w:pPr>
            <w:r w:rsidRPr="007956F1">
              <w:t xml:space="preserve">Piemērojot Likuma 1.panta divpadsmito daļa  ir attiecināma arī uz to peļņas daļu, kura ir ieskaitīta rezervēs un par kuru palielina iekšzemes uzņēmuma pamatkapitāla apmēru.  </w:t>
            </w:r>
          </w:p>
          <w:p w:rsidR="004F0416" w:rsidRPr="007956F1" w:rsidRDefault="004F0416" w:rsidP="00A4169E">
            <w:pPr>
              <w:ind w:right="149" w:firstLine="260"/>
              <w:jc w:val="both"/>
              <w:rPr>
                <w:b/>
                <w:u w:val="single"/>
              </w:rPr>
            </w:pPr>
          </w:p>
          <w:p w:rsidR="00A4169E" w:rsidRPr="007956F1" w:rsidRDefault="00A4169E" w:rsidP="00A4169E">
            <w:pPr>
              <w:ind w:right="149" w:firstLine="260"/>
              <w:jc w:val="both"/>
            </w:pPr>
            <w:r w:rsidRPr="007956F1">
              <w:rPr>
                <w:b/>
                <w:u w:val="single"/>
              </w:rPr>
              <w:t>Likumā 2.panta</w:t>
            </w:r>
            <w:r w:rsidR="00696756" w:rsidRPr="007956F1">
              <w:t xml:space="preserve"> pirmā daļa nosaka kas tiek uzska</w:t>
            </w:r>
            <w:r w:rsidRPr="007956F1">
              <w:t xml:space="preserve">tīti </w:t>
            </w:r>
            <w:r w:rsidR="00696756" w:rsidRPr="007956F1">
              <w:t xml:space="preserve">par </w:t>
            </w:r>
            <w:r w:rsidRPr="007956F1">
              <w:t>UIN maksātāji</w:t>
            </w:r>
            <w:r w:rsidR="00696756" w:rsidRPr="007956F1">
              <w:t>em</w:t>
            </w:r>
            <w:r w:rsidRPr="007956F1">
              <w:t xml:space="preserve">. Pamatā Likumā tiek saglabāts likumā “Par uzņēmumu ienākuma nodokli” ietvertais UIN maksātāju loks. Papildus tam, ņemot vērā, ka Likuma normas UIN paredz maksāt tikai par sadalīto peļņu, tad turpmāk par  UIN maksātājiem kļūs arī personālsabiedrības un visas kooperatīvās sabiedrības (kam līdz šim bija izņēmuma statuss). Ņemot vērā, ka minētajām kooperatīvajām sabiedrībām arī šobrīd UIN jāmaksā tikai tad, kad peļņa tiek sadalīta, tad UIN bāze jaunajā Likumā pamatā neizmainīsies, izņemot to, ka nodokli par sadalīto peļņu maksās pati kooperatīvā sabiedrības, nevis tās biedri. </w:t>
            </w:r>
          </w:p>
          <w:p w:rsidR="00A4169E" w:rsidRPr="007956F1" w:rsidRDefault="00A4169E" w:rsidP="00A4169E">
            <w:pPr>
              <w:ind w:right="149" w:firstLine="260"/>
              <w:jc w:val="both"/>
            </w:pPr>
            <w:r w:rsidRPr="007956F1">
              <w:t>Lai nodrošinātu saprotamu un vienotu UIN piemērošanu  ieguldījumu fondiem un alternatīvo ieguldījumu fondiem, Likums paredz, ka minētie fondi UIN nemaksā</w:t>
            </w:r>
            <w:r w:rsidR="00696756" w:rsidRPr="007956F1">
              <w:t xml:space="preserve">. </w:t>
            </w:r>
            <w:r w:rsidRPr="007956F1">
              <w:t xml:space="preserve">Ņemot vērā, ka par fondu gūto ienākumu attiecīgu nodokli maksā ieguldītājs, tad Likums nosaka, ka par ieguldītājiem izmaksātajām summām fondi sniedz informāciju Valsts ieņēmumu dienestā (turpmāk – VID) vienu reizi gadā. Savukārt, ja minētie fondi neievēro Likuma nosacījumus, par izdarītajiem pārkāpumiem atbildīgs ir ieguldījumu sabiedrības pārvaldītājs (Likuma 16.panta trešā daļa). </w:t>
            </w:r>
          </w:p>
          <w:p w:rsidR="00A4169E" w:rsidRPr="007956F1" w:rsidRDefault="00A4169E" w:rsidP="00A4169E">
            <w:pPr>
              <w:ind w:right="149" w:firstLine="260"/>
              <w:jc w:val="both"/>
            </w:pPr>
            <w:r w:rsidRPr="007956F1">
              <w:t xml:space="preserve">Tāpat kā līdz šim arī Likuma 2.panta otrās daļas 5.punkts paredz, ka privātie pensiju fondi  nav UIN maksātāji. Minētais regulējums noteikts ņemot vērā, ka privāto pensiju fondu mērķis ir fizisko personu pensiju uzkrājumu veidošana un privāto ieguldījumu fondu peļņa tiek aplikta ar ienākuma nodokli tās saņēmēju līmenī. Privāto pensiju fondu uzkrāto līdzekļu saņēmēji ir fiziskas personas, kuri attiecīgi par gūtajiem ieņēmumiem maksā iedzīvotāju ienākuma nodokli. </w:t>
            </w:r>
          </w:p>
          <w:p w:rsidR="00A4169E" w:rsidRPr="007956F1" w:rsidRDefault="00A4169E" w:rsidP="00A4169E">
            <w:pPr>
              <w:ind w:right="149" w:firstLine="260"/>
              <w:jc w:val="both"/>
            </w:pPr>
            <w:r w:rsidRPr="007956F1">
              <w:t>Arī attiecībā uz biedrībām un nodibinājumiem Likums kā līdz šim paredz, ja to dibināšanas atklāts vai slēpts mērķis nav peļņas vai kapitāla pieaugu</w:t>
            </w:r>
            <w:r w:rsidR="001A0A53" w:rsidRPr="007956F1">
              <w:t>m</w:t>
            </w:r>
            <w:r w:rsidR="00C80EDD" w:rsidRPr="007956F1">
              <w:t>s</w:t>
            </w:r>
            <w:r w:rsidRPr="007956F1">
              <w:t xml:space="preserve">, tās nav UIN maksātāji (Likuma 2.panta otrās daļas </w:t>
            </w:r>
            <w:r w:rsidR="00E041F0" w:rsidRPr="007956F1">
              <w:t>7</w:t>
            </w:r>
            <w:r w:rsidRPr="007956F1">
              <w:t>.punkts).</w:t>
            </w:r>
          </w:p>
          <w:p w:rsidR="00A4169E" w:rsidRPr="007956F1" w:rsidRDefault="00A4169E" w:rsidP="00A4169E">
            <w:pPr>
              <w:ind w:right="149" w:firstLine="260"/>
              <w:jc w:val="both"/>
            </w:pPr>
            <w:r w:rsidRPr="007956F1">
              <w:t xml:space="preserve">Biedrību un nodibinājumu likuma 7.pants nosaka, ka biedrībai un nodibinājumam ir tiesības papilddarbības veidā veikt saimniecisko darbību, kas saistīta ar sava īpašuma uzturēšanu vai izmantošanu, kā arī veikt citu saimniecisko darbību, lai sasniegtu biedrības un nodibinājuma mērķus. Biedrības un nodibinājuma ienākumus drīkst izmantot vienīgi statūtos noteiktā mērķa sasniegšanai. Peļņu, kas gūta no biedrības un nodibinājuma veiktās saimnieciskās darbības, nedrīkst sadalīt starp biedrības biedriem vai nodibinājuma dibinātājiem. </w:t>
            </w:r>
          </w:p>
          <w:p w:rsidR="00A4169E" w:rsidRPr="007956F1" w:rsidRDefault="00A4169E" w:rsidP="00A4169E">
            <w:pPr>
              <w:ind w:right="149" w:firstLine="260"/>
              <w:jc w:val="both"/>
            </w:pPr>
            <w:r w:rsidRPr="007956F1">
              <w:t>Tādējādi, ja biedrības vai nodibinājumi saimniecisko darbību veic tikai kā papildus darbību, tad minētās biedrības un nodibinājumi UIN nemaksā.</w:t>
            </w:r>
          </w:p>
          <w:p w:rsidR="006A7521" w:rsidRPr="007956F1" w:rsidRDefault="006A7521" w:rsidP="00A4169E">
            <w:pPr>
              <w:ind w:right="149" w:firstLine="260"/>
              <w:jc w:val="both"/>
            </w:pPr>
          </w:p>
          <w:p w:rsidR="006E11B0" w:rsidRPr="007956F1" w:rsidRDefault="006E11B0" w:rsidP="006E11B0">
            <w:pPr>
              <w:ind w:right="149" w:firstLine="260"/>
              <w:jc w:val="both"/>
              <w:rPr>
                <w:b/>
                <w:i/>
              </w:rPr>
            </w:pPr>
            <w:r w:rsidRPr="007956F1">
              <w:rPr>
                <w:b/>
                <w:u w:val="single"/>
              </w:rPr>
              <w:t>Likuma 3.pants nosaka</w:t>
            </w:r>
            <w:r w:rsidRPr="007956F1">
              <w:t xml:space="preserve">, ka UIN taksācijas periods ir mēnesis. Savukārt, ņemot vērā, ka grāmatvedības normas mazajiem (individuālie (ģimenes) uzņēmumi un zemnieku un zvejnieku saimniecības) uzņēmumiem paredz iespēju veikt dokumentu grāmatojumu vienu reizi ceturksnī, tad Likuma normas (3.panta trešā daļa) šiem nodokļa maksātājiem paredz iespēju UIN maksāt vienu reizi ceturksnī, ja attiecīgajā ceturksnī veidojas ar UIN apliekama bāze. </w:t>
            </w:r>
          </w:p>
          <w:p w:rsidR="006E11B0" w:rsidRPr="007956F1" w:rsidRDefault="006E11B0" w:rsidP="006E11B0">
            <w:pPr>
              <w:ind w:right="149" w:firstLine="260"/>
              <w:jc w:val="both"/>
              <w:rPr>
                <w:b/>
              </w:rPr>
            </w:pPr>
            <w:r w:rsidRPr="007956F1">
              <w:t xml:space="preserve">UIN likme tiek noteikta 20 procentu apmērā no ar nodokli apliekamās bāzes, kura tiek dalīta ar koeficientu 0.8. Savukārt nodokļa bāze veidojas no nodokļa objektiem. Koeficientu 0.8 piemēro, lai no izmaksātā (neto) dividenžu apmēra aprēķinātu bruto UIN bāzi.  Piemēram, kapitālsabiedrības peļņa 2018.gadā ir 2000 </w:t>
            </w:r>
            <w:proofErr w:type="spellStart"/>
            <w:r w:rsidRPr="007956F1">
              <w:t>euro</w:t>
            </w:r>
            <w:proofErr w:type="spellEnd"/>
            <w:r w:rsidRPr="007956F1">
              <w:t xml:space="preserve">. Saskaņā ar dalībnieku lēmumu ½ peļņas iespējams novirzīt dividendēm, kas tiek sadalīta biedriem dividendēs (fiziskām personām). Tātad šajā brīdī UIN bāzes elements ir 1000 </w:t>
            </w:r>
            <w:proofErr w:type="spellStart"/>
            <w:r w:rsidRPr="007956F1">
              <w:t>euro</w:t>
            </w:r>
            <w:proofErr w:type="spellEnd"/>
            <w:r w:rsidRPr="007956F1">
              <w:t xml:space="preserve"> (bruto), kas veido ar UIN apliekamu objektu, kuram piemērojama 20% likme. Kapitālsabiedrībai budžetā jāpārskaita 200euro, bet dividenžu saņēmējam 800euro. </w:t>
            </w:r>
            <w:r w:rsidR="006A7521" w:rsidRPr="007956F1">
              <w:t xml:space="preserve"> Minētais princips ir attiecināms arī uz valsts kapitālsabiedrību nesadalīto peļņu, kur 90 procenti no nesadalītās peļņas tiek attiecīgi sadalīt</w:t>
            </w:r>
            <w:r w:rsidR="003A6AA6" w:rsidRPr="007956F1">
              <w:t>i</w:t>
            </w:r>
            <w:r w:rsidR="006A7521" w:rsidRPr="007956F1">
              <w:t xml:space="preserve"> 20 procent</w:t>
            </w:r>
            <w:r w:rsidR="003A6AA6" w:rsidRPr="007956F1">
              <w:t>os</w:t>
            </w:r>
            <w:r w:rsidR="006A7521" w:rsidRPr="007956F1">
              <w:t xml:space="preserve"> UIN un 80 procent</w:t>
            </w:r>
            <w:r w:rsidR="003A6AA6" w:rsidRPr="007956F1">
              <w:t>os</w:t>
            </w:r>
            <w:r w:rsidR="006A7521" w:rsidRPr="007956F1">
              <w:t xml:space="preserve"> pēc UIN nomaks</w:t>
            </w:r>
            <w:r w:rsidR="003A6AA6" w:rsidRPr="007956F1">
              <w:t>as valstij aprēķinātās dividendē</w:t>
            </w:r>
            <w:r w:rsidR="006A7521" w:rsidRPr="007956F1">
              <w:t>s</w:t>
            </w:r>
            <w:r w:rsidR="00BA6025" w:rsidRPr="007956F1">
              <w:t xml:space="preserve"> (piemēram, 90 procenti no 10000</w:t>
            </w:r>
            <w:r w:rsidR="003A6AA6" w:rsidRPr="007956F1">
              <w:t xml:space="preserve"> </w:t>
            </w:r>
            <w:proofErr w:type="spellStart"/>
            <w:r w:rsidR="00BA6025" w:rsidRPr="007956F1">
              <w:t>euro</w:t>
            </w:r>
            <w:proofErr w:type="spellEnd"/>
            <w:r w:rsidR="00BA6025" w:rsidRPr="007956F1">
              <w:t xml:space="preserve"> nesadalītās peļņas, t.i., 9000euro tiek reizināts ar 20 procentu likmi (rezultāts 1800euro – valstij aprēķinātais UIN).</w:t>
            </w:r>
          </w:p>
          <w:p w:rsidR="006E11B0" w:rsidRPr="007956F1" w:rsidRDefault="006E11B0" w:rsidP="006E11B0">
            <w:pPr>
              <w:ind w:right="149" w:firstLine="260"/>
              <w:jc w:val="both"/>
            </w:pPr>
            <w:r w:rsidRPr="007956F1">
              <w:t>Savukārt, ar UIN apliekamajā bāzē tiek iekļauti taksācijas periodā ar UIN apliekamie objekti (veiktās izmaksas, kas apliekamas ar UIN). Piemēram, ar UIN apliekamajā bāzē iekļauj izmaksātās dividendes 800</w:t>
            </w:r>
            <w:r w:rsidR="00E56971" w:rsidRPr="007956F1">
              <w:t xml:space="preserve"> </w:t>
            </w:r>
            <w:proofErr w:type="spellStart"/>
            <w:r w:rsidRPr="007956F1">
              <w:t>euro</w:t>
            </w:r>
            <w:proofErr w:type="spellEnd"/>
            <w:r w:rsidRPr="007956F1">
              <w:t>/0,8*20%=200</w:t>
            </w:r>
            <w:r w:rsidR="00E56971" w:rsidRPr="007956F1">
              <w:t xml:space="preserve"> </w:t>
            </w:r>
            <w:proofErr w:type="spellStart"/>
            <w:r w:rsidRPr="007956F1">
              <w:t>euro</w:t>
            </w:r>
            <w:proofErr w:type="spellEnd"/>
            <w:r w:rsidRPr="007956F1">
              <w:t xml:space="preserve"> (UIN), savukārt, ja akciju turētājs saņemtu dividendes bruto vērtībā, tad ar UIN apliekamajā bāzē jāiekļauj aprēķināto dividenžu summa 1000</w:t>
            </w:r>
            <w:r w:rsidR="00E56971" w:rsidRPr="007956F1">
              <w:t xml:space="preserve"> </w:t>
            </w:r>
            <w:proofErr w:type="spellStart"/>
            <w:r w:rsidRPr="007956F1">
              <w:t>euro</w:t>
            </w:r>
            <w:proofErr w:type="spellEnd"/>
            <w:r w:rsidR="0069656B" w:rsidRPr="007956F1">
              <w:t>,</w:t>
            </w:r>
            <w:r w:rsidRPr="007956F1">
              <w:t xml:space="preserve"> par kuru jāaprēķina UIN, t.i., 1000</w:t>
            </w:r>
            <w:r w:rsidR="00E56971" w:rsidRPr="007956F1">
              <w:t xml:space="preserve"> </w:t>
            </w:r>
            <w:proofErr w:type="spellStart"/>
            <w:r w:rsidRPr="007956F1">
              <w:t>euro</w:t>
            </w:r>
            <w:proofErr w:type="spellEnd"/>
            <w:r w:rsidRPr="007956F1">
              <w:t>/0,8*20%=250</w:t>
            </w:r>
            <w:r w:rsidR="00E56971" w:rsidRPr="007956F1">
              <w:t xml:space="preserve"> </w:t>
            </w:r>
            <w:proofErr w:type="spellStart"/>
            <w:r w:rsidRPr="007956F1">
              <w:t>euro</w:t>
            </w:r>
            <w:proofErr w:type="spellEnd"/>
            <w:r w:rsidRPr="007956F1">
              <w:t xml:space="preserve"> (UIN) (saskaņā ar 4.pantā noteikto).</w:t>
            </w:r>
          </w:p>
          <w:p w:rsidR="006A7521" w:rsidRPr="007956F1" w:rsidRDefault="006A7521" w:rsidP="006E11B0">
            <w:pPr>
              <w:ind w:right="149" w:firstLine="260"/>
              <w:jc w:val="both"/>
            </w:pPr>
          </w:p>
          <w:p w:rsidR="006E11B0" w:rsidRPr="007956F1" w:rsidRDefault="006E11B0" w:rsidP="006E11B0">
            <w:pPr>
              <w:ind w:right="149" w:firstLine="260"/>
              <w:jc w:val="both"/>
            </w:pPr>
            <w:r w:rsidRPr="007956F1">
              <w:rPr>
                <w:b/>
                <w:u w:val="single"/>
              </w:rPr>
              <w:t>Likuma 4.pantā</w:t>
            </w:r>
            <w:r w:rsidRPr="007956F1">
              <w:rPr>
                <w:u w:val="single"/>
              </w:rPr>
              <w:t xml:space="preserve"> </w:t>
            </w:r>
            <w:r w:rsidRPr="007956F1">
              <w:t xml:space="preserve">definēta ar UIN apliekamā bāze, kas veidojas no sadalītās peļņas un nosacīti sadalītās peļņas.  </w:t>
            </w:r>
          </w:p>
          <w:p w:rsidR="006E11B0" w:rsidRPr="007956F1" w:rsidRDefault="006E11B0" w:rsidP="006E11B0">
            <w:pPr>
              <w:ind w:right="149" w:firstLine="260"/>
              <w:jc w:val="both"/>
            </w:pPr>
            <w:r w:rsidRPr="007956F1">
              <w:t>Līdzīgi kā to paredz likuma ”Par uzņēmumu ienākuma nodokli” arī Likuma normas (Likuma 6.pants) paredz neaplikt ar UIN saņemtās dividendes. Ņemot vērā, ka UIN piemērošana ir pārcelta no peļņas gūšanas brīža uz peļņas sadales brīdi, tad Likuma normas paredz iespēju samazināt taksācijas periodā ar nodokli apliekamajā bāzē iekļauto dividenžu apmēru tādā apmērā, kādā nodokļu maksātājs taksācijas periodā ir saņēmis dividendes  no personas, kas attiecīgajā valstī maksā UIN. Nodokļa maksātājs ir tiesīgs pārnest uz nākamajiem taksācijas periodiem starpību, kura rodas, ja saņemto dividenžu summa ir lielāka par taksācijas periodā aprēķināto dividenžu summu, kura iekļauta ar UIN apliekamajā bāzē. Likumā ietvertas normas, kas nosaka, ka dividendes ir attiecināmas arī uz dividendēm pielīdzināmajām izmaksām. Minētais ir piemērojams arī attiecībā uz pastāvīgajām pārstāvniecībām attiecinātajām, saņemtajām un izmaksātajām dividendēm tā galvenajam uzņēmumam.</w:t>
            </w:r>
          </w:p>
          <w:p w:rsidR="006E11B0" w:rsidRPr="007956F1" w:rsidRDefault="006E11B0" w:rsidP="006E11B0">
            <w:pPr>
              <w:ind w:right="149" w:firstLine="260"/>
              <w:jc w:val="both"/>
            </w:pPr>
            <w:r w:rsidRPr="007956F1">
              <w:t xml:space="preserve">Ņemot vērā, ka atsevišķi subjekti sadala peļņu, kuras izmaksa dalībniekam saskaņā ar Komerclikumu netiek definēta kā dividende, Likuma 4.panta otrās daļas 1.punkta “b” apakšpunktā ietverts plašāks dividenžu uzskaitījums, proti, dividendēm pielīdzināmās izmaksas attiecībā uz kooperatīvās sabiedrības peļņu, individuālā (ģimenes) uzņēmuma un zemnieka vai zvejnieka saimniecības peļņu, personālsabiedrības peļņas daļas izmaksu un nerezidenta patstāvīgo pārstāvniecību. </w:t>
            </w:r>
          </w:p>
          <w:p w:rsidR="006E11B0" w:rsidRPr="007956F1" w:rsidRDefault="006E11B0" w:rsidP="006E11B0">
            <w:pPr>
              <w:ind w:right="149" w:firstLine="260"/>
              <w:jc w:val="both"/>
            </w:pPr>
            <w:r w:rsidRPr="007956F1">
              <w:t>Savukārt Likuma 4.panta otrās daļas 1.punkta “c” apakšpunkts un 7.pants paredz UIN piemērošanu peļņai, par kuru tiek palielināts pamatkapitāl</w:t>
            </w:r>
            <w:r w:rsidR="000D74E2" w:rsidRPr="007956F1">
              <w:t>s</w:t>
            </w:r>
            <w:r w:rsidRPr="007956F1">
              <w:t>, vai tam pielīdzināts kapitāls (piemēram, personālsabiedrība), t.i., nosacītās dividendes  (kas definēts Likuma 1.panta divpadsmitajā daļā) par kurām UIN tiek atlikts uz brīdi, kad pamatkapitāls vai tam pielīdzinātais kapitāls tiek samazināts. Ņemot vērā, ka personālsabiedrības un kooperatīvās sabiedrības darbības specifika atšķiras no kapitālsabiedrības darbības, kur personālsabiedrības un kooperatīvās sabiedrības izmaksas finansē paši biedri, veidojot uzkrājumus un sedzot zaudējumus, minētajām personām nosacītās dividendes iekļauj ar UIN apliekamajā bāzē tad, kad biedrs atsavina akcijas.</w:t>
            </w:r>
          </w:p>
          <w:p w:rsidR="006E11B0" w:rsidRPr="007956F1" w:rsidRDefault="006E11B0" w:rsidP="006E11B0">
            <w:pPr>
              <w:ind w:right="149" w:firstLine="260"/>
              <w:jc w:val="both"/>
            </w:pPr>
            <w:r w:rsidRPr="007956F1">
              <w:t xml:space="preserve">Attiecībā uz </w:t>
            </w:r>
            <w:r w:rsidRPr="007956F1">
              <w:rPr>
                <w:u w:val="single"/>
              </w:rPr>
              <w:t>nosacīti sadalīto peļņu</w:t>
            </w:r>
            <w:r w:rsidRPr="007956F1">
              <w:rPr>
                <w:b/>
                <w:i/>
              </w:rPr>
              <w:t xml:space="preserve"> </w:t>
            </w:r>
            <w:r w:rsidRPr="007956F1">
              <w:t>Likuma normas nosaka, ka ar UIN apliekamajā bāzē iekļauj peļņas sadali, kas netiek novirzīta nodokļa maksātāja turpmākai attīstībai. Tāpat kā esošā likuma “Par uzņēmumu ienākuma nodokli” normas, arī Likums paredz, ka UIN apliekamo bāzi nevar samazināt par izdevumiem, kas nav saistīti ar saimnieciskās darbības nodrošināšanu u.c. 4.panta otrās daļas 2.punktā uzskaitītie izdevumi.</w:t>
            </w:r>
          </w:p>
          <w:p w:rsidR="006E11B0" w:rsidRPr="007956F1" w:rsidRDefault="006E11B0" w:rsidP="006E11B0">
            <w:pPr>
              <w:ind w:right="149" w:firstLine="260"/>
              <w:jc w:val="both"/>
            </w:pPr>
            <w:r w:rsidRPr="007956F1">
              <w:t>Lai sekmētu uzņēmuma attīstību un atbalstītu tā sadarbību ar klientiem un motivētu darbiniekus, Likums paredz iespēju neiekļaut ar UIN apliekamajā bāzē reprezentācijas izdevumus un personāla ilgtspējas pasākumu izdevumus, kas nepārsniedz 5 procentus no pirmstaksācijas gada bruto darba algas, par kuru samaksāti valsts sociālās apdrošināšanas maksājumi, ja šie izdevumi uzskaitīti dalīti no citiem izdevumiem.</w:t>
            </w:r>
          </w:p>
          <w:p w:rsidR="007956F1" w:rsidRDefault="006E11B0" w:rsidP="006E11B0">
            <w:pPr>
              <w:ind w:right="149" w:firstLine="260"/>
              <w:jc w:val="both"/>
            </w:pPr>
            <w:r w:rsidRPr="007956F1">
              <w:t>Likuma 4.panta ceturtā daļa nosaka, ka UIN tiek maksāts nākošajā mēnesī, pēc tam, kad izmaksa, kas veido ar UIN apliekamu objektu tiek  iegrāmatota, neatkarīgi no tā, kad faktiski tiek veikta izmaksa</w:t>
            </w:r>
            <w:r w:rsidR="0012245C" w:rsidRPr="007956F1">
              <w:t>,</w:t>
            </w:r>
            <w:r w:rsidRPr="007956F1">
              <w:t xml:space="preserve"> </w:t>
            </w:r>
            <w:r w:rsidR="000D74E2" w:rsidRPr="007956F1">
              <w:t>t</w:t>
            </w:r>
            <w:r w:rsidRPr="007956F1">
              <w:t>.i., ar UIN apliekama bāze neveidojas brīdī, kad nodokļa maksātājs veic, piemēram, avansa maksājumu par pakalpojumu, kurš nav paredzēts saimnieciskās darbības nodrošināšanai, bet gan mēnesī, kurā tiek saņemts pakalpojums. Tāpat kā likumā “Par uzņēmumu ienākuma nodokli” arī Likuma normas paredz, ka pārvērtēšana nevar ietekmēt ar UIN apliekamo bāzi, t.i., ja ar UIN apliekam</w:t>
            </w:r>
            <w:r w:rsidR="000D74E2" w:rsidRPr="007956F1">
              <w:t>ā</w:t>
            </w:r>
            <w:r w:rsidRPr="007956F1">
              <w:t xml:space="preserve"> objekta vērtība ir samazinājusies pārvērtēšanas rezultātā,  tad ar UIN apliekamā bāzē iekļauj ne tikai šī objekta vērtību, bet arī samazināto summu, kas radusies pārvērtēšanas rezultātā, piemēram, iegādātās automašīnas, kura tiek dāvināta biedrībai, vērtība pārvērtēšanas rezultātā ir samazināta, ar UIN apliekamajā bāzē ietver vis</w:t>
            </w:r>
            <w:r w:rsidR="000D74E2" w:rsidRPr="007956F1">
              <w:t>u</w:t>
            </w:r>
            <w:r w:rsidRPr="007956F1">
              <w:t xml:space="preserve"> automašīnas vērtību, t.sk., arī vērtības samazinājuma summu. </w:t>
            </w:r>
          </w:p>
          <w:p w:rsidR="006E11B0" w:rsidRPr="007956F1" w:rsidRDefault="007956F1" w:rsidP="006E11B0">
            <w:pPr>
              <w:ind w:right="149" w:firstLine="260"/>
              <w:jc w:val="both"/>
            </w:pPr>
            <w:r>
              <w:t>Likumprojektā tiek saglabāts esošais tonnāžas nodokļa režīms.</w:t>
            </w:r>
            <w:r w:rsidR="006E11B0" w:rsidRPr="007956F1">
              <w:t xml:space="preserve"> </w:t>
            </w:r>
          </w:p>
          <w:p w:rsidR="00E35EAA" w:rsidRPr="007956F1" w:rsidRDefault="005A2C4C" w:rsidP="006E11B0">
            <w:pPr>
              <w:ind w:right="149" w:firstLine="260"/>
              <w:jc w:val="both"/>
            </w:pPr>
            <w:r w:rsidRPr="007956F1">
              <w:t>Pamatā nerezidents UIN maksā savā rezidences valstī. Savukārt, j</w:t>
            </w:r>
            <w:r w:rsidR="008568BB" w:rsidRPr="007956F1">
              <w:t xml:space="preserve">a nerezidenta ienākuma izcelsmes avots ir Latvijā, tad </w:t>
            </w:r>
            <w:r w:rsidR="008568BB" w:rsidRPr="007956F1">
              <w:rPr>
                <w:b/>
                <w:i/>
              </w:rPr>
              <w:t>atbilstoši starptautiskajai praksei atsevišķiem</w:t>
            </w:r>
            <w:r w:rsidR="008568BB" w:rsidRPr="007956F1">
              <w:t xml:space="preserve"> ienākuma veidiem </w:t>
            </w:r>
            <w:r w:rsidRPr="007956F1">
              <w:t>ienākuma izcelsmes valsts</w:t>
            </w:r>
            <w:r w:rsidR="00E56971" w:rsidRPr="007956F1">
              <w:t xml:space="preserve"> pēc saviem ieskatiem </w:t>
            </w:r>
            <w:r w:rsidRPr="007956F1">
              <w:t xml:space="preserve"> ir tiesīga </w:t>
            </w:r>
            <w:r w:rsidR="008568BB" w:rsidRPr="007956F1">
              <w:t>uzlikt</w:t>
            </w:r>
            <w:r w:rsidRPr="007956F1">
              <w:t xml:space="preserve"> nodokli gūtajam ienākumam</w:t>
            </w:r>
            <w:r w:rsidR="008568BB" w:rsidRPr="007956F1">
              <w:t xml:space="preserve"> </w:t>
            </w:r>
            <w:r w:rsidR="001E2D15" w:rsidRPr="007956F1">
              <w:rPr>
                <w:b/>
                <w:u w:val="single"/>
              </w:rPr>
              <w:t>(Likuma 5.pants)</w:t>
            </w:r>
            <w:r w:rsidR="001E2D15" w:rsidRPr="007956F1">
              <w:t xml:space="preserve">. Nodoklis tiek aprēķināts no maksājamās summas, nevis no ienākuma, līdz ar to piemērojot attiecīgi zemāku UIN likmi nekā tā ir noteikta UIN maksātājiem, tiek ieviests nevis atšķirīgs nodokļa režīms, bet tiek koriģēta UIN piemērošana attiecībā uz nerezidentiem, lai pielāgotu vispārējo nodokļu režīmu nerezidentu situācijas īpatnībām, saglabājot vispārēja nodokļu režīma būtību. </w:t>
            </w:r>
            <w:r w:rsidR="00203CFF" w:rsidRPr="007956F1">
              <w:t>Attiecīgi</w:t>
            </w:r>
            <w:r w:rsidRPr="007956F1">
              <w:t>, ja</w:t>
            </w:r>
            <w:r w:rsidR="008568BB" w:rsidRPr="007956F1">
              <w:t xml:space="preserve"> nerezidents veic sistemātisku darbību Latvijā, tam jāreģistrē patstāvīgā pārstāvniecība, kura atbilstoši Likuma normām UIN maksā vispārējā kārtībā ievērojot papildus nosacījumus, kādi noteikti attiecībā uz patstāvīgo pārstāvniecību. UIN likums praktiski pārņem likumā “Par uzņēmumu ienākuma nodokli” noteikto</w:t>
            </w:r>
            <w:r w:rsidR="00E56971" w:rsidRPr="007956F1">
              <w:t xml:space="preserve"> kārtību attiecībā uz nodokļa uzlikšanu </w:t>
            </w:r>
            <w:r w:rsidR="008568BB" w:rsidRPr="007956F1">
              <w:t>nerezident</w:t>
            </w:r>
            <w:r w:rsidR="00E56971" w:rsidRPr="007956F1">
              <w:t xml:space="preserve">iem, to </w:t>
            </w:r>
            <w:r w:rsidR="008568BB" w:rsidRPr="007956F1">
              <w:t>ar nodokli apliekam</w:t>
            </w:r>
            <w:r w:rsidR="00E56971" w:rsidRPr="007956F1">
              <w:t>ajiem</w:t>
            </w:r>
            <w:r w:rsidR="008568BB" w:rsidRPr="007956F1">
              <w:t xml:space="preserve"> objekt</w:t>
            </w:r>
            <w:r w:rsidR="00E56971" w:rsidRPr="007956F1">
              <w:t>iem</w:t>
            </w:r>
            <w:r w:rsidR="008568BB" w:rsidRPr="007956F1">
              <w:t xml:space="preserve"> un tiem noteiktās likmes tādējādi nemainot nodokļu slogu attiecībā uz nerezidentiem. Vienlaikus, ja starptautiskos līgumos (nodokļu konvencijās) ir noteikti labvēlīgāki nosacījumi tiek piemērota nodokļu konvencija, kuru piemēro atbilstoši kārtībai, kas minēta normatīvajos aktos, kuri nosaka, kā piemērojami starptautiskajos līgumos par nodokļu dubultās uzlikšanas un nodokļu nemaksāšanas novēršanu noteiktie nodokļu atvieglojumi. Likuma 5.pantā noteiktais ieturējums no maksājumiem nerezidentam jāveic </w:t>
            </w:r>
            <w:r w:rsidR="006E11B0" w:rsidRPr="007956F1">
              <w:t>arī subjektiem, kuri nav UIN maksātāji</w:t>
            </w:r>
            <w:r w:rsidR="008568BB" w:rsidRPr="007956F1">
              <w:t xml:space="preserve">. </w:t>
            </w:r>
            <w:r w:rsidR="006E11B0" w:rsidRPr="007956F1">
              <w:t>Gadījumā, ja UIN no maksājumiem nav ieturēts, tad šis nodokļa maksāšanas pienākums ir attiecināms uz izmaksātāju.</w:t>
            </w:r>
            <w:r w:rsidR="00E35EAA" w:rsidRPr="007956F1">
              <w:t xml:space="preserve"> Tomēr, lai neradītu nodokļa maksātājam pārāk lielu slogu, maksājumiem nerezidentam, no kuriem nodokli nav ieturēts, </w:t>
            </w:r>
            <w:r w:rsidR="000203CB" w:rsidRPr="007956F1">
              <w:t>izmaksātā summa tiek dalīta ar koeficientu un reizināta ar attiecīgo nodokļa likmi, lai noteiktu nodokļa apmēru, kāds būtu jāmaksā, ja nerezidenta maksājums būtu veikts pēc nodokļa nomaksas</w:t>
            </w:r>
            <w:r w:rsidR="0000716A" w:rsidRPr="007956F1">
              <w:t>, kas veikti zemu nodokļu un beznodokļu valstīs vai teritorijās izveidotām personām</w:t>
            </w:r>
            <w:r w:rsidR="00C8594B" w:rsidRPr="007956F1">
              <w:t xml:space="preserve">. </w:t>
            </w:r>
          </w:p>
          <w:p w:rsidR="006E11B0" w:rsidRPr="007956F1" w:rsidRDefault="006E11B0" w:rsidP="006E11B0">
            <w:pPr>
              <w:ind w:right="149" w:firstLine="260"/>
              <w:jc w:val="both"/>
            </w:pPr>
            <w:r w:rsidRPr="007956F1">
              <w:t xml:space="preserve">Likuma ietverta arī norma attiecas uz maksājumiem, kas veikti zemu nodokļu un beznodokļu valstīs vai teritorijās izveidotām personām. </w:t>
            </w:r>
            <w:r w:rsidR="000500E1" w:rsidRPr="007956F1">
              <w:t xml:space="preserve">Lai gan nodokļa maksātājs uzņēmuma līmenī ar uzņēmumu ienākuma nodokli apliekamajā bāzē ietver </w:t>
            </w:r>
            <w:r w:rsidR="008E75DA" w:rsidRPr="007956F1">
              <w:t xml:space="preserve">aprēķinātās dividendes un dividendēm pielīdzināmās izmaksas, papildus no </w:t>
            </w:r>
            <w:r w:rsidR="000500E1" w:rsidRPr="007956F1">
              <w:t>veikt</w:t>
            </w:r>
            <w:r w:rsidR="008E75DA" w:rsidRPr="007956F1">
              <w:t>ajiem</w:t>
            </w:r>
            <w:r w:rsidR="000500E1" w:rsidRPr="007956F1">
              <w:t xml:space="preserve"> maksājum</w:t>
            </w:r>
            <w:r w:rsidR="008E75DA" w:rsidRPr="007956F1">
              <w:t>iem</w:t>
            </w:r>
            <w:r w:rsidR="000500E1" w:rsidRPr="007956F1">
              <w:t xml:space="preserve"> zemu nodokļu un beznodokļu valstīs vai teritorijās izveidotām personām, </w:t>
            </w:r>
            <w:r w:rsidR="008E75DA" w:rsidRPr="007956F1">
              <w:t>ir jāietur uzņēmumu ienākuma nodoklis saskaņā ar likuma 5.panta sesto daļu.</w:t>
            </w:r>
          </w:p>
          <w:p w:rsidR="00F9160C" w:rsidRPr="007956F1" w:rsidRDefault="001D7AB1" w:rsidP="006E11B0">
            <w:pPr>
              <w:ind w:right="149" w:firstLine="260"/>
              <w:jc w:val="both"/>
            </w:pPr>
            <w:r w:rsidRPr="007956F1">
              <w:t xml:space="preserve">Lai nodrošinātu, ka viens un tas pats ienākums netiek aplikts ar UIN divas reizes uzņēmumu grupu ietvaros, </w:t>
            </w:r>
            <w:r w:rsidRPr="007956F1">
              <w:rPr>
                <w:b/>
                <w:u w:val="single"/>
              </w:rPr>
              <w:t>Likuma 6.pants</w:t>
            </w:r>
            <w:r w:rsidRPr="007956F1">
              <w:t xml:space="preserve"> paredz iespēju samazināt ar UIN apliekamo bāzi par aprēķinātajām dividendēm tādā apmērā, kādā nodokļa maksātājs ir   saņēmis dividendes no dividenžu izmaksātāja, kurš tā rezidences valstī ir </w:t>
            </w:r>
            <w:r w:rsidR="00F9160C" w:rsidRPr="007956F1">
              <w:t>UIN</w:t>
            </w:r>
            <w:r w:rsidRPr="007956F1">
              <w:t xml:space="preserve"> maksātājs, vai tādas dividendes, no kurām to izmaksas valstī ir ieturēts nodoklis, izņemot dividendes, kas saņemtas no personas, kura ir zemu nodokļu vai beznodokļu valsts vai teritorijas  rezidents.</w:t>
            </w:r>
            <w:r w:rsidR="00F9160C" w:rsidRPr="007956F1">
              <w:t xml:space="preserve"> Piemēram, nodokļa maksātājs nevar  samazināt ar UIN apliekamo bāzi par aprēķinātajām dividendēm, ja dividendes saņemtas no uzņēmuma, kurš reģistrēts</w:t>
            </w:r>
            <w:r w:rsidR="00E56971" w:rsidRPr="007956F1">
              <w:t>, piemēram,</w:t>
            </w:r>
            <w:r w:rsidR="00F9160C" w:rsidRPr="007956F1">
              <w:t xml:space="preserve"> Seišelu </w:t>
            </w:r>
            <w:r w:rsidR="00E56971" w:rsidRPr="007956F1">
              <w:t>s</w:t>
            </w:r>
            <w:r w:rsidR="00F9160C" w:rsidRPr="007956F1">
              <w:t xml:space="preserve">alās kā </w:t>
            </w:r>
            <w:r w:rsidR="00F533A1" w:rsidRPr="007956F1">
              <w:t xml:space="preserve"> starptautisk</w:t>
            </w:r>
            <w:r w:rsidR="00E56971" w:rsidRPr="007956F1">
              <w:t>ās</w:t>
            </w:r>
            <w:r w:rsidR="00F533A1" w:rsidRPr="007956F1">
              <w:t xml:space="preserve"> </w:t>
            </w:r>
            <w:proofErr w:type="spellStart"/>
            <w:r w:rsidR="00E56971" w:rsidRPr="007956F1">
              <w:t>uzņēmējdar</w:t>
            </w:r>
            <w:r w:rsidR="00F533A1" w:rsidRPr="007956F1">
              <w:t>darbīb</w:t>
            </w:r>
            <w:r w:rsidR="00E56971" w:rsidRPr="007956F1">
              <w:t>as</w:t>
            </w:r>
            <w:proofErr w:type="spellEnd"/>
            <w:r w:rsidR="00F533A1" w:rsidRPr="007956F1">
              <w:t xml:space="preserve"> sabiedrība, jo tā  nemaksā UIN Seišelu </w:t>
            </w:r>
            <w:r w:rsidR="00E56971" w:rsidRPr="007956F1">
              <w:t>s</w:t>
            </w:r>
            <w:r w:rsidR="00F533A1" w:rsidRPr="007956F1">
              <w:t>alās un darbību  ir tiesīgas veikt tikai ārpus Seišelu salām.</w:t>
            </w:r>
          </w:p>
          <w:p w:rsidR="001D7AB1" w:rsidRPr="007956F1" w:rsidRDefault="001D7AB1" w:rsidP="006E11B0">
            <w:pPr>
              <w:ind w:right="149" w:firstLine="260"/>
              <w:jc w:val="both"/>
            </w:pPr>
            <w:r w:rsidRPr="007956F1">
              <w:t xml:space="preserve"> Minētais princips ir attiecināms arī uz dividendēm pielīdzinātajām izmaksām. Savukārt, ja dividendes saņemtas no ieguldījumu fonda vai alternatīvā ieguldījumu fonda, tad ar UIN apliekamo bāzi par aprēķinātajām dividendēm samazina tādā apmērā, kādā paši fondi ir saņēmuši attiecīgās dividendes, ņemot vērā, ka minētie fon</w:t>
            </w:r>
            <w:r w:rsidR="00F533A1" w:rsidRPr="007956F1">
              <w:t>d</w:t>
            </w:r>
            <w:r w:rsidRPr="007956F1">
              <w:t xml:space="preserve">i nav UIN maksātāji, bet </w:t>
            </w:r>
            <w:r w:rsidR="00E56971" w:rsidRPr="007956F1">
              <w:t xml:space="preserve">maksātāji ir </w:t>
            </w:r>
            <w:r w:rsidRPr="007956F1">
              <w:t>to ieguldītāji.</w:t>
            </w:r>
          </w:p>
          <w:p w:rsidR="006E11B0" w:rsidRPr="007956F1" w:rsidRDefault="001D7AB1" w:rsidP="006E11B0">
            <w:pPr>
              <w:ind w:right="149" w:firstLine="260"/>
              <w:jc w:val="both"/>
            </w:pPr>
            <w:r w:rsidRPr="007956F1">
              <w:t xml:space="preserve"> </w:t>
            </w:r>
            <w:r w:rsidR="006E11B0" w:rsidRPr="007956F1">
              <w:t xml:space="preserve">Attiecībā uz </w:t>
            </w:r>
            <w:r w:rsidR="006E11B0" w:rsidRPr="007956F1">
              <w:rPr>
                <w:u w:val="single"/>
              </w:rPr>
              <w:t>nedrošiem debitoru parādiem</w:t>
            </w:r>
            <w:r w:rsidR="006E11B0" w:rsidRPr="007956F1">
              <w:t xml:space="preserve"> likuma “Par uzņēmumu ienākuma nodokli” normas paredz, ka ar UIN apliekamajā bāzē tiek iekļauti arī tie ienākumi, par kuriem atlīdzība nav saņemta. Savukārt, izpildoties minētā likuma 9.panta nosacījumiem UIN tiek atmaksāts. Minētais ierobežojums ir pārņemts arī </w:t>
            </w:r>
            <w:r w:rsidR="006E11B0" w:rsidRPr="007956F1">
              <w:rPr>
                <w:b/>
                <w:u w:val="single"/>
              </w:rPr>
              <w:t>Likuma  9.pantā</w:t>
            </w:r>
            <w:r w:rsidR="006E11B0" w:rsidRPr="007956F1">
              <w:t xml:space="preserve">, kas paredz UIN apliekamajā bāzē iekļaut nedrošo debitoru parādu summas. Tomēr atšķirībā no spēkā esošā likuma, Likums paredz ar UIN apliekamo bāzi palielināt tikai tad, kad debitora parāds tiek norakstīts (nevis tiek izveidots) izdevumos, vai izveidojot speciālo uzkrājumu summu, kura netiek uzrādīta bilancē.  </w:t>
            </w:r>
          </w:p>
          <w:p w:rsidR="006E11B0" w:rsidRPr="007956F1" w:rsidRDefault="006E11B0" w:rsidP="006E11B0">
            <w:pPr>
              <w:ind w:right="149" w:firstLine="260"/>
              <w:jc w:val="both"/>
            </w:pPr>
            <w:r w:rsidRPr="007956F1">
              <w:t>Likuma normas paredz plašāku iespēju neiekļaut ar UIN apliekamajā bāzē nosacīti mazos parādus, kas nepārsniedz 0,2 procentus no nodokļa maksātāja pārskata gada neto apgrozījuma, bet ne vairāk kā 500euro.</w:t>
            </w:r>
          </w:p>
          <w:p w:rsidR="006E11B0" w:rsidRPr="007956F1" w:rsidRDefault="006E11B0" w:rsidP="006E11B0">
            <w:pPr>
              <w:ind w:right="149" w:firstLine="260"/>
              <w:jc w:val="both"/>
            </w:pPr>
            <w:r w:rsidRPr="007956F1">
              <w:t>Atsevišķos gadījumos budžetā samaksātā pievienotās vērtības nodokļa summa, par preci vai pakalpojumu, par kuru darījumu partneris nav norēķinājies, nodokļa maksātājam nav tiesības samazināt budžetā maksājamo pievienotās vērtības nodokļa summu. Līdz ar to Likuma normas paredz, ka šajā gadījumā neatgūto zaudētā parāda pievienotās vērtības nodokļa summu, par kuru saskaņā ar Pievienotās vērtības nodokļa likumu nav tiesības samazināt valsts budžetā maksājamo pievienotās vērtības nodokļa summu, neiekļauj ar UIN apliekamajā bāzē.</w:t>
            </w:r>
          </w:p>
          <w:p w:rsidR="00EB597F" w:rsidRPr="007956F1" w:rsidRDefault="006E11B0" w:rsidP="006E11B0">
            <w:pPr>
              <w:ind w:right="149" w:firstLine="260"/>
              <w:jc w:val="both"/>
            </w:pPr>
            <w:r w:rsidRPr="007956F1">
              <w:t xml:space="preserve">Minētās normas attiecas uz nedrošo debitoru parādiem, kuri grāmatvedības uzskaitē tika iegrāmatoti kā debitora parāds sākot ar 2018.gada 1.janvāri (Pārejas noteikumu </w:t>
            </w:r>
            <w:r w:rsidR="00EB597F" w:rsidRPr="007956F1">
              <w:t>7</w:t>
            </w:r>
            <w:r w:rsidRPr="007956F1">
              <w:t>.punkus).</w:t>
            </w:r>
            <w:r w:rsidR="00EB597F" w:rsidRPr="007956F1">
              <w:t xml:space="preserve"> Norakstītos debitora parādus, kuri neatbilst Likuma 9.panta trešās daļas nosacījumiem,  iekļauj pārskata gada  pēdējā taksācijas perioda ar UIN apliekamajā bāzē (Likuma 4.panta piektā daļa), izņemot tad, ja parāds </w:t>
            </w:r>
            <w:r w:rsidR="00AD070B" w:rsidRPr="007956F1">
              <w:t xml:space="preserve">pārskata gadā </w:t>
            </w:r>
            <w:r w:rsidR="00EB597F" w:rsidRPr="007956F1">
              <w:t>nav atgūts (Likuma 4.panta sestā daļa)</w:t>
            </w:r>
            <w:r w:rsidR="00AD070B" w:rsidRPr="007956F1">
              <w:t>. Savukārt, taksācijas perioda ar UIN apliekamo bāzi var samazināt par atgūtu debitora (kas radies sākot ar 2018.gada 1.janvāri) parādu, kurš bija norakstīts kādā no iepriekšējiem pārskata gadiem (Likuma 9.panta piektā daļa). Likuma Pārejas noteikumu 9.punkts paredz iespēju samazināt ar UIN apliekamo bāzi arī par atgūtajiem debitora parādiem, kuri bija norakstīti līdz 2017.gada 31.decembrim, ja tie atbilst Likuma 9.panta trešajā daļā noteiktajiem nosacījumiem.</w:t>
            </w:r>
          </w:p>
          <w:p w:rsidR="00055A0F" w:rsidRPr="007956F1" w:rsidRDefault="00055A0F" w:rsidP="00055A0F">
            <w:pPr>
              <w:ind w:right="149" w:firstLine="364"/>
              <w:jc w:val="both"/>
            </w:pPr>
            <w:r w:rsidRPr="007956F1">
              <w:t xml:space="preserve">Likuma 9.panta otrā daļa nosaka, ka ar UIN apliekamajā bāzē neiekļauj finanšu iestāžu izveidotos uzkrājumiem debitoru parādiem vai to norakstījumiem tieši zaudējumos. Minētais regulējums tiek pārņemts no likuma “Par uzņēmumu ienākuma nodokli”, un ir sagatavots, ņemot vērā finanšu iestāžu grāmatvedības kārtošanas specifiku, kas noteikta saskaņā ar Starptautisko Finanšu sagatavošanas standartu un uzraudzības institūciju prasībām. Atkāpe attiecībā uz finanšu iestādēm ir izdarīta, lai pielāgotu vispārējo nodokļu režīmu finanšu iestāžu grāmatvedības kārtošanas īpatnībām, saglabājot vispārēja nodokļu režīma būtību. </w:t>
            </w:r>
          </w:p>
          <w:p w:rsidR="00BF06A6" w:rsidRPr="007956F1" w:rsidRDefault="00BF06A6" w:rsidP="00055A0F">
            <w:pPr>
              <w:ind w:right="149" w:firstLine="364"/>
              <w:jc w:val="both"/>
            </w:pPr>
            <w:r w:rsidRPr="007956F1">
              <w:t xml:space="preserve">Papildus tam,  Likuma 9.panta otrās daļas 2.punkts nosaka, ka ar UIN apliekamajā bāzē neiekļauj Attīstības finanšu institūcijas izveidotos debitoru parādiem paredzētos uzkrājumus, t.sk., uzkrājumus izsniegtajām garantijām (arī eksporta kredītu garantijām), ieguldījumiem riska kapitāla fondos un uzkrājumus izsniegtajiem kredītiem, īstenojot atbalsta un attīstības programmas. Minētā norma iekļauta balstoties uz to, ka </w:t>
            </w:r>
            <w:r w:rsidR="00212498" w:rsidRPr="007956F1">
              <w:t xml:space="preserve">Attīstības finanšu institūcija, t.i.,  </w:t>
            </w:r>
            <w:proofErr w:type="spellStart"/>
            <w:r w:rsidR="00212498" w:rsidRPr="007956F1">
              <w:t>Altum</w:t>
            </w:r>
            <w:proofErr w:type="spellEnd"/>
            <w:r w:rsidR="00212498" w:rsidRPr="007956F1">
              <w:t xml:space="preserve"> (</w:t>
            </w:r>
            <w:r w:rsidR="00E56971" w:rsidRPr="007956F1">
              <w:t xml:space="preserve">turpmāk - </w:t>
            </w:r>
            <w:r w:rsidR="00212498" w:rsidRPr="007956F1">
              <w:t>ALTUM)</w:t>
            </w:r>
            <w:r w:rsidRPr="007956F1">
              <w:t xml:space="preserve"> ir valstij piederoša attīstības finanšu institūcija, kas finanšu instrumentu veidā (ar aizdevumiem, garantijām, ieguldījumiem riska kapitāla fondos u. c.) sniedz valsts atbalstu noteiktām mērķa grupām. ALTUM izstrādā un īsteno valsts atbalsta programmas, novēršot tirgus nepilnības, kuras nevar atrisināt privātā sektora finanšu iestādes, un nodrošinot finanšu pieejamību jomās, kuras valsts ir izvirzījusi kā atbalstāmas un svarīgas.</w:t>
            </w:r>
          </w:p>
          <w:p w:rsidR="00212498" w:rsidRDefault="00212498" w:rsidP="006E11B0">
            <w:pPr>
              <w:ind w:right="149" w:firstLine="260"/>
              <w:jc w:val="both"/>
            </w:pPr>
            <w:r w:rsidRPr="007956F1">
              <w:t xml:space="preserve">Atbalsta programmas ALTUM īsteno no publiskajiem resursiem – Eiropas Savienības, citu starptautisku institūciju, valsts un ALTUM piesaistīta finansējuma. </w:t>
            </w:r>
          </w:p>
          <w:p w:rsidR="006E11B0" w:rsidRPr="007956F1" w:rsidRDefault="006E11B0" w:rsidP="006E11B0">
            <w:pPr>
              <w:ind w:right="149" w:firstLine="260"/>
              <w:jc w:val="both"/>
            </w:pPr>
            <w:r w:rsidRPr="007956F1">
              <w:rPr>
                <w:b/>
                <w:u w:val="single"/>
              </w:rPr>
              <w:t>Likuma 10.pantā</w:t>
            </w:r>
            <w:r w:rsidRPr="007956F1">
              <w:t>, tāpat kā likuma “Par uzņēmumu ienākuma nodokli” 6.</w:t>
            </w:r>
            <w:r w:rsidRPr="007956F1">
              <w:rPr>
                <w:vertAlign w:val="superscript"/>
              </w:rPr>
              <w:t xml:space="preserve">4 </w:t>
            </w:r>
            <w:r w:rsidRPr="007956F1">
              <w:t xml:space="preserve">pantā ietvertās normas, paredz novērst iespēju samazināt ar UIN apliekamo bāzi par nepamatoti palielinātiem procentu maksājumiem. Pārskata gadā aprēķinātais procentu apmērs tiek vērtēts attiecībā pret pašu kapitālu, kā arī attiecībā pret peļņu, ja nodokļa maksātāja procentu izmaksa pārskata gadā pārsniedz 3 miljonus </w:t>
            </w:r>
            <w:proofErr w:type="spellStart"/>
            <w:r w:rsidRPr="007956F1">
              <w:t>euro</w:t>
            </w:r>
            <w:proofErr w:type="spellEnd"/>
            <w:r w:rsidRPr="007956F1">
              <w:t>. Ar nodokli apliekamajā bāzē ietver lielāko no minēto kritēriju apmēra.</w:t>
            </w:r>
          </w:p>
          <w:p w:rsidR="0099065D" w:rsidRDefault="006E11B0" w:rsidP="0099065D">
            <w:pPr>
              <w:ind w:right="149" w:firstLine="260"/>
              <w:jc w:val="both"/>
            </w:pPr>
            <w:r w:rsidRPr="007956F1">
              <w:t xml:space="preserve">Minētais ietverts ņemot vērā arī  </w:t>
            </w:r>
            <w:r w:rsidR="0099065D" w:rsidRPr="007956F1">
              <w:t>Padomes direktīvas (ES)2016/1164 (2016.gada 12.jūlijs)</w:t>
            </w:r>
            <w:r w:rsidR="00CE4559" w:rsidRPr="007956F1">
              <w:t>,</w:t>
            </w:r>
            <w:r w:rsidR="0099065D" w:rsidRPr="007956F1">
              <w:t xml:space="preserve"> ar ko paredz noteikumus tādas nodokļu apiešanas prakses novēršanai, kas tieši iespaido iekšējā tirgus darbību, lai ierobežotu nodokļu maksātāju iespējas atskaitīt pārsniedzošās aizņēmumu izmaksas</w:t>
            </w:r>
            <w:r w:rsidR="00C921EB" w:rsidRPr="007956F1">
              <w:t xml:space="preserve">. Minētā direktīva </w:t>
            </w:r>
            <w:r w:rsidR="0099065D" w:rsidRPr="007956F1">
              <w:t xml:space="preserve"> atskaitāmo izdevumu īpatsvaru, </w:t>
            </w:r>
            <w:r w:rsidR="00C921EB" w:rsidRPr="007956F1">
              <w:t xml:space="preserve">paredz noteikt </w:t>
            </w:r>
            <w:r w:rsidR="0099065D" w:rsidRPr="007956F1">
              <w:t>par atsauci ņemot nodokļu maksātāja ar nodokli apliekamo peļņu pirms procentiem, nodokļiem, nolietojuma un amortizācijas (</w:t>
            </w:r>
            <w:r w:rsidR="0099065D" w:rsidRPr="007956F1">
              <w:rPr>
                <w:i/>
                <w:iCs/>
              </w:rPr>
              <w:t>EBITDA</w:t>
            </w:r>
            <w:r w:rsidR="0099065D" w:rsidRPr="007956F1">
              <w:t>), attiecīgi no peļņas vai zaudējumu aprēķina “Bruto peļņa vai zaudējumi”.  Atbilstoši minētās direktīvas minimālajām prasībām tiek noteikts</w:t>
            </w:r>
            <w:r w:rsidR="00CE4559" w:rsidRPr="007956F1">
              <w:t>,</w:t>
            </w:r>
            <w:r w:rsidR="0099065D" w:rsidRPr="007956F1">
              <w:t xml:space="preserve"> ka procentu izdevumiem ir jābūt 30% robežā no EBITDA, bet minētā prasība neattiecas uz procentu izmaksām</w:t>
            </w:r>
            <w:r w:rsidR="00CE4559" w:rsidRPr="007956F1">
              <w:t>,</w:t>
            </w:r>
            <w:r w:rsidR="0099065D" w:rsidRPr="007956F1">
              <w:t xml:space="preserve"> kas nepārsniedz trīs miljonus </w:t>
            </w:r>
            <w:proofErr w:type="spellStart"/>
            <w:r w:rsidR="0099065D" w:rsidRPr="007956F1">
              <w:t>euro</w:t>
            </w:r>
            <w:proofErr w:type="spellEnd"/>
            <w:r w:rsidR="0099065D" w:rsidRPr="007956F1">
              <w:t xml:space="preserve"> gadā. Attiecīgi papildus noteikta arī prasība ietvert apliekamajā bāzē lielāko no procentu maksājumu apmēra, kas pārsniedz salīdzinoši 10.panta pirmajā un </w:t>
            </w:r>
            <w:r w:rsidR="0012245C" w:rsidRPr="007956F1">
              <w:t>trešajā</w:t>
            </w:r>
            <w:r w:rsidR="0099065D" w:rsidRPr="007956F1">
              <w:t xml:space="preserve"> daļā salīdzinošo pārsniegumu. </w:t>
            </w:r>
          </w:p>
          <w:p w:rsidR="00D11617" w:rsidRPr="00D11617" w:rsidRDefault="00D11617" w:rsidP="0099065D">
            <w:pPr>
              <w:ind w:right="149" w:firstLine="260"/>
              <w:jc w:val="both"/>
              <w:rPr>
                <w:b/>
              </w:rPr>
            </w:pPr>
            <w:r>
              <w:rPr>
                <w:b/>
              </w:rPr>
              <w:t>Ņemot vērā, ka lielās kapitālsabiedrīb</w:t>
            </w:r>
            <w:r w:rsidR="001F7327">
              <w:rPr>
                <w:b/>
              </w:rPr>
              <w:t xml:space="preserve">ām ir nepieciešami būtiski lielāki naudas līdzekļi, kurus nodrošina ārvalstu finansētājs, kurš veic </w:t>
            </w:r>
            <w:r>
              <w:rPr>
                <w:b/>
              </w:rPr>
              <w:t xml:space="preserve">valstu </w:t>
            </w:r>
            <w:r w:rsidR="001F7327">
              <w:rPr>
                <w:b/>
              </w:rPr>
              <w:t xml:space="preserve">nodrošinātus </w:t>
            </w:r>
            <w:r>
              <w:rPr>
                <w:b/>
              </w:rPr>
              <w:t>finansējumu</w:t>
            </w:r>
            <w:r w:rsidR="001F7327">
              <w:rPr>
                <w:b/>
              </w:rPr>
              <w:t>s</w:t>
            </w:r>
            <w:r>
              <w:rPr>
                <w:b/>
              </w:rPr>
              <w:t>, piemēram, lidmašīnu iegādei, l</w:t>
            </w:r>
            <w:r w:rsidRPr="00D11617">
              <w:rPr>
                <w:b/>
              </w:rPr>
              <w:t>ikuma 10.panta piektajā daļā papildus tiek noteikts, ka UIN neietekmē aizņēmumi, kas tieši vai netieši saņemti no valsts finansēšanas, ārējās tirdzniecības kreditēšanas vai garantēšanas organizācijas, kas ir tādas valsts, ar kuru Latvija ir noslēgusi konvenciju.</w:t>
            </w:r>
          </w:p>
          <w:p w:rsidR="006E11B0" w:rsidRPr="007956F1" w:rsidRDefault="006E11B0" w:rsidP="006E11B0">
            <w:pPr>
              <w:ind w:right="149" w:firstLine="260"/>
              <w:jc w:val="both"/>
            </w:pPr>
            <w:r w:rsidRPr="007956F1">
              <w:t xml:space="preserve">Attiecībā uz </w:t>
            </w:r>
            <w:r w:rsidRPr="007956F1">
              <w:rPr>
                <w:b/>
                <w:u w:val="single"/>
              </w:rPr>
              <w:t>aizdevumiem saistītajām personām 11.pants</w:t>
            </w:r>
            <w:r w:rsidRPr="007956F1">
              <w:t xml:space="preserve"> nosaka, ka lai novērstu iespēju samazināt UIN slogu, mākslīgi novirzot peļņu akcionāriem, nesadalot to dividendēs, Likuma normas paredz ar UIN apliekamajā bāzē iekļaut aizdevumus akcionāriem, vai “māsas” uzņēmumiem. Ar UIN apliekamajā bāzē netiek ietverti aizdevumi, kurus izsniedzis akcionārs uzņēmumam</w:t>
            </w:r>
            <w:r w:rsidR="00C921EB" w:rsidRPr="007956F1">
              <w:t xml:space="preserve"> (“mātes”</w:t>
            </w:r>
            <w:r w:rsidR="0012245C" w:rsidRPr="007956F1">
              <w:t xml:space="preserve"> </w:t>
            </w:r>
            <w:r w:rsidR="00C921EB" w:rsidRPr="007956F1">
              <w:t>uzņēmums)</w:t>
            </w:r>
            <w:r w:rsidRPr="007956F1">
              <w:t>. Papildus tam UIN apliekamajā bāzē netiek iekļauta aizdevumu summa tādā apmērā, kādā uzņēmums aizdevumu saņēmis no ar uzņēmumu nesaistītas personas, vai pārskata gada sākumā, kurā tiek izsniegts aizdevums bilancē nav uzrādīta nesadalītā peļņas.</w:t>
            </w:r>
          </w:p>
          <w:p w:rsidR="006E11B0" w:rsidRPr="007956F1" w:rsidRDefault="006E11B0" w:rsidP="006E11B0">
            <w:pPr>
              <w:ind w:right="149" w:firstLine="260"/>
              <w:jc w:val="both"/>
            </w:pPr>
            <w:r w:rsidRPr="007956F1">
              <w:t xml:space="preserve">Minētās normas attiecas uz aizdevumiem, kas izsniegti sākot ar 2018.gada 1.janvāri (Pārejas noteikumu </w:t>
            </w:r>
            <w:r w:rsidR="0012245C" w:rsidRPr="007956F1">
              <w:t>10</w:t>
            </w:r>
            <w:r w:rsidRPr="007956F1">
              <w:t>.punkus).</w:t>
            </w:r>
          </w:p>
          <w:p w:rsidR="006E11B0" w:rsidRPr="007956F1" w:rsidRDefault="006E11B0" w:rsidP="006E11B0">
            <w:pPr>
              <w:ind w:right="149" w:firstLine="260"/>
              <w:jc w:val="both"/>
            </w:pPr>
            <w:r w:rsidRPr="007956F1">
              <w:rPr>
                <w:b/>
                <w:u w:val="single"/>
              </w:rPr>
              <w:t>Likuma 12.pants</w:t>
            </w:r>
            <w:r w:rsidRPr="007956F1">
              <w:rPr>
                <w:b/>
              </w:rPr>
              <w:t xml:space="preserve"> </w:t>
            </w:r>
            <w:r w:rsidRPr="007956F1">
              <w:t xml:space="preserve">paredz </w:t>
            </w:r>
            <w:r w:rsidRPr="007956F1">
              <w:rPr>
                <w:i/>
                <w:u w:val="single"/>
              </w:rPr>
              <w:t>atvieglojums ziedotājiem</w:t>
            </w:r>
            <w:r w:rsidRPr="007956F1">
              <w:t xml:space="preserve"> par veiktajiem ziedojumiem sabiedriskā labuma organizācijām (turpmāk- SLO) vai valsts kapitālsabiedrībai, kura veic Kultūras ministrijas deleģētas valsts kultūras funkcijas.</w:t>
            </w:r>
          </w:p>
          <w:p w:rsidR="006E11B0" w:rsidRPr="007956F1" w:rsidRDefault="006E11B0" w:rsidP="006E11B0">
            <w:pPr>
              <w:ind w:right="149" w:firstLine="260"/>
              <w:jc w:val="both"/>
            </w:pPr>
            <w:r w:rsidRPr="007956F1">
              <w:t>Minētais stimuls paredz iespēju nodokļa maksātājam pārskata gadā izvēlēties  vienu no atbilstošākajiem stimuliem, izvērtējot pret kuru kritēriju nodokļa maksātāja ir iespējams veikt lielāku ziedojuma apmēru.</w:t>
            </w:r>
          </w:p>
          <w:p w:rsidR="006E11B0" w:rsidRPr="007956F1" w:rsidRDefault="006E11B0" w:rsidP="006E11B0">
            <w:pPr>
              <w:ind w:right="149" w:firstLine="260"/>
              <w:jc w:val="both"/>
            </w:pPr>
            <w:r w:rsidRPr="007956F1">
              <w:t>Tāpat kā likuma “Par uzņēmumu ienākuma nodokli” normas, arī Likuma 12.pantā tiek iekļauta norma, kas skaidro, ka ziedojuma saņēmēja publiskots ziedotāja zīmols, ir uzskatāms par ziedojumu ar pretpienākumu. Papildus tam, tiek iekļauta norma, kas nosaka, ka par pretpienākumu ir uzskatāmi tie ziedojumi, kas ziedoti SLO, kuras nosaukumā ir norāde uz ziedotāja zīmolu vai nosaukumu. Minētās normas tiek iestrādātas ņemot vērā, ka praksē ziedojumu saņēmēji kā pateicību par ziedojumu publiski izvieto ziedotāja zīmolu, kas pēc būtības ir uzskatāms kā reklāmas pasākums – tātad ziedojumu ar pretpienākumu. Līdz ar to ziedojumu veicējam par šādu ziedojumu nav pamata piemērot UIN atvieglojumu. Papildus tam, komersanti dibina  SLO, kuru nosaukumā ir iekļauti atšķirīgie zīmola elementi un šajās SLO komersants ir vienīgais biedrs un lēmējinstitūcija, kur pēc būtība ziedojums šādai SLO ir uzskatāms kā pretpienākums, jo satur reklāmas elementus. Kā jau vairāku psihologu sniegtajos viedokļos tiek minēts (piemēram</w:t>
            </w:r>
            <w:r w:rsidR="001B6658" w:rsidRPr="007956F1">
              <w:t>,</w:t>
            </w:r>
            <w:r w:rsidRPr="007956F1">
              <w:t xml:space="preserve"> “</w:t>
            </w:r>
            <w:proofErr w:type="spellStart"/>
            <w:r w:rsidRPr="007956F1">
              <w:t>Komercreklāma</w:t>
            </w:r>
            <w:proofErr w:type="spellEnd"/>
            <w:r w:rsidRPr="007956F1">
              <w:t xml:space="preserve"> ar sociālo diskursu – zīmola pozicionēšanas  tehnika”, kas publicēta žurnālā “Psiholoģija mums” (1/2015)) - mārketinga speciālisti, virzot preces tirgū un veicinot uzņēmumu izaugsmi, ir mainījuši attieksmi pret reklāmu un paplašinājuši tās robežas, radot tēlus un tekstus, kas ne vien papildina tirdzniecības ziņojumus, bet arī iedarbojas uz patērētāju zemapziņu, mudinot viņus iesaistīties. Labdarības  pasākumu iesaistīšana  reklāmas kampaņā ir iedarbīgāka nekā reklāma, kas atgādina, lai pastiprinātu efektu, un tādā veidā pie reizes tiek demonstrēta uzņēmuma sociālā atbildība. Pastāv vairāki reklāmas veidi, viens no veidiem ir tāds, kur netiek reklamētas preces, - imidža veidojumi, kas iedarbojas uz patērētāju pēc stimula veidiem un arī tā saucamās sociālās nozīmes reklāmas, kuras nav saistītas ar preces virzīšanu tirgū, bet ir vērstas uz uzvedības modeļa maiņu un pamato to vajadzību</w:t>
            </w:r>
            <w:r w:rsidR="00C921EB" w:rsidRPr="007956F1">
              <w:t>.</w:t>
            </w:r>
          </w:p>
          <w:p w:rsidR="00527946" w:rsidRPr="007956F1" w:rsidRDefault="00527946" w:rsidP="006E11B0">
            <w:pPr>
              <w:ind w:right="149" w:firstLine="260"/>
              <w:jc w:val="both"/>
            </w:pPr>
          </w:p>
          <w:p w:rsidR="006E11B0" w:rsidRPr="007956F1" w:rsidRDefault="006E11B0" w:rsidP="006E11B0">
            <w:pPr>
              <w:ind w:right="149" w:firstLine="260"/>
              <w:jc w:val="both"/>
            </w:pPr>
            <w:r w:rsidRPr="007956F1">
              <w:rPr>
                <w:b/>
                <w:u w:val="single"/>
              </w:rPr>
              <w:t>Likuma 1</w:t>
            </w:r>
            <w:r w:rsidR="00DE4F21" w:rsidRPr="007956F1">
              <w:rPr>
                <w:b/>
                <w:u w:val="single"/>
              </w:rPr>
              <w:t>3</w:t>
            </w:r>
            <w:r w:rsidRPr="007956F1">
              <w:rPr>
                <w:b/>
                <w:u w:val="single"/>
              </w:rPr>
              <w:t>.pantā</w:t>
            </w:r>
            <w:r w:rsidRPr="007956F1">
              <w:t xml:space="preserve"> paredzētas nodokļa maksātāju tiesības koriģēt ar nodokli apliekamajā bāzē iekļauto dividenžu apmēru par tādu ienākuma, kas gūts no tiešās līdzdalības </w:t>
            </w:r>
            <w:r w:rsidRPr="007956F1">
              <w:rPr>
                <w:u w:val="single"/>
              </w:rPr>
              <w:t>akciju atsavināšanas</w:t>
            </w:r>
            <w:r w:rsidRPr="007956F1">
              <w:t xml:space="preserve">, daļu, ja turēšanas periods ir vismaz </w:t>
            </w:r>
            <w:r w:rsidR="007956F1">
              <w:t>3</w:t>
            </w:r>
            <w:r w:rsidRPr="007956F1">
              <w:t>6 mēneši, vienlaicīgi arī paredzot iespēju, ka radušos starpību var pārnest arī uz nākošajiem taksācijas periodiem (hronoloģiskā secībā). Minēto UIN bāzes samazinājumu var attiecināt tikai uz UIN bāzē iekļauto dividenžu apmēru.</w:t>
            </w:r>
          </w:p>
          <w:p w:rsidR="00E23A14" w:rsidRPr="007956F1" w:rsidRDefault="00DE4F21" w:rsidP="006E11B0">
            <w:pPr>
              <w:ind w:right="149" w:firstLine="260"/>
              <w:jc w:val="both"/>
            </w:pPr>
            <w:r w:rsidRPr="007956F1">
              <w:rPr>
                <w:b/>
                <w:u w:val="single"/>
              </w:rPr>
              <w:t>Likuma 14.pants</w:t>
            </w:r>
            <w:r w:rsidRPr="007956F1">
              <w:t xml:space="preserve"> paredz UIN atvieglojumu nodokļa maksātājiem, kas veic  lauksaimniecisko darbību attiecībā uz  subsīdijām, kas  saņemtas kā valsts atbalsts lauksaimniecībai vai Eiropas Savienības atbalsts lauksaimniecībai un lauku attīstībai. </w:t>
            </w:r>
            <w:r w:rsidR="00E23A14" w:rsidRPr="007956F1">
              <w:t xml:space="preserve"> </w:t>
            </w:r>
            <w:r w:rsidR="00EB4C0F" w:rsidRPr="007956F1">
              <w:t>Minētais pasākums vērtējams komercdarbības atbalsta kontekstā un saskaņojams ar Eiropas Komisijas Lauksaimniecības un lauku attīstības ģenerāldirektorātu.</w:t>
            </w:r>
            <w:r w:rsidR="00E23A14" w:rsidRPr="007956F1">
              <w:t xml:space="preserve"> </w:t>
            </w:r>
          </w:p>
          <w:p w:rsidR="006E11B0" w:rsidRPr="007956F1" w:rsidRDefault="006E11B0" w:rsidP="006E11B0">
            <w:pPr>
              <w:ind w:right="149" w:firstLine="260"/>
              <w:jc w:val="both"/>
            </w:pPr>
            <w:r w:rsidRPr="007956F1">
              <w:t>Lai novērstu nodokļu dubultās uzlikšanas novēršanas prasības</w:t>
            </w:r>
            <w:r w:rsidR="00C921EB" w:rsidRPr="007956F1">
              <w:t>,</w:t>
            </w:r>
            <w:r w:rsidRPr="007956F1">
              <w:t xml:space="preserve">  </w:t>
            </w:r>
            <w:r w:rsidRPr="007956F1">
              <w:rPr>
                <w:b/>
                <w:u w:val="single"/>
              </w:rPr>
              <w:t>Likuma 1</w:t>
            </w:r>
            <w:r w:rsidR="00DE4F21" w:rsidRPr="007956F1">
              <w:rPr>
                <w:b/>
                <w:u w:val="single"/>
              </w:rPr>
              <w:t>5</w:t>
            </w:r>
            <w:r w:rsidRPr="007956F1">
              <w:rPr>
                <w:b/>
                <w:u w:val="single"/>
              </w:rPr>
              <w:t>.pants</w:t>
            </w:r>
            <w:r w:rsidRPr="007956F1">
              <w:t xml:space="preserve"> paredz iespēju samazināt par UIN bāzē iekļautajām dividendēm aprēķināto UIN  tādā apmērā, kādā tas samaksāts citā valstī. Ja taksācijas periodā par UIN apliekamajā bāzē iekļautajām dividendēm ir mazāks nekā ārvalstīs samaksātais UIN, to var pārnest uz turpmākajiem taksācijas periodiem.</w:t>
            </w:r>
          </w:p>
          <w:p w:rsidR="006E11B0" w:rsidRPr="007956F1" w:rsidRDefault="006E11B0" w:rsidP="006E11B0">
            <w:pPr>
              <w:ind w:right="149" w:firstLine="260"/>
              <w:jc w:val="both"/>
            </w:pPr>
            <w:r w:rsidRPr="007956F1">
              <w:t xml:space="preserve">Tāpat kā likuma “Par uzņēmumu ienākuma nodokli” 24.panā, arī </w:t>
            </w:r>
            <w:r w:rsidRPr="007956F1">
              <w:rPr>
                <w:b/>
                <w:u w:val="single"/>
              </w:rPr>
              <w:t>Likuma 1</w:t>
            </w:r>
            <w:r w:rsidR="00624F2D" w:rsidRPr="007956F1">
              <w:rPr>
                <w:b/>
                <w:u w:val="single"/>
              </w:rPr>
              <w:t>6</w:t>
            </w:r>
            <w:r w:rsidRPr="007956F1">
              <w:rPr>
                <w:b/>
                <w:u w:val="single"/>
              </w:rPr>
              <w:t>.pantā</w:t>
            </w:r>
            <w:r w:rsidRPr="007956F1">
              <w:t xml:space="preserve"> ir iekļautas normas, kas paredz informācijas sniegšanu par veiktajām izmaksām nerezidentiem. Papildus tam, informāciju (vienu reizi par pārskata gadu) jāsniedz arī par attiecīgo ieguldījumu fondu veiktajām izmaksām (t.sk., par ieguldījumu fonda daļu atpirkšanu) to ieguldītājiem. Lai nodrošinātu informācijas apmaiņu un novērstu nodokļu nemaksāšanu, Likums nosaka, ka rezidentam (arī subjektam, kas nav UIN maksātājs) jāsniedz informācija VID par veiktajiem maksājumiem nerezidentam un ieturēto UIN. </w:t>
            </w:r>
          </w:p>
          <w:p w:rsidR="006E11B0" w:rsidRPr="007956F1" w:rsidRDefault="006E11B0" w:rsidP="006E11B0">
            <w:pPr>
              <w:ind w:right="149" w:firstLine="260"/>
              <w:jc w:val="both"/>
            </w:pPr>
            <w:r w:rsidRPr="007956F1">
              <w:t xml:space="preserve"> </w:t>
            </w:r>
            <w:r w:rsidRPr="007956F1">
              <w:rPr>
                <w:b/>
                <w:u w:val="single"/>
              </w:rPr>
              <w:t>Likuma 1</w:t>
            </w:r>
            <w:r w:rsidR="00624F2D" w:rsidRPr="007956F1">
              <w:rPr>
                <w:b/>
                <w:u w:val="single"/>
              </w:rPr>
              <w:t>7</w:t>
            </w:r>
            <w:r w:rsidRPr="007956F1">
              <w:rPr>
                <w:b/>
                <w:u w:val="single"/>
              </w:rPr>
              <w:t>.pants</w:t>
            </w:r>
            <w:r w:rsidRPr="007956F1">
              <w:t xml:space="preserve"> nosaka </w:t>
            </w:r>
            <w:r w:rsidRPr="007956F1">
              <w:rPr>
                <w:i/>
                <w:u w:val="single"/>
              </w:rPr>
              <w:t xml:space="preserve">deklarācijas iesniegšanas </w:t>
            </w:r>
            <w:r w:rsidRPr="007956F1">
              <w:t>prasības. UIN deklarācija sniedzama vienu reizi mēnesī, līdz taksācijas perioda  nākošā mēneša 20.datumam.  Minētais pants  paredz iespēju deklarāciju nesniegt, ja attiecīgajā taksācijas periodā neveidojas ar UIN apliekama bāze</w:t>
            </w:r>
            <w:r w:rsidR="00C921EB" w:rsidRPr="007956F1">
              <w:t>,</w:t>
            </w:r>
            <w:r w:rsidR="00232575" w:rsidRPr="007956F1">
              <w:t xml:space="preserve"> </w:t>
            </w:r>
            <w:r w:rsidRPr="007956F1">
              <w:t>uzskatot, ka 20.datumā UIN deklarācija ir iesniegta</w:t>
            </w:r>
            <w:r w:rsidR="00232575" w:rsidRPr="007956F1">
              <w:t>. S</w:t>
            </w:r>
            <w:r w:rsidRPr="007956F1">
              <w:t>avukārt</w:t>
            </w:r>
            <w:r w:rsidR="00232575" w:rsidRPr="007956F1">
              <w:t>, ja UIN deklarācija</w:t>
            </w:r>
            <w:r w:rsidRPr="007956F1">
              <w:t xml:space="preserve"> tiek iesniegta pēc šī datuma, </w:t>
            </w:r>
            <w:r w:rsidR="00232575" w:rsidRPr="007956F1">
              <w:t xml:space="preserve">tā </w:t>
            </w:r>
            <w:r w:rsidRPr="007956F1">
              <w:t>ir uzskatāma par labojumu saskaņā ar likuma “Par nodokļiem un nodevām” normām. Tomēr, neatkarīgi, vai UIN bāze pārskata gadā ir veidojusies</w:t>
            </w:r>
            <w:r w:rsidR="00232575" w:rsidRPr="007956F1">
              <w:t xml:space="preserve"> vai nav</w:t>
            </w:r>
            <w:r w:rsidRPr="007956F1">
              <w:t>, nodokļa maksātājam VID kopā ar gada pārskatu  jāiesniedz pārskata perioda pēdējā taksācijas perioda deklarācija.</w:t>
            </w:r>
          </w:p>
          <w:p w:rsidR="006E11B0" w:rsidRPr="007956F1" w:rsidRDefault="006E11B0" w:rsidP="006E11B0">
            <w:pPr>
              <w:ind w:right="149" w:firstLine="260"/>
              <w:jc w:val="both"/>
              <w:rPr>
                <w:u w:val="single"/>
              </w:rPr>
            </w:pPr>
            <w:r w:rsidRPr="007956F1">
              <w:rPr>
                <w:b/>
                <w:u w:val="single"/>
              </w:rPr>
              <w:t>Likuma 1</w:t>
            </w:r>
            <w:r w:rsidR="00624F2D" w:rsidRPr="007956F1">
              <w:rPr>
                <w:b/>
                <w:u w:val="single"/>
              </w:rPr>
              <w:t>8</w:t>
            </w:r>
            <w:r w:rsidRPr="007956F1">
              <w:rPr>
                <w:b/>
                <w:u w:val="single"/>
              </w:rPr>
              <w:t>.pants</w:t>
            </w:r>
            <w:r w:rsidRPr="007956F1">
              <w:rPr>
                <w:u w:val="single"/>
              </w:rPr>
              <w:t xml:space="preserve">, </w:t>
            </w:r>
            <w:r w:rsidRPr="007956F1">
              <w:t>nodrošina ES prasību ievērošanu atlikt UIN attiecībā uz UIN bāzi, kas izveidojusies reorganizācijas procesā. Atbilstoši UIN likuma konceptam vispārējā principa ES prasību ievērošanā sasniegšana tiek nodrošināta ņemot vērā to, ka uzkrātā, bet nerealizētā peļņa netiek aplikta ar nodokli. Vienlaikus tiek noteikts, ka ar reorganizācijas rezultātu pārvesto aktīvu kapitāla pieaugumam tiek uzlikts nodoklis tad, kad tas jāiekļauj ar nodokli apliekamajā bāzē atbilstoši UIN likuma vispārīgajiem noteikumiem.</w:t>
            </w:r>
            <w:r w:rsidRPr="007956F1">
              <w:rPr>
                <w:u w:val="single"/>
              </w:rPr>
              <w:t xml:space="preserve"> </w:t>
            </w:r>
          </w:p>
          <w:p w:rsidR="006E11B0" w:rsidRPr="007956F1" w:rsidRDefault="006E11B0" w:rsidP="006E11B0">
            <w:pPr>
              <w:ind w:right="149" w:firstLine="260"/>
              <w:jc w:val="both"/>
            </w:pPr>
            <w:r w:rsidRPr="007956F1">
              <w:rPr>
                <w:b/>
                <w:u w:val="single"/>
              </w:rPr>
              <w:t>Likuma 1</w:t>
            </w:r>
            <w:r w:rsidR="00624F2D" w:rsidRPr="007956F1">
              <w:rPr>
                <w:b/>
                <w:u w:val="single"/>
              </w:rPr>
              <w:t>9</w:t>
            </w:r>
            <w:r w:rsidRPr="007956F1">
              <w:rPr>
                <w:b/>
                <w:u w:val="single"/>
              </w:rPr>
              <w:t>.pants</w:t>
            </w:r>
            <w:r w:rsidRPr="007956F1">
              <w:t xml:space="preserve"> saglabā līdzšinējo likumā “Par uzņēmumu ienākuma nodokli” noteikto atbildības sadalījumu. </w:t>
            </w:r>
            <w:r w:rsidR="005B1710" w:rsidRPr="007956F1">
              <w:t>Papildus nosakot, ka par ieguldījumu fonda vai alternatīvo ieguldījumu fond</w:t>
            </w:r>
            <w:r w:rsidR="00160B54" w:rsidRPr="007956F1">
              <w:t>a izdarītajiem pārkāpumiem</w:t>
            </w:r>
            <w:r w:rsidR="005B1710" w:rsidRPr="007956F1">
              <w:t xml:space="preserve"> atbildīgs ir attiecīgā ieguldījumu fonda pārvaldītājs</w:t>
            </w:r>
            <w:r w:rsidR="00160B54" w:rsidRPr="007956F1">
              <w:t>.</w:t>
            </w:r>
          </w:p>
          <w:p w:rsidR="006E11B0" w:rsidRPr="007956F1" w:rsidRDefault="006E11B0" w:rsidP="006E11B0">
            <w:pPr>
              <w:ind w:right="149" w:firstLine="260"/>
              <w:jc w:val="both"/>
            </w:pPr>
            <w:r w:rsidRPr="007956F1">
              <w:rPr>
                <w:b/>
                <w:u w:val="single"/>
              </w:rPr>
              <w:t xml:space="preserve">Likuma </w:t>
            </w:r>
            <w:r w:rsidR="00624F2D" w:rsidRPr="007956F1">
              <w:rPr>
                <w:b/>
                <w:u w:val="single"/>
              </w:rPr>
              <w:t>20</w:t>
            </w:r>
            <w:r w:rsidRPr="007956F1">
              <w:rPr>
                <w:b/>
                <w:u w:val="single"/>
              </w:rPr>
              <w:t>.pants</w:t>
            </w:r>
            <w:r w:rsidRPr="007956F1">
              <w:t xml:space="preserve"> deleģē Ministru kabinetu izdot noteikumus Likuma normu piemērošanai.</w:t>
            </w:r>
          </w:p>
          <w:p w:rsidR="006E11B0" w:rsidRPr="007956F1" w:rsidRDefault="006E11B0" w:rsidP="00C419EF">
            <w:pPr>
              <w:ind w:right="147" w:firstLine="222"/>
              <w:jc w:val="both"/>
              <w:rPr>
                <w:b/>
                <w:u w:val="single"/>
              </w:rPr>
            </w:pPr>
            <w:r w:rsidRPr="007956F1">
              <w:rPr>
                <w:b/>
                <w:u w:val="single"/>
              </w:rPr>
              <w:t>Likuma Pārejas noteikumu normas.</w:t>
            </w:r>
          </w:p>
          <w:p w:rsidR="006E11B0" w:rsidRPr="007956F1" w:rsidRDefault="006E11B0" w:rsidP="006E11B0">
            <w:pPr>
              <w:pStyle w:val="ListParagraph"/>
              <w:spacing w:after="0" w:line="240" w:lineRule="auto"/>
              <w:ind w:left="0" w:right="147" w:firstLine="364"/>
              <w:jc w:val="both"/>
              <w:rPr>
                <w:rFonts w:ascii="Times New Roman" w:hAnsi="Times New Roman"/>
                <w:sz w:val="24"/>
                <w:szCs w:val="24"/>
                <w:lang w:val="lv-LV"/>
              </w:rPr>
            </w:pPr>
            <w:r w:rsidRPr="007956F1">
              <w:rPr>
                <w:rFonts w:ascii="Times New Roman" w:hAnsi="Times New Roman"/>
                <w:sz w:val="24"/>
                <w:szCs w:val="24"/>
                <w:lang w:val="lv-LV"/>
              </w:rPr>
              <w:t>Likums paredz, ka 2017.gada 31.decembri zaudē spēku likums “Par uzņēmumu ienākuma nodokli”. Savukārt, par taksācijas periodu, kas sākās 2017.gadā līdz 2017.gada 31.decembrim UIN tiek aprēķināts un UIN deklarācija tiek iesniegta saskaņā ar UIN normām, kas ir spēkā līdz 2017.gada 31.decembrim.</w:t>
            </w:r>
          </w:p>
          <w:p w:rsidR="006E11B0" w:rsidRPr="007956F1" w:rsidRDefault="00096821" w:rsidP="006E11B0">
            <w:pPr>
              <w:pStyle w:val="ListParagraph"/>
              <w:spacing w:after="0" w:line="240" w:lineRule="auto"/>
              <w:ind w:left="0" w:right="147" w:firstLine="364"/>
              <w:jc w:val="both"/>
              <w:rPr>
                <w:rFonts w:ascii="Times New Roman" w:hAnsi="Times New Roman"/>
                <w:i/>
                <w:sz w:val="24"/>
                <w:szCs w:val="24"/>
                <w:lang w:val="lv-LV"/>
              </w:rPr>
            </w:pPr>
            <w:r w:rsidRPr="007956F1">
              <w:rPr>
                <w:rFonts w:ascii="Times New Roman" w:hAnsi="Times New Roman"/>
                <w:i/>
                <w:sz w:val="24"/>
                <w:szCs w:val="24"/>
                <w:lang w:val="lv-LV"/>
              </w:rPr>
              <w:t>P</w:t>
            </w:r>
            <w:r w:rsidR="006E11B0" w:rsidRPr="007956F1">
              <w:rPr>
                <w:rFonts w:ascii="Times New Roman" w:hAnsi="Times New Roman"/>
                <w:i/>
                <w:sz w:val="24"/>
                <w:szCs w:val="24"/>
                <w:lang w:val="lv-LV"/>
              </w:rPr>
              <w:t>ārskata gads neatbilst kalendārajam gadam</w:t>
            </w:r>
          </w:p>
          <w:p w:rsidR="006E11B0" w:rsidRPr="007956F1" w:rsidRDefault="006E11B0" w:rsidP="006E11B0">
            <w:pPr>
              <w:pStyle w:val="ListParagraph"/>
              <w:spacing w:after="0" w:line="240" w:lineRule="auto"/>
              <w:ind w:left="0" w:right="147" w:firstLine="364"/>
              <w:jc w:val="both"/>
              <w:rPr>
                <w:rFonts w:ascii="Times New Roman" w:hAnsi="Times New Roman"/>
                <w:sz w:val="24"/>
                <w:szCs w:val="24"/>
                <w:lang w:val="lv-LV"/>
              </w:rPr>
            </w:pPr>
            <w:r w:rsidRPr="007956F1">
              <w:rPr>
                <w:rFonts w:ascii="Times New Roman" w:hAnsi="Times New Roman"/>
                <w:sz w:val="24"/>
                <w:szCs w:val="24"/>
                <w:lang w:val="lv-LV"/>
              </w:rPr>
              <w:t xml:space="preserve">Ņemot vērā, ka tiek ieviests atšķirīgs UIN modelis, tad nodokļa maksātājiem, kuru pārskata gads nesakrīt ar kalendāro gadu būs jāiesniedz </w:t>
            </w:r>
            <w:proofErr w:type="spellStart"/>
            <w:r w:rsidRPr="007956F1">
              <w:rPr>
                <w:rFonts w:ascii="Times New Roman" w:hAnsi="Times New Roman"/>
                <w:sz w:val="24"/>
                <w:szCs w:val="24"/>
                <w:lang w:val="lv-LV"/>
              </w:rPr>
              <w:t>starpperioda</w:t>
            </w:r>
            <w:proofErr w:type="spellEnd"/>
            <w:r w:rsidRPr="007956F1">
              <w:rPr>
                <w:rFonts w:ascii="Times New Roman" w:hAnsi="Times New Roman"/>
                <w:sz w:val="24"/>
                <w:szCs w:val="24"/>
                <w:lang w:val="lv-LV"/>
              </w:rPr>
              <w:t xml:space="preserve"> finanšu pārskats UIN aprēķināšanai.</w:t>
            </w:r>
          </w:p>
          <w:p w:rsidR="006E11B0" w:rsidRPr="007956F1" w:rsidRDefault="006E11B0" w:rsidP="006E11B0">
            <w:pPr>
              <w:ind w:right="147" w:firstLine="364"/>
              <w:jc w:val="both"/>
              <w:rPr>
                <w:i/>
              </w:rPr>
            </w:pPr>
            <w:r w:rsidRPr="007956F1">
              <w:rPr>
                <w:i/>
              </w:rPr>
              <w:t>Atlaide atbalstāmajām investīcijām</w:t>
            </w:r>
          </w:p>
          <w:p w:rsidR="006E11B0" w:rsidRPr="007956F1" w:rsidRDefault="006E11B0" w:rsidP="006E11B0">
            <w:pPr>
              <w:pStyle w:val="ListParagraph"/>
              <w:spacing w:after="0" w:line="240" w:lineRule="auto"/>
              <w:ind w:left="0" w:right="147" w:firstLine="364"/>
              <w:jc w:val="both"/>
              <w:rPr>
                <w:rFonts w:ascii="Times New Roman" w:hAnsi="Times New Roman"/>
                <w:sz w:val="24"/>
                <w:szCs w:val="24"/>
                <w:lang w:val="lv-LV"/>
              </w:rPr>
            </w:pPr>
            <w:r w:rsidRPr="007956F1">
              <w:rPr>
                <w:rFonts w:ascii="Times New Roman" w:hAnsi="Times New Roman"/>
                <w:sz w:val="24"/>
                <w:szCs w:val="24"/>
                <w:lang w:val="lv-LV"/>
              </w:rPr>
              <w:t>Likums paredz pārejas periodu UIN atlaidēm attiecībā uz atbalstāmo investīciju projektiem, kas apstiprināti Ministru kabinetā līdz 2017.gada 31.decembrim (Pāre</w:t>
            </w:r>
            <w:r w:rsidR="00C419EF" w:rsidRPr="007956F1">
              <w:rPr>
                <w:rFonts w:ascii="Times New Roman" w:hAnsi="Times New Roman"/>
                <w:sz w:val="24"/>
                <w:szCs w:val="24"/>
                <w:lang w:val="lv-LV"/>
              </w:rPr>
              <w:t xml:space="preserve">jas noteikumu </w:t>
            </w:r>
            <w:r w:rsidR="008F5C3C" w:rsidRPr="007956F1">
              <w:rPr>
                <w:rFonts w:ascii="Times New Roman" w:hAnsi="Times New Roman"/>
                <w:sz w:val="24"/>
                <w:szCs w:val="24"/>
                <w:lang w:val="lv-LV"/>
              </w:rPr>
              <w:t>2</w:t>
            </w:r>
            <w:r w:rsidR="003A0573">
              <w:rPr>
                <w:rFonts w:ascii="Times New Roman" w:hAnsi="Times New Roman"/>
                <w:sz w:val="24"/>
                <w:szCs w:val="24"/>
                <w:lang w:val="lv-LV"/>
              </w:rPr>
              <w:t>9</w:t>
            </w:r>
            <w:r w:rsidR="00C419EF" w:rsidRPr="007956F1">
              <w:rPr>
                <w:rFonts w:ascii="Times New Roman" w:hAnsi="Times New Roman"/>
                <w:sz w:val="24"/>
                <w:szCs w:val="24"/>
                <w:lang w:val="lv-LV"/>
              </w:rPr>
              <w:t>.punkts)</w:t>
            </w:r>
            <w:r w:rsidRPr="007956F1">
              <w:rPr>
                <w:rFonts w:ascii="Times New Roman" w:hAnsi="Times New Roman"/>
                <w:sz w:val="24"/>
                <w:szCs w:val="24"/>
                <w:lang w:val="lv-LV"/>
              </w:rPr>
              <w:t>.</w:t>
            </w:r>
          </w:p>
          <w:p w:rsidR="006E11B0" w:rsidRPr="007956F1" w:rsidRDefault="006E11B0" w:rsidP="006E11B0">
            <w:pPr>
              <w:pStyle w:val="ListParagraph"/>
              <w:spacing w:after="0" w:line="240" w:lineRule="auto"/>
              <w:ind w:left="0" w:right="147" w:firstLine="364"/>
              <w:jc w:val="both"/>
              <w:rPr>
                <w:rFonts w:ascii="Times New Roman" w:hAnsi="Times New Roman"/>
                <w:i/>
                <w:sz w:val="24"/>
                <w:szCs w:val="24"/>
                <w:lang w:val="lv-LV"/>
              </w:rPr>
            </w:pPr>
            <w:r w:rsidRPr="007956F1">
              <w:rPr>
                <w:rFonts w:ascii="Times New Roman" w:hAnsi="Times New Roman"/>
                <w:i/>
                <w:sz w:val="24"/>
                <w:szCs w:val="24"/>
                <w:lang w:val="lv-LV"/>
              </w:rPr>
              <w:t>Atlaide par veiktajām investīcijām brīvostās un speciālajās ekonomiskajās zonās</w:t>
            </w:r>
          </w:p>
          <w:p w:rsidR="006E11B0" w:rsidRPr="007956F1" w:rsidRDefault="006E11B0" w:rsidP="006E11B0">
            <w:pPr>
              <w:pStyle w:val="ListParagraph"/>
              <w:spacing w:after="0" w:line="240" w:lineRule="auto"/>
              <w:ind w:left="0" w:right="147" w:firstLine="364"/>
              <w:jc w:val="both"/>
              <w:rPr>
                <w:rFonts w:ascii="Times New Roman" w:hAnsi="Times New Roman"/>
                <w:sz w:val="24"/>
                <w:szCs w:val="24"/>
                <w:lang w:val="lv-LV"/>
              </w:rPr>
            </w:pPr>
            <w:r w:rsidRPr="007956F1">
              <w:rPr>
                <w:rFonts w:ascii="Times New Roman" w:hAnsi="Times New Roman"/>
                <w:sz w:val="24"/>
                <w:szCs w:val="24"/>
                <w:lang w:val="lv-LV"/>
              </w:rPr>
              <w:t>Likums paredz iespēju turpināt izmantot, kā arī saņemt no jauna, piešķirtās UIN atlaides par brīvostās un speciālajās ekonomiskajās zonās  veiktajām  (līdz 2035.gada 31.decembrim) investīcijām, kas aprēķinātas saskaņā ar likumu “Par nodokļu piemērošanu brīvostās un speciālajās ekonomiskajās zonās”</w:t>
            </w:r>
            <w:r w:rsidR="00C419EF" w:rsidRPr="007956F1">
              <w:rPr>
                <w:rFonts w:ascii="Times New Roman" w:hAnsi="Times New Roman"/>
                <w:sz w:val="24"/>
                <w:szCs w:val="24"/>
                <w:lang w:val="lv-LV"/>
              </w:rPr>
              <w:t xml:space="preserve"> (Pārejas noteikumu 2</w:t>
            </w:r>
            <w:r w:rsidR="003A0573">
              <w:rPr>
                <w:rFonts w:ascii="Times New Roman" w:hAnsi="Times New Roman"/>
                <w:sz w:val="24"/>
                <w:szCs w:val="24"/>
                <w:lang w:val="lv-LV"/>
              </w:rPr>
              <w:t>6</w:t>
            </w:r>
            <w:r w:rsidR="00C419EF" w:rsidRPr="007956F1">
              <w:rPr>
                <w:rFonts w:ascii="Times New Roman" w:hAnsi="Times New Roman"/>
                <w:sz w:val="24"/>
                <w:szCs w:val="24"/>
                <w:lang w:val="lv-LV"/>
              </w:rPr>
              <w:t>.punkts)</w:t>
            </w:r>
            <w:r w:rsidRPr="007956F1">
              <w:rPr>
                <w:rFonts w:ascii="Times New Roman" w:hAnsi="Times New Roman"/>
                <w:sz w:val="24"/>
                <w:szCs w:val="24"/>
                <w:lang w:val="lv-LV"/>
              </w:rPr>
              <w:t>.</w:t>
            </w:r>
          </w:p>
          <w:p w:rsidR="006E11B0" w:rsidRPr="007956F1" w:rsidRDefault="006E11B0" w:rsidP="006E11B0">
            <w:pPr>
              <w:ind w:right="147" w:firstLine="364"/>
              <w:jc w:val="both"/>
              <w:rPr>
                <w:i/>
              </w:rPr>
            </w:pPr>
            <w:r w:rsidRPr="007956F1">
              <w:rPr>
                <w:i/>
              </w:rPr>
              <w:t>Debitori</w:t>
            </w:r>
          </w:p>
          <w:p w:rsidR="006E11B0" w:rsidRPr="007956F1" w:rsidRDefault="006E11B0" w:rsidP="006E11B0">
            <w:pPr>
              <w:pStyle w:val="ListParagraph"/>
              <w:spacing w:after="0" w:line="240" w:lineRule="auto"/>
              <w:ind w:left="80" w:right="147" w:firstLine="364"/>
              <w:jc w:val="both"/>
              <w:rPr>
                <w:rFonts w:ascii="Times New Roman" w:hAnsi="Times New Roman"/>
                <w:sz w:val="24"/>
                <w:szCs w:val="24"/>
                <w:lang w:val="lv-LV"/>
              </w:rPr>
            </w:pPr>
            <w:r w:rsidRPr="007956F1">
              <w:rPr>
                <w:rFonts w:ascii="Times New Roman" w:hAnsi="Times New Roman"/>
                <w:sz w:val="24"/>
                <w:szCs w:val="24"/>
                <w:lang w:val="lv-LV"/>
              </w:rPr>
              <w:t>Ņemot vērā, ka debitora parādi saskaņā ar likuma “Par uzņēmumu ienākuma nodokli” ir iekļauti ar UIN apliekamajā ienākumā, tad Likums paredz, ka UIN jaunās normas attiecas uz tādiem nedrošajiem parādiem, kuri kā debitora parādi bilancē ir uzrādīti sākot ar 2018.gada 1.janvāri.</w:t>
            </w:r>
          </w:p>
          <w:p w:rsidR="006E11B0" w:rsidRPr="007956F1" w:rsidRDefault="006E11B0" w:rsidP="006E11B0">
            <w:pPr>
              <w:ind w:right="149" w:firstLine="364"/>
              <w:jc w:val="both"/>
              <w:rPr>
                <w:i/>
              </w:rPr>
            </w:pPr>
            <w:r w:rsidRPr="007956F1">
              <w:rPr>
                <w:i/>
              </w:rPr>
              <w:t>Iepriekšējo gadu nesadalītā peļņa</w:t>
            </w:r>
            <w:r w:rsidR="007479E5">
              <w:rPr>
                <w:i/>
              </w:rPr>
              <w:t xml:space="preserve"> </w:t>
            </w:r>
            <w:r w:rsidR="007479E5" w:rsidRPr="007479E5">
              <w:rPr>
                <w:b/>
                <w:i/>
              </w:rPr>
              <w:t>vai zaudējumi</w:t>
            </w:r>
          </w:p>
          <w:p w:rsidR="006E11B0" w:rsidRPr="007956F1" w:rsidRDefault="006E11B0" w:rsidP="006E11B0">
            <w:pPr>
              <w:ind w:right="149" w:firstLine="364"/>
              <w:jc w:val="both"/>
            </w:pPr>
            <w:r w:rsidRPr="007956F1">
              <w:t>Ņemot vērā, ka bilancē uz 2017.gada 31.decembri uzrādītā peļņa (pārskata gada un iepriekšējo gadu nesadalītā peļņa) veidojusies pēc UIN maksāšanas, tad Likuma pārejas noteikumi paredz minēto peļņu ar UIN neaplikt, nosakot, ka sadalot peļņu pieņem, ka UIN mērķiem pirmā tiek sadalīta minētā peļņa ņemot vēra arī turpmāko pārskata gadu zaudējumus.</w:t>
            </w:r>
          </w:p>
          <w:p w:rsidR="00C30395" w:rsidRDefault="006E11B0" w:rsidP="00624F2D">
            <w:pPr>
              <w:ind w:right="149" w:firstLine="364"/>
              <w:jc w:val="both"/>
            </w:pPr>
            <w:r w:rsidRPr="007956F1">
              <w:t xml:space="preserve"> Minētā pieeja tiek nodrošināta arī uz uzkrājumiem, kuri uzrādīti bilancē uz 2017.gada 31.decembri un kuri turpmākajos taksācijas periodos tiek samazināti, ja izveidojot šos uzkrājumus tie </w:t>
            </w:r>
            <w:r w:rsidR="00624F2D" w:rsidRPr="007956F1">
              <w:t>bija</w:t>
            </w:r>
            <w:r w:rsidRPr="007956F1">
              <w:t xml:space="preserve"> iekļauti ar uzņēmumu ienākuma nodokli apliekamajā ienākumā.</w:t>
            </w:r>
          </w:p>
          <w:p w:rsidR="007479E5" w:rsidRPr="007479E5" w:rsidRDefault="007479E5" w:rsidP="007479E5">
            <w:pPr>
              <w:ind w:firstLine="364"/>
              <w:jc w:val="both"/>
              <w:rPr>
                <w:b/>
              </w:rPr>
            </w:pPr>
            <w:r w:rsidRPr="007479E5">
              <w:rPr>
                <w:b/>
              </w:rPr>
              <w:t>Ievērojot izteiktos iebildumus Likumā kā kompromiss tiek saglabāta iespēja ierobežotā laika posmā segt daļu nodokļu zaudējumu, kas radušies iepriekšējos taksācijas periodos līdz 2017.gada 31.decembrim.</w:t>
            </w:r>
            <w:r w:rsidR="004176A2">
              <w:rPr>
                <w:b/>
              </w:rPr>
              <w:t xml:space="preserve"> Papildus tam, Pārejas noteikumu 21.punkts  paredz iespēju segt neierobežotu laika periodu zaudējumus, kas radušies </w:t>
            </w:r>
            <w:r w:rsidR="004176A2" w:rsidRPr="004176A2">
              <w:rPr>
                <w:b/>
              </w:rPr>
              <w:t>Valsts kapitālsabiedrīb</w:t>
            </w:r>
            <w:r w:rsidR="004176A2">
              <w:rPr>
                <w:b/>
              </w:rPr>
              <w:t>ām</w:t>
            </w:r>
            <w:r w:rsidR="004176A2" w:rsidRPr="004176A2">
              <w:rPr>
                <w:b/>
              </w:rPr>
              <w:t xml:space="preserve">, kuras daļas vai akcijas nedrīkst atsavināt un kura pilda Valsts deleģētas funkcijas (ar saimniecisko darbību nesaistītas), </w:t>
            </w:r>
            <w:r w:rsidR="004176A2">
              <w:rPr>
                <w:b/>
              </w:rPr>
              <w:t>attiecībā uz tiem zaudējumiem k</w:t>
            </w:r>
            <w:r w:rsidR="004176A2" w:rsidRPr="004176A2">
              <w:rPr>
                <w:b/>
              </w:rPr>
              <w:t>ur</w:t>
            </w:r>
            <w:r w:rsidR="004176A2">
              <w:rPr>
                <w:b/>
              </w:rPr>
              <w:t>i</w:t>
            </w:r>
            <w:r w:rsidR="004176A2" w:rsidRPr="004176A2">
              <w:rPr>
                <w:b/>
              </w:rPr>
              <w:t xml:space="preserve"> </w:t>
            </w:r>
            <w:r w:rsidR="004176A2">
              <w:rPr>
                <w:b/>
              </w:rPr>
              <w:t xml:space="preserve">uzrādīti </w:t>
            </w:r>
            <w:r w:rsidR="004176A2" w:rsidRPr="004176A2">
              <w:rPr>
                <w:b/>
              </w:rPr>
              <w:t xml:space="preserve">uzņēmumu ienākuma nodokļa deklarācijā uz 2017.gada 31.decembri </w:t>
            </w:r>
            <w:r w:rsidR="004176A2">
              <w:rPr>
                <w:b/>
              </w:rPr>
              <w:t>un</w:t>
            </w:r>
            <w:r w:rsidR="004176A2" w:rsidRPr="004176A2">
              <w:rPr>
                <w:b/>
              </w:rPr>
              <w:t xml:space="preserve"> radušies  piemērojot likuma “Par uzņēmumu ienākuma nodokli” 9.panta otrās daļas 1.pun</w:t>
            </w:r>
            <w:r w:rsidR="004176A2">
              <w:rPr>
                <w:b/>
              </w:rPr>
              <w:t>ktu.</w:t>
            </w:r>
          </w:p>
          <w:p w:rsidR="00503E02" w:rsidRDefault="00503E02" w:rsidP="00503E02">
            <w:pPr>
              <w:ind w:right="149" w:firstLine="364"/>
              <w:jc w:val="both"/>
            </w:pPr>
            <w:r>
              <w:t>Ņemot vērā, ka Sociālās uzņēmējdarbības likums ir izstrādes stadijā, invalīdu biedrību kapitālsabiedrībām</w:t>
            </w:r>
            <w:r w:rsidRPr="00503E02">
              <w:t>, medicīniska rakstura, kā arī citu lab</w:t>
            </w:r>
            <w:r>
              <w:t xml:space="preserve">darības fondu kapitālsabiedrībām, kurām līdz šim bija tiesības piemērot likuma “Par uzņēmumu ienākuma nodokli” 21.pantā noteikto režīmu, ir paredzēts vienu gadu saglabāt šo režīmu. </w:t>
            </w:r>
          </w:p>
          <w:p w:rsidR="00503E02" w:rsidRPr="007956F1" w:rsidRDefault="00503E02" w:rsidP="00503E02">
            <w:pPr>
              <w:ind w:right="149" w:firstLine="364"/>
              <w:jc w:val="both"/>
            </w:pPr>
            <w:r>
              <w:t xml:space="preserve">Vispārējais nodokļa maksāšanas termiņš ir paredzēts 25.datums. </w:t>
            </w:r>
          </w:p>
        </w:tc>
      </w:tr>
      <w:tr w:rsidR="007956F1" w:rsidRPr="007956F1" w:rsidTr="003C2EB4">
        <w:trPr>
          <w:trHeight w:val="476"/>
        </w:trPr>
        <w:tc>
          <w:tcPr>
            <w:tcW w:w="154" w:type="pct"/>
          </w:tcPr>
          <w:p w:rsidR="008078B8" w:rsidRPr="007956F1" w:rsidRDefault="008078B8" w:rsidP="002431AC">
            <w:pPr>
              <w:pStyle w:val="naiskr"/>
              <w:spacing w:before="0" w:after="0"/>
              <w:ind w:left="57" w:right="57"/>
              <w:jc w:val="center"/>
            </w:pPr>
            <w:r w:rsidRPr="007956F1">
              <w:t>3.</w:t>
            </w:r>
          </w:p>
        </w:tc>
        <w:tc>
          <w:tcPr>
            <w:tcW w:w="661" w:type="pct"/>
          </w:tcPr>
          <w:p w:rsidR="008078B8" w:rsidRPr="007956F1" w:rsidRDefault="008078B8" w:rsidP="002431AC">
            <w:pPr>
              <w:pStyle w:val="naiskr"/>
              <w:spacing w:before="0" w:after="0"/>
              <w:ind w:left="57" w:right="57"/>
            </w:pPr>
            <w:r w:rsidRPr="007956F1">
              <w:t>Projekta izstrādē iesaistītās institūcijas</w:t>
            </w:r>
          </w:p>
        </w:tc>
        <w:tc>
          <w:tcPr>
            <w:tcW w:w="4185" w:type="pct"/>
          </w:tcPr>
          <w:p w:rsidR="008078B8" w:rsidRPr="007956F1" w:rsidRDefault="00DA3E39" w:rsidP="00521D86">
            <w:pPr>
              <w:ind w:hanging="24"/>
              <w:jc w:val="both"/>
              <w:rPr>
                <w:iCs/>
              </w:rPr>
            </w:pPr>
            <w:r w:rsidRPr="007956F1">
              <w:rPr>
                <w:iCs/>
              </w:rPr>
              <w:t>EM, ZM, SM, KM, Valsts ieņēmumu dienests, Nacionālā trīspusējās sadarbības padome (NTSP)</w:t>
            </w:r>
            <w:r w:rsidR="00107771" w:rsidRPr="007956F1">
              <w:rPr>
                <w:iCs/>
              </w:rPr>
              <w:t>, LTRK</w:t>
            </w:r>
            <w:r w:rsidRPr="007956F1">
              <w:rPr>
                <w:iCs/>
              </w:rPr>
              <w:t xml:space="preserve"> un citas nevalstiskās organizācijas.</w:t>
            </w:r>
          </w:p>
          <w:p w:rsidR="00107771" w:rsidRPr="007956F1" w:rsidRDefault="00107771" w:rsidP="00521D86">
            <w:pPr>
              <w:ind w:hanging="24"/>
              <w:jc w:val="both"/>
              <w:rPr>
                <w:iCs/>
              </w:rPr>
            </w:pPr>
            <w:r w:rsidRPr="007956F1">
              <w:rPr>
                <w:iCs/>
              </w:rPr>
              <w:t>Konceptuālu atbalstu jaunā uzņēmumu ienākumu nodokļa režīma ieviešanai ir paudusi Tautsaimniecības padome.</w:t>
            </w:r>
          </w:p>
          <w:p w:rsidR="00107771" w:rsidRPr="007956F1" w:rsidRDefault="00107771" w:rsidP="00521D86">
            <w:pPr>
              <w:ind w:hanging="24"/>
              <w:jc w:val="both"/>
            </w:pPr>
            <w:r w:rsidRPr="007956F1">
              <w:t xml:space="preserve">Likumā ietvertas normas ir apspriestas Ministru prezidenta vadītajā Nodokļu reformu vadības grupā, piedaloties atbildīgo Saeimas komisiju pārstāvjiem, Saeimas deputātiem. </w:t>
            </w:r>
          </w:p>
        </w:tc>
      </w:tr>
      <w:tr w:rsidR="007956F1" w:rsidRPr="007956F1" w:rsidTr="003C2EB4">
        <w:tc>
          <w:tcPr>
            <w:tcW w:w="154" w:type="pct"/>
          </w:tcPr>
          <w:p w:rsidR="008078B8" w:rsidRPr="007956F1" w:rsidRDefault="008078B8" w:rsidP="002431AC">
            <w:pPr>
              <w:pStyle w:val="naiskr"/>
              <w:spacing w:before="0" w:after="0"/>
              <w:ind w:left="57" w:right="57"/>
              <w:jc w:val="center"/>
            </w:pPr>
            <w:r w:rsidRPr="007956F1">
              <w:t>4.</w:t>
            </w:r>
          </w:p>
        </w:tc>
        <w:tc>
          <w:tcPr>
            <w:tcW w:w="661" w:type="pct"/>
          </w:tcPr>
          <w:p w:rsidR="008078B8" w:rsidRPr="007956F1" w:rsidRDefault="008078B8" w:rsidP="002431AC">
            <w:pPr>
              <w:pStyle w:val="naiskr"/>
              <w:spacing w:before="0" w:after="0"/>
              <w:ind w:left="57" w:right="57"/>
            </w:pPr>
            <w:r w:rsidRPr="007956F1">
              <w:t>Cita informācija</w:t>
            </w:r>
          </w:p>
        </w:tc>
        <w:tc>
          <w:tcPr>
            <w:tcW w:w="4185" w:type="pct"/>
          </w:tcPr>
          <w:p w:rsidR="008078B8" w:rsidRPr="007956F1" w:rsidRDefault="008078B8" w:rsidP="002431AC">
            <w:pPr>
              <w:pStyle w:val="naiskr"/>
              <w:spacing w:before="0" w:after="0"/>
              <w:ind w:right="57"/>
            </w:pPr>
            <w:r w:rsidRPr="007956F1">
              <w:t>Nav.</w:t>
            </w:r>
          </w:p>
        </w:tc>
      </w:tr>
    </w:tbl>
    <w:p w:rsidR="008078B8" w:rsidRPr="007956F1" w:rsidRDefault="008078B8" w:rsidP="00843565">
      <w:pPr>
        <w:ind w:left="-851"/>
      </w:pPr>
    </w:p>
    <w:tbl>
      <w:tblPr>
        <w:tblpPr w:leftFromText="180" w:rightFromText="180" w:vertAnchor="text" w:horzAnchor="margin" w:tblpXSpec="center" w:tblpY="149"/>
        <w:tblW w:w="57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
        <w:gridCol w:w="2863"/>
        <w:gridCol w:w="7066"/>
      </w:tblGrid>
      <w:tr w:rsidR="007956F1" w:rsidRPr="007956F1" w:rsidTr="00843565">
        <w:trPr>
          <w:trHeight w:val="419"/>
        </w:trPr>
        <w:tc>
          <w:tcPr>
            <w:tcW w:w="5000" w:type="pct"/>
            <w:gridSpan w:val="3"/>
            <w:vAlign w:val="center"/>
          </w:tcPr>
          <w:p w:rsidR="008078B8" w:rsidRPr="007956F1" w:rsidRDefault="008078B8" w:rsidP="002431AC">
            <w:pPr>
              <w:jc w:val="center"/>
              <w:rPr>
                <w:b/>
              </w:rPr>
            </w:pPr>
            <w:r w:rsidRPr="007956F1">
              <w:rPr>
                <w:b/>
                <w:bCs/>
              </w:rPr>
              <w:t>II. Tiesību akta projekta ietekme uz sabiedrību, tautsaimniecības attīstību un administratīvo slogu</w:t>
            </w:r>
          </w:p>
        </w:tc>
      </w:tr>
      <w:tr w:rsidR="007956F1" w:rsidRPr="007956F1" w:rsidTr="00843565">
        <w:trPr>
          <w:trHeight w:val="2698"/>
        </w:trPr>
        <w:tc>
          <w:tcPr>
            <w:tcW w:w="203" w:type="pct"/>
          </w:tcPr>
          <w:p w:rsidR="008078B8" w:rsidRPr="007956F1" w:rsidRDefault="008078B8" w:rsidP="002431AC">
            <w:r w:rsidRPr="007956F1">
              <w:t>1.</w:t>
            </w:r>
          </w:p>
        </w:tc>
        <w:tc>
          <w:tcPr>
            <w:tcW w:w="1383" w:type="pct"/>
          </w:tcPr>
          <w:p w:rsidR="008078B8" w:rsidRPr="007956F1" w:rsidRDefault="008078B8" w:rsidP="002431AC">
            <w:r w:rsidRPr="007956F1">
              <w:t xml:space="preserve">Sabiedrības </w:t>
            </w:r>
            <w:proofErr w:type="spellStart"/>
            <w:r w:rsidRPr="007956F1">
              <w:t>mērķgrupas</w:t>
            </w:r>
            <w:proofErr w:type="spellEnd"/>
            <w:r w:rsidRPr="007956F1">
              <w:t>, kuras tiesiskais regulējums ietekmē vai varētu ietekmēt</w:t>
            </w:r>
          </w:p>
        </w:tc>
        <w:tc>
          <w:tcPr>
            <w:tcW w:w="3414" w:type="pct"/>
          </w:tcPr>
          <w:p w:rsidR="005B2A1F" w:rsidRPr="007956F1" w:rsidRDefault="00B82EEE" w:rsidP="00B82EEE">
            <w:pPr>
              <w:jc w:val="both"/>
            </w:pPr>
            <w:r w:rsidRPr="007956F1">
              <w:t>S</w:t>
            </w:r>
            <w:r w:rsidR="00C358D8" w:rsidRPr="007956F1">
              <w:t>aimnieciskās darbības veicēji</w:t>
            </w:r>
            <w:r w:rsidR="00F35490" w:rsidRPr="007956F1">
              <w:t xml:space="preserve"> – </w:t>
            </w:r>
            <w:r w:rsidR="005B2A1F" w:rsidRPr="007956F1">
              <w:t xml:space="preserve">visi </w:t>
            </w:r>
            <w:r w:rsidR="00C358D8" w:rsidRPr="007956F1">
              <w:t>uzņēmumu</w:t>
            </w:r>
            <w:r w:rsidR="00F35490" w:rsidRPr="007956F1">
              <w:t xml:space="preserve"> ienākuma nodokļa</w:t>
            </w:r>
            <w:r w:rsidR="00C358D8" w:rsidRPr="007956F1">
              <w:t xml:space="preserve"> </w:t>
            </w:r>
            <w:r w:rsidR="00F35490" w:rsidRPr="007956F1">
              <w:t>maksātāji</w:t>
            </w:r>
            <w:r w:rsidRPr="007956F1">
              <w:t xml:space="preserve"> (</w:t>
            </w:r>
            <w:r w:rsidR="00C358D8" w:rsidRPr="007956F1">
              <w:t>iekšzemes uzņēmumi</w:t>
            </w:r>
            <w:r w:rsidRPr="007956F1">
              <w:t xml:space="preserve">, </w:t>
            </w:r>
            <w:r w:rsidR="00C358D8" w:rsidRPr="007956F1">
              <w:t xml:space="preserve">ieguldījumu fondi un alternatīvo ieguldījumu fondi, kuri izveidoti kā lietu </w:t>
            </w:r>
            <w:r w:rsidRPr="007956F1">
              <w:t xml:space="preserve">kopība, </w:t>
            </w:r>
            <w:r w:rsidR="00C358D8" w:rsidRPr="007956F1">
              <w:t>no valsts budžeta finansētas institūcijas, uz kurām neattiecas šā panta otrās daļas nosacījumi,</w:t>
            </w:r>
            <w:r w:rsidRPr="007956F1">
              <w:t xml:space="preserve"> </w:t>
            </w:r>
            <w:r w:rsidR="00C358D8" w:rsidRPr="007956F1">
              <w:t xml:space="preserve">no pašvaldību budžetiem finansētas institūcijas, kuras gūst ienākumus no saimnieciskās darbības un uz kurām neattiecas </w:t>
            </w:r>
            <w:r w:rsidRPr="007956F1">
              <w:t xml:space="preserve">šā panta otrās daļas nosacījumi, pastāvīgās pārstāvniecības, </w:t>
            </w:r>
            <w:r w:rsidR="00C358D8" w:rsidRPr="007956F1">
              <w:t>ārvalstu komercsabiedrības un citas person</w:t>
            </w:r>
            <w:r w:rsidRPr="007956F1">
              <w:t>as, kas gūst ieņēmumus Latvijā</w:t>
            </w:r>
            <w:r w:rsidR="00C358D8" w:rsidRPr="007956F1">
              <w:t>).</w:t>
            </w:r>
          </w:p>
        </w:tc>
      </w:tr>
      <w:tr w:rsidR="007956F1" w:rsidRPr="007956F1" w:rsidTr="00843565">
        <w:trPr>
          <w:trHeight w:val="274"/>
        </w:trPr>
        <w:tc>
          <w:tcPr>
            <w:tcW w:w="203" w:type="pct"/>
          </w:tcPr>
          <w:p w:rsidR="008078B8" w:rsidRPr="007956F1" w:rsidRDefault="008078B8" w:rsidP="002431AC">
            <w:r w:rsidRPr="007956F1">
              <w:t>2.</w:t>
            </w:r>
          </w:p>
        </w:tc>
        <w:tc>
          <w:tcPr>
            <w:tcW w:w="1383" w:type="pct"/>
          </w:tcPr>
          <w:p w:rsidR="008078B8" w:rsidRPr="007956F1" w:rsidRDefault="008078B8" w:rsidP="002431AC">
            <w:r w:rsidRPr="007956F1">
              <w:t>Tiesiskā regulējuma ietekme uz tautsaimniecību un administratīvo slogu</w:t>
            </w:r>
          </w:p>
        </w:tc>
        <w:tc>
          <w:tcPr>
            <w:tcW w:w="3414" w:type="pct"/>
          </w:tcPr>
          <w:p w:rsidR="00107771" w:rsidRPr="007956F1" w:rsidRDefault="00107771" w:rsidP="000203CB">
            <w:pPr>
              <w:spacing w:after="120"/>
              <w:jc w:val="both"/>
            </w:pPr>
            <w:r w:rsidRPr="007956F1">
              <w:rPr>
                <w:b/>
              </w:rPr>
              <w:t xml:space="preserve">UIN reformas </w:t>
            </w:r>
            <w:r w:rsidRPr="007956F1">
              <w:t xml:space="preserve">priekšlikuma mērķis ir veicināt tautsaimniecības attīstību, stimulējot uzņēmumus lielāku peļņas daļu atstāt uzņēmumā un veicinot investīciju pieaugumu. </w:t>
            </w:r>
            <w:r w:rsidR="009F1AA8" w:rsidRPr="007956F1">
              <w:t>Atliekot nodokļa uzlikšanu līdz peļņas sadalīšanai</w:t>
            </w:r>
            <w:r w:rsidRPr="007956F1">
              <w:t>, uzņēmumiem radīsies papildus motivācija un iespēja veikt investīcijas, piemēram, palielināt ražošanas vai pakalpojumu jaudu, mainīt ražošanas procesu.</w:t>
            </w:r>
          </w:p>
          <w:p w:rsidR="00107771" w:rsidRPr="007956F1" w:rsidRDefault="00107771" w:rsidP="00107771">
            <w:pPr>
              <w:spacing w:after="120"/>
            </w:pPr>
            <w:r w:rsidRPr="007956F1">
              <w:rPr>
                <w:noProof/>
                <w:lang w:val="en-US" w:eastAsia="en-US"/>
              </w:rPr>
              <w:drawing>
                <wp:inline distT="0" distB="0" distL="0" distR="0" wp14:anchorId="4A90E0DF" wp14:editId="6891AE9D">
                  <wp:extent cx="4200525" cy="2112010"/>
                  <wp:effectExtent l="0" t="0" r="9525" b="25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07771" w:rsidRPr="007956F1" w:rsidRDefault="00107771" w:rsidP="00107771">
            <w:pPr>
              <w:rPr>
                <w:b/>
                <w:sz w:val="22"/>
              </w:rPr>
            </w:pPr>
            <w:r w:rsidRPr="007956F1">
              <w:rPr>
                <w:b/>
                <w:sz w:val="22"/>
              </w:rPr>
              <w:t xml:space="preserve">Kopējā pamatkapitāla veidošana, </w:t>
            </w:r>
            <w:r w:rsidRPr="007956F1">
              <w:rPr>
                <w:i/>
                <w:sz w:val="22"/>
              </w:rPr>
              <w:t xml:space="preserve">milj. </w:t>
            </w:r>
            <w:proofErr w:type="spellStart"/>
            <w:r w:rsidRPr="007956F1">
              <w:rPr>
                <w:i/>
                <w:sz w:val="22"/>
              </w:rPr>
              <w:t>euro</w:t>
            </w:r>
            <w:proofErr w:type="spellEnd"/>
          </w:p>
          <w:p w:rsidR="00107771" w:rsidRPr="007956F1" w:rsidRDefault="00107771" w:rsidP="00107771">
            <w:pPr>
              <w:rPr>
                <w:i/>
                <w:sz w:val="20"/>
              </w:rPr>
            </w:pPr>
            <w:r w:rsidRPr="007956F1">
              <w:rPr>
                <w:b/>
                <w:i/>
                <w:sz w:val="20"/>
              </w:rPr>
              <w:t>Avots</w:t>
            </w:r>
            <w:r w:rsidRPr="007956F1">
              <w:rPr>
                <w:i/>
                <w:sz w:val="20"/>
              </w:rPr>
              <w:t>: CSP, FM aprēķini</w:t>
            </w:r>
          </w:p>
          <w:p w:rsidR="00107771" w:rsidRPr="007956F1" w:rsidRDefault="00107771" w:rsidP="00E90052">
            <w:pPr>
              <w:tabs>
                <w:tab w:val="left" w:pos="2127"/>
                <w:tab w:val="center" w:pos="4153"/>
                <w:tab w:val="left" w:pos="6096"/>
                <w:tab w:val="right" w:pos="8306"/>
              </w:tabs>
              <w:jc w:val="both"/>
            </w:pPr>
          </w:p>
          <w:p w:rsidR="00107771" w:rsidRPr="007956F1" w:rsidRDefault="00107771" w:rsidP="00107771">
            <w:pPr>
              <w:spacing w:after="120"/>
              <w:ind w:firstLine="567"/>
            </w:pPr>
            <w:r w:rsidRPr="007956F1">
              <w:t>Peļņa, kas tiks atstāta uzņēmumā, palielinās pamatkapitāla apjomu un uzlabos uzņēmuma bilanci kopumā. Dati par uzņēmumu pašu kapitālu Igaunijā apliecina, ka Igaunijas uzņēmumi kopumā ir krietni labāk kapitalizēti salīdzinājumā ar Latvijas uzņēmumiem. Tāpēc ir pamats uzskatīt, ka uzlabosies arī Latvijas uzņēmumu kapitalizācija, turklāt tiem mazināsies motivācija slēpt īsto peļņas apmēru. Tādējādi lielāks pamatkapitāls kopā ar citiem uzņēmējdarbības rādītājiem (apgrozījums, peļņa) uzlabos uzņēmumu pieeju kredītresursiem. 2015. un 2016.gadā  no jauna izsniegto kredītu apjoms uzņēmumiem pieauga attiecīgi par 21% un 33%. Realizējot UIN reformu, no jauna izsniegto kredītu apjoms turpmākajos trijos gados varētu pieaugt par 5 procentpunktiem straujāk nekā bāzes scenārijā, dodot papildus stimulu uzņēmumu investīcijām.</w:t>
            </w:r>
          </w:p>
          <w:p w:rsidR="00107771" w:rsidRPr="007956F1" w:rsidRDefault="00107771" w:rsidP="00107771">
            <w:pPr>
              <w:spacing w:after="120"/>
              <w:ind w:firstLine="567"/>
            </w:pPr>
            <w:r w:rsidRPr="007956F1">
              <w:t xml:space="preserve">Uzlabojoties uzņēmumu bilancēm, kā papildus investīcijas stimulējošs faktors varētu būt Eiropas Savienības fondu investīciju plūsmas paātrināšanās vidēji par 50 milj. </w:t>
            </w:r>
            <w:proofErr w:type="spellStart"/>
            <w:r w:rsidRPr="007956F1">
              <w:rPr>
                <w:i/>
              </w:rPr>
              <w:t>euro</w:t>
            </w:r>
            <w:proofErr w:type="spellEnd"/>
            <w:r w:rsidRPr="007956F1">
              <w:t xml:space="preserve"> gadā, tāpat palielinot uzņēmumu investīcijas salīdzinājumā ar bāzes scenāriju.</w:t>
            </w:r>
          </w:p>
          <w:p w:rsidR="00107771" w:rsidRPr="007956F1" w:rsidRDefault="00107771" w:rsidP="00107771">
            <w:pPr>
              <w:pStyle w:val="NormalWeb"/>
              <w:shd w:val="clear" w:color="auto" w:fill="FFFFFF"/>
              <w:spacing w:before="0" w:beforeAutospacing="0" w:after="0" w:afterAutospacing="0"/>
              <w:ind w:left="284" w:hanging="284"/>
            </w:pPr>
            <w:r w:rsidRPr="007956F1">
              <w:rPr>
                <w:noProof/>
                <w:lang w:val="en-US" w:eastAsia="en-US"/>
              </w:rPr>
              <w:drawing>
                <wp:inline distT="0" distB="0" distL="0" distR="0" wp14:anchorId="43A85199" wp14:editId="671CEFCD">
                  <wp:extent cx="4181475" cy="28098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7771" w:rsidRPr="007956F1" w:rsidRDefault="00107771" w:rsidP="00107771">
            <w:pPr>
              <w:pStyle w:val="NormalWeb"/>
              <w:shd w:val="clear" w:color="auto" w:fill="FFFFFF"/>
              <w:spacing w:before="0" w:beforeAutospacing="0" w:after="0" w:afterAutospacing="0"/>
              <w:ind w:left="284" w:hanging="284"/>
              <w:rPr>
                <w:b/>
                <w:sz w:val="22"/>
                <w:szCs w:val="22"/>
              </w:rPr>
            </w:pPr>
            <w:r w:rsidRPr="007956F1">
              <w:rPr>
                <w:b/>
                <w:sz w:val="22"/>
                <w:szCs w:val="22"/>
              </w:rPr>
              <w:t>IKP un investīciju pieauguma tempi, bāzes scenārijs un nodokļu ietekmes scenārijs, gada pieauguma tempi %</w:t>
            </w:r>
          </w:p>
          <w:p w:rsidR="00107771" w:rsidRPr="007956F1" w:rsidRDefault="00107771" w:rsidP="00107771">
            <w:pPr>
              <w:pStyle w:val="NormalWeb"/>
              <w:shd w:val="clear" w:color="auto" w:fill="FFFFFF"/>
              <w:spacing w:before="0" w:beforeAutospacing="0" w:after="0" w:afterAutospacing="0"/>
              <w:ind w:left="284" w:hanging="284"/>
              <w:rPr>
                <w:i/>
                <w:sz w:val="20"/>
              </w:rPr>
            </w:pPr>
            <w:r w:rsidRPr="007956F1">
              <w:rPr>
                <w:b/>
                <w:i/>
                <w:sz w:val="20"/>
              </w:rPr>
              <w:t>Avots</w:t>
            </w:r>
            <w:r w:rsidRPr="007956F1">
              <w:rPr>
                <w:i/>
                <w:sz w:val="20"/>
              </w:rPr>
              <w:t>: CSP, FM aprēķini</w:t>
            </w:r>
          </w:p>
          <w:p w:rsidR="00107771" w:rsidRPr="007956F1" w:rsidRDefault="00107771" w:rsidP="00107771">
            <w:pPr>
              <w:ind w:firstLine="567"/>
            </w:pPr>
          </w:p>
          <w:p w:rsidR="00107771" w:rsidRPr="007956F1" w:rsidRDefault="00107771" w:rsidP="00107771">
            <w:pPr>
              <w:ind w:firstLine="567"/>
            </w:pPr>
            <w:r w:rsidRPr="007956F1">
              <w:t xml:space="preserve">UIN atliktās maksājuma kārtības ieviešana radītu vairākus pozitīvus efektus uz tautsaimniecību, kas savukārt palielinātu nodokļu ieņēmumus valsts budžetā:  </w:t>
            </w:r>
          </w:p>
          <w:p w:rsidR="00107771" w:rsidRPr="007956F1" w:rsidRDefault="00107771" w:rsidP="00107771">
            <w:pPr>
              <w:pStyle w:val="NormalWeb"/>
              <w:shd w:val="clear" w:color="auto" w:fill="FFFFFF"/>
              <w:spacing w:before="0" w:beforeAutospacing="0" w:after="0" w:afterAutospacing="0"/>
              <w:ind w:left="993" w:hanging="284"/>
            </w:pPr>
            <w:r w:rsidRPr="007956F1">
              <w:t xml:space="preserve">- </w:t>
            </w:r>
            <w:r w:rsidRPr="007956F1">
              <w:tab/>
              <w:t>palielinātos uzņēmumu finanšu resursi, jo UIN ir jāmaksā tikai par dividendēs sadalāmo peļņu, kas savukārt veicinātu uzņēmumus neņemt tik lielu peļņas daļu ārā dividendēs. Turklāt, ņemot vērā, ka uzņēmums UIN maksās tad, kad peļņa faktiski tiek sadalīta, līdz ar to netiks noteikti avansa maksājumi</w:t>
            </w:r>
            <w:r w:rsidRPr="007956F1" w:rsidDel="00A67E75">
              <w:t xml:space="preserve"> </w:t>
            </w:r>
            <w:r w:rsidRPr="007956F1">
              <w:t>, kas kopumā veicina uzņēmumu finanšu resursu pieaugumu un iespēju iegūt papildu ārējo finansējumu, palielinot uzņēmumu pašu kapitālu;</w:t>
            </w:r>
          </w:p>
          <w:p w:rsidR="00107771" w:rsidRPr="007956F1" w:rsidRDefault="00107771" w:rsidP="00107771">
            <w:pPr>
              <w:pStyle w:val="NormalWeb"/>
              <w:shd w:val="clear" w:color="auto" w:fill="FFFFFF"/>
              <w:spacing w:before="0" w:beforeAutospacing="0" w:after="0" w:afterAutospacing="0"/>
              <w:ind w:left="993" w:hanging="284"/>
              <w:rPr>
                <w:bCs/>
              </w:rPr>
            </w:pPr>
            <w:r w:rsidRPr="007956F1">
              <w:t xml:space="preserve">- </w:t>
            </w:r>
            <w:r w:rsidRPr="007956F1">
              <w:tab/>
              <w:t xml:space="preserve">pieaugtu privāto investīciju apjoms, jo uzņēmumiem būtu lielāka finanšu neatkarība un noturība, kā arī lielāka uzņēmējdarbības un investīciju aktivitāte. Tas veicina </w:t>
            </w:r>
            <w:r w:rsidRPr="007956F1">
              <w:rPr>
                <w:bCs/>
              </w:rPr>
              <w:t>mazāku rezidentu kapitāla aizplūšanu un lielāku rezidentu investīciju plūsmu;</w:t>
            </w:r>
          </w:p>
          <w:p w:rsidR="00107771" w:rsidRPr="007956F1" w:rsidRDefault="00107771" w:rsidP="00107771">
            <w:pPr>
              <w:pStyle w:val="NormalWeb"/>
              <w:shd w:val="clear" w:color="auto" w:fill="FFFFFF"/>
              <w:spacing w:before="0" w:beforeAutospacing="0" w:after="0" w:afterAutospacing="0"/>
              <w:ind w:left="993" w:hanging="284"/>
              <w:rPr>
                <w:bCs/>
              </w:rPr>
            </w:pPr>
            <w:r w:rsidRPr="007956F1">
              <w:t xml:space="preserve">- </w:t>
            </w:r>
            <w:r w:rsidRPr="007956F1">
              <w:tab/>
              <w:t xml:space="preserve">pieaugtu IKP un mazinātos ēnu ekonomika, ko veicinātu uzņēmumu skaita pieaugums un mazāka ieņēmumu slēpšana gadījumos, kad uzņēmumi neatbilst </w:t>
            </w:r>
            <w:proofErr w:type="spellStart"/>
            <w:r w:rsidRPr="007956F1">
              <w:t>mikrouzņēmuma</w:t>
            </w:r>
            <w:proofErr w:type="spellEnd"/>
            <w:r w:rsidRPr="007956F1">
              <w:t xml:space="preserve"> kritērijiem, kur kopējais nodokļu slogs ir salīdzinoši zemāks. Tas savukārt veicinātu uzņēmumu kvalitatīvās izaugsmes palielināšanos, p</w:t>
            </w:r>
            <w:r w:rsidRPr="007956F1">
              <w:rPr>
                <w:bCs/>
              </w:rPr>
              <w:t>roduktivitātes celšanos,</w:t>
            </w:r>
            <w:r w:rsidRPr="007956F1">
              <w:t xml:space="preserve"> n</w:t>
            </w:r>
            <w:r w:rsidRPr="007956F1">
              <w:rPr>
                <w:bCs/>
              </w:rPr>
              <w:t>eto apgrozījuma pieaugumu, pašizmaksu samazināšanos (ņemot vērā, ka vienlaicīgi tiks samazināti darbaspēka nodokļi) un rentabilitātes paaugstināšanos.</w:t>
            </w:r>
          </w:p>
          <w:p w:rsidR="00107771" w:rsidRPr="007956F1" w:rsidRDefault="00107771" w:rsidP="00E90052">
            <w:pPr>
              <w:tabs>
                <w:tab w:val="left" w:pos="2127"/>
                <w:tab w:val="center" w:pos="4153"/>
                <w:tab w:val="left" w:pos="6096"/>
                <w:tab w:val="right" w:pos="8306"/>
              </w:tabs>
              <w:jc w:val="both"/>
            </w:pPr>
          </w:p>
          <w:p w:rsidR="00107771" w:rsidRPr="007956F1" w:rsidRDefault="00107771" w:rsidP="00E90052">
            <w:pPr>
              <w:tabs>
                <w:tab w:val="left" w:pos="2127"/>
                <w:tab w:val="center" w:pos="4153"/>
                <w:tab w:val="left" w:pos="6096"/>
                <w:tab w:val="right" w:pos="8306"/>
              </w:tabs>
              <w:jc w:val="both"/>
              <w:rPr>
                <w:b/>
              </w:rPr>
            </w:pPr>
            <w:r w:rsidRPr="007956F1">
              <w:rPr>
                <w:b/>
              </w:rPr>
              <w:t>Nodokļu maksātāju administratīvais slogs</w:t>
            </w:r>
          </w:p>
          <w:p w:rsidR="00836889" w:rsidRPr="007956F1" w:rsidRDefault="00836889" w:rsidP="00E90052">
            <w:pPr>
              <w:tabs>
                <w:tab w:val="left" w:pos="2127"/>
                <w:tab w:val="center" w:pos="4153"/>
                <w:tab w:val="left" w:pos="6096"/>
                <w:tab w:val="right" w:pos="8306"/>
              </w:tabs>
              <w:jc w:val="both"/>
            </w:pPr>
            <w:r w:rsidRPr="007956F1">
              <w:t>Nodokļu maksātājiem p</w:t>
            </w:r>
            <w:r w:rsidR="00E90052" w:rsidRPr="007956F1">
              <w:t>apildus administratīvais slogs neradīsies</w:t>
            </w:r>
            <w:r w:rsidRPr="007956F1">
              <w:t>, jo tiek saglabātā līdzšinējā grāmatvedībās kārtošanas prakse un principi.</w:t>
            </w:r>
          </w:p>
          <w:p w:rsidR="00E90052" w:rsidRPr="007956F1" w:rsidRDefault="00836889" w:rsidP="00F734E0">
            <w:pPr>
              <w:tabs>
                <w:tab w:val="left" w:pos="2127"/>
                <w:tab w:val="center" w:pos="4153"/>
                <w:tab w:val="left" w:pos="6096"/>
                <w:tab w:val="right" w:pos="8306"/>
              </w:tabs>
              <w:jc w:val="both"/>
            </w:pPr>
            <w:r w:rsidRPr="007956F1">
              <w:t>Papildus tam jānorāda, ka Likumā ir paredzēts, ka UIN deklarācija nav jāiesniedz, ja attiecīgajā taksācijas periodā neveidojas ar UIN apliekama bāze, tādējādi, nodokļa maksātājiem, kam šis kritērijs izpildās, administratīvais slogs mazinās.</w:t>
            </w:r>
          </w:p>
          <w:p w:rsidR="00107771" w:rsidRPr="007956F1" w:rsidRDefault="00107771" w:rsidP="00F734E0">
            <w:pPr>
              <w:tabs>
                <w:tab w:val="left" w:pos="2127"/>
                <w:tab w:val="center" w:pos="4153"/>
                <w:tab w:val="left" w:pos="6096"/>
                <w:tab w:val="right" w:pos="8306"/>
              </w:tabs>
              <w:jc w:val="both"/>
            </w:pPr>
          </w:p>
        </w:tc>
      </w:tr>
      <w:tr w:rsidR="007956F1" w:rsidRPr="007956F1" w:rsidTr="00843565">
        <w:trPr>
          <w:trHeight w:val="309"/>
        </w:trPr>
        <w:tc>
          <w:tcPr>
            <w:tcW w:w="203" w:type="pct"/>
          </w:tcPr>
          <w:p w:rsidR="008078B8" w:rsidRPr="007956F1" w:rsidRDefault="008078B8" w:rsidP="002431AC">
            <w:r w:rsidRPr="007956F1">
              <w:t>3.</w:t>
            </w:r>
          </w:p>
        </w:tc>
        <w:tc>
          <w:tcPr>
            <w:tcW w:w="1383" w:type="pct"/>
          </w:tcPr>
          <w:p w:rsidR="008078B8" w:rsidRPr="007956F1" w:rsidRDefault="008078B8" w:rsidP="002431AC">
            <w:r w:rsidRPr="007956F1">
              <w:t>Administratīvo izmaksu monetārs novērtējums</w:t>
            </w:r>
          </w:p>
        </w:tc>
        <w:tc>
          <w:tcPr>
            <w:tcW w:w="3414" w:type="pct"/>
          </w:tcPr>
          <w:p w:rsidR="008078B8" w:rsidRPr="007956F1" w:rsidRDefault="0015638A" w:rsidP="002431AC">
            <w:r w:rsidRPr="007956F1">
              <w:t>Projekts šo jomu neskar.</w:t>
            </w:r>
          </w:p>
        </w:tc>
      </w:tr>
      <w:tr w:rsidR="007956F1" w:rsidRPr="007956F1" w:rsidTr="00843565">
        <w:trPr>
          <w:trHeight w:val="242"/>
        </w:trPr>
        <w:tc>
          <w:tcPr>
            <w:tcW w:w="203" w:type="pct"/>
          </w:tcPr>
          <w:p w:rsidR="008078B8" w:rsidRPr="007956F1" w:rsidRDefault="008078B8" w:rsidP="002431AC">
            <w:r w:rsidRPr="007956F1">
              <w:t>4.</w:t>
            </w:r>
          </w:p>
        </w:tc>
        <w:tc>
          <w:tcPr>
            <w:tcW w:w="1383" w:type="pct"/>
          </w:tcPr>
          <w:p w:rsidR="008078B8" w:rsidRPr="007956F1" w:rsidRDefault="008078B8" w:rsidP="002431AC">
            <w:r w:rsidRPr="007956F1">
              <w:t>Cita informācija</w:t>
            </w:r>
          </w:p>
        </w:tc>
        <w:tc>
          <w:tcPr>
            <w:tcW w:w="3414" w:type="pct"/>
          </w:tcPr>
          <w:p w:rsidR="008078B8" w:rsidRPr="007956F1" w:rsidRDefault="008078B8" w:rsidP="002431AC">
            <w:r w:rsidRPr="007956F1">
              <w:t>Nav.</w:t>
            </w:r>
          </w:p>
        </w:tc>
      </w:tr>
    </w:tbl>
    <w:p w:rsidR="008078B8" w:rsidRPr="007956F1" w:rsidRDefault="008078B8" w:rsidP="002431AC">
      <w:pPr>
        <w:rPr>
          <w:sz w:val="28"/>
          <w:szCs w:val="28"/>
        </w:rPr>
      </w:pPr>
    </w:p>
    <w:tbl>
      <w:tblPr>
        <w:tblW w:w="9923" w:type="dxa"/>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552"/>
        <w:gridCol w:w="1602"/>
        <w:gridCol w:w="1234"/>
        <w:gridCol w:w="1522"/>
        <w:gridCol w:w="1548"/>
        <w:gridCol w:w="1465"/>
      </w:tblGrid>
      <w:tr w:rsidR="007956F1" w:rsidRPr="007956F1" w:rsidTr="00CA3933">
        <w:tc>
          <w:tcPr>
            <w:tcW w:w="5000" w:type="pct"/>
            <w:gridSpan w:val="6"/>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rPr>
                <w:b/>
                <w:bCs/>
              </w:rPr>
            </w:pPr>
            <w:r w:rsidRPr="007956F1">
              <w:rPr>
                <w:b/>
                <w:bCs/>
              </w:rPr>
              <w:t>III. Tiesību akta projekta ietekme uz valsts budžetu un pašvaldību budžetiem</w:t>
            </w:r>
          </w:p>
        </w:tc>
      </w:tr>
      <w:tr w:rsidR="007956F1" w:rsidRPr="007956F1" w:rsidTr="00CA3933">
        <w:tc>
          <w:tcPr>
            <w:tcW w:w="1286" w:type="pct"/>
            <w:vMerge w:val="restar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rPr>
                <w:b/>
              </w:rPr>
            </w:pPr>
            <w:r w:rsidRPr="007956F1">
              <w:rPr>
                <w:b/>
              </w:rPr>
              <w:t>Rādītāji</w:t>
            </w:r>
          </w:p>
        </w:tc>
        <w:tc>
          <w:tcPr>
            <w:tcW w:w="1429" w:type="pct"/>
            <w:gridSpan w:val="2"/>
            <w:vMerge w:val="restart"/>
            <w:tcBorders>
              <w:top w:val="single" w:sz="4" w:space="0" w:color="auto"/>
              <w:left w:val="single" w:sz="4" w:space="0" w:color="auto"/>
              <w:bottom w:val="single" w:sz="4" w:space="0" w:color="auto"/>
              <w:right w:val="single" w:sz="4" w:space="0" w:color="auto"/>
            </w:tcBorders>
            <w:hideMark/>
          </w:tcPr>
          <w:p w:rsidR="004073D8" w:rsidRPr="007956F1" w:rsidRDefault="004073D8" w:rsidP="00CB5D27">
            <w:pPr>
              <w:jc w:val="center"/>
              <w:rPr>
                <w:b/>
              </w:rPr>
            </w:pPr>
            <w:r w:rsidRPr="007956F1">
              <w:rPr>
                <w:b/>
              </w:rPr>
              <w:t>201</w:t>
            </w:r>
            <w:r w:rsidR="00CB5D27" w:rsidRPr="007956F1">
              <w:rPr>
                <w:b/>
              </w:rPr>
              <w:t>6</w:t>
            </w:r>
            <w:r w:rsidRPr="007956F1">
              <w:rPr>
                <w:b/>
              </w:rPr>
              <w:t>.</w:t>
            </w:r>
          </w:p>
        </w:tc>
        <w:tc>
          <w:tcPr>
            <w:tcW w:w="2285" w:type="pct"/>
            <w:gridSpan w:val="3"/>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pPr>
            <w:r w:rsidRPr="007956F1">
              <w:t>Turpmākie trīs gadi (</w:t>
            </w:r>
            <w:proofErr w:type="spellStart"/>
            <w:r w:rsidRPr="007956F1">
              <w:rPr>
                <w:i/>
              </w:rPr>
              <w:t>euro</w:t>
            </w:r>
            <w:proofErr w:type="spellEnd"/>
            <w:r w:rsidRPr="007956F1">
              <w:t>)</w:t>
            </w:r>
          </w:p>
        </w:tc>
      </w:tr>
      <w:tr w:rsidR="007956F1" w:rsidRPr="007956F1" w:rsidTr="00CA3933">
        <w:trPr>
          <w:trHeight w:val="96"/>
        </w:trPr>
        <w:tc>
          <w:tcPr>
            <w:tcW w:w="1286" w:type="pct"/>
            <w:vMerge/>
            <w:tcBorders>
              <w:top w:val="single" w:sz="4" w:space="0" w:color="auto"/>
              <w:left w:val="single" w:sz="4" w:space="0" w:color="auto"/>
              <w:bottom w:val="single" w:sz="4" w:space="0" w:color="auto"/>
              <w:right w:val="single" w:sz="4" w:space="0" w:color="auto"/>
            </w:tcBorders>
            <w:vAlign w:val="center"/>
            <w:hideMark/>
          </w:tcPr>
          <w:p w:rsidR="004073D8" w:rsidRPr="007956F1" w:rsidRDefault="004073D8" w:rsidP="00E033AE">
            <w:pPr>
              <w:rPr>
                <w:b/>
              </w:rPr>
            </w:pPr>
          </w:p>
        </w:tc>
        <w:tc>
          <w:tcPr>
            <w:tcW w:w="1429" w:type="pct"/>
            <w:gridSpan w:val="2"/>
            <w:vMerge/>
            <w:tcBorders>
              <w:top w:val="single" w:sz="4" w:space="0" w:color="auto"/>
              <w:left w:val="single" w:sz="4" w:space="0" w:color="auto"/>
              <w:bottom w:val="single" w:sz="4" w:space="0" w:color="auto"/>
              <w:right w:val="single" w:sz="4" w:space="0" w:color="auto"/>
            </w:tcBorders>
            <w:vAlign w:val="center"/>
            <w:hideMark/>
          </w:tcPr>
          <w:p w:rsidR="004073D8" w:rsidRPr="007956F1" w:rsidRDefault="004073D8" w:rsidP="00E033AE">
            <w:pPr>
              <w:rPr>
                <w:b/>
              </w:rPr>
            </w:pPr>
          </w:p>
        </w:tc>
        <w:tc>
          <w:tcPr>
            <w:tcW w:w="767" w:type="pct"/>
            <w:tcBorders>
              <w:top w:val="single" w:sz="4" w:space="0" w:color="auto"/>
              <w:left w:val="single" w:sz="4" w:space="0" w:color="auto"/>
              <w:bottom w:val="single" w:sz="4" w:space="0" w:color="auto"/>
              <w:right w:val="single" w:sz="4" w:space="0" w:color="auto"/>
            </w:tcBorders>
            <w:hideMark/>
          </w:tcPr>
          <w:p w:rsidR="004073D8" w:rsidRPr="007956F1" w:rsidRDefault="004073D8" w:rsidP="00CB5D27">
            <w:pPr>
              <w:jc w:val="center"/>
              <w:rPr>
                <w:b/>
              </w:rPr>
            </w:pPr>
            <w:r w:rsidRPr="007956F1">
              <w:rPr>
                <w:b/>
              </w:rPr>
              <w:t>201</w:t>
            </w:r>
            <w:r w:rsidR="00C661C4" w:rsidRPr="007956F1">
              <w:rPr>
                <w:b/>
              </w:rPr>
              <w:t>8</w:t>
            </w:r>
            <w:r w:rsidRPr="007956F1">
              <w:rPr>
                <w:b/>
              </w:rPr>
              <w:t>.</w:t>
            </w:r>
          </w:p>
        </w:tc>
        <w:tc>
          <w:tcPr>
            <w:tcW w:w="780"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rPr>
                <w:b/>
              </w:rPr>
            </w:pPr>
            <w:r w:rsidRPr="007956F1">
              <w:rPr>
                <w:b/>
              </w:rPr>
              <w:t>2</w:t>
            </w:r>
            <w:r w:rsidR="00C661C4" w:rsidRPr="007956F1">
              <w:rPr>
                <w:b/>
              </w:rPr>
              <w:t>019</w:t>
            </w:r>
            <w:r w:rsidRPr="007956F1">
              <w:rPr>
                <w:b/>
              </w:rPr>
              <w:t>.</w:t>
            </w:r>
          </w:p>
        </w:tc>
        <w:tc>
          <w:tcPr>
            <w:tcW w:w="738" w:type="pct"/>
            <w:tcBorders>
              <w:top w:val="single" w:sz="4" w:space="0" w:color="auto"/>
              <w:left w:val="single" w:sz="4" w:space="0" w:color="auto"/>
              <w:bottom w:val="single" w:sz="4" w:space="0" w:color="auto"/>
              <w:right w:val="single" w:sz="4" w:space="0" w:color="auto"/>
            </w:tcBorders>
            <w:hideMark/>
          </w:tcPr>
          <w:p w:rsidR="004073D8" w:rsidRPr="007956F1" w:rsidRDefault="00C661C4" w:rsidP="00E033AE">
            <w:pPr>
              <w:jc w:val="center"/>
              <w:rPr>
                <w:b/>
              </w:rPr>
            </w:pPr>
            <w:r w:rsidRPr="007956F1">
              <w:rPr>
                <w:b/>
              </w:rPr>
              <w:t>2020</w:t>
            </w:r>
            <w:r w:rsidR="004073D8" w:rsidRPr="007956F1">
              <w:rPr>
                <w:b/>
              </w:rPr>
              <w:t>.</w:t>
            </w:r>
          </w:p>
        </w:tc>
      </w:tr>
      <w:tr w:rsidR="007956F1" w:rsidRPr="007956F1" w:rsidTr="00CA3933">
        <w:trPr>
          <w:trHeight w:val="96"/>
        </w:trPr>
        <w:tc>
          <w:tcPr>
            <w:tcW w:w="1286" w:type="pct"/>
            <w:vMerge/>
            <w:tcBorders>
              <w:top w:val="single" w:sz="4" w:space="0" w:color="auto"/>
              <w:left w:val="single" w:sz="4" w:space="0" w:color="auto"/>
              <w:bottom w:val="single" w:sz="4" w:space="0" w:color="auto"/>
              <w:right w:val="single" w:sz="4" w:space="0" w:color="auto"/>
            </w:tcBorders>
            <w:vAlign w:val="center"/>
            <w:hideMark/>
          </w:tcPr>
          <w:p w:rsidR="004073D8" w:rsidRPr="007956F1" w:rsidRDefault="004073D8" w:rsidP="00E033AE">
            <w:pPr>
              <w:rPr>
                <w:b/>
              </w:rPr>
            </w:pPr>
          </w:p>
        </w:tc>
        <w:tc>
          <w:tcPr>
            <w:tcW w:w="807"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pPr>
            <w:r w:rsidRPr="007956F1">
              <w:t>Saskaņā ar valsts budžetu kārtējam gadam</w:t>
            </w:r>
          </w:p>
        </w:tc>
        <w:tc>
          <w:tcPr>
            <w:tcW w:w="622"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rPr>
                <w:spacing w:val="-6"/>
              </w:rPr>
            </w:pPr>
            <w:r w:rsidRPr="007956F1">
              <w:rPr>
                <w:spacing w:val="-6"/>
              </w:rPr>
              <w:t>Izmaiņas kārtējā gadā, salīdzinot ar budžetu kārtējam gadam</w:t>
            </w:r>
          </w:p>
        </w:tc>
        <w:tc>
          <w:tcPr>
            <w:tcW w:w="767"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pPr>
            <w:r w:rsidRPr="007956F1">
              <w:t>Izmaiņas, salīdzinot ar kārtējo (n) gadu</w:t>
            </w:r>
          </w:p>
        </w:tc>
        <w:tc>
          <w:tcPr>
            <w:tcW w:w="780"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pPr>
            <w:r w:rsidRPr="007956F1">
              <w:t>Izmaiņas, salīdzinot ar kārtējo (n) gadu</w:t>
            </w:r>
          </w:p>
        </w:tc>
        <w:tc>
          <w:tcPr>
            <w:tcW w:w="738"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pPr>
            <w:r w:rsidRPr="007956F1">
              <w:t>Izmaiņas, salīdzinot ar kārtējo (n) gadu</w:t>
            </w:r>
          </w:p>
        </w:tc>
      </w:tr>
      <w:tr w:rsidR="007956F1" w:rsidRPr="007956F1" w:rsidTr="00CA3933">
        <w:trPr>
          <w:trHeight w:val="96"/>
        </w:trPr>
        <w:tc>
          <w:tcPr>
            <w:tcW w:w="1286"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pPr>
            <w:r w:rsidRPr="007956F1">
              <w:t>1</w:t>
            </w:r>
          </w:p>
        </w:tc>
        <w:tc>
          <w:tcPr>
            <w:tcW w:w="807"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pPr>
            <w:r w:rsidRPr="007956F1">
              <w:t>2</w:t>
            </w:r>
          </w:p>
        </w:tc>
        <w:tc>
          <w:tcPr>
            <w:tcW w:w="622"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pPr>
            <w:r w:rsidRPr="007956F1">
              <w:t>3</w:t>
            </w:r>
          </w:p>
        </w:tc>
        <w:tc>
          <w:tcPr>
            <w:tcW w:w="767"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pPr>
            <w:r w:rsidRPr="007956F1">
              <w:t>4</w:t>
            </w:r>
          </w:p>
        </w:tc>
        <w:tc>
          <w:tcPr>
            <w:tcW w:w="780"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pPr>
            <w:r w:rsidRPr="007956F1">
              <w:t>5</w:t>
            </w:r>
          </w:p>
        </w:tc>
        <w:tc>
          <w:tcPr>
            <w:tcW w:w="738"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pPr>
            <w:r w:rsidRPr="007956F1">
              <w:t>6</w:t>
            </w:r>
          </w:p>
        </w:tc>
      </w:tr>
      <w:tr w:rsidR="007956F1" w:rsidRPr="007956F1" w:rsidTr="00CA3933">
        <w:trPr>
          <w:trHeight w:val="96"/>
        </w:trPr>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pPr>
              <w:ind w:left="254" w:hanging="254"/>
              <w:jc w:val="both"/>
            </w:pPr>
            <w:r w:rsidRPr="007956F1">
              <w:t>1.</w:t>
            </w:r>
            <w:r w:rsidRPr="007956F1">
              <w:rPr>
                <w:sz w:val="14"/>
                <w:szCs w:val="14"/>
              </w:rPr>
              <w:t xml:space="preserve">   </w:t>
            </w:r>
            <w:r w:rsidRPr="007956F1">
              <w:t>Budžeta ieņēmumi:</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425 348 000</w:t>
            </w: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-89 100 000</w:t>
            </w: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-293 000 000</w:t>
            </w: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-206 800 000</w:t>
            </w: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r w:rsidRPr="007956F1">
              <w:t>1</w:t>
            </w:r>
            <w:r w:rsidRPr="007956F1">
              <w:rPr>
                <w:spacing w:val="-6"/>
              </w:rPr>
              <w:t>.1. valsts pamatbudžets, tai skaitā ieņēmumi no maksas pakalpojumiem un citi pašu ieņēmumi, t.sk.,</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-196 800 000</w:t>
            </w: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-275 200 000</w:t>
            </w: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-163 200 000</w:t>
            </w: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right"/>
              <w:rPr>
                <w:sz w:val="22"/>
              </w:rPr>
            </w:pPr>
            <w:r w:rsidRPr="007956F1">
              <w:rPr>
                <w:sz w:val="22"/>
              </w:rPr>
              <w:t>Iedzīvotāju ienākuma nodoklis</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26 900 000</w:t>
            </w: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-4 500 000</w:t>
            </w: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-10 900 000</w:t>
            </w: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right"/>
              <w:rPr>
                <w:sz w:val="22"/>
              </w:rPr>
            </w:pPr>
            <w:r w:rsidRPr="007956F1">
              <w:rPr>
                <w:sz w:val="22"/>
              </w:rPr>
              <w:t>Uzņēmumu ienākuma nodoklis</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-223 700 000</w:t>
            </w: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-270 700 000</w:t>
            </w: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-152 400 000</w:t>
            </w: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r w:rsidRPr="007956F1">
              <w:t>1.2. valsts speciālais budžets</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r w:rsidRPr="007956F1">
              <w:t>1.3. pašvaldību budžets, t.sk.,</w:t>
            </w:r>
          </w:p>
        </w:tc>
        <w:tc>
          <w:tcPr>
            <w:tcW w:w="807" w:type="pct"/>
            <w:tcBorders>
              <w:top w:val="single" w:sz="4" w:space="0" w:color="auto"/>
              <w:left w:val="single" w:sz="4" w:space="0" w:color="auto"/>
              <w:bottom w:val="single" w:sz="4" w:space="0" w:color="auto"/>
              <w:right w:val="single" w:sz="4" w:space="0" w:color="auto"/>
            </w:tcBorders>
            <w:vAlign w:val="center"/>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vAlign w:val="center"/>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vAlign w:val="center"/>
          </w:tcPr>
          <w:p w:rsidR="00AE638B" w:rsidRPr="007956F1" w:rsidRDefault="00AE638B" w:rsidP="00AE638B">
            <w:pPr>
              <w:jc w:val="center"/>
            </w:pPr>
            <w:r w:rsidRPr="007956F1">
              <w:t>107 700 000</w:t>
            </w:r>
          </w:p>
        </w:tc>
        <w:tc>
          <w:tcPr>
            <w:tcW w:w="780" w:type="pct"/>
            <w:tcBorders>
              <w:top w:val="single" w:sz="4" w:space="0" w:color="auto"/>
              <w:left w:val="single" w:sz="4" w:space="0" w:color="auto"/>
              <w:bottom w:val="single" w:sz="4" w:space="0" w:color="auto"/>
              <w:right w:val="single" w:sz="4" w:space="0" w:color="auto"/>
            </w:tcBorders>
            <w:vAlign w:val="center"/>
          </w:tcPr>
          <w:p w:rsidR="00AE638B" w:rsidRPr="007956F1" w:rsidRDefault="00AE638B" w:rsidP="00AE638B">
            <w:pPr>
              <w:jc w:val="center"/>
            </w:pPr>
            <w:r w:rsidRPr="007956F1">
              <w:t>-17 800 000</w:t>
            </w:r>
          </w:p>
        </w:tc>
        <w:tc>
          <w:tcPr>
            <w:tcW w:w="738" w:type="pct"/>
            <w:tcBorders>
              <w:top w:val="single" w:sz="4" w:space="0" w:color="auto"/>
              <w:left w:val="single" w:sz="4" w:space="0" w:color="auto"/>
              <w:bottom w:val="single" w:sz="4" w:space="0" w:color="auto"/>
              <w:right w:val="single" w:sz="4" w:space="0" w:color="auto"/>
            </w:tcBorders>
            <w:vAlign w:val="center"/>
          </w:tcPr>
          <w:p w:rsidR="00AE638B" w:rsidRPr="007956F1" w:rsidRDefault="00AE638B" w:rsidP="00AE638B">
            <w:pPr>
              <w:jc w:val="center"/>
            </w:pPr>
            <w:r w:rsidRPr="007956F1">
              <w:t>-43 500 000</w:t>
            </w:r>
          </w:p>
        </w:tc>
      </w:tr>
      <w:tr w:rsidR="007956F1" w:rsidRPr="007956F1" w:rsidTr="00CA3933">
        <w:trPr>
          <w:trHeight w:val="96"/>
        </w:trPr>
        <w:tc>
          <w:tcPr>
            <w:tcW w:w="1286"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ind w:left="254" w:hanging="254"/>
              <w:jc w:val="right"/>
            </w:pPr>
            <w:r w:rsidRPr="007956F1">
              <w:rPr>
                <w:sz w:val="22"/>
              </w:rPr>
              <w:t>Iedzīvotāju ienākuma nodoklis</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vAlign w:val="center"/>
          </w:tcPr>
          <w:p w:rsidR="00AE638B" w:rsidRPr="007956F1" w:rsidRDefault="00AE638B" w:rsidP="00AE638B">
            <w:pPr>
              <w:jc w:val="center"/>
            </w:pPr>
            <w:r w:rsidRPr="007956F1">
              <w:t>107 700 000</w:t>
            </w:r>
          </w:p>
        </w:tc>
        <w:tc>
          <w:tcPr>
            <w:tcW w:w="780" w:type="pct"/>
            <w:tcBorders>
              <w:top w:val="single" w:sz="4" w:space="0" w:color="auto"/>
              <w:left w:val="single" w:sz="4" w:space="0" w:color="auto"/>
              <w:bottom w:val="single" w:sz="4" w:space="0" w:color="auto"/>
              <w:right w:val="single" w:sz="4" w:space="0" w:color="auto"/>
            </w:tcBorders>
            <w:vAlign w:val="center"/>
          </w:tcPr>
          <w:p w:rsidR="00AE638B" w:rsidRPr="007956F1" w:rsidRDefault="00AE638B" w:rsidP="00AE638B">
            <w:pPr>
              <w:jc w:val="center"/>
            </w:pPr>
            <w:r w:rsidRPr="007956F1">
              <w:t>-17 800 000</w:t>
            </w:r>
          </w:p>
        </w:tc>
        <w:tc>
          <w:tcPr>
            <w:tcW w:w="738" w:type="pct"/>
            <w:tcBorders>
              <w:top w:val="single" w:sz="4" w:space="0" w:color="auto"/>
              <w:left w:val="single" w:sz="4" w:space="0" w:color="auto"/>
              <w:bottom w:val="single" w:sz="4" w:space="0" w:color="auto"/>
              <w:right w:val="single" w:sz="4" w:space="0" w:color="auto"/>
            </w:tcBorders>
            <w:vAlign w:val="center"/>
          </w:tcPr>
          <w:p w:rsidR="00AE638B" w:rsidRPr="007956F1" w:rsidRDefault="00AE638B" w:rsidP="00AE638B">
            <w:pPr>
              <w:jc w:val="center"/>
            </w:pPr>
            <w:r w:rsidRPr="007956F1">
              <w:t>-43 500 000</w:t>
            </w:r>
          </w:p>
        </w:tc>
      </w:tr>
      <w:tr w:rsidR="007956F1" w:rsidRPr="007956F1" w:rsidTr="00CA3933">
        <w:trPr>
          <w:trHeight w:val="96"/>
        </w:trPr>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pPr>
              <w:ind w:left="254" w:hanging="254"/>
              <w:jc w:val="both"/>
            </w:pPr>
            <w:r w:rsidRPr="007956F1">
              <w:t>2.</w:t>
            </w:r>
            <w:r w:rsidRPr="007956F1">
              <w:rPr>
                <w:sz w:val="14"/>
                <w:szCs w:val="14"/>
              </w:rPr>
              <w:t xml:space="preserve">   </w:t>
            </w:r>
            <w:r w:rsidRPr="007956F1">
              <w:t>Budžeta izdevumi:</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r w:rsidRPr="007956F1">
              <w:t>2.1. valsts pamatbudžets</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r w:rsidRPr="007956F1">
              <w:t>2.2. valsts speciālais budžets</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r w:rsidRPr="007956F1">
              <w:t>2.3. pašvaldību budžets</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r>
      <w:tr w:rsidR="007956F1" w:rsidRPr="007956F1" w:rsidTr="00CA3933">
        <w:trPr>
          <w:trHeight w:val="96"/>
        </w:trPr>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pPr>
              <w:ind w:left="254" w:hanging="254"/>
              <w:jc w:val="both"/>
            </w:pPr>
            <w:r w:rsidRPr="007956F1">
              <w:t>3.</w:t>
            </w:r>
            <w:r w:rsidRPr="007956F1">
              <w:rPr>
                <w:sz w:val="14"/>
                <w:szCs w:val="14"/>
              </w:rPr>
              <w:t xml:space="preserve">   </w:t>
            </w:r>
            <w:r w:rsidRPr="007956F1">
              <w:t>Finansiālā ietekme:</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-89 100 000</w:t>
            </w: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-293 000 000</w:t>
            </w: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-206 800 000</w:t>
            </w: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r w:rsidRPr="007956F1">
              <w:t>3.1. valsts pamatbudžets</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-196 800 000</w:t>
            </w: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-275 200 000</w:t>
            </w: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-163 200 000</w:t>
            </w: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r w:rsidRPr="007956F1">
              <w:t>3.2. speciālais budžets</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tcPr>
          <w:p w:rsidR="00AE638B" w:rsidRPr="007956F1" w:rsidRDefault="00AE638B" w:rsidP="00AE638B">
            <w:r w:rsidRPr="007956F1">
              <w:t>3.3. pašvaldību budžets</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vAlign w:val="center"/>
          </w:tcPr>
          <w:p w:rsidR="00AE638B" w:rsidRPr="007956F1" w:rsidRDefault="00AE638B" w:rsidP="00AE638B">
            <w:pPr>
              <w:jc w:val="center"/>
            </w:pPr>
            <w:r w:rsidRPr="007956F1">
              <w:t>107 700 000</w:t>
            </w:r>
          </w:p>
        </w:tc>
        <w:tc>
          <w:tcPr>
            <w:tcW w:w="780" w:type="pct"/>
            <w:tcBorders>
              <w:top w:val="single" w:sz="4" w:space="0" w:color="auto"/>
              <w:left w:val="single" w:sz="4" w:space="0" w:color="auto"/>
              <w:bottom w:val="single" w:sz="4" w:space="0" w:color="auto"/>
              <w:right w:val="single" w:sz="4" w:space="0" w:color="auto"/>
            </w:tcBorders>
            <w:vAlign w:val="center"/>
          </w:tcPr>
          <w:p w:rsidR="00AE638B" w:rsidRPr="007956F1" w:rsidRDefault="00AE638B" w:rsidP="00AE638B">
            <w:pPr>
              <w:jc w:val="center"/>
            </w:pPr>
            <w:r w:rsidRPr="007956F1">
              <w:t>-17 800 000</w:t>
            </w:r>
          </w:p>
        </w:tc>
        <w:tc>
          <w:tcPr>
            <w:tcW w:w="738" w:type="pct"/>
            <w:tcBorders>
              <w:top w:val="single" w:sz="4" w:space="0" w:color="auto"/>
              <w:left w:val="single" w:sz="4" w:space="0" w:color="auto"/>
              <w:bottom w:val="single" w:sz="4" w:space="0" w:color="auto"/>
              <w:right w:val="single" w:sz="4" w:space="0" w:color="auto"/>
            </w:tcBorders>
            <w:vAlign w:val="center"/>
          </w:tcPr>
          <w:p w:rsidR="00AE638B" w:rsidRPr="007956F1" w:rsidRDefault="00AE638B" w:rsidP="00AE638B">
            <w:pPr>
              <w:jc w:val="center"/>
            </w:pPr>
            <w:r w:rsidRPr="007956F1">
              <w:t>-43 500 000</w:t>
            </w: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pPr>
              <w:jc w:val="both"/>
            </w:pPr>
            <w:r w:rsidRPr="007956F1">
              <w:t>4</w:t>
            </w:r>
            <w:r w:rsidRPr="007956F1">
              <w:rPr>
                <w:spacing w:val="-6"/>
              </w:rPr>
              <w:t>.Finanšu līdzekļi papildu izdevumu finansēšanai (kompensējošu izdevumu samazinājumu norāda ar "+" zīmi)</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CA3933" w:rsidRPr="007956F1" w:rsidRDefault="00CA3933" w:rsidP="00CA3933">
            <w:pPr>
              <w:ind w:left="255" w:hanging="255"/>
              <w:jc w:val="both"/>
            </w:pPr>
            <w:r w:rsidRPr="007956F1">
              <w:t>5.</w:t>
            </w:r>
            <w:r w:rsidRPr="007956F1">
              <w:rPr>
                <w:sz w:val="14"/>
                <w:szCs w:val="14"/>
              </w:rPr>
              <w:t xml:space="preserve">   </w:t>
            </w:r>
            <w:r w:rsidRPr="007956F1">
              <w:t>Precizēta finansiālā ietekme:</w:t>
            </w:r>
          </w:p>
        </w:tc>
        <w:tc>
          <w:tcPr>
            <w:tcW w:w="807"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622"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67"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80"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38"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CA3933" w:rsidRPr="007956F1" w:rsidRDefault="00CA3933" w:rsidP="00CA3933">
            <w:r w:rsidRPr="007956F1">
              <w:t>5.1. valsts pamatbudžets</w:t>
            </w:r>
          </w:p>
        </w:tc>
        <w:tc>
          <w:tcPr>
            <w:tcW w:w="807"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622"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67"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80"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38"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CA3933" w:rsidRPr="007956F1" w:rsidRDefault="00CA3933" w:rsidP="00CA3933">
            <w:r w:rsidRPr="007956F1">
              <w:t>5.2. speciālais budžets</w:t>
            </w:r>
          </w:p>
        </w:tc>
        <w:tc>
          <w:tcPr>
            <w:tcW w:w="807"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622"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67"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80"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38"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tcPr>
          <w:p w:rsidR="00CA3933" w:rsidRPr="007956F1" w:rsidRDefault="00CA3933" w:rsidP="00CA3933">
            <w:r w:rsidRPr="007956F1">
              <w:t>5.3. pašvaldību budžets</w:t>
            </w:r>
          </w:p>
        </w:tc>
        <w:tc>
          <w:tcPr>
            <w:tcW w:w="807"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622"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67"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80"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38"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CA3933" w:rsidRPr="007956F1" w:rsidRDefault="00CA3933" w:rsidP="00CA3933">
            <w:pPr>
              <w:jc w:val="both"/>
              <w:rPr>
                <w:spacing w:val="-6"/>
              </w:rPr>
            </w:pPr>
            <w:r w:rsidRPr="007956F1">
              <w:rPr>
                <w:spacing w:val="-6"/>
              </w:rPr>
              <w:t>6. Detalizēts ieņēmumu un izdevumu aprēķins (ja nepieciešams, detalizētu ieņēmumu un izdevumu aprēķinu var pievienot anotācijas pielikumā):</w:t>
            </w:r>
          </w:p>
        </w:tc>
        <w:tc>
          <w:tcPr>
            <w:tcW w:w="3714" w:type="pct"/>
            <w:gridSpan w:val="5"/>
            <w:tcBorders>
              <w:top w:val="single" w:sz="4" w:space="0" w:color="auto"/>
              <w:left w:val="single" w:sz="4" w:space="0" w:color="auto"/>
              <w:bottom w:val="single" w:sz="4" w:space="0" w:color="auto"/>
              <w:right w:val="single" w:sz="4" w:space="0" w:color="auto"/>
            </w:tcBorders>
            <w:shd w:val="clear" w:color="auto" w:fill="auto"/>
          </w:tcPr>
          <w:p w:rsidR="00CA3933" w:rsidRPr="007956F1" w:rsidRDefault="00CA3933" w:rsidP="00CA3933">
            <w:pPr>
              <w:pStyle w:val="tv213"/>
              <w:spacing w:before="0" w:beforeAutospacing="0" w:after="0" w:afterAutospacing="0" w:line="293" w:lineRule="atLeast"/>
              <w:jc w:val="both"/>
            </w:pPr>
            <w:r w:rsidRPr="007956F1">
              <w:t xml:space="preserve">Tā kā šobrīd tiek plānota esošās UIN sistēmas nomaiņa ar </w:t>
            </w:r>
            <w:proofErr w:type="spellStart"/>
            <w:r w:rsidRPr="007956F1">
              <w:t>reinvestētās</w:t>
            </w:r>
            <w:proofErr w:type="spellEnd"/>
            <w:r w:rsidRPr="007956F1">
              <w:t xml:space="preserve"> peļņas modeli, tika modelēta jauna UIN bāze, lai būtu iespējams noteikt reformas kopējo fiskālo efektu. Analīzei izmantota statistiskā informācija no UIN deklarācijas, uzņēmumu gada pārskatiem, kā arī paziņojumiem par fiziskām personām izmaksātajām summām par 2015.gada taksācijas periodu.</w:t>
            </w:r>
          </w:p>
          <w:p w:rsidR="00CA3933" w:rsidRPr="007956F1" w:rsidRDefault="00CA3933" w:rsidP="00CA3933">
            <w:pPr>
              <w:pStyle w:val="tv213"/>
              <w:spacing w:before="0" w:beforeAutospacing="0" w:after="0" w:afterAutospacing="0" w:line="293" w:lineRule="atLeast"/>
              <w:jc w:val="both"/>
            </w:pPr>
          </w:p>
          <w:tbl>
            <w:tblPr>
              <w:tblW w:w="6763" w:type="dxa"/>
              <w:tblLook w:val="04A0" w:firstRow="1" w:lastRow="0" w:firstColumn="1" w:lastColumn="0" w:noHBand="0" w:noVBand="1"/>
            </w:tblPr>
            <w:tblGrid>
              <w:gridCol w:w="4820"/>
              <w:gridCol w:w="617"/>
              <w:gridCol w:w="708"/>
              <w:gridCol w:w="760"/>
            </w:tblGrid>
            <w:tr w:rsidR="007956F1" w:rsidRPr="007956F1" w:rsidTr="007479E5">
              <w:trPr>
                <w:trHeight w:val="264"/>
              </w:trPr>
              <w:tc>
                <w:tcPr>
                  <w:tcW w:w="4820" w:type="dxa"/>
                  <w:tcBorders>
                    <w:top w:val="nil"/>
                    <w:left w:val="nil"/>
                    <w:bottom w:val="nil"/>
                    <w:right w:val="nil"/>
                  </w:tcBorders>
                  <w:shd w:val="clear" w:color="auto" w:fill="auto"/>
                  <w:noWrap/>
                  <w:vAlign w:val="bottom"/>
                  <w:hideMark/>
                </w:tcPr>
                <w:p w:rsidR="00AE638B" w:rsidRPr="007956F1" w:rsidRDefault="00AE638B" w:rsidP="00AE638B">
                  <w:pPr>
                    <w:rPr>
                      <w:rFonts w:ascii="Arial" w:hAnsi="Arial" w:cs="Arial"/>
                      <w:i/>
                      <w:iCs/>
                      <w:sz w:val="16"/>
                      <w:szCs w:val="16"/>
                    </w:rPr>
                  </w:pPr>
                  <w:proofErr w:type="spellStart"/>
                  <w:r w:rsidRPr="007956F1">
                    <w:rPr>
                      <w:rFonts w:ascii="Arial" w:hAnsi="Arial" w:cs="Arial"/>
                      <w:i/>
                      <w:iCs/>
                      <w:sz w:val="16"/>
                      <w:szCs w:val="16"/>
                    </w:rPr>
                    <w:t>milj.euro</w:t>
                  </w:r>
                  <w:proofErr w:type="spellEnd"/>
                </w:p>
              </w:tc>
              <w:tc>
                <w:tcPr>
                  <w:tcW w:w="475" w:type="dxa"/>
                  <w:tcBorders>
                    <w:top w:val="nil"/>
                    <w:left w:val="nil"/>
                    <w:bottom w:val="nil"/>
                    <w:right w:val="nil"/>
                  </w:tcBorders>
                  <w:shd w:val="clear" w:color="auto" w:fill="auto"/>
                  <w:vAlign w:val="bottom"/>
                  <w:hideMark/>
                </w:tcPr>
                <w:p w:rsidR="00AE638B" w:rsidRPr="007956F1" w:rsidRDefault="00AE638B" w:rsidP="00AE638B">
                  <w:pPr>
                    <w:jc w:val="center"/>
                    <w:rPr>
                      <w:rFonts w:ascii="Arial" w:hAnsi="Arial" w:cs="Arial"/>
                      <w:b/>
                      <w:bCs/>
                      <w:sz w:val="16"/>
                      <w:szCs w:val="16"/>
                    </w:rPr>
                  </w:pPr>
                  <w:r w:rsidRPr="007956F1">
                    <w:rPr>
                      <w:rFonts w:ascii="Arial" w:hAnsi="Arial" w:cs="Arial"/>
                      <w:b/>
                      <w:bCs/>
                      <w:sz w:val="16"/>
                      <w:szCs w:val="16"/>
                    </w:rPr>
                    <w:t>2018</w:t>
                  </w:r>
                </w:p>
              </w:tc>
              <w:tc>
                <w:tcPr>
                  <w:tcW w:w="708" w:type="dxa"/>
                  <w:tcBorders>
                    <w:top w:val="nil"/>
                    <w:left w:val="nil"/>
                    <w:bottom w:val="nil"/>
                    <w:right w:val="nil"/>
                  </w:tcBorders>
                  <w:shd w:val="clear" w:color="auto" w:fill="auto"/>
                  <w:vAlign w:val="bottom"/>
                  <w:hideMark/>
                </w:tcPr>
                <w:p w:rsidR="00AE638B" w:rsidRPr="007956F1" w:rsidRDefault="00AE638B" w:rsidP="00AE638B">
                  <w:pPr>
                    <w:jc w:val="center"/>
                    <w:rPr>
                      <w:rFonts w:ascii="Arial" w:hAnsi="Arial" w:cs="Arial"/>
                      <w:b/>
                      <w:bCs/>
                      <w:sz w:val="16"/>
                      <w:szCs w:val="16"/>
                    </w:rPr>
                  </w:pPr>
                  <w:r w:rsidRPr="007956F1">
                    <w:rPr>
                      <w:rFonts w:ascii="Arial" w:hAnsi="Arial" w:cs="Arial"/>
                      <w:b/>
                      <w:bCs/>
                      <w:sz w:val="16"/>
                      <w:szCs w:val="16"/>
                    </w:rPr>
                    <w:t>2019</w:t>
                  </w:r>
                </w:p>
              </w:tc>
              <w:tc>
                <w:tcPr>
                  <w:tcW w:w="760" w:type="dxa"/>
                  <w:tcBorders>
                    <w:top w:val="nil"/>
                    <w:left w:val="nil"/>
                    <w:bottom w:val="nil"/>
                    <w:right w:val="nil"/>
                  </w:tcBorders>
                  <w:shd w:val="clear" w:color="auto" w:fill="auto"/>
                  <w:vAlign w:val="bottom"/>
                  <w:hideMark/>
                </w:tcPr>
                <w:p w:rsidR="00AE638B" w:rsidRPr="007956F1" w:rsidRDefault="00AE638B" w:rsidP="00AE638B">
                  <w:pPr>
                    <w:jc w:val="center"/>
                    <w:rPr>
                      <w:rFonts w:ascii="Arial" w:hAnsi="Arial" w:cs="Arial"/>
                      <w:b/>
                      <w:bCs/>
                      <w:sz w:val="16"/>
                      <w:szCs w:val="16"/>
                    </w:rPr>
                  </w:pPr>
                  <w:r w:rsidRPr="007956F1">
                    <w:rPr>
                      <w:rFonts w:ascii="Arial" w:hAnsi="Arial" w:cs="Arial"/>
                      <w:b/>
                      <w:bCs/>
                      <w:sz w:val="16"/>
                      <w:szCs w:val="16"/>
                    </w:rPr>
                    <w:t>2020</w:t>
                  </w:r>
                </w:p>
              </w:tc>
            </w:tr>
            <w:tr w:rsidR="007956F1" w:rsidRPr="007956F1" w:rsidTr="007479E5">
              <w:trPr>
                <w:trHeight w:val="264"/>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1. Piemaksājamais UIN par 2017.gadu (15% likme, vecā kārtība)</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23.6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r>
            <w:tr w:rsidR="007956F1" w:rsidRPr="007956F1" w:rsidTr="007479E5">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2. Avansa maksājumi 2018.gada 1.pusgads</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102.0</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-102.0</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r>
            <w:tr w:rsidR="007956F1" w:rsidRPr="007956F1" w:rsidTr="007479E5">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3. Peļņas sadale (20/80 likme no 2019.g.) katru mēnesi</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270.2</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309.3</w:t>
                  </w:r>
                </w:p>
              </w:tc>
            </w:tr>
            <w:tr w:rsidR="007956F1" w:rsidRPr="007956F1" w:rsidTr="007479E5">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4. Maksājumi nerezidentam katru mēnesi (likmes 2%-20%)</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2.3</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2.3</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2.3</w:t>
                  </w:r>
                </w:p>
              </w:tc>
            </w:tr>
            <w:tr w:rsidR="007956F1" w:rsidRPr="007956F1" w:rsidTr="007479E5">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5. Ārkārtas peļņas sadale (20/80 likme 2018.gadā) katru mēnesi</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43.1</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r>
            <w:tr w:rsidR="007956F1" w:rsidRPr="007956F1" w:rsidTr="007479E5">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6. Ar saimniecisko darbību nesaistītie izdevumi (likme 20/80) katru mēnesi</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43.9</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48.3</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53.1</w:t>
                  </w:r>
                </w:p>
              </w:tc>
            </w:tr>
            <w:tr w:rsidR="007956F1" w:rsidRPr="007956F1" w:rsidTr="007479E5">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7. Transfertcenu korekcija (likme 20/80) ikgadēji</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3.6</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3.9</w:t>
                  </w:r>
                </w:p>
              </w:tc>
            </w:tr>
            <w:tr w:rsidR="007956F1" w:rsidRPr="007956F1" w:rsidTr="007479E5">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8. Reprezentācijas izdevumi (likme 20/80) katru mēnesi</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9.1</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10.0</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11.0</w:t>
                  </w:r>
                </w:p>
              </w:tc>
            </w:tr>
            <w:tr w:rsidR="007956F1" w:rsidRPr="007956F1" w:rsidTr="007479E5">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 xml:space="preserve">9. Atlaides ziedotājiem </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-6.5</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-6.5</w:t>
                  </w:r>
                </w:p>
              </w:tc>
            </w:tr>
            <w:tr w:rsidR="007956F1" w:rsidRPr="007956F1" w:rsidTr="007479E5">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10. Reprezentatīvais auto (likme 20/80) katru mēnesi</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3.2</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3.2</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3.2</w:t>
                  </w:r>
                </w:p>
              </w:tc>
            </w:tr>
            <w:tr w:rsidR="007956F1" w:rsidRPr="007956F1" w:rsidTr="007479E5">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 xml:space="preserve">11. </w:t>
                  </w:r>
                  <w:proofErr w:type="spellStart"/>
                  <w:r w:rsidRPr="007956F1">
                    <w:rPr>
                      <w:rFonts w:ascii="Arial" w:hAnsi="Arial" w:cs="Arial"/>
                      <w:sz w:val="16"/>
                      <w:szCs w:val="16"/>
                    </w:rPr>
                    <w:t>Izmakasas</w:t>
                  </w:r>
                  <w:proofErr w:type="spellEnd"/>
                  <w:r w:rsidRPr="007956F1">
                    <w:rPr>
                      <w:rFonts w:ascii="Arial" w:hAnsi="Arial" w:cs="Arial"/>
                      <w:sz w:val="16"/>
                      <w:szCs w:val="16"/>
                    </w:rPr>
                    <w:t xml:space="preserve"> nerezidentam (likme 20/80) katru mēnesi</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3.7</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3.7</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3.7</w:t>
                  </w:r>
                </w:p>
              </w:tc>
            </w:tr>
            <w:tr w:rsidR="007956F1" w:rsidRPr="007956F1" w:rsidTr="007479E5">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12. Soda naudas (20/80) katru mēnesi</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15.3</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15.3</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15.3</w:t>
                  </w:r>
                </w:p>
              </w:tc>
            </w:tr>
            <w:tr w:rsidR="007956F1" w:rsidRPr="007956F1" w:rsidTr="007479E5">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13. Neatlīdzinātās summas (20/80) katru mēnesi</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0.2</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0.2</w:t>
                  </w:r>
                </w:p>
              </w:tc>
            </w:tr>
            <w:tr w:rsidR="007956F1" w:rsidRPr="007956F1" w:rsidTr="007479E5">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14. Nodokļu atlaide atbalstāmo investīciju projektiem un SEZ/BO</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-10.8</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-11.9</w:t>
                  </w:r>
                </w:p>
              </w:tc>
            </w:tr>
            <w:tr w:rsidR="007956F1" w:rsidRPr="007956F1" w:rsidTr="007479E5">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15. Nodokļu atvieglojums subsīdijām lauksaimniekiem 50% apmērā</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-10.0</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-10.0</w:t>
                  </w:r>
                </w:p>
              </w:tc>
            </w:tr>
            <w:tr w:rsidR="007956F1" w:rsidRPr="007956F1" w:rsidTr="007479E5">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b/>
                      <w:bCs/>
                      <w:sz w:val="16"/>
                      <w:szCs w:val="16"/>
                    </w:rPr>
                  </w:pPr>
                  <w:r w:rsidRPr="007956F1">
                    <w:rPr>
                      <w:rFonts w:ascii="Arial" w:hAnsi="Arial" w:cs="Arial"/>
                      <w:b/>
                      <w:bCs/>
                      <w:sz w:val="16"/>
                      <w:szCs w:val="16"/>
                    </w:rPr>
                    <w:t>Iekasētais UIN</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b/>
                      <w:bCs/>
                      <w:i/>
                      <w:iCs/>
                      <w:sz w:val="16"/>
                      <w:szCs w:val="16"/>
                    </w:rPr>
                  </w:pPr>
                  <w:r w:rsidRPr="007956F1">
                    <w:rPr>
                      <w:rFonts w:ascii="Arial" w:hAnsi="Arial" w:cs="Arial"/>
                      <w:b/>
                      <w:bCs/>
                      <w:i/>
                      <w:iCs/>
                      <w:sz w:val="16"/>
                      <w:szCs w:val="16"/>
                    </w:rPr>
                    <w:t>246.5</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b/>
                      <w:bCs/>
                      <w:i/>
                      <w:iCs/>
                      <w:sz w:val="16"/>
                      <w:szCs w:val="16"/>
                    </w:rPr>
                  </w:pPr>
                  <w:r w:rsidRPr="007956F1">
                    <w:rPr>
                      <w:rFonts w:ascii="Arial" w:hAnsi="Arial" w:cs="Arial"/>
                      <w:b/>
                      <w:bCs/>
                      <w:i/>
                      <w:iCs/>
                      <w:sz w:val="16"/>
                      <w:szCs w:val="16"/>
                    </w:rPr>
                    <w:t>227.5</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b/>
                      <w:bCs/>
                      <w:i/>
                      <w:iCs/>
                      <w:sz w:val="16"/>
                      <w:szCs w:val="16"/>
                    </w:rPr>
                  </w:pPr>
                  <w:r w:rsidRPr="007956F1">
                    <w:rPr>
                      <w:rFonts w:ascii="Arial" w:hAnsi="Arial" w:cs="Arial"/>
                      <w:b/>
                      <w:bCs/>
                      <w:i/>
                      <w:iCs/>
                      <w:sz w:val="16"/>
                      <w:szCs w:val="16"/>
                    </w:rPr>
                    <w:t>373.6</w:t>
                  </w:r>
                </w:p>
              </w:tc>
            </w:tr>
            <w:tr w:rsidR="007956F1" w:rsidRPr="007956F1" w:rsidTr="007479E5">
              <w:trPr>
                <w:trHeight w:val="264"/>
              </w:trPr>
              <w:tc>
                <w:tcPr>
                  <w:tcW w:w="4820" w:type="dxa"/>
                  <w:tcBorders>
                    <w:top w:val="nil"/>
                    <w:left w:val="nil"/>
                    <w:bottom w:val="nil"/>
                    <w:right w:val="nil"/>
                  </w:tcBorders>
                  <w:shd w:val="clear" w:color="auto" w:fill="auto"/>
                  <w:noWrap/>
                  <w:vAlign w:val="bottom"/>
                  <w:hideMark/>
                </w:tcPr>
                <w:p w:rsidR="00AE638B" w:rsidRPr="007956F1" w:rsidRDefault="00AE638B" w:rsidP="00AE638B">
                  <w:pPr>
                    <w:jc w:val="right"/>
                    <w:rPr>
                      <w:rFonts w:ascii="Arial" w:hAnsi="Arial" w:cs="Arial"/>
                      <w:b/>
                      <w:bCs/>
                      <w:i/>
                      <w:iCs/>
                      <w:sz w:val="16"/>
                      <w:szCs w:val="16"/>
                    </w:rPr>
                  </w:pPr>
                </w:p>
              </w:tc>
              <w:tc>
                <w:tcPr>
                  <w:tcW w:w="475"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c>
                <w:tcPr>
                  <w:tcW w:w="708"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c>
                <w:tcPr>
                  <w:tcW w:w="760"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r>
            <w:tr w:rsidR="007956F1" w:rsidRPr="007956F1" w:rsidTr="007479E5">
              <w:trPr>
                <w:trHeight w:val="264"/>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16. Ārvalstīs saņemtās dividendes IIN</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sz w:val="16"/>
                      <w:szCs w:val="16"/>
                    </w:rPr>
                  </w:pPr>
                  <w:r w:rsidRPr="007956F1">
                    <w:rPr>
                      <w:rFonts w:ascii="Arial" w:hAnsi="Arial" w:cs="Arial"/>
                      <w:sz w:val="16"/>
                      <w:szCs w:val="16"/>
                    </w:rPr>
                    <w:t>2.2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sz w:val="16"/>
                      <w:szCs w:val="16"/>
                    </w:rPr>
                  </w:pPr>
                  <w:r w:rsidRPr="007956F1">
                    <w:rPr>
                      <w:rFonts w:ascii="Arial" w:hAnsi="Arial" w:cs="Arial"/>
                      <w:sz w:val="16"/>
                      <w:szCs w:val="16"/>
                    </w:rPr>
                    <w:t>2.2</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sz w:val="16"/>
                      <w:szCs w:val="16"/>
                    </w:rPr>
                  </w:pPr>
                  <w:r w:rsidRPr="007956F1">
                    <w:rPr>
                      <w:rFonts w:ascii="Arial" w:hAnsi="Arial" w:cs="Arial"/>
                      <w:sz w:val="16"/>
                      <w:szCs w:val="16"/>
                    </w:rPr>
                    <w:t>2.2</w:t>
                  </w:r>
                </w:p>
              </w:tc>
            </w:tr>
            <w:tr w:rsidR="007956F1" w:rsidRPr="007956F1" w:rsidTr="007479E5">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 xml:space="preserve">17. IIN dividendes </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-70.0</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-70.0</w:t>
                  </w:r>
                </w:p>
              </w:tc>
            </w:tr>
            <w:tr w:rsidR="007956F1" w:rsidRPr="007956F1" w:rsidTr="007479E5">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18. MU dividendes IIN</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2.1</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4.5</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5.0</w:t>
                  </w:r>
                </w:p>
              </w:tc>
            </w:tr>
            <w:tr w:rsidR="007956F1" w:rsidRPr="007956F1" w:rsidTr="007479E5">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19. Iepriekšējo gadu uzkrātā peļņa – IIN par papildus izmaksātām dividendēm MUN</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4.3</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r>
            <w:tr w:rsidR="007956F1" w:rsidRPr="007956F1" w:rsidTr="007479E5">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20. Iepriekšējo gadu uzkrātā peļņa – IIN par papildus izmaksātām dividendēm</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126.0</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41.1</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8.4</w:t>
                  </w:r>
                </w:p>
              </w:tc>
            </w:tr>
            <w:tr w:rsidR="007956F1" w:rsidRPr="007956F1" w:rsidTr="007479E5">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b/>
                      <w:bCs/>
                      <w:sz w:val="16"/>
                      <w:szCs w:val="16"/>
                    </w:rPr>
                  </w:pPr>
                  <w:r w:rsidRPr="007956F1">
                    <w:rPr>
                      <w:rFonts w:ascii="Arial" w:hAnsi="Arial" w:cs="Arial"/>
                      <w:b/>
                      <w:bCs/>
                      <w:sz w:val="16"/>
                      <w:szCs w:val="16"/>
                    </w:rPr>
                    <w:t>Iekasētais IIN</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b/>
                      <w:bCs/>
                      <w:i/>
                      <w:iCs/>
                      <w:sz w:val="16"/>
                      <w:szCs w:val="16"/>
                    </w:rPr>
                  </w:pPr>
                  <w:r w:rsidRPr="007956F1">
                    <w:rPr>
                      <w:rFonts w:ascii="Arial" w:hAnsi="Arial" w:cs="Arial"/>
                      <w:b/>
                      <w:bCs/>
                      <w:i/>
                      <w:iCs/>
                      <w:sz w:val="16"/>
                      <w:szCs w:val="16"/>
                    </w:rPr>
                    <w:t>134.6</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b/>
                      <w:bCs/>
                      <w:i/>
                      <w:iCs/>
                      <w:sz w:val="16"/>
                      <w:szCs w:val="16"/>
                    </w:rPr>
                  </w:pPr>
                  <w:r w:rsidRPr="007956F1">
                    <w:rPr>
                      <w:rFonts w:ascii="Arial" w:hAnsi="Arial" w:cs="Arial"/>
                      <w:b/>
                      <w:bCs/>
                      <w:i/>
                      <w:iCs/>
                      <w:sz w:val="16"/>
                      <w:szCs w:val="16"/>
                    </w:rPr>
                    <w:t>-22.3</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b/>
                      <w:bCs/>
                      <w:i/>
                      <w:iCs/>
                      <w:sz w:val="16"/>
                      <w:szCs w:val="16"/>
                    </w:rPr>
                  </w:pPr>
                  <w:r w:rsidRPr="007956F1">
                    <w:rPr>
                      <w:rFonts w:ascii="Arial" w:hAnsi="Arial" w:cs="Arial"/>
                      <w:b/>
                      <w:bCs/>
                      <w:i/>
                      <w:iCs/>
                      <w:sz w:val="16"/>
                      <w:szCs w:val="16"/>
                    </w:rPr>
                    <w:t>-54.4</w:t>
                  </w:r>
                </w:p>
              </w:tc>
            </w:tr>
            <w:tr w:rsidR="007956F1" w:rsidRPr="007956F1" w:rsidTr="007479E5">
              <w:trPr>
                <w:trHeight w:val="264"/>
              </w:trPr>
              <w:tc>
                <w:tcPr>
                  <w:tcW w:w="4820" w:type="dxa"/>
                  <w:tcBorders>
                    <w:top w:val="nil"/>
                    <w:left w:val="nil"/>
                    <w:bottom w:val="nil"/>
                    <w:right w:val="nil"/>
                  </w:tcBorders>
                  <w:shd w:val="clear" w:color="auto" w:fill="auto"/>
                  <w:noWrap/>
                  <w:vAlign w:val="bottom"/>
                  <w:hideMark/>
                </w:tcPr>
                <w:p w:rsidR="00AE638B" w:rsidRPr="007956F1" w:rsidRDefault="00AE638B" w:rsidP="00AE638B">
                  <w:pPr>
                    <w:jc w:val="right"/>
                    <w:rPr>
                      <w:rFonts w:ascii="Arial" w:hAnsi="Arial" w:cs="Arial"/>
                      <w:b/>
                      <w:bCs/>
                      <w:i/>
                      <w:iCs/>
                      <w:sz w:val="16"/>
                      <w:szCs w:val="16"/>
                    </w:rPr>
                  </w:pPr>
                </w:p>
              </w:tc>
              <w:tc>
                <w:tcPr>
                  <w:tcW w:w="475"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c>
                <w:tcPr>
                  <w:tcW w:w="708"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c>
                <w:tcPr>
                  <w:tcW w:w="760"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r>
            <w:tr w:rsidR="007956F1" w:rsidRPr="007956F1" w:rsidTr="007479E5">
              <w:trPr>
                <w:trHeight w:val="264"/>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b/>
                      <w:bCs/>
                      <w:sz w:val="16"/>
                      <w:szCs w:val="16"/>
                    </w:rPr>
                  </w:pPr>
                  <w:r w:rsidRPr="007956F1">
                    <w:rPr>
                      <w:rFonts w:ascii="Arial" w:hAnsi="Arial" w:cs="Arial"/>
                      <w:b/>
                      <w:bCs/>
                      <w:sz w:val="16"/>
                      <w:szCs w:val="16"/>
                    </w:rPr>
                    <w:t>Kopā UIN+IIN</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b/>
                      <w:bCs/>
                      <w:i/>
                      <w:iCs/>
                      <w:sz w:val="16"/>
                      <w:szCs w:val="16"/>
                    </w:rPr>
                  </w:pPr>
                  <w:r w:rsidRPr="007956F1">
                    <w:rPr>
                      <w:rFonts w:ascii="Arial" w:hAnsi="Arial" w:cs="Arial"/>
                      <w:b/>
                      <w:bCs/>
                      <w:i/>
                      <w:iCs/>
                      <w:sz w:val="16"/>
                      <w:szCs w:val="16"/>
                    </w:rPr>
                    <w:t>381.1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b/>
                      <w:bCs/>
                      <w:i/>
                      <w:iCs/>
                      <w:sz w:val="16"/>
                      <w:szCs w:val="16"/>
                    </w:rPr>
                  </w:pPr>
                  <w:r w:rsidRPr="007956F1">
                    <w:rPr>
                      <w:rFonts w:ascii="Arial" w:hAnsi="Arial" w:cs="Arial"/>
                      <w:b/>
                      <w:bCs/>
                      <w:i/>
                      <w:iCs/>
                      <w:sz w:val="16"/>
                      <w:szCs w:val="16"/>
                    </w:rPr>
                    <w:t>205.2</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b/>
                      <w:bCs/>
                      <w:i/>
                      <w:iCs/>
                      <w:sz w:val="16"/>
                      <w:szCs w:val="16"/>
                    </w:rPr>
                  </w:pPr>
                  <w:r w:rsidRPr="007956F1">
                    <w:rPr>
                      <w:rFonts w:ascii="Arial" w:hAnsi="Arial" w:cs="Arial"/>
                      <w:b/>
                      <w:bCs/>
                      <w:i/>
                      <w:iCs/>
                      <w:sz w:val="16"/>
                      <w:szCs w:val="16"/>
                    </w:rPr>
                    <w:t>319.2</w:t>
                  </w:r>
                </w:p>
              </w:tc>
            </w:tr>
            <w:tr w:rsidR="007956F1" w:rsidRPr="007956F1" w:rsidTr="007479E5">
              <w:trPr>
                <w:trHeight w:val="264"/>
              </w:trPr>
              <w:tc>
                <w:tcPr>
                  <w:tcW w:w="4820" w:type="dxa"/>
                  <w:tcBorders>
                    <w:top w:val="nil"/>
                    <w:left w:val="nil"/>
                    <w:bottom w:val="nil"/>
                    <w:right w:val="nil"/>
                  </w:tcBorders>
                  <w:shd w:val="clear" w:color="auto" w:fill="auto"/>
                  <w:noWrap/>
                  <w:vAlign w:val="bottom"/>
                  <w:hideMark/>
                </w:tcPr>
                <w:p w:rsidR="00AE638B" w:rsidRPr="007956F1" w:rsidRDefault="00AE638B" w:rsidP="00AE638B">
                  <w:pPr>
                    <w:jc w:val="right"/>
                    <w:rPr>
                      <w:rFonts w:ascii="Arial" w:hAnsi="Arial" w:cs="Arial"/>
                      <w:b/>
                      <w:bCs/>
                      <w:i/>
                      <w:iCs/>
                      <w:sz w:val="16"/>
                      <w:szCs w:val="16"/>
                    </w:rPr>
                  </w:pPr>
                </w:p>
              </w:tc>
              <w:tc>
                <w:tcPr>
                  <w:tcW w:w="475"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c>
                <w:tcPr>
                  <w:tcW w:w="708"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c>
                <w:tcPr>
                  <w:tcW w:w="760"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r>
            <w:tr w:rsidR="007956F1" w:rsidRPr="007956F1" w:rsidTr="007479E5">
              <w:trPr>
                <w:trHeight w:val="264"/>
              </w:trPr>
              <w:tc>
                <w:tcPr>
                  <w:tcW w:w="4820" w:type="dxa"/>
                  <w:tcBorders>
                    <w:top w:val="nil"/>
                    <w:left w:val="nil"/>
                    <w:bottom w:val="nil"/>
                    <w:right w:val="nil"/>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UIN prognoze uz Stabilitātes programmu</w:t>
                  </w:r>
                </w:p>
              </w:tc>
              <w:tc>
                <w:tcPr>
                  <w:tcW w:w="475" w:type="dxa"/>
                  <w:tcBorders>
                    <w:top w:val="nil"/>
                    <w:left w:val="nil"/>
                    <w:bottom w:val="nil"/>
                    <w:right w:val="nil"/>
                  </w:tcBorders>
                  <w:shd w:val="clear" w:color="000000" w:fill="FFCC99"/>
                  <w:noWrap/>
                  <w:vAlign w:val="bottom"/>
                  <w:hideMark/>
                </w:tcPr>
                <w:p w:rsidR="00AE638B" w:rsidRPr="007956F1" w:rsidRDefault="00AE638B" w:rsidP="00AE638B">
                  <w:pPr>
                    <w:jc w:val="right"/>
                    <w:rPr>
                      <w:rFonts w:ascii="Arial" w:hAnsi="Arial" w:cs="Arial"/>
                      <w:b/>
                      <w:bCs/>
                      <w:sz w:val="16"/>
                      <w:szCs w:val="16"/>
                    </w:rPr>
                  </w:pPr>
                  <w:r w:rsidRPr="007956F1">
                    <w:rPr>
                      <w:rFonts w:ascii="Arial" w:hAnsi="Arial" w:cs="Arial"/>
                      <w:b/>
                      <w:bCs/>
                      <w:sz w:val="16"/>
                      <w:szCs w:val="16"/>
                    </w:rPr>
                    <w:t>470.2</w:t>
                  </w:r>
                </w:p>
              </w:tc>
              <w:tc>
                <w:tcPr>
                  <w:tcW w:w="708" w:type="dxa"/>
                  <w:tcBorders>
                    <w:top w:val="nil"/>
                    <w:left w:val="nil"/>
                    <w:bottom w:val="nil"/>
                    <w:right w:val="nil"/>
                  </w:tcBorders>
                  <w:shd w:val="clear" w:color="000000" w:fill="FFCC99"/>
                  <w:noWrap/>
                  <w:vAlign w:val="bottom"/>
                  <w:hideMark/>
                </w:tcPr>
                <w:p w:rsidR="00AE638B" w:rsidRPr="007956F1" w:rsidRDefault="00AE638B" w:rsidP="00AE638B">
                  <w:pPr>
                    <w:jc w:val="right"/>
                    <w:rPr>
                      <w:rFonts w:ascii="Arial" w:hAnsi="Arial" w:cs="Arial"/>
                      <w:b/>
                      <w:bCs/>
                      <w:sz w:val="16"/>
                      <w:szCs w:val="16"/>
                    </w:rPr>
                  </w:pPr>
                  <w:r w:rsidRPr="007956F1">
                    <w:rPr>
                      <w:rFonts w:ascii="Arial" w:hAnsi="Arial" w:cs="Arial"/>
                      <w:b/>
                      <w:bCs/>
                      <w:sz w:val="16"/>
                      <w:szCs w:val="16"/>
                    </w:rPr>
                    <w:t>498.2</w:t>
                  </w:r>
                </w:p>
              </w:tc>
              <w:tc>
                <w:tcPr>
                  <w:tcW w:w="760" w:type="dxa"/>
                  <w:tcBorders>
                    <w:top w:val="nil"/>
                    <w:left w:val="nil"/>
                    <w:bottom w:val="nil"/>
                    <w:right w:val="nil"/>
                  </w:tcBorders>
                  <w:shd w:val="clear" w:color="000000" w:fill="FFCC99"/>
                  <w:noWrap/>
                  <w:vAlign w:val="bottom"/>
                  <w:hideMark/>
                </w:tcPr>
                <w:p w:rsidR="00AE638B" w:rsidRPr="007956F1" w:rsidRDefault="00AE638B" w:rsidP="00AE638B">
                  <w:pPr>
                    <w:jc w:val="right"/>
                    <w:rPr>
                      <w:rFonts w:ascii="Arial" w:hAnsi="Arial" w:cs="Arial"/>
                      <w:b/>
                      <w:bCs/>
                      <w:sz w:val="16"/>
                      <w:szCs w:val="16"/>
                    </w:rPr>
                  </w:pPr>
                  <w:r w:rsidRPr="007956F1">
                    <w:rPr>
                      <w:rFonts w:ascii="Arial" w:hAnsi="Arial" w:cs="Arial"/>
                      <w:b/>
                      <w:bCs/>
                      <w:sz w:val="16"/>
                      <w:szCs w:val="16"/>
                    </w:rPr>
                    <w:t>526.0</w:t>
                  </w:r>
                </w:p>
              </w:tc>
            </w:tr>
            <w:tr w:rsidR="007956F1" w:rsidRPr="007956F1" w:rsidTr="007479E5">
              <w:trPr>
                <w:trHeight w:val="264"/>
              </w:trPr>
              <w:tc>
                <w:tcPr>
                  <w:tcW w:w="4820" w:type="dxa"/>
                  <w:tcBorders>
                    <w:top w:val="nil"/>
                    <w:left w:val="nil"/>
                    <w:bottom w:val="nil"/>
                    <w:right w:val="nil"/>
                  </w:tcBorders>
                  <w:shd w:val="clear" w:color="auto" w:fill="auto"/>
                  <w:noWrap/>
                  <w:vAlign w:val="bottom"/>
                  <w:hideMark/>
                </w:tcPr>
                <w:p w:rsidR="00AE638B" w:rsidRPr="007956F1" w:rsidRDefault="00AE638B" w:rsidP="00AE638B">
                  <w:pPr>
                    <w:jc w:val="right"/>
                    <w:rPr>
                      <w:rFonts w:ascii="Arial" w:hAnsi="Arial" w:cs="Arial"/>
                      <w:b/>
                      <w:bCs/>
                      <w:sz w:val="16"/>
                      <w:szCs w:val="16"/>
                    </w:rPr>
                  </w:pPr>
                </w:p>
              </w:tc>
              <w:tc>
                <w:tcPr>
                  <w:tcW w:w="475"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c>
                <w:tcPr>
                  <w:tcW w:w="708"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c>
                <w:tcPr>
                  <w:tcW w:w="760"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r>
            <w:tr w:rsidR="007956F1" w:rsidRPr="007956F1" w:rsidTr="007479E5">
              <w:trPr>
                <w:trHeight w:val="264"/>
              </w:trPr>
              <w:tc>
                <w:tcPr>
                  <w:tcW w:w="4820" w:type="dxa"/>
                  <w:tcBorders>
                    <w:top w:val="nil"/>
                    <w:left w:val="nil"/>
                    <w:bottom w:val="nil"/>
                    <w:right w:val="nil"/>
                  </w:tcBorders>
                  <w:shd w:val="clear" w:color="auto" w:fill="auto"/>
                  <w:noWrap/>
                  <w:vAlign w:val="bottom"/>
                  <w:hideMark/>
                </w:tcPr>
                <w:p w:rsidR="00AE638B" w:rsidRPr="007956F1" w:rsidRDefault="00AE638B" w:rsidP="00AE638B">
                  <w:pPr>
                    <w:rPr>
                      <w:rFonts w:ascii="Arial" w:hAnsi="Arial" w:cs="Arial"/>
                      <w:b/>
                      <w:bCs/>
                      <w:sz w:val="16"/>
                      <w:szCs w:val="16"/>
                    </w:rPr>
                  </w:pPr>
                  <w:r w:rsidRPr="007956F1">
                    <w:rPr>
                      <w:rFonts w:ascii="Arial" w:hAnsi="Arial" w:cs="Arial"/>
                      <w:b/>
                      <w:bCs/>
                      <w:sz w:val="16"/>
                      <w:szCs w:val="16"/>
                    </w:rPr>
                    <w:t>Ietekme pret prognozi</w:t>
                  </w:r>
                </w:p>
              </w:tc>
              <w:tc>
                <w:tcPr>
                  <w:tcW w:w="475" w:type="dxa"/>
                  <w:tcBorders>
                    <w:top w:val="nil"/>
                    <w:left w:val="nil"/>
                    <w:bottom w:val="nil"/>
                    <w:right w:val="nil"/>
                  </w:tcBorders>
                  <w:shd w:val="clear" w:color="auto" w:fill="auto"/>
                  <w:noWrap/>
                  <w:vAlign w:val="bottom"/>
                  <w:hideMark/>
                </w:tcPr>
                <w:p w:rsidR="00AE638B" w:rsidRPr="007956F1" w:rsidRDefault="00AE638B" w:rsidP="00AE638B">
                  <w:pPr>
                    <w:jc w:val="right"/>
                    <w:rPr>
                      <w:rFonts w:ascii="Arial" w:hAnsi="Arial" w:cs="Arial"/>
                      <w:b/>
                      <w:bCs/>
                      <w:sz w:val="16"/>
                      <w:szCs w:val="16"/>
                    </w:rPr>
                  </w:pPr>
                  <w:r w:rsidRPr="007956F1">
                    <w:rPr>
                      <w:rFonts w:ascii="Arial" w:hAnsi="Arial" w:cs="Arial"/>
                      <w:b/>
                      <w:bCs/>
                      <w:sz w:val="16"/>
                      <w:szCs w:val="16"/>
                    </w:rPr>
                    <w:t>-89.1</w:t>
                  </w:r>
                </w:p>
              </w:tc>
              <w:tc>
                <w:tcPr>
                  <w:tcW w:w="708" w:type="dxa"/>
                  <w:tcBorders>
                    <w:top w:val="nil"/>
                    <w:left w:val="nil"/>
                    <w:bottom w:val="nil"/>
                    <w:right w:val="nil"/>
                  </w:tcBorders>
                  <w:shd w:val="clear" w:color="auto" w:fill="auto"/>
                  <w:noWrap/>
                  <w:vAlign w:val="bottom"/>
                  <w:hideMark/>
                </w:tcPr>
                <w:p w:rsidR="00AE638B" w:rsidRPr="007956F1" w:rsidRDefault="00AE638B" w:rsidP="00AE638B">
                  <w:pPr>
                    <w:jc w:val="right"/>
                    <w:rPr>
                      <w:rFonts w:ascii="Arial" w:hAnsi="Arial" w:cs="Arial"/>
                      <w:b/>
                      <w:bCs/>
                      <w:sz w:val="16"/>
                      <w:szCs w:val="16"/>
                    </w:rPr>
                  </w:pPr>
                  <w:r w:rsidRPr="007956F1">
                    <w:rPr>
                      <w:rFonts w:ascii="Arial" w:hAnsi="Arial" w:cs="Arial"/>
                      <w:b/>
                      <w:bCs/>
                      <w:sz w:val="16"/>
                      <w:szCs w:val="16"/>
                    </w:rPr>
                    <w:t>-293.0</w:t>
                  </w:r>
                </w:p>
              </w:tc>
              <w:tc>
                <w:tcPr>
                  <w:tcW w:w="760" w:type="dxa"/>
                  <w:tcBorders>
                    <w:top w:val="nil"/>
                    <w:left w:val="nil"/>
                    <w:bottom w:val="nil"/>
                    <w:right w:val="nil"/>
                  </w:tcBorders>
                  <w:shd w:val="clear" w:color="auto" w:fill="auto"/>
                  <w:noWrap/>
                  <w:vAlign w:val="bottom"/>
                  <w:hideMark/>
                </w:tcPr>
                <w:p w:rsidR="00AE638B" w:rsidRPr="007956F1" w:rsidRDefault="00AE638B" w:rsidP="00AE638B">
                  <w:pPr>
                    <w:jc w:val="right"/>
                    <w:rPr>
                      <w:rFonts w:ascii="Arial" w:hAnsi="Arial" w:cs="Arial"/>
                      <w:b/>
                      <w:bCs/>
                      <w:sz w:val="16"/>
                      <w:szCs w:val="16"/>
                    </w:rPr>
                  </w:pPr>
                  <w:r w:rsidRPr="007956F1">
                    <w:rPr>
                      <w:rFonts w:ascii="Arial" w:hAnsi="Arial" w:cs="Arial"/>
                      <w:b/>
                      <w:bCs/>
                      <w:sz w:val="16"/>
                      <w:szCs w:val="16"/>
                    </w:rPr>
                    <w:t>-206.8</w:t>
                  </w:r>
                </w:p>
              </w:tc>
            </w:tr>
          </w:tbl>
          <w:p w:rsidR="00CA3933" w:rsidRPr="007956F1" w:rsidRDefault="00CA3933" w:rsidP="00CA3933">
            <w:pPr>
              <w:spacing w:after="120"/>
              <w:ind w:firstLine="709"/>
              <w:jc w:val="both"/>
              <w:rPr>
                <w:rFonts w:eastAsia="Calibri"/>
                <w:i/>
                <w:u w:val="single"/>
                <w:lang w:eastAsia="en-US"/>
              </w:rPr>
            </w:pP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Piemaksājamais UIN par 2017.gadu (15% likme, vecā kārtība)</w:t>
            </w:r>
            <w:r w:rsidRPr="007956F1">
              <w:rPr>
                <w:rFonts w:eastAsia="Calibri"/>
                <w:lang w:eastAsia="en-US"/>
              </w:rPr>
              <w:t xml:space="preserve"> 2018.gadā pēc UIN deklarāciju iesniegšanas veiktā piemaksa/atmaksa par 2017.gada taksācijas periodu. Tiek prognozēts, ka piemaksājamā UIN summa būs 2 reizes lielāka, kā 2015.gada pārskata periodā, jo vidējais pieauguma temps 3 gadu periodā bija 70% ar tendenci palielināties pēdējos gados.</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Avansa maksājumi 2018.gada 1.pusgads</w:t>
            </w:r>
            <w:r w:rsidRPr="007956F1">
              <w:rPr>
                <w:rFonts w:eastAsia="Calibri"/>
                <w:lang w:eastAsia="en-US"/>
              </w:rPr>
              <w:t>. Tiek prognozēts, ka avansa maksājumi atbildīs 2017.gada tendencēm ar pieauguma tempu, atbilstoši iepriekš prognozētajam UIN ieņēmumu pieaugumam.</w:t>
            </w:r>
          </w:p>
          <w:p w:rsidR="00AE638B" w:rsidRPr="007956F1" w:rsidRDefault="00AE638B" w:rsidP="00AE638B">
            <w:pPr>
              <w:ind w:firstLine="709"/>
              <w:jc w:val="both"/>
              <w:rPr>
                <w:rFonts w:eastAsia="Calibri"/>
                <w:lang w:eastAsia="en-US"/>
              </w:rPr>
            </w:pPr>
            <w:r w:rsidRPr="007956F1">
              <w:rPr>
                <w:rFonts w:eastAsia="Calibri"/>
                <w:i/>
                <w:u w:val="single"/>
                <w:lang w:eastAsia="en-US"/>
              </w:rPr>
              <w:t>Peļņas sadale (20/80 likme no 2019.gada) katru mēnesi</w:t>
            </w:r>
            <w:r w:rsidRPr="007956F1">
              <w:rPr>
                <w:rFonts w:eastAsia="Calibri"/>
                <w:lang w:eastAsia="en-US"/>
              </w:rPr>
              <w:t xml:space="preserve"> summa veidojas no četrām komponentēm:</w:t>
            </w:r>
          </w:p>
          <w:p w:rsidR="00AE638B" w:rsidRPr="007956F1" w:rsidRDefault="00AE638B" w:rsidP="00AE638B">
            <w:pPr>
              <w:numPr>
                <w:ilvl w:val="0"/>
                <w:numId w:val="9"/>
              </w:numPr>
              <w:ind w:left="1134" w:hanging="425"/>
              <w:contextualSpacing/>
              <w:jc w:val="both"/>
              <w:rPr>
                <w:rFonts w:eastAsia="Calibri"/>
                <w:lang w:eastAsia="en-US"/>
              </w:rPr>
            </w:pPr>
            <w:r w:rsidRPr="007956F1">
              <w:rPr>
                <w:rFonts w:eastAsia="Calibri"/>
                <w:u w:val="single"/>
                <w:lang w:eastAsia="en-US"/>
              </w:rPr>
              <w:t>uzņēmumu uz ārvalstīm izmaksātās dividendes</w:t>
            </w:r>
            <w:r w:rsidRPr="007956F1">
              <w:rPr>
                <w:rFonts w:eastAsia="Calibri"/>
                <w:lang w:eastAsia="en-US"/>
              </w:rPr>
              <w:t xml:space="preserve">. Modelētajā bāze izmantota no </w:t>
            </w:r>
            <w:r w:rsidRPr="007956F1">
              <w:rPr>
                <w:rFonts w:eastAsia="Calibri"/>
                <w:bCs/>
                <w:lang w:eastAsia="en-US"/>
              </w:rPr>
              <w:t>likuma “</w:t>
            </w:r>
            <w:hyperlink r:id="rId10" w:tgtFrame="_blank" w:history="1">
              <w:r w:rsidRPr="007956F1">
                <w:rPr>
                  <w:rFonts w:eastAsia="Calibri"/>
                  <w:bCs/>
                  <w:lang w:eastAsia="en-US"/>
                </w:rPr>
                <w:t>Par uzņēmumu ienākuma nodokli</w:t>
              </w:r>
            </w:hyperlink>
            <w:r w:rsidRPr="007956F1">
              <w:rPr>
                <w:rFonts w:eastAsia="Calibri"/>
                <w:bCs/>
                <w:lang w:eastAsia="en-US"/>
              </w:rPr>
              <w:t>” normu piemērošanas noteikumu</w:t>
            </w:r>
            <w:r w:rsidRPr="007956F1">
              <w:rPr>
                <w:rFonts w:ascii="Arial" w:eastAsia="Calibri" w:hAnsi="Arial" w:cs="Arial"/>
                <w:b/>
                <w:bCs/>
                <w:sz w:val="35"/>
                <w:szCs w:val="35"/>
                <w:lang w:eastAsia="en-US"/>
              </w:rPr>
              <w:t xml:space="preserve"> </w:t>
            </w:r>
            <w:r w:rsidRPr="007956F1">
              <w:rPr>
                <w:rFonts w:eastAsia="Calibri"/>
                <w:lang w:eastAsia="en-US"/>
              </w:rPr>
              <w:t>18.pielikuma dati par 2009.gadu ienākuma veidam “Dividendes” (šā brīža pielikumos ienākuma veids “Dividendes” vairs netiek atspoguļots) bez pieauguma tendences, jo tā ir mainīga gadu griezumā. Ietekme aprēķināta 50% apmērā, atskaitot no citām valstīm ienākošās dividendes ar 0% likmi (piemēram, LT – LV – EE);</w:t>
            </w:r>
          </w:p>
          <w:p w:rsidR="00AE638B" w:rsidRPr="007956F1" w:rsidRDefault="00AE638B" w:rsidP="00AE638B">
            <w:pPr>
              <w:numPr>
                <w:ilvl w:val="0"/>
                <w:numId w:val="9"/>
              </w:numPr>
              <w:ind w:left="1134" w:hanging="425"/>
              <w:contextualSpacing/>
              <w:jc w:val="both"/>
              <w:rPr>
                <w:rFonts w:eastAsia="Calibri"/>
                <w:lang w:eastAsia="en-US"/>
              </w:rPr>
            </w:pPr>
            <w:r w:rsidRPr="007956F1">
              <w:rPr>
                <w:rFonts w:eastAsia="Calibri"/>
                <w:u w:val="single"/>
                <w:lang w:eastAsia="en-US"/>
              </w:rPr>
              <w:t>saņemtās dividendes uzņēmumu līmenī.</w:t>
            </w:r>
            <w:r w:rsidRPr="007956F1">
              <w:rPr>
                <w:rFonts w:eastAsia="Calibri"/>
                <w:lang w:eastAsia="en-US"/>
              </w:rPr>
              <w:t xml:space="preserve"> Modelētā bāze no UIN deklarācijām ar pieauguma tendenci 10% gadā (pret 2015.gadu), kā arī pieņemot, ka aptuveni 40% dividenžu ienāk no ārvalstīm (pēc konvencijām - 0% likme);</w:t>
            </w:r>
          </w:p>
          <w:p w:rsidR="00AE638B" w:rsidRPr="007956F1" w:rsidRDefault="00AE638B" w:rsidP="00AE638B">
            <w:pPr>
              <w:numPr>
                <w:ilvl w:val="0"/>
                <w:numId w:val="9"/>
              </w:numPr>
              <w:ind w:left="1134" w:hanging="425"/>
              <w:contextualSpacing/>
              <w:jc w:val="both"/>
              <w:rPr>
                <w:rFonts w:eastAsia="Calibri"/>
                <w:lang w:eastAsia="en-US"/>
              </w:rPr>
            </w:pPr>
            <w:r w:rsidRPr="007956F1">
              <w:rPr>
                <w:rFonts w:eastAsia="Calibri"/>
                <w:u w:val="single"/>
                <w:lang w:eastAsia="en-US"/>
              </w:rPr>
              <w:t>pašvaldību uzņēmumu maksātās dividendes</w:t>
            </w:r>
            <w:r w:rsidRPr="007956F1">
              <w:rPr>
                <w:rFonts w:eastAsia="Calibri"/>
                <w:lang w:eastAsia="en-US"/>
              </w:rPr>
              <w:t>. P</w:t>
            </w:r>
            <w:r w:rsidRPr="007956F1">
              <w:t xml:space="preserve">ar </w:t>
            </w:r>
            <w:r w:rsidRPr="007956F1">
              <w:rPr>
                <w:rFonts w:eastAsia="Calibri"/>
                <w:lang w:eastAsia="en-US"/>
              </w:rPr>
              <w:t>modelēto bāzi</w:t>
            </w:r>
            <w:r w:rsidRPr="007956F1">
              <w:t xml:space="preserve"> aprēķinam tiek izmantota 2015.gada bilancē uzrādītā iepriekšējo gadu nesadalītā peļņa ar + zīmi, kam tiek piemērota vidējā peļņas sadales norma</w:t>
            </w:r>
            <w:r w:rsidRPr="007956F1">
              <w:rPr>
                <w:rFonts w:eastAsia="Calibri"/>
                <w:lang w:eastAsia="en-US"/>
              </w:rPr>
              <w:t>;</w:t>
            </w:r>
          </w:p>
          <w:p w:rsidR="00AE638B" w:rsidRPr="007956F1" w:rsidRDefault="00AE638B" w:rsidP="00AE638B">
            <w:pPr>
              <w:numPr>
                <w:ilvl w:val="0"/>
                <w:numId w:val="9"/>
              </w:numPr>
              <w:ind w:left="1134" w:hanging="425"/>
              <w:contextualSpacing/>
              <w:jc w:val="both"/>
              <w:rPr>
                <w:rFonts w:eastAsia="Calibri"/>
                <w:lang w:eastAsia="en-US"/>
              </w:rPr>
            </w:pPr>
            <w:r w:rsidRPr="007956F1">
              <w:rPr>
                <w:rFonts w:eastAsia="Calibri"/>
                <w:u w:val="single"/>
                <w:lang w:eastAsia="en-US"/>
              </w:rPr>
              <w:t>fiziskām personām izmaksātās dividendes</w:t>
            </w:r>
            <w:r w:rsidRPr="007956F1">
              <w:rPr>
                <w:rFonts w:eastAsia="Calibri"/>
                <w:lang w:eastAsia="en-US"/>
              </w:rPr>
              <w:t>. Modelēto bāzi veido dividendes no paziņojumiem par fiziskām personām izmaksātajām summām ar pieauguma tendenci 10% gadā (pret 2015.gadu), no kurām atskaitītas:</w:t>
            </w:r>
          </w:p>
          <w:p w:rsidR="00AE638B" w:rsidRPr="007956F1" w:rsidRDefault="00AE638B" w:rsidP="00AE638B">
            <w:pPr>
              <w:numPr>
                <w:ilvl w:val="0"/>
                <w:numId w:val="8"/>
              </w:numPr>
              <w:ind w:left="1560" w:hanging="426"/>
              <w:contextualSpacing/>
              <w:jc w:val="both"/>
              <w:rPr>
                <w:rFonts w:eastAsia="Calibri"/>
                <w:lang w:eastAsia="en-US"/>
              </w:rPr>
            </w:pPr>
            <w:r w:rsidRPr="007956F1">
              <w:rPr>
                <w:rFonts w:eastAsia="Calibri"/>
                <w:lang w:eastAsia="en-US"/>
              </w:rPr>
              <w:t xml:space="preserve">no citiem uzņēmumiem ienākošās dividendes (lai neveidotos dubultā aplikšana ar nodokli); </w:t>
            </w:r>
          </w:p>
          <w:p w:rsidR="00AE638B" w:rsidRPr="007956F1" w:rsidRDefault="00AE638B" w:rsidP="00AE638B">
            <w:pPr>
              <w:numPr>
                <w:ilvl w:val="0"/>
                <w:numId w:val="8"/>
              </w:numPr>
              <w:ind w:left="1559" w:hanging="426"/>
              <w:contextualSpacing/>
              <w:jc w:val="both"/>
              <w:rPr>
                <w:rFonts w:eastAsia="Calibri"/>
                <w:lang w:eastAsia="en-US"/>
              </w:rPr>
            </w:pPr>
            <w:r w:rsidRPr="007956F1">
              <w:rPr>
                <w:rFonts w:eastAsia="Calibri"/>
                <w:lang w:eastAsia="en-US"/>
              </w:rPr>
              <w:t xml:space="preserve">papildus dividendes, ko uzņēmumi maksās pārejas periodā ar 10% IIN likmi (bez valsts un pašvaldību uzņēmumiem). </w:t>
            </w:r>
          </w:p>
          <w:p w:rsidR="00AE638B" w:rsidRPr="007956F1" w:rsidRDefault="00AE638B" w:rsidP="00AE638B">
            <w:pPr>
              <w:ind w:left="1559"/>
              <w:contextualSpacing/>
              <w:rPr>
                <w:rFonts w:eastAsia="Calibri"/>
                <w:lang w:eastAsia="en-US"/>
              </w:rPr>
            </w:pP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Maksājumi nerezidentam katru mēnesi (likme 2%-20%)</w:t>
            </w:r>
            <w:r w:rsidRPr="007956F1">
              <w:rPr>
                <w:rFonts w:eastAsia="Calibri"/>
                <w:lang w:eastAsia="en-US"/>
              </w:rPr>
              <w:t xml:space="preserve"> modelētā bāze no </w:t>
            </w:r>
            <w:r w:rsidRPr="007956F1">
              <w:rPr>
                <w:rFonts w:eastAsia="Calibri"/>
                <w:bCs/>
                <w:lang w:eastAsia="en-US"/>
              </w:rPr>
              <w:t>likuma “</w:t>
            </w:r>
            <w:hyperlink r:id="rId11" w:tgtFrame="_blank" w:history="1">
              <w:r w:rsidRPr="007956F1">
                <w:rPr>
                  <w:rFonts w:eastAsia="Calibri"/>
                  <w:bCs/>
                  <w:lang w:eastAsia="en-US"/>
                </w:rPr>
                <w:t>Par uzņēmumu ienākuma nodokli</w:t>
              </w:r>
            </w:hyperlink>
            <w:r w:rsidRPr="007956F1">
              <w:rPr>
                <w:rFonts w:eastAsia="Calibri"/>
                <w:bCs/>
                <w:lang w:eastAsia="en-US"/>
              </w:rPr>
              <w:t>” normu piemērošanas noteikumu</w:t>
            </w:r>
            <w:r w:rsidRPr="007956F1">
              <w:rPr>
                <w:rFonts w:ascii="Arial" w:eastAsia="Calibri" w:hAnsi="Arial" w:cs="Arial"/>
                <w:b/>
                <w:bCs/>
                <w:sz w:val="35"/>
                <w:szCs w:val="35"/>
                <w:lang w:eastAsia="en-US"/>
              </w:rPr>
              <w:t xml:space="preserve"> </w:t>
            </w:r>
            <w:r w:rsidRPr="007956F1">
              <w:rPr>
                <w:rFonts w:eastAsia="Calibri"/>
                <w:lang w:eastAsia="en-US"/>
              </w:rPr>
              <w:t>18.pielikuma (samaksātais nodoklis par dažādiem ienākuma veidiem, katram no tiem piemērojot likumā noteikto nodokļa likmi) bez pieauguma tendences, jo maksājumu apmērs ir mainīgs gadu griezumā.</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Ārkārtas peļņas sadale (20/80 2018.gadā) katru mēnesi</w:t>
            </w:r>
            <w:r w:rsidRPr="007956F1">
              <w:rPr>
                <w:rFonts w:eastAsia="Calibri"/>
                <w:lang w:eastAsia="en-US"/>
              </w:rPr>
              <w:t xml:space="preserve"> modelētā bāze no peļņas/zaudējumu aprēķina ar pieauguma tendenci 10% gadā (pret 2015.gadu), kas izriet no iepriekšējo gadu dinamikas. Ietekme veidojas 2018.gadā, jo turpmāk ārkārtas peļņas sadale tiek iekļauta pozīcijā vispārīgā peļņas sadale.</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Ar saimniecisko darbību nesaistītie izdevumi (likme 20/80) katru mēnesi</w:t>
            </w:r>
            <w:r w:rsidRPr="007956F1">
              <w:rPr>
                <w:rFonts w:eastAsia="Calibri"/>
                <w:lang w:eastAsia="en-US"/>
              </w:rPr>
              <w:t xml:space="preserve"> pieņemts, ka modelētā bāze būs līdzvērtīga šā brīža UIN deklarācijās uzrādītajai (bez koeficienta 1,5) ar pieauguma tendenci 20% 2018.gadā (pret 2015.gadu), turpmāk 10% gadā. Pieaugums plānots, ņemot vērā papildus izstrādātās likumdošanas normas, kas konkrētāk noteiks ar saimniecisko darbību nesaistītos izdevumus.</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Transfertcenu korekcija (likme 20/80) ikgadēji</w:t>
            </w:r>
            <w:r w:rsidRPr="007956F1">
              <w:rPr>
                <w:rFonts w:eastAsia="Calibri"/>
                <w:lang w:eastAsia="en-US"/>
              </w:rPr>
              <w:t xml:space="preserve"> modelētā bāze no UIN deklarāciju 2.pielikuma ar pieauguma tendenci 10% gadā (pret 2015.gadu), kas izriet no iepriekšējo gadu dinamikas.</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Reprezentācijas izdevumi (likme 20/80) katru mēnesi”</w:t>
            </w:r>
            <w:r w:rsidRPr="007956F1">
              <w:rPr>
                <w:rFonts w:eastAsia="Calibri"/>
                <w:lang w:eastAsia="en-US"/>
              </w:rPr>
              <w:t xml:space="preserve"> pieņemts, ka modelētā bāze būs līdzvērtīga šā brīža UIN deklarācijās uzrādītajai ar pieauguma tendenci 20% 2018.gadā (pret 2015.gadu), turpmāk 10% gadā. Pieaugums plānots, ņemot vērā papildus izstrādātās likumdošanas normas, kas precīzāk definēs reprezentācijas izdevumus, kā arī ierobežos apjomu, kas netiks aplikts ar nodokli. </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Atlaides ziedotājiem</w:t>
            </w:r>
            <w:r w:rsidRPr="007956F1">
              <w:rPr>
                <w:rFonts w:eastAsia="Calibri"/>
                <w:i/>
                <w:lang w:eastAsia="en-US"/>
              </w:rPr>
              <w:t xml:space="preserve"> </w:t>
            </w:r>
            <w:r w:rsidRPr="007956F1">
              <w:rPr>
                <w:rFonts w:eastAsia="Calibri"/>
                <w:lang w:eastAsia="en-US"/>
              </w:rPr>
              <w:t>– uzņēmējiem visizdevīgākais ir variants, kas dos atlaidi par ziedotām summām, to ierobežojot 30% apmērā no ziedotās summas, bet nepārsniedzot 10% no aprēķinātā UIN par dividendēm. Modelētā bāze no UIN deklarācijām bez pieauguma tendences, jo ziedotās summas ir mainīgas gadu griezumā.</w:t>
            </w:r>
          </w:p>
          <w:p w:rsidR="00AE638B" w:rsidRPr="007956F1" w:rsidRDefault="00AE638B" w:rsidP="00AE638B">
            <w:pPr>
              <w:spacing w:after="120"/>
              <w:ind w:firstLine="709"/>
              <w:jc w:val="both"/>
              <w:rPr>
                <w:rFonts w:eastAsia="Calibri"/>
                <w:highlight w:val="yellow"/>
                <w:lang w:eastAsia="en-US"/>
              </w:rPr>
            </w:pPr>
            <w:r w:rsidRPr="007956F1">
              <w:rPr>
                <w:rFonts w:eastAsia="Calibri"/>
                <w:i/>
                <w:u w:val="single"/>
                <w:lang w:eastAsia="en-US"/>
              </w:rPr>
              <w:t>Reprezentatīvais auto (20/80) katru mēnesi</w:t>
            </w:r>
            <w:r w:rsidRPr="007956F1">
              <w:rPr>
                <w:rFonts w:eastAsia="Calibri"/>
                <w:lang w:eastAsia="en-US"/>
              </w:rPr>
              <w:t xml:space="preserve"> modelētā bāze no UIN deklarācijām bez pieauguma tendences, jo summas ir mainīgas gadu griezumā.</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Izmaksas nerezidentam (20/80) katru mēnesi</w:t>
            </w:r>
            <w:r w:rsidRPr="007956F1">
              <w:rPr>
                <w:rFonts w:eastAsia="Calibri"/>
                <w:lang w:eastAsia="en-US"/>
              </w:rPr>
              <w:t xml:space="preserve"> modelētā bāze no UIN deklarācijām bez pieauguma tendences, jo summas ir mainīgas gadu griezumā (atšķiras no pozīcijas </w:t>
            </w:r>
            <w:r w:rsidRPr="007956F1">
              <w:rPr>
                <w:rFonts w:eastAsia="Calibri"/>
                <w:i/>
                <w:u w:val="single"/>
                <w:lang w:eastAsia="en-US"/>
              </w:rPr>
              <w:t>Maksājumi nerezidentam</w:t>
            </w:r>
            <w:r w:rsidRPr="007956F1">
              <w:rPr>
                <w:rFonts w:eastAsia="Calibri"/>
                <w:lang w:eastAsia="en-US"/>
              </w:rPr>
              <w:t>, jo šajā gadījumā nodoklis izmaksas brīdī nav ticis ieturēts).</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Soda naudas (20/80) katru mēnesi</w:t>
            </w:r>
            <w:r w:rsidRPr="007956F1">
              <w:rPr>
                <w:rFonts w:eastAsia="Calibri"/>
                <w:lang w:eastAsia="en-US"/>
              </w:rPr>
              <w:t xml:space="preserve"> modelētā bāze no UIN deklarācijām. Ietekme 2018.gadā ar samazinājumu 20% (pret 2015.gadu), jo summām pēdējos gados ir tendence samazināties.</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Neatlīdzinātās summas (20/80) katru mēnesi</w:t>
            </w:r>
            <w:r w:rsidRPr="007956F1">
              <w:rPr>
                <w:rFonts w:eastAsia="Calibri"/>
                <w:lang w:eastAsia="en-US"/>
              </w:rPr>
              <w:t xml:space="preserve"> modelētā bāze no UIN deklarācijām. Ietekme 2018.gadā ar samazinājumu 20% (pret 2015.gadu), jo summām pēdējos gados ir tendence samazināties.</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Nodokļu atlaide atbalstāmo investīciju projektiem un SEZ/BO</w:t>
            </w:r>
            <w:r w:rsidRPr="007956F1">
              <w:rPr>
                <w:rFonts w:eastAsia="Calibri"/>
                <w:lang w:eastAsia="en-US"/>
              </w:rPr>
              <w:t xml:space="preserve"> modelētā bāze no UIN deklarācijām (SEZ/BO atlaidēm) ar pieauguma tendenci 30% 2018.gadā (pret 2015.gadu), turpmāk pieaugums 10% gadā, kas izriet no iepriekšējo gadu dinamikas un, ņemot vērā, ka, noslēdzoties atbalstāmo investīciju projektiem, tiks piemērotas arī šīs atlaides, kas palielinās kopējo izmantojamās UIN atlaides apmēru.</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Nodokļu atvieglojums subsīdijām lauksaimniekiem 50% apmērā</w:t>
            </w:r>
            <w:r w:rsidRPr="007956F1">
              <w:rPr>
                <w:rFonts w:eastAsia="Calibri"/>
                <w:lang w:eastAsia="en-US"/>
              </w:rPr>
              <w:t xml:space="preserve"> modelētā bāze no UIN deklarācijām bez pieauguma tendences, jo atvieglojuma apmērs ir mainīgs gadu griezumā..</w:t>
            </w:r>
          </w:p>
          <w:p w:rsidR="00AE638B" w:rsidRPr="007956F1" w:rsidRDefault="00AE638B" w:rsidP="00AE638B">
            <w:pPr>
              <w:spacing w:after="120"/>
              <w:ind w:firstLine="709"/>
              <w:jc w:val="both"/>
              <w:rPr>
                <w:rFonts w:eastAsia="Calibri"/>
                <w:i/>
                <w:u w:val="single"/>
                <w:lang w:eastAsia="en-US"/>
              </w:rPr>
            </w:pPr>
            <w:r w:rsidRPr="007956F1">
              <w:rPr>
                <w:rFonts w:eastAsia="Calibri"/>
                <w:i/>
                <w:u w:val="single"/>
                <w:lang w:eastAsia="en-US"/>
              </w:rPr>
              <w:t xml:space="preserve">Ārvalstīs saņemtās dividendes IIN </w:t>
            </w:r>
            <w:r w:rsidRPr="007956F1">
              <w:rPr>
                <w:rFonts w:eastAsia="Calibri"/>
                <w:lang w:eastAsia="en-US"/>
              </w:rPr>
              <w:t>modelētā bāze no IIN deklarāciju D1’ pielikuma rindas (maksājamais vai pārmaksājamais nodoklis ienākuma veidam “Dividendes”) bez pieauguma tendences, jo maksājamais nodoklis ir mainīgs gadu griezumā.</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IIN dividendes</w:t>
            </w:r>
            <w:r w:rsidRPr="007956F1">
              <w:rPr>
                <w:rFonts w:eastAsia="Calibri"/>
                <w:lang w:eastAsia="en-US"/>
              </w:rPr>
              <w:t xml:space="preserve"> modelētā bāze no paziņojumiem par fiziskām personām izmaksātajām summām ar pieauguma tendenci 10% gadā (pret 2015.gadu), kas izriet no iepriekšējo gadu dinamikas.</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 xml:space="preserve">MN dividendes IIN </w:t>
            </w:r>
            <w:r w:rsidRPr="007956F1">
              <w:rPr>
                <w:rFonts w:eastAsia="Calibri"/>
                <w:lang w:eastAsia="en-US"/>
              </w:rPr>
              <w:t xml:space="preserve">modelētā bāze no paziņojumiem par fiziskām personām izmaksātajām summām ar pieauguma tendenci 30% 2018.gadā (pret 2015.gadu), turpmāk pieaugums 10% gadā, kas izriet no iepriekšējo gadu dinamikas. 2018.gadā </w:t>
            </w:r>
            <w:proofErr w:type="spellStart"/>
            <w:r w:rsidRPr="007956F1">
              <w:rPr>
                <w:rFonts w:eastAsia="Calibri"/>
                <w:lang w:eastAsia="en-US"/>
              </w:rPr>
              <w:t>mikrouzņēmumi</w:t>
            </w:r>
            <w:proofErr w:type="spellEnd"/>
            <w:r w:rsidRPr="007956F1">
              <w:rPr>
                <w:rFonts w:eastAsia="Calibri"/>
                <w:lang w:eastAsia="en-US"/>
              </w:rPr>
              <w:t xml:space="preserve"> maksās 10% IIN, turpmāk 20% IIN.</w:t>
            </w:r>
          </w:p>
          <w:p w:rsidR="00AE638B" w:rsidRPr="007956F1" w:rsidRDefault="00AE638B" w:rsidP="00AE638B">
            <w:pPr>
              <w:spacing w:after="120"/>
              <w:ind w:firstLine="709"/>
              <w:jc w:val="both"/>
            </w:pPr>
            <w:r w:rsidRPr="007956F1">
              <w:rPr>
                <w:rFonts w:eastAsia="Calibri"/>
                <w:i/>
                <w:u w:val="single"/>
                <w:lang w:eastAsia="en-US"/>
              </w:rPr>
              <w:t xml:space="preserve"> Iepriekšējo gadu uzkrātā peļņa </w:t>
            </w:r>
            <w:r w:rsidRPr="007956F1">
              <w:rPr>
                <w:rFonts w:eastAsia="Calibri"/>
                <w:u w:val="single"/>
                <w:lang w:eastAsia="en-US"/>
              </w:rPr>
              <w:t>–</w:t>
            </w:r>
            <w:r w:rsidRPr="007956F1">
              <w:rPr>
                <w:rFonts w:eastAsia="Calibri"/>
                <w:i/>
                <w:u w:val="single"/>
                <w:lang w:eastAsia="en-US"/>
              </w:rPr>
              <w:t xml:space="preserve"> IIN par papildus izmaksātām dividendēm MUN</w:t>
            </w:r>
            <w:r w:rsidRPr="007956F1">
              <w:rPr>
                <w:rFonts w:eastAsia="Calibri"/>
                <w:lang w:eastAsia="en-US"/>
              </w:rPr>
              <w:t xml:space="preserve"> par modelēto bāzi</w:t>
            </w:r>
            <w:r w:rsidRPr="007956F1">
              <w:t xml:space="preserve"> aprēķinam tiek izmantota 2015.gada bilancē uzrādītā MU iepriekšējo gadu nesadalītā peļņa ar + zīmi, ar pieaugumu 30% 2018.gadā </w:t>
            </w:r>
            <w:r w:rsidRPr="007956F1">
              <w:rPr>
                <w:rFonts w:eastAsia="Calibri"/>
                <w:lang w:eastAsia="en-US"/>
              </w:rPr>
              <w:t>(pret 2015.gadu) kas izriet no iepriekšējo gadu dinamikas</w:t>
            </w:r>
            <w:r w:rsidRPr="007956F1">
              <w:t>. Ņemot vērā, ka visu iepriekšējo gadu nesadalīto peļņu neizņems, tiek piemērota izmaksas norma 60% apmērā.</w:t>
            </w:r>
          </w:p>
          <w:p w:rsidR="00AE638B" w:rsidRPr="007956F1" w:rsidRDefault="00AE638B" w:rsidP="00AE638B">
            <w:pPr>
              <w:spacing w:after="120"/>
              <w:ind w:firstLine="709"/>
              <w:jc w:val="both"/>
            </w:pPr>
            <w:r w:rsidRPr="007956F1">
              <w:rPr>
                <w:rFonts w:eastAsia="Calibri"/>
                <w:i/>
                <w:u w:val="single"/>
                <w:lang w:eastAsia="en-US"/>
              </w:rPr>
              <w:t xml:space="preserve">Iepriekšējo gadu uzkrātā peļņa </w:t>
            </w:r>
            <w:r w:rsidRPr="007956F1">
              <w:rPr>
                <w:rFonts w:eastAsia="Calibri"/>
                <w:u w:val="single"/>
                <w:lang w:eastAsia="en-US"/>
              </w:rPr>
              <w:t>–</w:t>
            </w:r>
            <w:r w:rsidRPr="007956F1">
              <w:rPr>
                <w:rFonts w:eastAsia="Calibri"/>
                <w:i/>
                <w:u w:val="single"/>
                <w:lang w:eastAsia="en-US"/>
              </w:rPr>
              <w:t xml:space="preserve"> IIN par papildus izmaksātām dividendēm</w:t>
            </w:r>
            <w:r w:rsidRPr="007956F1">
              <w:rPr>
                <w:rFonts w:eastAsia="Calibri"/>
                <w:lang w:eastAsia="en-US"/>
              </w:rPr>
              <w:t xml:space="preserve"> p</w:t>
            </w:r>
            <w:r w:rsidRPr="007956F1">
              <w:t xml:space="preserve">ar </w:t>
            </w:r>
            <w:r w:rsidRPr="007956F1">
              <w:rPr>
                <w:rFonts w:eastAsia="Calibri"/>
                <w:lang w:eastAsia="en-US"/>
              </w:rPr>
              <w:t>modelēto bāzi</w:t>
            </w:r>
            <w:r w:rsidRPr="007956F1">
              <w:t xml:space="preserve"> aprēķinam tiek izmantota 2015.gada bilancē uzrādītā iepriekšējo gadu nesadalītā peļņa ar pozitīvu vērtību. Tiek modelēta 2018.gada bāze ar pieaugumu 20%, salīdzinot ar 2015.gadu (vidējais pieauguma temps līdz šim bijis 15% gadā). Tiek atskaitīta valsts un pašvaldību uzņēmumu iepriekšējo gadu nesadalītā peļņa. Ņemot vērā, ka visu iepriekšējo gadu nesadalīto peļņu neizņems pilnībā, tiek pieņemts, ka to izņems 20% apmērā. Pārejas periodā pirmajos divos gados IIN līmenī tiek piemērota 10% likme, turpmāk 20% likme. </w:t>
            </w:r>
          </w:p>
          <w:p w:rsidR="00AE638B" w:rsidRPr="007956F1" w:rsidRDefault="00AE638B" w:rsidP="00AE638B">
            <w:pPr>
              <w:ind w:firstLine="709"/>
              <w:jc w:val="both"/>
            </w:pPr>
            <w:r w:rsidRPr="007956F1">
              <w:t>20% pieņēmums balstās uz faktu, ka:</w:t>
            </w:r>
          </w:p>
          <w:p w:rsidR="00AE638B" w:rsidRPr="007956F1" w:rsidRDefault="00AE638B" w:rsidP="00AE638B">
            <w:pPr>
              <w:numPr>
                <w:ilvl w:val="0"/>
                <w:numId w:val="10"/>
              </w:numPr>
              <w:ind w:left="993" w:hanging="284"/>
              <w:contextualSpacing/>
              <w:jc w:val="both"/>
            </w:pPr>
            <w:r w:rsidRPr="007956F1">
              <w:t>2015.gadā dividendēs tika sadalīts aptuveni 18% no uzkrātās peļņas;</w:t>
            </w:r>
          </w:p>
          <w:p w:rsidR="00AE638B" w:rsidRPr="007956F1" w:rsidRDefault="00AE638B" w:rsidP="00AE638B">
            <w:pPr>
              <w:numPr>
                <w:ilvl w:val="0"/>
                <w:numId w:val="10"/>
              </w:numPr>
              <w:ind w:left="993" w:hanging="284"/>
              <w:contextualSpacing/>
              <w:jc w:val="both"/>
            </w:pPr>
            <w:r w:rsidRPr="007956F1">
              <w:t xml:space="preserve">peļņai un tās sadalei ir tendence pieaugt (uzņēmumu līmenī aptuveni par 35%, fizisko personu līmenī aptuveni par 15% </w:t>
            </w:r>
            <w:r w:rsidRPr="007956F1">
              <w:rPr>
                <w:rFonts w:eastAsia="Calibri"/>
                <w:lang w:eastAsia="en-US"/>
              </w:rPr>
              <w:t>–</w:t>
            </w:r>
            <w:r w:rsidRPr="007956F1">
              <w:t xml:space="preserve"> vidējais pieauguma temps 3 gadu periodā);</w:t>
            </w:r>
          </w:p>
          <w:p w:rsidR="00AE638B" w:rsidRPr="007956F1" w:rsidRDefault="00AE638B" w:rsidP="00AE638B">
            <w:pPr>
              <w:numPr>
                <w:ilvl w:val="0"/>
                <w:numId w:val="10"/>
              </w:numPr>
              <w:ind w:left="993" w:hanging="284"/>
              <w:contextualSpacing/>
              <w:jc w:val="both"/>
            </w:pPr>
            <w:r w:rsidRPr="007956F1">
              <w:t>pārejas periods radīs papildus stimulu izņemt dividendes ar 10% IIN, pretējā gadījumā vēlāk tām tiks piemērots nodoklis 20% apmērā.</w:t>
            </w:r>
          </w:p>
          <w:p w:rsidR="00AE638B" w:rsidRPr="007956F1" w:rsidRDefault="00AE638B" w:rsidP="00AE638B">
            <w:pPr>
              <w:contextualSpacing/>
              <w:jc w:val="both"/>
            </w:pPr>
          </w:p>
          <w:p w:rsidR="00CA3933" w:rsidRPr="007956F1" w:rsidRDefault="00AE638B" w:rsidP="00AE638B">
            <w:pPr>
              <w:pStyle w:val="tv213"/>
              <w:spacing w:before="0" w:beforeAutospacing="0" w:after="0" w:afterAutospacing="0" w:line="293" w:lineRule="atLeast"/>
              <w:jc w:val="both"/>
            </w:pPr>
            <w:r w:rsidRPr="007956F1">
              <w:rPr>
                <w:rFonts w:eastAsiaTheme="minorHAnsi"/>
                <w:b/>
              </w:rPr>
              <w:t>Fiskālā ietekme tiks iekļauta nodokļu ieņēmumu prognozēs, sagatavojot likumprojektu “Par vidēja termiņa budžeta ietvaru 2018., 2019. un 2020. gadam”.</w:t>
            </w: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CA3933" w:rsidRPr="007956F1" w:rsidRDefault="00CA3933" w:rsidP="00CA3933">
            <w:r w:rsidRPr="007956F1">
              <w:t>6.1. detalizēts ieņēmumu aprēķins</w:t>
            </w:r>
          </w:p>
        </w:tc>
        <w:tc>
          <w:tcPr>
            <w:tcW w:w="3714" w:type="pct"/>
            <w:gridSpan w:val="5"/>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both"/>
            </w:pP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CA3933" w:rsidRPr="007956F1" w:rsidRDefault="00CA3933" w:rsidP="00CA3933">
            <w:r w:rsidRPr="007956F1">
              <w:t>6.2. detalizēts izdevumu aprēķins</w:t>
            </w:r>
          </w:p>
        </w:tc>
        <w:tc>
          <w:tcPr>
            <w:tcW w:w="3714" w:type="pct"/>
            <w:gridSpan w:val="5"/>
            <w:tcBorders>
              <w:top w:val="single" w:sz="4" w:space="0" w:color="auto"/>
              <w:left w:val="single" w:sz="4" w:space="0" w:color="auto"/>
              <w:bottom w:val="single" w:sz="4" w:space="0" w:color="auto"/>
              <w:right w:val="single" w:sz="4" w:space="0" w:color="auto"/>
            </w:tcBorders>
          </w:tcPr>
          <w:p w:rsidR="00CA3933" w:rsidRPr="007956F1" w:rsidRDefault="00CA3933" w:rsidP="00CA3933"/>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CA3933" w:rsidRPr="007956F1" w:rsidRDefault="00CA3933" w:rsidP="00CA3933">
            <w:pPr>
              <w:jc w:val="both"/>
            </w:pPr>
            <w:r w:rsidRPr="007956F1">
              <w:t>7. Cita informācija</w:t>
            </w:r>
          </w:p>
        </w:tc>
        <w:tc>
          <w:tcPr>
            <w:tcW w:w="3714" w:type="pct"/>
            <w:gridSpan w:val="5"/>
            <w:tcBorders>
              <w:top w:val="single" w:sz="4" w:space="0" w:color="auto"/>
              <w:left w:val="single" w:sz="4" w:space="0" w:color="auto"/>
              <w:bottom w:val="single" w:sz="4" w:space="0" w:color="auto"/>
              <w:right w:val="single" w:sz="4" w:space="0" w:color="auto"/>
            </w:tcBorders>
          </w:tcPr>
          <w:p w:rsidR="003B2646" w:rsidRPr="007956F1" w:rsidRDefault="003B2646" w:rsidP="003B2646">
            <w:pPr>
              <w:jc w:val="both"/>
            </w:pPr>
            <w:r w:rsidRPr="007956F1">
              <w:t>Papildus informējam, ka, ieviešot Valsts nodokļu politikas pamatnostādnēs 2018.-2021. gadam, paredzētās darba spēka nodokļu un uzņēmuma ienākuma nodokļa reformas, tiek prognozēts, ka iepriekš minētās reformas radīs atgriezenisko efektu un veicinās ekonomisko izaugsmi. 2018. gadā +75,750 milj. </w:t>
            </w:r>
            <w:proofErr w:type="spellStart"/>
            <w:r w:rsidRPr="007956F1">
              <w:rPr>
                <w:i/>
              </w:rPr>
              <w:t>euro</w:t>
            </w:r>
            <w:proofErr w:type="spellEnd"/>
            <w:r w:rsidRPr="007956F1">
              <w:t xml:space="preserve"> (t.sk., valsts pamatbudžetā +36,100 milj. </w:t>
            </w:r>
            <w:proofErr w:type="spellStart"/>
            <w:r w:rsidRPr="007956F1">
              <w:rPr>
                <w:i/>
              </w:rPr>
              <w:t>euro</w:t>
            </w:r>
            <w:proofErr w:type="spellEnd"/>
            <w:r w:rsidRPr="007956F1">
              <w:rPr>
                <w:i/>
              </w:rPr>
              <w:t>,</w:t>
            </w:r>
            <w:r w:rsidRPr="007956F1">
              <w:t xml:space="preserve"> pašvaldību budžetā +12,200 milj. </w:t>
            </w:r>
            <w:proofErr w:type="spellStart"/>
            <w:r w:rsidRPr="007956F1">
              <w:rPr>
                <w:i/>
              </w:rPr>
              <w:t>euro</w:t>
            </w:r>
            <w:proofErr w:type="spellEnd"/>
            <w:r w:rsidRPr="007956F1">
              <w:rPr>
                <w:i/>
              </w:rPr>
              <w:t xml:space="preserve">, </w:t>
            </w:r>
            <w:r w:rsidRPr="007956F1">
              <w:t>valsts speciālajā budžetā +22,619 milj. </w:t>
            </w:r>
            <w:proofErr w:type="spellStart"/>
            <w:r w:rsidRPr="007956F1">
              <w:rPr>
                <w:i/>
              </w:rPr>
              <w:t>euro</w:t>
            </w:r>
            <w:proofErr w:type="spellEnd"/>
            <w:r w:rsidRPr="007956F1">
              <w:t xml:space="preserve"> un valsts </w:t>
            </w:r>
            <w:proofErr w:type="spellStart"/>
            <w:r w:rsidRPr="007956F1">
              <w:t>fondēto</w:t>
            </w:r>
            <w:proofErr w:type="spellEnd"/>
            <w:r w:rsidRPr="007956F1">
              <w:t xml:space="preserve"> pensiju shēmā +4,831 milj. </w:t>
            </w:r>
            <w:proofErr w:type="spellStart"/>
            <w:r w:rsidRPr="007956F1">
              <w:rPr>
                <w:i/>
              </w:rPr>
              <w:t>euro</w:t>
            </w:r>
            <w:proofErr w:type="spellEnd"/>
            <w:r w:rsidRPr="007956F1">
              <w:t>), 2019. gadā +118,460 milj. </w:t>
            </w:r>
            <w:proofErr w:type="spellStart"/>
            <w:r w:rsidRPr="007956F1">
              <w:rPr>
                <w:i/>
              </w:rPr>
              <w:t>euro</w:t>
            </w:r>
            <w:proofErr w:type="spellEnd"/>
            <w:r w:rsidRPr="007956F1">
              <w:t xml:space="preserve"> (t.sk., valsts pamatbudžetā +59,300 milj. </w:t>
            </w:r>
            <w:proofErr w:type="spellStart"/>
            <w:r w:rsidRPr="007956F1">
              <w:rPr>
                <w:i/>
              </w:rPr>
              <w:t>euro</w:t>
            </w:r>
            <w:proofErr w:type="spellEnd"/>
            <w:r w:rsidRPr="007956F1">
              <w:rPr>
                <w:i/>
              </w:rPr>
              <w:t>,</w:t>
            </w:r>
            <w:r w:rsidRPr="007956F1">
              <w:t xml:space="preserve"> pašvaldību budžetā +18,900 milj. </w:t>
            </w:r>
            <w:proofErr w:type="spellStart"/>
            <w:r w:rsidRPr="007956F1">
              <w:rPr>
                <w:i/>
              </w:rPr>
              <w:t>euro</w:t>
            </w:r>
            <w:proofErr w:type="spellEnd"/>
            <w:r w:rsidRPr="007956F1">
              <w:rPr>
                <w:i/>
              </w:rPr>
              <w:t xml:space="preserve"> </w:t>
            </w:r>
            <w:r w:rsidRPr="007956F1">
              <w:t>valsts speciālajā budžetā +33,174 milj. </w:t>
            </w:r>
            <w:proofErr w:type="spellStart"/>
            <w:r w:rsidRPr="007956F1">
              <w:rPr>
                <w:i/>
              </w:rPr>
              <w:t>euro</w:t>
            </w:r>
            <w:proofErr w:type="spellEnd"/>
            <w:r w:rsidRPr="007956F1">
              <w:t xml:space="preserve"> un valsts </w:t>
            </w:r>
            <w:proofErr w:type="spellStart"/>
            <w:r w:rsidRPr="007956F1">
              <w:t>fondēto</w:t>
            </w:r>
            <w:proofErr w:type="spellEnd"/>
            <w:r w:rsidRPr="007956F1">
              <w:t xml:space="preserve"> pensiju shēmā +7,086 milj. </w:t>
            </w:r>
            <w:proofErr w:type="spellStart"/>
            <w:r w:rsidRPr="007956F1">
              <w:rPr>
                <w:i/>
              </w:rPr>
              <w:t>euro</w:t>
            </w:r>
            <w:proofErr w:type="spellEnd"/>
            <w:r w:rsidRPr="007956F1">
              <w:t>), 2020. gadā +233,456 milj. </w:t>
            </w:r>
            <w:proofErr w:type="spellStart"/>
            <w:r w:rsidRPr="007956F1">
              <w:rPr>
                <w:i/>
              </w:rPr>
              <w:t>euro</w:t>
            </w:r>
            <w:proofErr w:type="spellEnd"/>
            <w:r w:rsidRPr="007956F1">
              <w:t xml:space="preserve"> (t.sk., valsts pamatbudžetā +113,600 milj. </w:t>
            </w:r>
            <w:proofErr w:type="spellStart"/>
            <w:r w:rsidRPr="007956F1">
              <w:rPr>
                <w:i/>
              </w:rPr>
              <w:t>euro</w:t>
            </w:r>
            <w:proofErr w:type="spellEnd"/>
            <w:r w:rsidRPr="007956F1">
              <w:rPr>
                <w:i/>
              </w:rPr>
              <w:t>,</w:t>
            </w:r>
            <w:r w:rsidRPr="007956F1">
              <w:t xml:space="preserve"> pašvaldību budžetā +37,500 milj. </w:t>
            </w:r>
            <w:proofErr w:type="spellStart"/>
            <w:r w:rsidRPr="007956F1">
              <w:rPr>
                <w:i/>
              </w:rPr>
              <w:t>euro</w:t>
            </w:r>
            <w:proofErr w:type="spellEnd"/>
            <w:r w:rsidRPr="007956F1">
              <w:rPr>
                <w:i/>
              </w:rPr>
              <w:t xml:space="preserve"> </w:t>
            </w:r>
            <w:r w:rsidRPr="007956F1">
              <w:t>valsts speciālajā budžetā +67,856 milj. </w:t>
            </w:r>
            <w:proofErr w:type="spellStart"/>
            <w:r w:rsidRPr="007956F1">
              <w:rPr>
                <w:i/>
              </w:rPr>
              <w:t>euro</w:t>
            </w:r>
            <w:proofErr w:type="spellEnd"/>
            <w:r w:rsidRPr="007956F1">
              <w:t xml:space="preserve"> un valsts </w:t>
            </w:r>
            <w:proofErr w:type="spellStart"/>
            <w:r w:rsidRPr="007956F1">
              <w:t>fondēto</w:t>
            </w:r>
            <w:proofErr w:type="spellEnd"/>
            <w:r w:rsidRPr="007956F1">
              <w:t xml:space="preserve"> pensiju shēmā +14,500 milj. </w:t>
            </w:r>
            <w:proofErr w:type="spellStart"/>
            <w:r w:rsidRPr="007956F1">
              <w:rPr>
                <w:i/>
              </w:rPr>
              <w:t>euro</w:t>
            </w:r>
            <w:proofErr w:type="spellEnd"/>
            <w:r w:rsidRPr="007956F1">
              <w:t>).</w:t>
            </w:r>
          </w:p>
          <w:p w:rsidR="003B2646" w:rsidRPr="007956F1" w:rsidRDefault="003B2646" w:rsidP="003B2646">
            <w:pPr>
              <w:jc w:val="both"/>
            </w:pPr>
          </w:p>
          <w:p w:rsidR="003B2646" w:rsidRPr="007956F1" w:rsidRDefault="003B2646" w:rsidP="003B2646">
            <w:pPr>
              <w:jc w:val="both"/>
              <w:rPr>
                <w:u w:val="single"/>
              </w:rPr>
            </w:pPr>
            <w:r w:rsidRPr="007956F1">
              <w:rPr>
                <w:u w:val="single"/>
              </w:rPr>
              <w:t xml:space="preserve">Valsts ieņēmumu dienesta informācijas sistēmu izmaiņu veikšanai nepieciešamais papildu finansējums 2018.gadā ir 231 638 EUR (atbilstoši Likuma pārejas noteikumu 26.punktā noteiktajam, </w:t>
            </w:r>
            <w:r w:rsidRPr="007956F1">
              <w:rPr>
                <w:b/>
                <w:u w:val="single"/>
              </w:rPr>
              <w:t>pirmo reizi</w:t>
            </w:r>
            <w:r w:rsidRPr="007956F1">
              <w:rPr>
                <w:u w:val="single"/>
              </w:rPr>
              <w:t xml:space="preserve"> deklarācija jāsniedz līdz </w:t>
            </w:r>
            <w:r w:rsidRPr="007956F1">
              <w:rPr>
                <w:b/>
                <w:u w:val="single"/>
              </w:rPr>
              <w:t>2018.gada 20.jūlijam</w:t>
            </w:r>
            <w:r w:rsidRPr="007956F1">
              <w:rPr>
                <w:u w:val="single"/>
              </w:rPr>
              <w:t xml:space="preserve">, līdz ar to sistēmas ieviešana iespējama 2018.gada sākumā). </w:t>
            </w:r>
          </w:p>
          <w:p w:rsidR="00CA3933" w:rsidRPr="007956F1" w:rsidRDefault="00CA3933" w:rsidP="00CA3933">
            <w:pPr>
              <w:jc w:val="both"/>
            </w:pPr>
          </w:p>
        </w:tc>
      </w:tr>
    </w:tbl>
    <w:p w:rsidR="008078B8" w:rsidRPr="007956F1" w:rsidRDefault="008078B8" w:rsidP="002431AC"/>
    <w:tbl>
      <w:tblPr>
        <w:tblpPr w:leftFromText="180" w:rightFromText="180" w:vertAnchor="text" w:horzAnchor="margin" w:tblpXSpec="center" w:tblpY="149"/>
        <w:tblW w:w="5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9"/>
        <w:gridCol w:w="2969"/>
        <w:gridCol w:w="6232"/>
      </w:tblGrid>
      <w:tr w:rsidR="007956F1" w:rsidRPr="007956F1" w:rsidTr="00B1468C">
        <w:trPr>
          <w:trHeight w:val="419"/>
        </w:trPr>
        <w:tc>
          <w:tcPr>
            <w:tcW w:w="5000" w:type="pct"/>
            <w:gridSpan w:val="3"/>
            <w:vAlign w:val="center"/>
          </w:tcPr>
          <w:p w:rsidR="008078B8" w:rsidRPr="007956F1" w:rsidRDefault="008078B8" w:rsidP="002431AC">
            <w:pPr>
              <w:jc w:val="center"/>
              <w:rPr>
                <w:b/>
              </w:rPr>
            </w:pPr>
            <w:r w:rsidRPr="007956F1">
              <w:rPr>
                <w:b/>
                <w:bCs/>
              </w:rPr>
              <w:t>IV. Tiesību akta projekta ietekme uz spēkā esošo tiesību normu sistēmu</w:t>
            </w:r>
          </w:p>
        </w:tc>
      </w:tr>
      <w:tr w:rsidR="007956F1" w:rsidRPr="007956F1" w:rsidTr="00B1468C">
        <w:trPr>
          <w:trHeight w:val="415"/>
        </w:trPr>
        <w:tc>
          <w:tcPr>
            <w:tcW w:w="296" w:type="pct"/>
          </w:tcPr>
          <w:p w:rsidR="008078B8" w:rsidRPr="007956F1" w:rsidRDefault="008078B8" w:rsidP="002431AC">
            <w:r w:rsidRPr="007956F1">
              <w:t>1.</w:t>
            </w:r>
          </w:p>
        </w:tc>
        <w:tc>
          <w:tcPr>
            <w:tcW w:w="1518" w:type="pct"/>
          </w:tcPr>
          <w:p w:rsidR="008078B8" w:rsidRPr="007956F1" w:rsidRDefault="008078B8" w:rsidP="00DA1B0E">
            <w:pPr>
              <w:spacing w:before="120" w:after="120"/>
            </w:pPr>
            <w:r w:rsidRPr="007956F1">
              <w:t>Nepieciešamie saistītie tiesību aktu projekti</w:t>
            </w:r>
          </w:p>
        </w:tc>
        <w:tc>
          <w:tcPr>
            <w:tcW w:w="3186" w:type="pct"/>
          </w:tcPr>
          <w:p w:rsidR="008C3F33" w:rsidRPr="007956F1" w:rsidRDefault="008C3F33" w:rsidP="00DA1B0E">
            <w:pPr>
              <w:spacing w:before="120" w:after="120"/>
              <w:jc w:val="both"/>
              <w:rPr>
                <w:spacing w:val="-6"/>
              </w:rPr>
            </w:pPr>
            <w:r w:rsidRPr="007956F1">
              <w:rPr>
                <w:bCs/>
                <w:spacing w:val="-6"/>
              </w:rPr>
              <w:t xml:space="preserve">Ņemot vērā to, ka likumprojekts „Par uzņēmumu ienākuma nodokli” pēc būtības ir jauna iniciatīva un paredz atšķirīgu  nodokļa maksāšanas režīmu (izmaiņas skatīt Anotācijas I. sadaļā), lai samērotu ar likumprojektu saistītajos tiesību aktos paredzēto regulējumu, kā arī novērstu iespējamās pretrunas un kolīzijas, </w:t>
            </w:r>
            <w:r w:rsidR="00A70CC5" w:rsidRPr="007956F1">
              <w:rPr>
                <w:bCs/>
                <w:spacing w:val="-6"/>
              </w:rPr>
              <w:t xml:space="preserve">līdz šī gada 20.decembrim nepieciešams izstrādāt un </w:t>
            </w:r>
            <w:r w:rsidRPr="007956F1">
              <w:rPr>
                <w:bCs/>
                <w:spacing w:val="-6"/>
              </w:rPr>
              <w:t xml:space="preserve"> iesniegt Ministru kabinetā </w:t>
            </w:r>
            <w:r w:rsidR="00A70CC5" w:rsidRPr="007956F1">
              <w:rPr>
                <w:bCs/>
                <w:spacing w:val="-6"/>
              </w:rPr>
              <w:t>uz likum</w:t>
            </w:r>
            <w:r w:rsidR="00A121DE" w:rsidRPr="007956F1">
              <w:rPr>
                <w:bCs/>
                <w:spacing w:val="-6"/>
              </w:rPr>
              <w:t>a</w:t>
            </w:r>
            <w:r w:rsidR="00A70CC5" w:rsidRPr="007956F1">
              <w:rPr>
                <w:bCs/>
                <w:spacing w:val="-6"/>
              </w:rPr>
              <w:t xml:space="preserve"> pamata izdotos saistītos tiesību aktus, kā arī atzīt par spēku zaudējušu šādu</w:t>
            </w:r>
            <w:r w:rsidRPr="007956F1">
              <w:rPr>
                <w:bCs/>
                <w:spacing w:val="-6"/>
              </w:rPr>
              <w:t>s tiesību akt</w:t>
            </w:r>
            <w:r w:rsidR="00A70CC5" w:rsidRPr="007956F1">
              <w:rPr>
                <w:bCs/>
                <w:spacing w:val="-6"/>
              </w:rPr>
              <w:t>u</w:t>
            </w:r>
            <w:r w:rsidRPr="007956F1">
              <w:rPr>
                <w:bCs/>
                <w:spacing w:val="-6"/>
              </w:rPr>
              <w:t>s:</w:t>
            </w:r>
            <w:r w:rsidRPr="007956F1">
              <w:rPr>
                <w:spacing w:val="-6"/>
              </w:rPr>
              <w:t xml:space="preserve"> </w:t>
            </w:r>
          </w:p>
          <w:p w:rsidR="00166434" w:rsidRPr="007956F1" w:rsidRDefault="007232E7" w:rsidP="00DA1B0E">
            <w:pPr>
              <w:spacing w:before="120" w:after="120"/>
              <w:jc w:val="both"/>
              <w:rPr>
                <w:bCs/>
              </w:rPr>
            </w:pPr>
            <w:r w:rsidRPr="007956F1">
              <w:rPr>
                <w:spacing w:val="-6"/>
              </w:rPr>
              <w:t xml:space="preserve">Ministru kabineta 2017.gada 3.janvāra noteikumi Nr.20 </w:t>
            </w:r>
            <w:r w:rsidRPr="007956F1">
              <w:rPr>
                <w:bCs/>
              </w:rPr>
              <w:t>“Atbalstāmo investīciju projekta pieņemšanas un īstenošanas kārtība”;</w:t>
            </w:r>
          </w:p>
          <w:p w:rsidR="007232E7" w:rsidRPr="007956F1" w:rsidRDefault="007232E7" w:rsidP="00DA1B0E">
            <w:pPr>
              <w:spacing w:before="120" w:after="120"/>
              <w:jc w:val="both"/>
            </w:pPr>
            <w:r w:rsidRPr="007956F1">
              <w:rPr>
                <w:spacing w:val="-6"/>
              </w:rPr>
              <w:t xml:space="preserve">Ministru kabineta 2015. gada 29.septembra noteikumi Nr.548 </w:t>
            </w:r>
            <w:r w:rsidRPr="007956F1">
              <w:t>“</w:t>
            </w:r>
            <w:r w:rsidRPr="007956F1">
              <w:rPr>
                <w:bCs/>
              </w:rPr>
              <w:t>Noteikumi par uzņēmumu ienākuma nodokļa taksācijas perioda deklarāciju un avansa maksājumu aprēķinu</w:t>
            </w:r>
            <w:r w:rsidRPr="007956F1">
              <w:t>”;</w:t>
            </w:r>
          </w:p>
          <w:p w:rsidR="007232E7" w:rsidRPr="007956F1" w:rsidRDefault="007232E7" w:rsidP="00DA1B0E">
            <w:pPr>
              <w:spacing w:before="120" w:after="120"/>
              <w:jc w:val="both"/>
            </w:pPr>
            <w:r w:rsidRPr="007956F1">
              <w:t xml:space="preserve">Ministru kabineta </w:t>
            </w:r>
            <w:r w:rsidRPr="007956F1">
              <w:rPr>
                <w:spacing w:val="-6"/>
              </w:rPr>
              <w:t>201</w:t>
            </w:r>
            <w:r w:rsidR="00DA1B0E" w:rsidRPr="007956F1">
              <w:rPr>
                <w:spacing w:val="-6"/>
              </w:rPr>
              <w:t>4</w:t>
            </w:r>
            <w:r w:rsidRPr="007956F1">
              <w:rPr>
                <w:spacing w:val="-6"/>
              </w:rPr>
              <w:t>.gada 1.jūlija</w:t>
            </w:r>
            <w:r w:rsidRPr="007956F1">
              <w:t xml:space="preserve"> </w:t>
            </w:r>
            <w:r w:rsidR="00DA1B0E" w:rsidRPr="007956F1">
              <w:t>noteikumi Nr.</w:t>
            </w:r>
            <w:r w:rsidRPr="007956F1">
              <w:t>373 “Noteikumi par pētniecības un attīstības darbību uzņēmumu ienākuma nodokļa piemērošanai”</w:t>
            </w:r>
            <w:r w:rsidR="00DA1B0E" w:rsidRPr="007956F1">
              <w:t>;</w:t>
            </w:r>
          </w:p>
          <w:p w:rsidR="00DA1B0E" w:rsidRPr="007956F1" w:rsidRDefault="00DA1B0E" w:rsidP="00DA1B0E">
            <w:pPr>
              <w:spacing w:before="120" w:after="120"/>
              <w:jc w:val="both"/>
            </w:pPr>
            <w:r w:rsidRPr="007956F1">
              <w:t xml:space="preserve">Ministru kabineta </w:t>
            </w:r>
            <w:r w:rsidRPr="007956F1">
              <w:rPr>
                <w:spacing w:val="-6"/>
              </w:rPr>
              <w:t>2009.gada 22.decembra</w:t>
            </w:r>
            <w:r w:rsidRPr="007956F1">
              <w:t xml:space="preserve"> noteikumi Nr.1648 </w:t>
            </w:r>
            <w:r w:rsidRPr="007956F1">
              <w:rPr>
                <w:rFonts w:ascii="Arial" w:hAnsi="Arial" w:cs="Arial"/>
                <w:sz w:val="18"/>
                <w:szCs w:val="18"/>
                <w:shd w:val="clear" w:color="auto" w:fill="F1F1F1"/>
              </w:rPr>
              <w:t xml:space="preserve"> </w:t>
            </w:r>
            <w:r w:rsidRPr="007956F1">
              <w:t>“Noteikumi par pasākumiem, kas jāveic valsts kapitālsabiedrībām, kuras veic Kultūras ministrijas deleģētas valsts kultūras funkcijas un saņem ziedojumus”;</w:t>
            </w:r>
          </w:p>
          <w:p w:rsidR="00DA1B0E" w:rsidRPr="007956F1" w:rsidRDefault="00DA1B0E" w:rsidP="00DA1B0E">
            <w:pPr>
              <w:spacing w:before="120" w:after="120"/>
              <w:jc w:val="both"/>
            </w:pPr>
            <w:r w:rsidRPr="007956F1">
              <w:t xml:space="preserve">Ministru kabineta </w:t>
            </w:r>
            <w:r w:rsidRPr="007956F1">
              <w:rPr>
                <w:spacing w:val="-6"/>
              </w:rPr>
              <w:t xml:space="preserve">2006.gada 4.jūlija </w:t>
            </w:r>
            <w:r w:rsidRPr="007956F1">
              <w:t>noteikumi Nr.556 “Likuma “Par uzņēmumu ienākuma nodokli” normu piemērošanas noteikumi”;</w:t>
            </w:r>
          </w:p>
          <w:p w:rsidR="00DA1B0E" w:rsidRPr="007956F1" w:rsidRDefault="00DA1B0E" w:rsidP="00DA1B0E">
            <w:pPr>
              <w:spacing w:before="120" w:after="120"/>
              <w:jc w:val="both"/>
            </w:pPr>
            <w:r w:rsidRPr="007956F1">
              <w:t>Ministru kabineta 1995</w:t>
            </w:r>
            <w:r w:rsidRPr="007956F1">
              <w:rPr>
                <w:spacing w:val="-6"/>
              </w:rPr>
              <w:t xml:space="preserve">.gada 25.aprīļa </w:t>
            </w:r>
            <w:r w:rsidRPr="007956F1">
              <w:t>noteikumi Nr.101 “Noteikumi par kārtību, kādā tiek dzēsti parādi vai samazināti maksājumi par zaudējumiem, kas radušies 1992. gadā”;</w:t>
            </w:r>
          </w:p>
          <w:p w:rsidR="00DA1B0E" w:rsidRPr="007956F1" w:rsidRDefault="00DA1B0E" w:rsidP="00DA1B0E">
            <w:pPr>
              <w:spacing w:before="120" w:after="120"/>
              <w:jc w:val="both"/>
            </w:pPr>
            <w:r w:rsidRPr="007956F1">
              <w:t xml:space="preserve">Ministru kabineta </w:t>
            </w:r>
            <w:r w:rsidRPr="007956F1">
              <w:rPr>
                <w:spacing w:val="-6"/>
              </w:rPr>
              <w:t xml:space="preserve">2002.gada 27.decembra </w:t>
            </w:r>
            <w:r w:rsidRPr="007956F1">
              <w:t>noteikumi Nr.190 “Nerezidentu pastāvīgo pārstāvniecību apliekamā ienākuma noteikšanas un nodokļa maksāšanas kārtība”;</w:t>
            </w:r>
          </w:p>
          <w:p w:rsidR="00DA1B0E" w:rsidRPr="007956F1" w:rsidRDefault="00DA1B0E" w:rsidP="00DA1B0E">
            <w:pPr>
              <w:spacing w:before="120" w:after="120"/>
              <w:jc w:val="both"/>
              <w:rPr>
                <w:bCs/>
              </w:rPr>
            </w:pPr>
            <w:r w:rsidRPr="007956F1">
              <w:t xml:space="preserve">Ministru kabineta </w:t>
            </w:r>
            <w:r w:rsidRPr="007956F1">
              <w:rPr>
                <w:spacing w:val="-6"/>
              </w:rPr>
              <w:t xml:space="preserve">2002.gada 25.jūnija </w:t>
            </w:r>
            <w:r w:rsidRPr="007956F1">
              <w:t>noteikumi Nr.271</w:t>
            </w:r>
            <w:r w:rsidRPr="007956F1">
              <w:rPr>
                <w:bCs/>
              </w:rPr>
              <w:t xml:space="preserve"> “Noteikumi par tonnāžas nodokļa maksātāja statusa piešķiršanu iekšzemes uzņēmumam”;</w:t>
            </w:r>
          </w:p>
          <w:p w:rsidR="0062063A" w:rsidRPr="007956F1" w:rsidRDefault="00DA1B0E" w:rsidP="0053447E">
            <w:pPr>
              <w:spacing w:before="120" w:after="120"/>
              <w:jc w:val="both"/>
            </w:pPr>
            <w:r w:rsidRPr="007956F1">
              <w:t xml:space="preserve">Ministru kabineta </w:t>
            </w:r>
            <w:r w:rsidR="0053447E" w:rsidRPr="007956F1">
              <w:rPr>
                <w:spacing w:val="-6"/>
              </w:rPr>
              <w:t xml:space="preserve">2002.gada 25.jūnija </w:t>
            </w:r>
            <w:r w:rsidR="0053447E" w:rsidRPr="007956F1">
              <w:t>noteikumi Nr.256</w:t>
            </w:r>
            <w:r w:rsidR="0053447E" w:rsidRPr="007956F1">
              <w:rPr>
                <w:bCs/>
              </w:rPr>
              <w:t xml:space="preserve"> </w:t>
            </w:r>
            <w:r w:rsidRPr="007956F1">
              <w:t>“Noteikumi par tonnāžas nodokļa deklarāciju”</w:t>
            </w:r>
            <w:r w:rsidR="0062063A" w:rsidRPr="007956F1">
              <w:t>;</w:t>
            </w:r>
          </w:p>
          <w:p w:rsidR="00350448" w:rsidRPr="007956F1" w:rsidRDefault="0062063A" w:rsidP="0062063A">
            <w:pPr>
              <w:spacing w:before="120" w:after="120"/>
              <w:jc w:val="both"/>
            </w:pPr>
            <w:r w:rsidRPr="007956F1">
              <w:t xml:space="preserve">Ministru kabineta </w:t>
            </w:r>
            <w:r w:rsidRPr="007956F1">
              <w:rPr>
                <w:spacing w:val="-6"/>
              </w:rPr>
              <w:t xml:space="preserve">2001.gada 26.jūnija </w:t>
            </w:r>
            <w:r w:rsidRPr="007956F1">
              <w:t>noteikumi Nr.276 “Noteikumi par zemu nodokļu vai beznodokļu valstīm un teritorijām”</w:t>
            </w:r>
            <w:r w:rsidR="00350448" w:rsidRPr="007956F1">
              <w:t>;</w:t>
            </w:r>
          </w:p>
          <w:p w:rsidR="00350448" w:rsidRPr="007956F1" w:rsidRDefault="00350448" w:rsidP="0062063A">
            <w:pPr>
              <w:spacing w:before="120" w:after="120"/>
              <w:jc w:val="both"/>
            </w:pPr>
            <w:r w:rsidRPr="007956F1">
              <w:t>Likums “Par uzņēmumu ienākuma nodokļa atlaidi invalīdu biedrību kapitālsabiedrībām, medicīniska rakstura fondu un citu labdarības fondu kapitālsabiedrībām”.</w:t>
            </w:r>
          </w:p>
          <w:p w:rsidR="000F557E" w:rsidRPr="007956F1" w:rsidRDefault="005D6F6A" w:rsidP="000F557E">
            <w:pPr>
              <w:spacing w:before="120" w:after="120"/>
              <w:ind w:firstLine="416"/>
              <w:jc w:val="both"/>
            </w:pPr>
            <w:r w:rsidRPr="007956F1">
              <w:t>L</w:t>
            </w:r>
            <w:r w:rsidR="00A121DE" w:rsidRPr="007956F1">
              <w:t>īdz šī gada 20.decembrim nepieciešams izstrādāt un  iesniegt Ministru kabinetā</w:t>
            </w:r>
            <w:r w:rsidRPr="007956F1">
              <w:t xml:space="preserve"> šādu likumu grozījumu</w:t>
            </w:r>
            <w:r w:rsidR="000F557E" w:rsidRPr="007956F1">
              <w:t>s:</w:t>
            </w:r>
          </w:p>
          <w:p w:rsidR="000F557E" w:rsidRPr="007956F1" w:rsidRDefault="000F557E" w:rsidP="000F557E">
            <w:pPr>
              <w:spacing w:before="120" w:after="120"/>
              <w:ind w:firstLine="416"/>
              <w:jc w:val="both"/>
            </w:pPr>
            <w:r w:rsidRPr="007956F1">
              <w:t>1.</w:t>
            </w:r>
            <w:r w:rsidR="005D6F6A" w:rsidRPr="007956F1">
              <w:t xml:space="preserve"> </w:t>
            </w:r>
            <w:proofErr w:type="spellStart"/>
            <w:r w:rsidR="005D6F6A" w:rsidRPr="007956F1">
              <w:t>Jaunuzņēmumu</w:t>
            </w:r>
            <w:proofErr w:type="spellEnd"/>
            <w:r w:rsidR="005D6F6A" w:rsidRPr="007956F1">
              <w:t xml:space="preserve"> darbības atbalsta likum</w:t>
            </w:r>
            <w:r w:rsidR="000218D5" w:rsidRPr="007956F1">
              <w:t>ā</w:t>
            </w:r>
            <w:r w:rsidRPr="007956F1">
              <w:t>;</w:t>
            </w:r>
          </w:p>
          <w:p w:rsidR="000F557E" w:rsidRPr="007956F1" w:rsidRDefault="000F557E" w:rsidP="000F557E">
            <w:pPr>
              <w:spacing w:before="120" w:after="120"/>
              <w:ind w:firstLine="416"/>
              <w:jc w:val="both"/>
            </w:pPr>
            <w:r w:rsidRPr="007956F1">
              <w:t>2. likumā “Par nodokļu piemērošanu brīvostās un speciālajās ekonomiskajās zonās”;</w:t>
            </w:r>
          </w:p>
          <w:p w:rsidR="005D6F6A" w:rsidRPr="007956F1" w:rsidRDefault="000F557E" w:rsidP="000F557E">
            <w:pPr>
              <w:spacing w:before="120" w:after="120"/>
              <w:ind w:firstLine="416"/>
              <w:jc w:val="both"/>
            </w:pPr>
            <w:r w:rsidRPr="007956F1">
              <w:t>3. likumā “Par nodokļiem un nodevām”</w:t>
            </w:r>
            <w:r w:rsidR="000218D5" w:rsidRPr="007956F1">
              <w:t>.</w:t>
            </w:r>
          </w:p>
        </w:tc>
      </w:tr>
      <w:tr w:rsidR="007956F1" w:rsidRPr="007956F1" w:rsidTr="00967857">
        <w:trPr>
          <w:trHeight w:val="472"/>
        </w:trPr>
        <w:tc>
          <w:tcPr>
            <w:tcW w:w="296" w:type="pct"/>
          </w:tcPr>
          <w:p w:rsidR="008078B8" w:rsidRPr="007956F1" w:rsidRDefault="008078B8" w:rsidP="002431AC">
            <w:r w:rsidRPr="007956F1">
              <w:t>2.</w:t>
            </w:r>
          </w:p>
        </w:tc>
        <w:tc>
          <w:tcPr>
            <w:tcW w:w="1518" w:type="pct"/>
            <w:shd w:val="clear" w:color="auto" w:fill="auto"/>
          </w:tcPr>
          <w:p w:rsidR="008078B8" w:rsidRPr="007956F1" w:rsidRDefault="008078B8" w:rsidP="002431AC">
            <w:r w:rsidRPr="007956F1">
              <w:t>Atbildīgā institūcija</w:t>
            </w:r>
          </w:p>
        </w:tc>
        <w:tc>
          <w:tcPr>
            <w:tcW w:w="3186" w:type="pct"/>
            <w:shd w:val="clear" w:color="auto" w:fill="auto"/>
          </w:tcPr>
          <w:p w:rsidR="008078B8" w:rsidRPr="007956F1" w:rsidRDefault="008F416C" w:rsidP="008F416C">
            <w:pPr>
              <w:jc w:val="both"/>
            </w:pPr>
            <w:r w:rsidRPr="007956F1">
              <w:rPr>
                <w:spacing w:val="-6"/>
              </w:rPr>
              <w:t xml:space="preserve">Saistīto tiesību aktu izstrādi nodrošinās </w:t>
            </w:r>
            <w:r w:rsidR="0062063A" w:rsidRPr="007956F1">
              <w:rPr>
                <w:szCs w:val="20"/>
              </w:rPr>
              <w:t>Finanšu ministrija</w:t>
            </w:r>
            <w:r w:rsidR="0062063A" w:rsidRPr="007956F1">
              <w:t>.</w:t>
            </w:r>
          </w:p>
          <w:p w:rsidR="00A121DE" w:rsidRPr="007956F1" w:rsidRDefault="00A121DE" w:rsidP="000218D5">
            <w:pPr>
              <w:jc w:val="both"/>
            </w:pPr>
            <w:r w:rsidRPr="007956F1">
              <w:t xml:space="preserve">Par grozījumu virzību </w:t>
            </w:r>
            <w:proofErr w:type="spellStart"/>
            <w:r w:rsidRPr="007956F1">
              <w:t>Jaunuzņēmumu</w:t>
            </w:r>
            <w:proofErr w:type="spellEnd"/>
            <w:r w:rsidRPr="007956F1">
              <w:t xml:space="preserve"> darbības atbalsta likum</w:t>
            </w:r>
            <w:r w:rsidR="000218D5" w:rsidRPr="007956F1">
              <w:t>ā</w:t>
            </w:r>
            <w:r w:rsidRPr="007956F1">
              <w:t xml:space="preserve"> ir atbildīga Finanšu ministrija sadarbībā ar Ekono</w:t>
            </w:r>
            <w:r w:rsidR="005D6F6A" w:rsidRPr="007956F1">
              <w:t>mi</w:t>
            </w:r>
            <w:r w:rsidRPr="007956F1">
              <w:t>kas  ministriju.</w:t>
            </w:r>
          </w:p>
          <w:p w:rsidR="00B30FD5" w:rsidRPr="007956F1" w:rsidRDefault="00B30FD5" w:rsidP="004F136F">
            <w:pPr>
              <w:jc w:val="both"/>
            </w:pPr>
            <w:r w:rsidRPr="007956F1">
              <w:t>Par grozījumu virzību likumā “Par nodokļu piemērošanu brīvostās un speciālajās ekonomiskajās zonās”</w:t>
            </w:r>
            <w:r w:rsidR="004F136F" w:rsidRPr="007956F1">
              <w:t xml:space="preserve"> atbildīga Finanšu ministrija sadarbībā ar Satiksmes  ministriju.</w:t>
            </w:r>
          </w:p>
        </w:tc>
      </w:tr>
      <w:tr w:rsidR="007956F1" w:rsidRPr="007956F1" w:rsidTr="00B1468C">
        <w:tc>
          <w:tcPr>
            <w:tcW w:w="296" w:type="pct"/>
          </w:tcPr>
          <w:p w:rsidR="008078B8" w:rsidRPr="007956F1" w:rsidRDefault="008078B8" w:rsidP="002431AC">
            <w:r w:rsidRPr="007956F1">
              <w:t>3.</w:t>
            </w:r>
          </w:p>
        </w:tc>
        <w:tc>
          <w:tcPr>
            <w:tcW w:w="1518" w:type="pct"/>
          </w:tcPr>
          <w:p w:rsidR="008078B8" w:rsidRPr="007956F1" w:rsidRDefault="008078B8" w:rsidP="002431AC">
            <w:r w:rsidRPr="007956F1">
              <w:t>Cita informācija</w:t>
            </w:r>
          </w:p>
        </w:tc>
        <w:tc>
          <w:tcPr>
            <w:tcW w:w="3186" w:type="pct"/>
          </w:tcPr>
          <w:p w:rsidR="008078B8" w:rsidRPr="007956F1" w:rsidRDefault="008078B8" w:rsidP="002431AC">
            <w:r w:rsidRPr="007956F1">
              <w:t>Nav.</w:t>
            </w:r>
          </w:p>
        </w:tc>
      </w:tr>
    </w:tbl>
    <w:p w:rsidR="003E7787" w:rsidRPr="007956F1" w:rsidRDefault="003E7787" w:rsidP="002431AC">
      <w:pPr>
        <w:rPr>
          <w:sz w:val="28"/>
          <w:szCs w:val="28"/>
        </w:rPr>
      </w:pPr>
    </w:p>
    <w:tbl>
      <w:tblPr>
        <w:tblW w:w="9782" w:type="dxa"/>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42"/>
        <w:gridCol w:w="1900"/>
        <w:gridCol w:w="944"/>
        <w:gridCol w:w="1834"/>
        <w:gridCol w:w="2703"/>
        <w:gridCol w:w="1559"/>
      </w:tblGrid>
      <w:tr w:rsidR="007956F1" w:rsidRPr="007956F1" w:rsidTr="004E7A70">
        <w:tc>
          <w:tcPr>
            <w:tcW w:w="9782" w:type="dxa"/>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652A" w:rsidRPr="007956F1" w:rsidRDefault="0033652A" w:rsidP="004E7A70">
            <w:pPr>
              <w:pStyle w:val="tvhtml"/>
              <w:spacing w:line="293" w:lineRule="atLeast"/>
              <w:jc w:val="center"/>
              <w:rPr>
                <w:b/>
                <w:bCs/>
              </w:rPr>
            </w:pPr>
            <w:r w:rsidRPr="007956F1">
              <w:rPr>
                <w:b/>
                <w:bCs/>
              </w:rPr>
              <w:t>V. Tiesību akta projekta atbilstība Latvijas Republikas starptautiskajām saistībām</w:t>
            </w:r>
          </w:p>
        </w:tc>
      </w:tr>
      <w:tr w:rsidR="007956F1" w:rsidRPr="007956F1" w:rsidTr="004E7A70">
        <w:tblPrEx>
          <w:tblBorders>
            <w:top w:val="outset" w:sz="6" w:space="0" w:color="auto"/>
            <w:left w:val="outset" w:sz="6" w:space="0" w:color="auto"/>
            <w:bottom w:val="outset" w:sz="6" w:space="0" w:color="auto"/>
            <w:right w:val="outset" w:sz="6" w:space="0" w:color="auto"/>
          </w:tblBorders>
          <w:shd w:val="clear" w:color="auto" w:fill="auto"/>
        </w:tblPrEx>
        <w:tc>
          <w:tcPr>
            <w:tcW w:w="842" w:type="dxa"/>
            <w:tcBorders>
              <w:top w:val="outset" w:sz="6" w:space="0" w:color="auto"/>
              <w:left w:val="outset" w:sz="6" w:space="0" w:color="auto"/>
              <w:bottom w:val="outset" w:sz="6" w:space="0" w:color="auto"/>
              <w:right w:val="outset" w:sz="6" w:space="0" w:color="auto"/>
            </w:tcBorders>
            <w:hideMark/>
          </w:tcPr>
          <w:p w:rsidR="0033652A" w:rsidRPr="007956F1" w:rsidRDefault="0033652A" w:rsidP="004E7A70">
            <w:pPr>
              <w:ind w:left="-142" w:firstLine="142"/>
            </w:pPr>
            <w:r w:rsidRPr="007956F1">
              <w:t>1.</w:t>
            </w:r>
          </w:p>
        </w:tc>
        <w:tc>
          <w:tcPr>
            <w:tcW w:w="2844" w:type="dxa"/>
            <w:gridSpan w:val="2"/>
            <w:tcBorders>
              <w:top w:val="outset" w:sz="6" w:space="0" w:color="auto"/>
              <w:left w:val="outset" w:sz="6" w:space="0" w:color="auto"/>
              <w:bottom w:val="outset" w:sz="6" w:space="0" w:color="auto"/>
              <w:right w:val="outset" w:sz="6" w:space="0" w:color="auto"/>
            </w:tcBorders>
            <w:hideMark/>
          </w:tcPr>
          <w:p w:rsidR="0033652A" w:rsidRPr="007956F1" w:rsidRDefault="0033652A" w:rsidP="004E7A70">
            <w:r w:rsidRPr="007956F1">
              <w:t>Saistības pret Eiropas Savienību</w:t>
            </w:r>
          </w:p>
        </w:tc>
        <w:tc>
          <w:tcPr>
            <w:tcW w:w="6096" w:type="dxa"/>
            <w:gridSpan w:val="3"/>
            <w:tcBorders>
              <w:top w:val="outset" w:sz="6" w:space="0" w:color="auto"/>
              <w:left w:val="outset" w:sz="6" w:space="0" w:color="auto"/>
              <w:bottom w:val="outset" w:sz="6" w:space="0" w:color="auto"/>
              <w:right w:val="outset" w:sz="6" w:space="0" w:color="auto"/>
            </w:tcBorders>
            <w:hideMark/>
          </w:tcPr>
          <w:p w:rsidR="0033652A" w:rsidRPr="007956F1" w:rsidRDefault="0033652A" w:rsidP="009005FF">
            <w:pPr>
              <w:ind w:right="225" w:firstLine="254"/>
              <w:jc w:val="both"/>
            </w:pPr>
            <w:r w:rsidRPr="007956F1">
              <w:t>Ar Likumu tiek pārņemti sekojoši ES tiesību akti:</w:t>
            </w:r>
          </w:p>
          <w:p w:rsidR="009005FF" w:rsidRPr="007956F1" w:rsidRDefault="0033652A" w:rsidP="004E7A70">
            <w:pPr>
              <w:pStyle w:val="ListParagraph"/>
              <w:numPr>
                <w:ilvl w:val="0"/>
                <w:numId w:val="11"/>
              </w:numPr>
              <w:ind w:left="0" w:right="225" w:firstLine="254"/>
              <w:jc w:val="both"/>
              <w:rPr>
                <w:rFonts w:ascii="Times New Roman" w:hAnsi="Times New Roman"/>
                <w:sz w:val="24"/>
                <w:szCs w:val="24"/>
                <w:lang w:val="lv-LV"/>
              </w:rPr>
            </w:pPr>
            <w:r w:rsidRPr="007956F1">
              <w:rPr>
                <w:rFonts w:ascii="Times New Roman" w:hAnsi="Times New Roman"/>
                <w:sz w:val="24"/>
                <w:szCs w:val="24"/>
                <w:lang w:val="lv-LV"/>
              </w:rPr>
              <w:t>Padomes 2003.gada 3.jūnija</w:t>
            </w:r>
            <w:r w:rsidR="005015F2" w:rsidRPr="007956F1">
              <w:rPr>
                <w:rFonts w:ascii="Times New Roman" w:hAnsi="Times New Roman"/>
                <w:sz w:val="24"/>
                <w:szCs w:val="24"/>
                <w:lang w:val="lv-LV"/>
              </w:rPr>
              <w:t xml:space="preserve"> direktīvas</w:t>
            </w:r>
            <w:r w:rsidRPr="007956F1">
              <w:rPr>
                <w:rFonts w:ascii="Times New Roman" w:hAnsi="Times New Roman"/>
                <w:sz w:val="24"/>
                <w:szCs w:val="24"/>
                <w:lang w:val="lv-LV"/>
              </w:rPr>
              <w:t xml:space="preserve"> </w:t>
            </w:r>
            <w:hyperlink r:id="rId12" w:tgtFrame="_blank" w:history="1">
              <w:r w:rsidR="005015F2" w:rsidRPr="007956F1">
                <w:rPr>
                  <w:rStyle w:val="Hyperlink"/>
                  <w:rFonts w:ascii="Times New Roman" w:hAnsi="Times New Roman"/>
                  <w:color w:val="auto"/>
                  <w:sz w:val="24"/>
                  <w:szCs w:val="24"/>
                  <w:lang w:val="lv-LV"/>
                </w:rPr>
                <w:t>2003/49/EK</w:t>
              </w:r>
            </w:hyperlink>
            <w:r w:rsidR="005015F2" w:rsidRPr="007956F1">
              <w:rPr>
                <w:rFonts w:ascii="Times New Roman" w:hAnsi="Times New Roman"/>
                <w:sz w:val="24"/>
                <w:szCs w:val="24"/>
                <w:lang w:val="lv-LV"/>
              </w:rPr>
              <w:t xml:space="preserve"> </w:t>
            </w:r>
            <w:r w:rsidRPr="007956F1">
              <w:rPr>
                <w:rFonts w:ascii="Times New Roman" w:hAnsi="Times New Roman"/>
                <w:sz w:val="24"/>
                <w:szCs w:val="24"/>
                <w:lang w:val="lv-LV"/>
              </w:rPr>
              <w:t>par kopīgu nodokļu sistēmu, ko piemēro procentu un honorāru maksājumiem, kurus veic asociēti uzņēmumi dažādās dalībvalstīs;</w:t>
            </w:r>
          </w:p>
          <w:p w:rsidR="009005FF" w:rsidRPr="007956F1" w:rsidRDefault="0033652A" w:rsidP="004E7A70">
            <w:pPr>
              <w:pStyle w:val="ListParagraph"/>
              <w:numPr>
                <w:ilvl w:val="0"/>
                <w:numId w:val="11"/>
              </w:numPr>
              <w:ind w:left="0" w:right="225" w:firstLine="254"/>
              <w:jc w:val="both"/>
              <w:rPr>
                <w:rFonts w:ascii="Times New Roman" w:hAnsi="Times New Roman"/>
                <w:sz w:val="24"/>
                <w:szCs w:val="24"/>
                <w:lang w:val="lv-LV"/>
              </w:rPr>
            </w:pPr>
            <w:r w:rsidRPr="007956F1">
              <w:rPr>
                <w:rFonts w:ascii="Times New Roman" w:hAnsi="Times New Roman"/>
                <w:sz w:val="24"/>
                <w:szCs w:val="24"/>
                <w:lang w:val="lv-LV"/>
              </w:rPr>
              <w:t xml:space="preserve">Padomes 2004.gada 26.aprīļa direktīvas </w:t>
            </w:r>
            <w:hyperlink r:id="rId13" w:tgtFrame="_blank" w:history="1">
              <w:r w:rsidRPr="007956F1">
                <w:rPr>
                  <w:rStyle w:val="Hyperlink"/>
                  <w:rFonts w:ascii="Times New Roman" w:hAnsi="Times New Roman"/>
                  <w:color w:val="auto"/>
                  <w:sz w:val="24"/>
                  <w:szCs w:val="24"/>
                  <w:lang w:val="lv-LV"/>
                </w:rPr>
                <w:t>2004/66/EK</w:t>
              </w:r>
            </w:hyperlink>
            <w:r w:rsidRPr="007956F1">
              <w:rPr>
                <w:rFonts w:ascii="Times New Roman" w:hAnsi="Times New Roman"/>
                <w:sz w:val="24"/>
                <w:szCs w:val="24"/>
                <w:lang w:val="lv-LV"/>
              </w:rPr>
              <w:t xml:space="preserve">, ar ko Eiropas Parlamenta un Padomes direktīvas </w:t>
            </w:r>
            <w:hyperlink r:id="rId14" w:tgtFrame="_blank" w:history="1">
              <w:r w:rsidRPr="007956F1">
                <w:rPr>
                  <w:rStyle w:val="Hyperlink"/>
                  <w:rFonts w:ascii="Times New Roman" w:hAnsi="Times New Roman"/>
                  <w:color w:val="auto"/>
                  <w:sz w:val="24"/>
                  <w:szCs w:val="24"/>
                  <w:lang w:val="lv-LV"/>
                </w:rPr>
                <w:t>1999/45/EK</w:t>
              </w:r>
            </w:hyperlink>
            <w:r w:rsidRPr="007956F1">
              <w:rPr>
                <w:rFonts w:ascii="Times New Roman" w:hAnsi="Times New Roman"/>
                <w:sz w:val="24"/>
                <w:szCs w:val="24"/>
                <w:lang w:val="lv-LV"/>
              </w:rPr>
              <w:t xml:space="preserve">, 2002/83/EK, 2003/37/EK un 2003/59/EK un Padomes direktīvas </w:t>
            </w:r>
            <w:hyperlink r:id="rId15" w:tgtFrame="_blank" w:history="1">
              <w:r w:rsidRPr="007956F1">
                <w:rPr>
                  <w:rStyle w:val="Hyperlink"/>
                  <w:rFonts w:ascii="Times New Roman" w:hAnsi="Times New Roman"/>
                  <w:color w:val="auto"/>
                  <w:sz w:val="24"/>
                  <w:szCs w:val="24"/>
                  <w:lang w:val="lv-LV"/>
                </w:rPr>
                <w:t>77/388/EEK</w:t>
              </w:r>
            </w:hyperlink>
            <w:r w:rsidRPr="007956F1">
              <w:rPr>
                <w:rFonts w:ascii="Times New Roman" w:hAnsi="Times New Roman"/>
                <w:sz w:val="24"/>
                <w:szCs w:val="24"/>
                <w:lang w:val="lv-LV"/>
              </w:rPr>
              <w:t xml:space="preserve">, 91/414/EEK, 96/26/EK, 2003/48/EK un </w:t>
            </w:r>
            <w:hyperlink r:id="rId16" w:tgtFrame="_blank" w:history="1">
              <w:r w:rsidRPr="007956F1">
                <w:rPr>
                  <w:rStyle w:val="Hyperlink"/>
                  <w:rFonts w:ascii="Times New Roman" w:hAnsi="Times New Roman"/>
                  <w:color w:val="auto"/>
                  <w:sz w:val="24"/>
                  <w:szCs w:val="24"/>
                  <w:lang w:val="lv-LV"/>
                </w:rPr>
                <w:t>2003/49/EK</w:t>
              </w:r>
            </w:hyperlink>
            <w:r w:rsidRPr="007956F1">
              <w:rPr>
                <w:rFonts w:ascii="Times New Roman" w:hAnsi="Times New Roman"/>
                <w:sz w:val="24"/>
                <w:szCs w:val="24"/>
                <w:lang w:val="lv-LV"/>
              </w:rPr>
              <w:t xml:space="preserve"> pielāgo preču brīvas aprites, pakalpojumu sniegšanas brīvības, lauksaimniecības, transporta un nodokļu politikas jomā saistībā ar Čehijas Republikas, Igaunijas, Kipras, Latvijas, Lietuvas, Ungārijas, Maltas, Polijas, Slovēnijas un Slovākijas pievienošanos Eiropas Savienībai;</w:t>
            </w:r>
          </w:p>
          <w:p w:rsidR="009005FF" w:rsidRPr="007956F1" w:rsidRDefault="0033652A" w:rsidP="004E7A70">
            <w:pPr>
              <w:pStyle w:val="ListParagraph"/>
              <w:numPr>
                <w:ilvl w:val="0"/>
                <w:numId w:val="11"/>
              </w:numPr>
              <w:ind w:left="0" w:right="225" w:firstLine="254"/>
              <w:jc w:val="both"/>
              <w:rPr>
                <w:rFonts w:ascii="Times New Roman" w:hAnsi="Times New Roman"/>
                <w:sz w:val="24"/>
                <w:szCs w:val="24"/>
                <w:lang w:val="lv-LV"/>
              </w:rPr>
            </w:pPr>
            <w:r w:rsidRPr="007956F1">
              <w:rPr>
                <w:rFonts w:ascii="Times New Roman" w:hAnsi="Times New Roman"/>
                <w:sz w:val="24"/>
                <w:szCs w:val="24"/>
                <w:lang w:val="lv-LV"/>
              </w:rPr>
              <w:t xml:space="preserve">Padomes 2004.gada 29.aprīļa direktīvas </w:t>
            </w:r>
            <w:hyperlink r:id="rId17" w:tgtFrame="_blank" w:history="1">
              <w:r w:rsidRPr="007956F1">
                <w:rPr>
                  <w:rStyle w:val="Hyperlink"/>
                  <w:rFonts w:ascii="Times New Roman" w:hAnsi="Times New Roman"/>
                  <w:color w:val="auto"/>
                  <w:sz w:val="24"/>
                  <w:szCs w:val="24"/>
                  <w:lang w:val="lv-LV"/>
                </w:rPr>
                <w:t>2004/76/EK</w:t>
              </w:r>
            </w:hyperlink>
            <w:r w:rsidRPr="007956F1">
              <w:rPr>
                <w:rFonts w:ascii="Times New Roman" w:hAnsi="Times New Roman"/>
                <w:sz w:val="24"/>
                <w:szCs w:val="24"/>
                <w:lang w:val="lv-LV"/>
              </w:rPr>
              <w:t xml:space="preserve">, kas izdara labojumus direktīvā </w:t>
            </w:r>
            <w:hyperlink r:id="rId18" w:tgtFrame="_blank" w:history="1">
              <w:r w:rsidRPr="007956F1">
                <w:rPr>
                  <w:rStyle w:val="Hyperlink"/>
                  <w:rFonts w:ascii="Times New Roman" w:hAnsi="Times New Roman"/>
                  <w:color w:val="auto"/>
                  <w:sz w:val="24"/>
                  <w:szCs w:val="24"/>
                  <w:lang w:val="lv-LV"/>
                </w:rPr>
                <w:t>2003/49/EK</w:t>
              </w:r>
            </w:hyperlink>
            <w:r w:rsidRPr="007956F1">
              <w:rPr>
                <w:rFonts w:ascii="Times New Roman" w:hAnsi="Times New Roman"/>
                <w:sz w:val="24"/>
                <w:szCs w:val="24"/>
                <w:lang w:val="lv-LV"/>
              </w:rPr>
              <w:t xml:space="preserve"> attiecībā uz iespējām atsevišķām dalībvalstīm piemērot pārejas periodu kopējas nodokļu aplikšanas sistēmas procentu un autortiesību maksājumiem, kas veikti starp saistītiem uzņēmumiem dažādās dalībvalstīs;</w:t>
            </w:r>
          </w:p>
          <w:p w:rsidR="0033652A" w:rsidRPr="007956F1" w:rsidRDefault="0033652A" w:rsidP="004E7A70">
            <w:pPr>
              <w:pStyle w:val="ListParagraph"/>
              <w:numPr>
                <w:ilvl w:val="0"/>
                <w:numId w:val="11"/>
              </w:numPr>
              <w:ind w:left="0" w:right="225" w:firstLine="254"/>
              <w:jc w:val="both"/>
              <w:rPr>
                <w:rFonts w:ascii="Times New Roman" w:hAnsi="Times New Roman"/>
                <w:sz w:val="24"/>
                <w:szCs w:val="24"/>
                <w:lang w:val="lv-LV"/>
              </w:rPr>
            </w:pPr>
            <w:r w:rsidRPr="007956F1">
              <w:rPr>
                <w:rFonts w:ascii="Times New Roman" w:hAnsi="Times New Roman"/>
                <w:sz w:val="24"/>
                <w:szCs w:val="24"/>
                <w:lang w:val="lv-LV"/>
              </w:rPr>
              <w:t xml:space="preserve">Padomes 2006.gada 20.novembra direktīvas </w:t>
            </w:r>
            <w:hyperlink r:id="rId19" w:tgtFrame="_blank" w:history="1">
              <w:r w:rsidRPr="007956F1">
                <w:rPr>
                  <w:rStyle w:val="Hyperlink"/>
                  <w:rFonts w:ascii="Times New Roman" w:hAnsi="Times New Roman"/>
                  <w:color w:val="auto"/>
                  <w:sz w:val="24"/>
                  <w:szCs w:val="24"/>
                  <w:lang w:val="lv-LV"/>
                </w:rPr>
                <w:t>2006/98/EK</w:t>
              </w:r>
            </w:hyperlink>
            <w:r w:rsidRPr="007956F1">
              <w:rPr>
                <w:rFonts w:ascii="Times New Roman" w:hAnsi="Times New Roman"/>
                <w:sz w:val="24"/>
                <w:szCs w:val="24"/>
                <w:lang w:val="lv-LV"/>
              </w:rPr>
              <w:t>, ar ko pielāgo dažas direktīvas nodokļu jomā saistībā ar Bulgārijas un Rumānijas pievienošanos</w:t>
            </w:r>
            <w:r w:rsidR="001C7704" w:rsidRPr="007956F1">
              <w:rPr>
                <w:rFonts w:ascii="Times New Roman" w:hAnsi="Times New Roman"/>
                <w:sz w:val="24"/>
                <w:szCs w:val="24"/>
                <w:lang w:val="lv-LV"/>
              </w:rPr>
              <w:t>;</w:t>
            </w:r>
          </w:p>
          <w:p w:rsidR="009005FF" w:rsidRPr="007956F1" w:rsidRDefault="009005FF" w:rsidP="004E7A70">
            <w:pPr>
              <w:pStyle w:val="ListParagraph"/>
              <w:numPr>
                <w:ilvl w:val="0"/>
                <w:numId w:val="11"/>
              </w:numPr>
              <w:ind w:left="0" w:right="225" w:firstLine="254"/>
              <w:jc w:val="both"/>
              <w:rPr>
                <w:rFonts w:ascii="Times New Roman" w:hAnsi="Times New Roman"/>
                <w:sz w:val="24"/>
                <w:szCs w:val="24"/>
                <w:lang w:val="lv-LV"/>
              </w:rPr>
            </w:pPr>
            <w:r w:rsidRPr="007956F1">
              <w:rPr>
                <w:rFonts w:ascii="Times New Roman" w:hAnsi="Times New Roman"/>
                <w:sz w:val="24"/>
                <w:szCs w:val="24"/>
                <w:lang w:val="lv-LV"/>
              </w:rPr>
              <w:t>Padomes 2009.gada 19.oktobra direktīvas 2009/133/EK par kopēju nodokļu sistēmu, ko piemēro dažādu dalībvalstu uzņēmējsabiedrību apvienošanai, sadalīšanai, daļējai sadalīšanai, to aktīvu pārvešanai un akciju maiņai, kā arī SE vai SCE juridiskās adreses pārcelšanai no vienas dalībvalsts uz citu (kodificēta versija);</w:t>
            </w:r>
          </w:p>
          <w:p w:rsidR="009005FF" w:rsidRPr="007956F1" w:rsidRDefault="00DF38DB" w:rsidP="001C7704">
            <w:pPr>
              <w:pStyle w:val="ListParagraph"/>
              <w:numPr>
                <w:ilvl w:val="0"/>
                <w:numId w:val="11"/>
              </w:numPr>
              <w:ind w:left="0" w:right="225" w:firstLine="254"/>
              <w:jc w:val="both"/>
              <w:rPr>
                <w:rFonts w:ascii="Times New Roman" w:hAnsi="Times New Roman"/>
                <w:sz w:val="24"/>
                <w:szCs w:val="24"/>
                <w:lang w:val="lv-LV"/>
              </w:rPr>
            </w:pPr>
            <w:r w:rsidRPr="007956F1">
              <w:rPr>
                <w:rFonts w:ascii="Times New Roman" w:hAnsi="Times New Roman"/>
                <w:bCs/>
                <w:sz w:val="24"/>
                <w:szCs w:val="24"/>
                <w:lang w:val="lv-LV"/>
              </w:rPr>
              <w:t xml:space="preserve">Padomes 2011.gada 30.novembra direktīvas </w:t>
            </w:r>
            <w:hyperlink r:id="rId20" w:tgtFrame="_blank" w:history="1">
              <w:r w:rsidRPr="007956F1">
                <w:rPr>
                  <w:rStyle w:val="Hyperlink"/>
                  <w:rFonts w:ascii="Times New Roman" w:hAnsi="Times New Roman"/>
                  <w:bCs/>
                  <w:color w:val="auto"/>
                  <w:sz w:val="24"/>
                  <w:szCs w:val="24"/>
                  <w:lang w:val="lv-LV"/>
                </w:rPr>
                <w:t>2011/96/ES</w:t>
              </w:r>
            </w:hyperlink>
            <w:r w:rsidRPr="007956F1">
              <w:rPr>
                <w:rFonts w:ascii="Times New Roman" w:hAnsi="Times New Roman"/>
                <w:bCs/>
                <w:sz w:val="24"/>
                <w:szCs w:val="24"/>
                <w:lang w:val="lv-LV"/>
              </w:rPr>
              <w:t xml:space="preserve"> par kopējo sistēmu nodokļu uzlikšanai, ko piemēro </w:t>
            </w:r>
            <w:proofErr w:type="spellStart"/>
            <w:r w:rsidRPr="007956F1">
              <w:rPr>
                <w:rFonts w:ascii="Times New Roman" w:hAnsi="Times New Roman"/>
                <w:bCs/>
                <w:sz w:val="24"/>
                <w:szCs w:val="24"/>
                <w:lang w:val="lv-LV"/>
              </w:rPr>
              <w:t>mātesuzņēmumiem</w:t>
            </w:r>
            <w:proofErr w:type="spellEnd"/>
            <w:r w:rsidRPr="007956F1">
              <w:rPr>
                <w:rFonts w:ascii="Times New Roman" w:hAnsi="Times New Roman"/>
                <w:bCs/>
                <w:sz w:val="24"/>
                <w:szCs w:val="24"/>
                <w:lang w:val="lv-LV"/>
              </w:rPr>
              <w:t xml:space="preserve"> un meitasuzņēmumiem, kuri atrodas dažādās dalībvalstīs (pārstrādātā versija)</w:t>
            </w:r>
            <w:r w:rsidR="000C6286" w:rsidRPr="007956F1">
              <w:rPr>
                <w:rFonts w:ascii="Times New Roman" w:hAnsi="Times New Roman"/>
                <w:bCs/>
                <w:sz w:val="24"/>
                <w:szCs w:val="24"/>
                <w:lang w:val="lv-LV"/>
              </w:rPr>
              <w:t>;</w:t>
            </w:r>
          </w:p>
          <w:p w:rsidR="001C7704" w:rsidRPr="007956F1" w:rsidRDefault="001C7704" w:rsidP="001C7704">
            <w:pPr>
              <w:pStyle w:val="ListParagraph"/>
              <w:numPr>
                <w:ilvl w:val="0"/>
                <w:numId w:val="11"/>
              </w:numPr>
              <w:ind w:left="0" w:right="225" w:firstLine="254"/>
              <w:jc w:val="both"/>
              <w:rPr>
                <w:rFonts w:ascii="Times New Roman" w:hAnsi="Times New Roman"/>
                <w:sz w:val="24"/>
                <w:szCs w:val="24"/>
                <w:lang w:val="lv-LV"/>
              </w:rPr>
            </w:pPr>
            <w:r w:rsidRPr="007956F1">
              <w:rPr>
                <w:rFonts w:ascii="Times New Roman" w:hAnsi="Times New Roman"/>
                <w:sz w:val="24"/>
                <w:szCs w:val="24"/>
                <w:lang w:val="lv-LV"/>
              </w:rPr>
              <w:t xml:space="preserve">Padomes 2013.gada 13.maija direktīvas </w:t>
            </w:r>
            <w:r w:rsidRPr="007956F1">
              <w:rPr>
                <w:rFonts w:ascii="Times New Roman" w:hAnsi="Times New Roman"/>
                <w:sz w:val="24"/>
                <w:szCs w:val="24"/>
                <w:u w:val="single"/>
                <w:lang w:val="lv-LV"/>
              </w:rPr>
              <w:t>2013/13/ES</w:t>
            </w:r>
            <w:r w:rsidRPr="007956F1">
              <w:rPr>
                <w:rFonts w:ascii="Times New Roman" w:hAnsi="Times New Roman"/>
                <w:sz w:val="24"/>
                <w:szCs w:val="24"/>
                <w:lang w:val="lv-LV"/>
              </w:rPr>
              <w:t>, ar ko pielāgo dažas direktīvas nodokļu jomā saistībā ar Horvātijas Republikas pievienošanos;</w:t>
            </w:r>
          </w:p>
          <w:p w:rsidR="009005FF" w:rsidRPr="007956F1" w:rsidRDefault="009005FF" w:rsidP="001C7704">
            <w:pPr>
              <w:pStyle w:val="ListParagraph"/>
              <w:numPr>
                <w:ilvl w:val="0"/>
                <w:numId w:val="11"/>
              </w:numPr>
              <w:ind w:left="0" w:right="225" w:firstLine="254"/>
              <w:jc w:val="both"/>
              <w:rPr>
                <w:rFonts w:ascii="Times New Roman" w:hAnsi="Times New Roman"/>
                <w:sz w:val="24"/>
                <w:szCs w:val="24"/>
                <w:lang w:val="lv-LV"/>
              </w:rPr>
            </w:pPr>
            <w:r w:rsidRPr="007956F1">
              <w:rPr>
                <w:rFonts w:ascii="Times New Roman" w:hAnsi="Times New Roman"/>
                <w:sz w:val="24"/>
                <w:szCs w:val="24"/>
                <w:lang w:val="lv-LV"/>
              </w:rPr>
              <w:t xml:space="preserve">Padomes 2014.gada 8.jūlija direktīvas </w:t>
            </w:r>
            <w:r w:rsidRPr="007956F1">
              <w:rPr>
                <w:rFonts w:ascii="Times New Roman" w:hAnsi="Times New Roman"/>
                <w:sz w:val="24"/>
                <w:szCs w:val="24"/>
                <w:u w:val="single"/>
                <w:lang w:val="lv-LV"/>
              </w:rPr>
              <w:t>2014/86/ES,</w:t>
            </w:r>
            <w:r w:rsidRPr="007956F1">
              <w:rPr>
                <w:rFonts w:ascii="Times New Roman" w:hAnsi="Times New Roman"/>
                <w:sz w:val="24"/>
                <w:szCs w:val="24"/>
                <w:lang w:val="lv-LV"/>
              </w:rPr>
              <w:t xml:space="preserve"> ar ko groza Direktīvu 2011/96/ES par kopējo sistēmu nodokļu uzlikšanai, ko piemēro </w:t>
            </w:r>
            <w:proofErr w:type="spellStart"/>
            <w:r w:rsidRPr="007956F1">
              <w:rPr>
                <w:rFonts w:ascii="Times New Roman" w:hAnsi="Times New Roman"/>
                <w:sz w:val="24"/>
                <w:szCs w:val="24"/>
                <w:lang w:val="lv-LV"/>
              </w:rPr>
              <w:t>mātesuzņēmumiem</w:t>
            </w:r>
            <w:proofErr w:type="spellEnd"/>
            <w:r w:rsidRPr="007956F1">
              <w:rPr>
                <w:rFonts w:ascii="Times New Roman" w:hAnsi="Times New Roman"/>
                <w:sz w:val="24"/>
                <w:szCs w:val="24"/>
                <w:lang w:val="lv-LV"/>
              </w:rPr>
              <w:t xml:space="preserve"> un meitasuzņēmumiem, kuri atrodas dažādās dalībvalstīs;</w:t>
            </w:r>
          </w:p>
          <w:p w:rsidR="009005FF" w:rsidRPr="007956F1" w:rsidRDefault="009005FF" w:rsidP="0080522F">
            <w:pPr>
              <w:pStyle w:val="ListParagraph"/>
              <w:numPr>
                <w:ilvl w:val="0"/>
                <w:numId w:val="11"/>
              </w:numPr>
              <w:ind w:left="0" w:right="225" w:firstLine="254"/>
              <w:jc w:val="both"/>
              <w:rPr>
                <w:rFonts w:ascii="Times New Roman" w:hAnsi="Times New Roman"/>
                <w:sz w:val="24"/>
                <w:szCs w:val="24"/>
                <w:lang w:val="lv-LV"/>
              </w:rPr>
            </w:pPr>
            <w:r w:rsidRPr="007956F1">
              <w:rPr>
                <w:rFonts w:ascii="Times New Roman" w:hAnsi="Times New Roman"/>
                <w:sz w:val="24"/>
                <w:szCs w:val="24"/>
                <w:lang w:val="lv-LV"/>
              </w:rPr>
              <w:t>Padomes 2015.gada 27.</w:t>
            </w:r>
            <w:r w:rsidR="001C7704" w:rsidRPr="007956F1">
              <w:rPr>
                <w:rFonts w:ascii="Times New Roman" w:hAnsi="Times New Roman"/>
                <w:sz w:val="24"/>
                <w:szCs w:val="24"/>
                <w:lang w:val="lv-LV"/>
              </w:rPr>
              <w:t xml:space="preserve">janvāra direktīvas </w:t>
            </w:r>
            <w:r w:rsidR="001C7704" w:rsidRPr="007956F1">
              <w:rPr>
                <w:rFonts w:ascii="Times New Roman" w:hAnsi="Times New Roman"/>
                <w:sz w:val="24"/>
                <w:szCs w:val="24"/>
                <w:u w:val="single"/>
                <w:lang w:val="lv-LV"/>
              </w:rPr>
              <w:t>2015/121/ES</w:t>
            </w:r>
            <w:r w:rsidR="001C7704" w:rsidRPr="007956F1">
              <w:rPr>
                <w:rFonts w:ascii="Times New Roman" w:hAnsi="Times New Roman"/>
                <w:sz w:val="24"/>
                <w:szCs w:val="24"/>
                <w:lang w:val="lv-LV"/>
              </w:rPr>
              <w:t xml:space="preserve">, ar ko groza Direktīvu 2011/96/ES par kopējo sistēmu nodokļu uzlikšanai, ko piemēro </w:t>
            </w:r>
            <w:proofErr w:type="spellStart"/>
            <w:r w:rsidR="001C7704" w:rsidRPr="007956F1">
              <w:rPr>
                <w:rFonts w:ascii="Times New Roman" w:hAnsi="Times New Roman"/>
                <w:sz w:val="24"/>
                <w:szCs w:val="24"/>
                <w:lang w:val="lv-LV"/>
              </w:rPr>
              <w:t>mātesuzņēmumiem</w:t>
            </w:r>
            <w:proofErr w:type="spellEnd"/>
            <w:r w:rsidR="001C7704" w:rsidRPr="007956F1">
              <w:rPr>
                <w:rFonts w:ascii="Times New Roman" w:hAnsi="Times New Roman"/>
                <w:sz w:val="24"/>
                <w:szCs w:val="24"/>
                <w:lang w:val="lv-LV"/>
              </w:rPr>
              <w:t xml:space="preserve"> un meitasuzņēmumiem, kuri atrodas dažādās dalībvalstīs;</w:t>
            </w:r>
          </w:p>
          <w:p w:rsidR="001C7704" w:rsidRPr="007956F1" w:rsidRDefault="001C7704" w:rsidP="0080522F">
            <w:pPr>
              <w:pStyle w:val="ListParagraph"/>
              <w:numPr>
                <w:ilvl w:val="0"/>
                <w:numId w:val="11"/>
              </w:numPr>
              <w:ind w:left="0" w:right="225" w:firstLine="254"/>
              <w:jc w:val="both"/>
              <w:rPr>
                <w:rFonts w:ascii="Times New Roman" w:hAnsi="Times New Roman"/>
                <w:sz w:val="24"/>
                <w:szCs w:val="24"/>
                <w:lang w:val="lv-LV"/>
              </w:rPr>
            </w:pPr>
            <w:r w:rsidRPr="007956F1">
              <w:rPr>
                <w:rFonts w:ascii="Times New Roman" w:hAnsi="Times New Roman"/>
                <w:sz w:val="24"/>
                <w:szCs w:val="24"/>
                <w:lang w:val="lv-LV"/>
              </w:rPr>
              <w:t>Padomes 2016.gada 12.jūlija direktīvas 2016/1164/ES, ar ko paredz noteikumus tādas nodokļu apiešanas prakses novēršanai, kas tieši iespaido iekšējā tirgus darbību</w:t>
            </w:r>
            <w:r w:rsidR="0080522F" w:rsidRPr="007956F1">
              <w:rPr>
                <w:rFonts w:ascii="Times New Roman" w:hAnsi="Times New Roman"/>
                <w:sz w:val="24"/>
                <w:szCs w:val="24"/>
                <w:lang w:val="lv-LV"/>
              </w:rPr>
              <w:t>.</w:t>
            </w:r>
          </w:p>
        </w:tc>
      </w:tr>
      <w:tr w:rsidR="007956F1" w:rsidRPr="007956F1" w:rsidTr="004E7A70">
        <w:tblPrEx>
          <w:tblBorders>
            <w:top w:val="outset" w:sz="6" w:space="0" w:color="auto"/>
            <w:left w:val="outset" w:sz="6" w:space="0" w:color="auto"/>
            <w:bottom w:val="outset" w:sz="6" w:space="0" w:color="auto"/>
            <w:right w:val="outset" w:sz="6" w:space="0" w:color="auto"/>
          </w:tblBorders>
          <w:shd w:val="clear" w:color="auto" w:fill="auto"/>
        </w:tblPrEx>
        <w:tc>
          <w:tcPr>
            <w:tcW w:w="842" w:type="dxa"/>
            <w:tcBorders>
              <w:top w:val="outset" w:sz="6" w:space="0" w:color="auto"/>
              <w:left w:val="outset" w:sz="6" w:space="0" w:color="auto"/>
              <w:bottom w:val="outset" w:sz="6" w:space="0" w:color="auto"/>
              <w:right w:val="outset" w:sz="6" w:space="0" w:color="auto"/>
            </w:tcBorders>
            <w:hideMark/>
          </w:tcPr>
          <w:p w:rsidR="0033652A" w:rsidRPr="007956F1" w:rsidRDefault="0033652A" w:rsidP="004E7A70">
            <w:pPr>
              <w:ind w:left="-142" w:firstLine="142"/>
            </w:pPr>
            <w:r w:rsidRPr="007956F1">
              <w:t>2.</w:t>
            </w:r>
          </w:p>
        </w:tc>
        <w:tc>
          <w:tcPr>
            <w:tcW w:w="2844" w:type="dxa"/>
            <w:gridSpan w:val="2"/>
            <w:tcBorders>
              <w:top w:val="outset" w:sz="6" w:space="0" w:color="auto"/>
              <w:left w:val="outset" w:sz="6" w:space="0" w:color="auto"/>
              <w:bottom w:val="outset" w:sz="6" w:space="0" w:color="auto"/>
              <w:right w:val="outset" w:sz="6" w:space="0" w:color="auto"/>
            </w:tcBorders>
            <w:hideMark/>
          </w:tcPr>
          <w:p w:rsidR="0033652A" w:rsidRPr="007956F1" w:rsidRDefault="0033652A" w:rsidP="004E7A70">
            <w:pPr>
              <w:ind w:left="-142" w:firstLine="142"/>
            </w:pPr>
            <w:r w:rsidRPr="007956F1">
              <w:t>Citas starptautiskās saistības</w:t>
            </w:r>
          </w:p>
        </w:tc>
        <w:tc>
          <w:tcPr>
            <w:tcW w:w="6096" w:type="dxa"/>
            <w:gridSpan w:val="3"/>
            <w:tcBorders>
              <w:top w:val="outset" w:sz="6" w:space="0" w:color="auto"/>
              <w:left w:val="outset" w:sz="6" w:space="0" w:color="auto"/>
              <w:bottom w:val="outset" w:sz="6" w:space="0" w:color="auto"/>
              <w:right w:val="outset" w:sz="6" w:space="0" w:color="auto"/>
            </w:tcBorders>
            <w:hideMark/>
          </w:tcPr>
          <w:p w:rsidR="0033652A" w:rsidRPr="007956F1" w:rsidRDefault="0033652A" w:rsidP="004E7A70">
            <w:pPr>
              <w:ind w:right="112"/>
              <w:jc w:val="both"/>
              <w:rPr>
                <w:b/>
              </w:rPr>
            </w:pPr>
            <w:r w:rsidRPr="007956F1">
              <w:t>Projekts šo jomu neskar.</w:t>
            </w:r>
          </w:p>
        </w:tc>
      </w:tr>
      <w:tr w:rsidR="007956F1" w:rsidRPr="007956F1" w:rsidTr="004E7A70">
        <w:tblPrEx>
          <w:tblBorders>
            <w:top w:val="outset" w:sz="6" w:space="0" w:color="auto"/>
            <w:left w:val="outset" w:sz="6" w:space="0" w:color="auto"/>
            <w:bottom w:val="outset" w:sz="6" w:space="0" w:color="auto"/>
            <w:right w:val="outset" w:sz="6" w:space="0" w:color="auto"/>
          </w:tblBorders>
          <w:shd w:val="clear" w:color="auto" w:fill="auto"/>
        </w:tblPrEx>
        <w:tc>
          <w:tcPr>
            <w:tcW w:w="842" w:type="dxa"/>
            <w:tcBorders>
              <w:top w:val="outset" w:sz="6" w:space="0" w:color="auto"/>
              <w:left w:val="outset" w:sz="6" w:space="0" w:color="auto"/>
              <w:bottom w:val="outset" w:sz="6" w:space="0" w:color="auto"/>
              <w:right w:val="outset" w:sz="6" w:space="0" w:color="auto"/>
            </w:tcBorders>
            <w:hideMark/>
          </w:tcPr>
          <w:p w:rsidR="0033652A" w:rsidRPr="007956F1" w:rsidRDefault="0033652A" w:rsidP="004E7A70">
            <w:pPr>
              <w:ind w:left="-142" w:firstLine="142"/>
            </w:pPr>
            <w:r w:rsidRPr="007956F1">
              <w:t>3.</w:t>
            </w:r>
          </w:p>
        </w:tc>
        <w:tc>
          <w:tcPr>
            <w:tcW w:w="2844" w:type="dxa"/>
            <w:gridSpan w:val="2"/>
            <w:tcBorders>
              <w:top w:val="outset" w:sz="6" w:space="0" w:color="auto"/>
              <w:left w:val="outset" w:sz="6" w:space="0" w:color="auto"/>
              <w:bottom w:val="outset" w:sz="6" w:space="0" w:color="auto"/>
              <w:right w:val="outset" w:sz="6" w:space="0" w:color="auto"/>
            </w:tcBorders>
            <w:hideMark/>
          </w:tcPr>
          <w:p w:rsidR="0033652A" w:rsidRPr="007956F1" w:rsidRDefault="0033652A" w:rsidP="004E7A70">
            <w:pPr>
              <w:ind w:left="-142" w:firstLine="142"/>
            </w:pPr>
            <w:r w:rsidRPr="007956F1">
              <w:t>Cita informācija</w:t>
            </w:r>
          </w:p>
        </w:tc>
        <w:tc>
          <w:tcPr>
            <w:tcW w:w="6096" w:type="dxa"/>
            <w:gridSpan w:val="3"/>
            <w:tcBorders>
              <w:top w:val="outset" w:sz="6" w:space="0" w:color="auto"/>
              <w:left w:val="outset" w:sz="6" w:space="0" w:color="auto"/>
              <w:bottom w:val="outset" w:sz="6" w:space="0" w:color="auto"/>
              <w:right w:val="outset" w:sz="6" w:space="0" w:color="auto"/>
            </w:tcBorders>
            <w:hideMark/>
          </w:tcPr>
          <w:p w:rsidR="0033652A" w:rsidRPr="007956F1" w:rsidRDefault="00EB4C0F" w:rsidP="00EB4C0F">
            <w:pPr>
              <w:spacing w:before="120"/>
              <w:ind w:right="112"/>
              <w:jc w:val="both"/>
            </w:pPr>
            <w:r w:rsidRPr="00EC22FE">
              <w:t xml:space="preserve">Likuma 14.pantā </w:t>
            </w:r>
            <w:r w:rsidRPr="00EC22FE">
              <w:rPr>
                <w:bCs/>
              </w:rPr>
              <w:t>minētais pasākums vērtējams komercdarbības atbalsta kontekstā un Zemkopības ministrija to saskaņo ar Eiropas Komisijas Lauksaimniecības un lauku attīstības ģenerāldirektorātu līdz 2017.gada 1.septembrim.</w:t>
            </w:r>
            <w:r w:rsidRPr="007956F1">
              <w:rPr>
                <w:bCs/>
              </w:rPr>
              <w:t xml:space="preserve"> </w:t>
            </w:r>
          </w:p>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978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52A" w:rsidRPr="007956F1" w:rsidRDefault="0033652A" w:rsidP="004E7A70">
            <w:pPr>
              <w:jc w:val="center"/>
              <w:rPr>
                <w:rFonts w:ascii="Calibri" w:hAnsi="Calibri"/>
              </w:rPr>
            </w:pPr>
            <w:r w:rsidRPr="007956F1">
              <w:rPr>
                <w:b/>
                <w:bCs/>
              </w:rPr>
              <w:t>1.tabula</w:t>
            </w:r>
          </w:p>
          <w:p w:rsidR="0033652A" w:rsidRPr="007956F1" w:rsidRDefault="0033652A" w:rsidP="004E7A70">
            <w:pPr>
              <w:jc w:val="center"/>
              <w:rPr>
                <w:rFonts w:ascii="Calibri" w:hAnsi="Calibri"/>
                <w:sz w:val="22"/>
                <w:szCs w:val="22"/>
              </w:rPr>
            </w:pPr>
            <w:r w:rsidRPr="007956F1">
              <w:rPr>
                <w:b/>
                <w:bCs/>
              </w:rPr>
              <w:t>Tiesību akta projekta atbilstība ES tiesību aktiem</w:t>
            </w:r>
          </w:p>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52A" w:rsidRPr="007956F1" w:rsidRDefault="0033652A" w:rsidP="004E7A70">
            <w:pPr>
              <w:rPr>
                <w:rFonts w:ascii="Calibri" w:hAnsi="Calibri"/>
                <w:b/>
                <w:sz w:val="22"/>
                <w:szCs w:val="22"/>
              </w:rPr>
            </w:pPr>
            <w:r w:rsidRPr="007956F1">
              <w:rPr>
                <w:b/>
              </w:rPr>
              <w:t>Attiecīgā ES tiesību akta datums, numurs un nosaukums</w:t>
            </w:r>
          </w:p>
        </w:tc>
        <w:tc>
          <w:tcPr>
            <w:tcW w:w="70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652A" w:rsidRPr="007956F1" w:rsidRDefault="00AD2AC6" w:rsidP="004E7A70">
            <w:pPr>
              <w:jc w:val="both"/>
              <w:rPr>
                <w:rFonts w:ascii="Calibri" w:hAnsi="Calibri"/>
                <w:b/>
                <w:sz w:val="22"/>
                <w:szCs w:val="22"/>
              </w:rPr>
            </w:pPr>
            <w:r w:rsidRPr="007956F1">
              <w:rPr>
                <w:b/>
              </w:rPr>
              <w:t xml:space="preserve">Padomes 2003.gada 3.jūnija direktīvas </w:t>
            </w:r>
            <w:hyperlink r:id="rId21" w:tgtFrame="_blank" w:history="1">
              <w:r w:rsidRPr="007956F1">
                <w:rPr>
                  <w:rStyle w:val="Hyperlink"/>
                  <w:b/>
                  <w:color w:val="auto"/>
                </w:rPr>
                <w:t>2003/49/EK</w:t>
              </w:r>
            </w:hyperlink>
            <w:r w:rsidRPr="007956F1">
              <w:rPr>
                <w:b/>
              </w:rPr>
              <w:t xml:space="preserve"> par kopīgu nodokļu sistēmu, ko piemēro procentu un honorāru maksājumiem, kurus veic asociēti uzņēmumi dažādās dalībvalstīs</w:t>
            </w:r>
          </w:p>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192"/>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52A" w:rsidRPr="007956F1" w:rsidRDefault="0033652A" w:rsidP="004E7A70">
            <w:pPr>
              <w:spacing w:after="200"/>
              <w:ind w:firstLine="301"/>
              <w:jc w:val="center"/>
              <w:rPr>
                <w:rFonts w:ascii="Calibri" w:hAnsi="Calibri"/>
                <w:b/>
                <w:sz w:val="22"/>
                <w:szCs w:val="22"/>
              </w:rPr>
            </w:pPr>
            <w:r w:rsidRPr="007956F1">
              <w:rPr>
                <w:b/>
                <w:sz w:val="22"/>
                <w:szCs w:val="22"/>
              </w:rPr>
              <w:t>A</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652A" w:rsidRPr="007956F1" w:rsidRDefault="0033652A" w:rsidP="004E7A70">
            <w:pPr>
              <w:spacing w:after="200"/>
              <w:ind w:firstLine="301"/>
              <w:jc w:val="center"/>
              <w:rPr>
                <w:rFonts w:ascii="Calibri" w:hAnsi="Calibri"/>
                <w:b/>
                <w:sz w:val="22"/>
                <w:szCs w:val="22"/>
              </w:rPr>
            </w:pPr>
            <w:r w:rsidRPr="007956F1">
              <w:rPr>
                <w:b/>
                <w:sz w:val="22"/>
                <w:szCs w:val="22"/>
              </w:rPr>
              <w:t>B</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652A" w:rsidRPr="007956F1" w:rsidRDefault="0033652A" w:rsidP="004E7A70">
            <w:pPr>
              <w:spacing w:after="200"/>
              <w:ind w:firstLine="301"/>
              <w:jc w:val="center"/>
              <w:rPr>
                <w:rFonts w:ascii="Calibri" w:hAnsi="Calibri"/>
                <w:b/>
                <w:sz w:val="22"/>
                <w:szCs w:val="22"/>
              </w:rPr>
            </w:pPr>
            <w:r w:rsidRPr="007956F1">
              <w:rPr>
                <w:b/>
                <w:sz w:val="22"/>
                <w:szCs w:val="22"/>
              </w:rPr>
              <w:t>C</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652A" w:rsidRPr="007956F1" w:rsidRDefault="0033652A" w:rsidP="004E7A70">
            <w:pPr>
              <w:spacing w:after="200"/>
              <w:ind w:firstLine="301"/>
              <w:jc w:val="center"/>
              <w:rPr>
                <w:rFonts w:ascii="Calibri" w:hAnsi="Calibri"/>
                <w:b/>
                <w:sz w:val="22"/>
                <w:szCs w:val="22"/>
              </w:rPr>
            </w:pPr>
            <w:r w:rsidRPr="007956F1">
              <w:rPr>
                <w:b/>
                <w:sz w:val="22"/>
                <w:szCs w:val="22"/>
              </w:rPr>
              <w:t>D</w:t>
            </w:r>
          </w:p>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192"/>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2AC6" w:rsidRPr="007956F1" w:rsidRDefault="00A72233" w:rsidP="00016E50">
            <w:pPr>
              <w:spacing w:after="200"/>
              <w:jc w:val="both"/>
              <w:rPr>
                <w:sz w:val="22"/>
                <w:szCs w:val="22"/>
              </w:rPr>
            </w:pPr>
            <w:r w:rsidRPr="007956F1">
              <w:t xml:space="preserve">Direktīvas </w:t>
            </w:r>
            <w:r w:rsidR="004E54DE" w:rsidRPr="007956F1">
              <w:t>1.pant</w:t>
            </w:r>
            <w:r w:rsidR="00016E50" w:rsidRPr="007956F1">
              <w: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54DE" w:rsidRPr="007956F1" w:rsidRDefault="005B6672" w:rsidP="004E54DE">
            <w:pPr>
              <w:jc w:val="both"/>
              <w:rPr>
                <w:spacing w:val="-4"/>
              </w:rPr>
            </w:pPr>
            <w:r w:rsidRPr="007956F1">
              <w:rPr>
                <w:spacing w:val="-4"/>
              </w:rPr>
              <w:t>Uzņēmumu ienākuma nodokļa likums</w:t>
            </w:r>
            <w:r w:rsidR="004E54DE" w:rsidRPr="007956F1">
              <w:rPr>
                <w:spacing w:val="-4"/>
              </w:rPr>
              <w:t xml:space="preserve"> neparedz normas, kas uzliktu par pienākumu ieturēt nodokli no procentu vai autoratlīdzību maksājumiem saistītiem uzņēmumiem vai personālsabiedrībām, kas ir izveidoti  Eiropas </w:t>
            </w:r>
            <w:r w:rsidR="00DC6712" w:rsidRPr="007956F1">
              <w:rPr>
                <w:spacing w:val="-4"/>
              </w:rPr>
              <w:t>S</w:t>
            </w:r>
            <w:r w:rsidR="004E54DE" w:rsidRPr="007956F1">
              <w:rPr>
                <w:spacing w:val="-4"/>
              </w:rPr>
              <w:t>avienībā.</w:t>
            </w:r>
          </w:p>
          <w:p w:rsidR="00AD2AC6" w:rsidRPr="007956F1" w:rsidRDefault="004E54DE" w:rsidP="00A72233">
            <w:pPr>
              <w:jc w:val="both"/>
              <w:rPr>
                <w:sz w:val="22"/>
                <w:szCs w:val="22"/>
              </w:rPr>
            </w:pPr>
            <w:r w:rsidRPr="007956F1">
              <w:t>Uzņēmumu ienākuma nodokļa likuma</w:t>
            </w:r>
            <w:r w:rsidRPr="007956F1">
              <w:rPr>
                <w:spacing w:val="-4"/>
              </w:rPr>
              <w:t xml:space="preserve"> 4.pants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D2AC6" w:rsidRPr="007956F1" w:rsidRDefault="004E54DE" w:rsidP="000E3010">
            <w:pPr>
              <w:spacing w:after="200"/>
              <w:ind w:firstLine="301"/>
              <w:jc w:val="both"/>
              <w:rPr>
                <w:sz w:val="22"/>
                <w:szCs w:val="22"/>
              </w:rPr>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D2AC6" w:rsidRPr="007956F1" w:rsidRDefault="004E54DE" w:rsidP="004E54DE">
            <w:pPr>
              <w:spacing w:after="200"/>
              <w:jc w:val="both"/>
              <w:rPr>
                <w:sz w:val="22"/>
                <w:szCs w:val="22"/>
              </w:rPr>
            </w:pPr>
            <w:r w:rsidRPr="007956F1">
              <w:rPr>
                <w:spacing w:val="-4"/>
              </w:rPr>
              <w:t>Nacionālais tiesību akts neparedz stingrākas prasības (nav noteikts ieturējuma nodoklis).</w:t>
            </w:r>
          </w:p>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192"/>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EA22F2">
            <w:pPr>
              <w:spacing w:after="200"/>
              <w:jc w:val="both"/>
            </w:pPr>
            <w:r w:rsidRPr="007956F1">
              <w:t>Direktīvas 3.panta (a) daļas</w:t>
            </w:r>
            <w:r w:rsidR="00F5776D" w:rsidRPr="007956F1">
              <w:t xml:space="preserve"> </w:t>
            </w:r>
            <w:r w:rsidRPr="007956F1">
              <w:t>(i)  punkts.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5B6672" w:rsidP="00EA22F2">
            <w:pPr>
              <w:jc w:val="both"/>
              <w:rPr>
                <w:spacing w:val="-4"/>
              </w:rPr>
            </w:pPr>
            <w:r w:rsidRPr="007956F1">
              <w:t>Uzņēmumu ienākuma nodokļa likuma</w:t>
            </w:r>
            <w:r w:rsidR="00A72233" w:rsidRPr="007956F1">
              <w:t xml:space="preserve"> 1. pielikum</w:t>
            </w:r>
            <w:r w:rsidRPr="007956F1">
              <w:t>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spacing w:after="200"/>
              <w:ind w:firstLine="301"/>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spacing w:after="200"/>
              <w:jc w:val="both"/>
              <w:rPr>
                <w:spacing w:val="-4"/>
              </w:rPr>
            </w:pPr>
            <w:r w:rsidRPr="007956F1">
              <w:rPr>
                <w:spacing w:val="-4"/>
              </w:rPr>
              <w:t>Nacionālais tiesību akts neparedz stingrākas prasības.</w:t>
            </w:r>
          </w:p>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192"/>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A22F2" w:rsidRPr="007956F1" w:rsidRDefault="00EA22F2" w:rsidP="00A72233">
            <w:pPr>
              <w:spacing w:after="200"/>
              <w:jc w:val="both"/>
            </w:pPr>
            <w:r w:rsidRPr="007956F1">
              <w:t>Direktīvas 3.panta (a) daļas (iii) punkts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A22F2" w:rsidRPr="007956F1" w:rsidRDefault="00EA22F2" w:rsidP="00A72233">
            <w:pPr>
              <w:jc w:val="both"/>
            </w:pPr>
            <w:r w:rsidRPr="007956F1">
              <w:t>Uzņēmumu ienākuma nodokļa likuma 2.pielikums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A22F2" w:rsidRPr="007956F1" w:rsidRDefault="00EA22F2" w:rsidP="00A72233">
            <w:pPr>
              <w:spacing w:after="200"/>
              <w:ind w:firstLine="301"/>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A22F2" w:rsidRPr="007956F1" w:rsidRDefault="00EA22F2" w:rsidP="00A72233">
            <w:pPr>
              <w:spacing w:after="200"/>
              <w:jc w:val="both"/>
              <w:rPr>
                <w:spacing w:val="-4"/>
              </w:rPr>
            </w:pPr>
            <w:r w:rsidRPr="007956F1">
              <w:rPr>
                <w:spacing w:val="-4"/>
              </w:rPr>
              <w:t>Nacionālais tiesību akts neparedz stingrākas prasības.</w:t>
            </w:r>
          </w:p>
        </w:tc>
      </w:tr>
      <w:tr w:rsidR="007956F1" w:rsidRPr="007956F1" w:rsidTr="000B54D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192"/>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F5776D">
            <w:pPr>
              <w:spacing w:after="200"/>
              <w:jc w:val="both"/>
              <w:rPr>
                <w:b/>
                <w:sz w:val="22"/>
                <w:szCs w:val="22"/>
              </w:rPr>
            </w:pPr>
            <w:r w:rsidRPr="007956F1">
              <w:rPr>
                <w:b/>
              </w:rPr>
              <w:t>Attiecīgā ES tiesību akta datums, numurs un nosaukums</w:t>
            </w:r>
          </w:p>
        </w:tc>
        <w:tc>
          <w:tcPr>
            <w:tcW w:w="70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spacing w:after="200"/>
              <w:jc w:val="both"/>
              <w:rPr>
                <w:b/>
                <w:sz w:val="22"/>
                <w:szCs w:val="22"/>
              </w:rPr>
            </w:pPr>
            <w:r w:rsidRPr="007956F1">
              <w:rPr>
                <w:b/>
              </w:rPr>
              <w:t xml:space="preserve">Padomes 2004.gada 26.aprīļa direktīvas </w:t>
            </w:r>
            <w:hyperlink r:id="rId22" w:tgtFrame="_blank" w:history="1">
              <w:r w:rsidRPr="007956F1">
                <w:rPr>
                  <w:rStyle w:val="Hyperlink"/>
                  <w:b/>
                  <w:color w:val="auto"/>
                </w:rPr>
                <w:t>2004/66/EK</w:t>
              </w:r>
            </w:hyperlink>
            <w:r w:rsidRPr="007956F1">
              <w:rPr>
                <w:b/>
              </w:rPr>
              <w:t xml:space="preserve">, ar ko Eiropas Parlamenta un Padomes direktīvas </w:t>
            </w:r>
            <w:hyperlink r:id="rId23" w:tgtFrame="_blank" w:history="1">
              <w:r w:rsidRPr="007956F1">
                <w:rPr>
                  <w:rStyle w:val="Hyperlink"/>
                  <w:b/>
                  <w:color w:val="auto"/>
                </w:rPr>
                <w:t>1999/45/EK</w:t>
              </w:r>
            </w:hyperlink>
            <w:r w:rsidRPr="007956F1">
              <w:rPr>
                <w:b/>
              </w:rPr>
              <w:t xml:space="preserve">, 2002/83/EK, 2003/37/EK un 2003/59/EK un Padomes direktīvas </w:t>
            </w:r>
            <w:hyperlink r:id="rId24" w:tgtFrame="_blank" w:history="1">
              <w:r w:rsidRPr="007956F1">
                <w:rPr>
                  <w:rStyle w:val="Hyperlink"/>
                  <w:b/>
                  <w:color w:val="auto"/>
                </w:rPr>
                <w:t>77/388/EEK</w:t>
              </w:r>
            </w:hyperlink>
            <w:r w:rsidRPr="007956F1">
              <w:rPr>
                <w:b/>
              </w:rPr>
              <w:t xml:space="preserve">, 91/414/EEK, 96/26/EK, 2003/48/EK un </w:t>
            </w:r>
            <w:hyperlink r:id="rId25" w:tgtFrame="_blank" w:history="1">
              <w:r w:rsidRPr="007956F1">
                <w:rPr>
                  <w:rStyle w:val="Hyperlink"/>
                  <w:b/>
                  <w:color w:val="auto"/>
                </w:rPr>
                <w:t>2003/49/EK</w:t>
              </w:r>
            </w:hyperlink>
            <w:r w:rsidRPr="007956F1">
              <w:rPr>
                <w:b/>
              </w:rPr>
              <w:t xml:space="preserve"> pielāgo preču brīvas aprites, pakalpojumu sniegšanas brīvības, lauksaimniecības, transporta un nodokļu politikas jomā saistībā ar Čehijas Republikas, Igaunijas, Kipras, Latvijas, Lietuvas, Ungārijas, Maltas, Polijas, Slovēnijas un Slovākijas pievienošanos Eiropas Savienībai normas.</w:t>
            </w:r>
          </w:p>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192"/>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spacing w:after="200"/>
              <w:ind w:firstLine="301"/>
              <w:jc w:val="center"/>
              <w:rPr>
                <w:b/>
                <w:sz w:val="22"/>
                <w:szCs w:val="22"/>
              </w:rPr>
            </w:pPr>
            <w:r w:rsidRPr="007956F1">
              <w:rPr>
                <w:b/>
                <w:sz w:val="22"/>
                <w:szCs w:val="22"/>
              </w:rPr>
              <w:t>A</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spacing w:after="200"/>
              <w:ind w:firstLine="301"/>
              <w:jc w:val="center"/>
              <w:rPr>
                <w:b/>
                <w:sz w:val="22"/>
                <w:szCs w:val="22"/>
              </w:rPr>
            </w:pPr>
            <w:r w:rsidRPr="007956F1">
              <w:rPr>
                <w:b/>
                <w:sz w:val="22"/>
                <w:szCs w:val="22"/>
              </w:rPr>
              <w:t>B</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spacing w:after="200"/>
              <w:ind w:firstLine="301"/>
              <w:jc w:val="center"/>
              <w:rPr>
                <w:b/>
                <w:sz w:val="22"/>
                <w:szCs w:val="22"/>
              </w:rPr>
            </w:pPr>
            <w:r w:rsidRPr="007956F1">
              <w:rPr>
                <w:b/>
                <w:sz w:val="22"/>
                <w:szCs w:val="22"/>
              </w:rPr>
              <w:t>C</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spacing w:after="200"/>
              <w:ind w:firstLine="301"/>
              <w:jc w:val="center"/>
              <w:rPr>
                <w:b/>
                <w:sz w:val="22"/>
                <w:szCs w:val="22"/>
              </w:rPr>
            </w:pPr>
            <w:r w:rsidRPr="007956F1">
              <w:rPr>
                <w:b/>
                <w:sz w:val="22"/>
                <w:szCs w:val="22"/>
              </w:rPr>
              <w:t>D</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DF5C8E" w:rsidP="00A72233">
            <w:pPr>
              <w:jc w:val="both"/>
            </w:pPr>
            <w:r w:rsidRPr="007956F1">
              <w:t>Direktīvas 1.pants un t</w:t>
            </w:r>
            <w:r w:rsidR="004C2008" w:rsidRPr="007956F1">
              <w:t xml:space="preserve">ās pielikuma trešais punkts </w:t>
            </w:r>
          </w:p>
          <w:p w:rsidR="004C2008" w:rsidRPr="007956F1" w:rsidRDefault="004C2008" w:rsidP="00A72233">
            <w:pPr>
              <w:jc w:val="both"/>
            </w:pP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spacing w:val="-4"/>
              </w:rPr>
            </w:pPr>
            <w:r w:rsidRPr="007956F1">
              <w:t>Uzņēmumu ienākuma nodokļa likuma 1.pielikum</w:t>
            </w:r>
            <w:r w:rsidR="007F42F1" w:rsidRPr="007956F1">
              <w:t>s</w:t>
            </w:r>
            <w:r w:rsidRPr="007956F1">
              <w:t xml:space="preserve"> </w:t>
            </w:r>
            <w:r w:rsidR="007F42F1" w:rsidRPr="007956F1">
              <w:t>(</w:t>
            </w:r>
            <w:r w:rsidRPr="007956F1">
              <w:t>5., 10., 13., 14., 16., 18., 21., 22. un 25.</w:t>
            </w:r>
            <w:r w:rsidR="007F42F1" w:rsidRPr="007956F1">
              <w:t>punkts – jaunās dalībvalstis)</w:t>
            </w:r>
            <w:r w:rsidRPr="007956F1">
              <w:t xml:space="preserve"> un 2.pielikum</w:t>
            </w:r>
            <w:r w:rsidR="007F42F1" w:rsidRPr="007956F1">
              <w:t>s</w:t>
            </w:r>
            <w:r w:rsidRPr="007956F1">
              <w:t xml:space="preserve"> </w:t>
            </w:r>
            <w:r w:rsidR="007F42F1" w:rsidRPr="007956F1">
              <w:t>(</w:t>
            </w:r>
            <w:r w:rsidRPr="007956F1">
              <w:t>5., 10., 13., 15., 17., 19., 22., 23. un 26</w:t>
            </w:r>
            <w:r w:rsidRPr="007956F1">
              <w:rPr>
                <w:spacing w:val="-4"/>
              </w:rPr>
              <w:t>.</w:t>
            </w:r>
            <w:r w:rsidR="00DC6712" w:rsidRPr="007956F1">
              <w:rPr>
                <w:spacing w:val="-4"/>
              </w:rPr>
              <w:t xml:space="preserve"> punkt</w:t>
            </w:r>
            <w:r w:rsidR="007F42F1" w:rsidRPr="007956F1">
              <w:rPr>
                <w:spacing w:val="-4"/>
              </w:rPr>
              <w:t>s – jaunās dalībvalstis)</w:t>
            </w:r>
          </w:p>
          <w:p w:rsidR="00E03105" w:rsidRPr="007956F1" w:rsidRDefault="00E03105" w:rsidP="00A72233">
            <w:pPr>
              <w:jc w:val="both"/>
              <w:rPr>
                <w:rFonts w:ascii="Calibri" w:hAnsi="Calibri"/>
                <w:sz w:val="22"/>
                <w:szCs w:val="22"/>
              </w:rPr>
            </w:pP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rFonts w:ascii="Calibri" w:hAnsi="Calibri"/>
                <w:sz w:val="22"/>
                <w:szCs w:val="22"/>
              </w:rPr>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rFonts w:ascii="Calibri" w:hAnsi="Calibri"/>
                <w:sz w:val="22"/>
                <w:szCs w:val="22"/>
              </w:rPr>
            </w:pPr>
            <w:r w:rsidRPr="007956F1">
              <w:rPr>
                <w:spacing w:val="-4"/>
              </w:rPr>
              <w:t>Nacionālais tiesību akts neparedz stingrākas prasības.</w:t>
            </w:r>
          </w:p>
        </w:tc>
      </w:tr>
      <w:tr w:rsidR="007956F1" w:rsidRPr="007956F1" w:rsidTr="004E54D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1504"/>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pPr>
          </w:p>
        </w:tc>
        <w:tc>
          <w:tcPr>
            <w:tcW w:w="70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rFonts w:ascii="Calibri" w:hAnsi="Calibri"/>
                <w:b/>
                <w:sz w:val="22"/>
                <w:szCs w:val="22"/>
              </w:rPr>
            </w:pPr>
            <w:r w:rsidRPr="007956F1">
              <w:rPr>
                <w:b/>
              </w:rPr>
              <w:t xml:space="preserve">Padomes 2004.gada 29.aprīļa direktīvas </w:t>
            </w:r>
            <w:hyperlink r:id="rId26" w:tgtFrame="_blank" w:history="1">
              <w:r w:rsidRPr="007956F1">
                <w:rPr>
                  <w:rStyle w:val="Hyperlink"/>
                  <w:b/>
                  <w:color w:val="auto"/>
                </w:rPr>
                <w:t>2004/76/EK</w:t>
              </w:r>
            </w:hyperlink>
            <w:r w:rsidRPr="007956F1">
              <w:rPr>
                <w:b/>
              </w:rPr>
              <w:t xml:space="preserve">, kas izdara labojumus direktīvā </w:t>
            </w:r>
            <w:hyperlink r:id="rId27" w:tgtFrame="_blank" w:history="1">
              <w:r w:rsidRPr="007956F1">
                <w:rPr>
                  <w:rStyle w:val="Hyperlink"/>
                  <w:b/>
                  <w:color w:val="auto"/>
                </w:rPr>
                <w:t>2003/49/EK</w:t>
              </w:r>
            </w:hyperlink>
            <w:r w:rsidRPr="007956F1">
              <w:rPr>
                <w:b/>
              </w:rPr>
              <w:t xml:space="preserve"> attiecībā uz iespējām atsevišķām dalībvalstīm piemērot pārejas periodu kopējas nodokļu aplikšanas sistēmas procentu un autortiesību maksājumiem, kas veikti starp saistītiem uzņēmumiem dažādās dalībvalstīs</w:t>
            </w:r>
          </w:p>
        </w:tc>
      </w:tr>
      <w:tr w:rsidR="007956F1" w:rsidRPr="007956F1" w:rsidTr="00F9770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419"/>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b/>
              </w:rPr>
            </w:pPr>
            <w:r w:rsidRPr="007956F1">
              <w:rPr>
                <w:b/>
                <w:sz w:val="22"/>
                <w:szCs w:val="22"/>
              </w:rPr>
              <w:t>A</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rFonts w:ascii="Calibri" w:hAnsi="Calibri"/>
                <w:b/>
                <w:sz w:val="22"/>
                <w:szCs w:val="22"/>
              </w:rPr>
            </w:pPr>
            <w:r w:rsidRPr="007956F1">
              <w:rPr>
                <w:b/>
                <w:sz w:val="22"/>
                <w:szCs w:val="22"/>
              </w:rPr>
              <w:t>B</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rFonts w:ascii="Calibri" w:hAnsi="Calibri"/>
                <w:b/>
                <w:sz w:val="22"/>
                <w:szCs w:val="22"/>
              </w:rPr>
            </w:pPr>
            <w:r w:rsidRPr="007956F1">
              <w:rPr>
                <w:b/>
                <w:sz w:val="22"/>
                <w:szCs w:val="22"/>
              </w:rPr>
              <w:t>C</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rFonts w:ascii="Calibri" w:hAnsi="Calibri"/>
                <w:b/>
                <w:sz w:val="22"/>
                <w:szCs w:val="22"/>
              </w:rPr>
            </w:pPr>
            <w:r w:rsidRPr="007956F1">
              <w:rPr>
                <w:b/>
                <w:sz w:val="22"/>
                <w:szCs w:val="22"/>
              </w:rPr>
              <w:t>D</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787E12" w:rsidP="00787E12">
            <w:pPr>
              <w:jc w:val="both"/>
            </w:pPr>
            <w:r w:rsidRPr="007956F1">
              <w:t xml:space="preserve">Direktīvas </w:t>
            </w:r>
            <w:r w:rsidR="00A72233" w:rsidRPr="007956F1">
              <w:t>1.pant</w:t>
            </w:r>
            <w:r w:rsidRPr="007956F1">
              <w: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D52EED" w:rsidP="00A72233">
            <w:pPr>
              <w:jc w:val="both"/>
              <w:rPr>
                <w:spacing w:val="-4"/>
              </w:rPr>
            </w:pPr>
            <w:r w:rsidRPr="007956F1">
              <w:rPr>
                <w:spacing w:val="-4"/>
              </w:rPr>
              <w:t xml:space="preserve">Uzņēmumu ienākuma nodokļa likums </w:t>
            </w:r>
            <w:r w:rsidR="00A72233" w:rsidRPr="007956F1">
              <w:rPr>
                <w:spacing w:val="-4"/>
              </w:rPr>
              <w:t>neparedz normas, kas uzliktu par pienākumu ieturēt nodokli no procentu vai autoratlīdzību maksājumiem saistītiem uzņēmumiem vai personālsabiedrībām, kas ir izveidoti  Eiropas savienībā.</w:t>
            </w:r>
          </w:p>
          <w:p w:rsidR="00A72233" w:rsidRPr="007956F1" w:rsidRDefault="00A72233" w:rsidP="00A72233">
            <w:pPr>
              <w:jc w:val="both"/>
              <w:rPr>
                <w:spacing w:val="-4"/>
              </w:rPr>
            </w:pPr>
            <w:r w:rsidRPr="007956F1">
              <w:t>Uzņēmumu ienākuma nodokļa likuma</w:t>
            </w:r>
            <w:r w:rsidRPr="007956F1">
              <w:rPr>
                <w:spacing w:val="-4"/>
              </w:rPr>
              <w:t xml:space="preserve"> 4.pants</w:t>
            </w:r>
          </w:p>
          <w:p w:rsidR="00A72233" w:rsidRPr="007956F1" w:rsidRDefault="00A72233" w:rsidP="00A72233">
            <w:pPr>
              <w:jc w:val="both"/>
              <w:rPr>
                <w:rFonts w:ascii="Calibri" w:hAnsi="Calibri"/>
                <w:sz w:val="22"/>
                <w:szCs w:val="22"/>
              </w:rPr>
            </w:pP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rFonts w:ascii="Calibri" w:hAnsi="Calibri"/>
                <w:sz w:val="22"/>
                <w:szCs w:val="22"/>
              </w:rPr>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rFonts w:ascii="Calibri" w:hAnsi="Calibri"/>
                <w:sz w:val="22"/>
                <w:szCs w:val="22"/>
              </w:rPr>
            </w:pPr>
            <w:r w:rsidRPr="007956F1">
              <w:rPr>
                <w:spacing w:val="-4"/>
              </w:rPr>
              <w:t>Nacionālais tiesību akts neparedz stingrākas prasības. (nav noteikts ieturējuma nodoklis).</w:t>
            </w:r>
          </w:p>
        </w:tc>
      </w:tr>
      <w:tr w:rsidR="007956F1" w:rsidRPr="007956F1" w:rsidTr="000B54D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rFonts w:ascii="Calibri" w:hAnsi="Calibri"/>
                <w:sz w:val="22"/>
                <w:szCs w:val="22"/>
              </w:rPr>
            </w:pPr>
          </w:p>
        </w:tc>
        <w:tc>
          <w:tcPr>
            <w:tcW w:w="70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rFonts w:ascii="Calibri" w:hAnsi="Calibri"/>
                <w:b/>
                <w:sz w:val="22"/>
                <w:szCs w:val="22"/>
              </w:rPr>
            </w:pPr>
            <w:r w:rsidRPr="007956F1">
              <w:rPr>
                <w:b/>
              </w:rPr>
              <w:t xml:space="preserve">Padomes 2006.gada 20.novembra direktīvas </w:t>
            </w:r>
            <w:hyperlink r:id="rId28" w:tgtFrame="_blank" w:history="1">
              <w:r w:rsidRPr="007956F1">
                <w:rPr>
                  <w:rStyle w:val="Hyperlink"/>
                  <w:b/>
                  <w:color w:val="auto"/>
                </w:rPr>
                <w:t>2006/98/EK</w:t>
              </w:r>
            </w:hyperlink>
            <w:r w:rsidRPr="007956F1">
              <w:rPr>
                <w:b/>
              </w:rPr>
              <w:t>, ar ko pielāgo dažas direktīvas nodokļu jomā saistībā ar Bulgārijas un Rumānijas pievienošanos normas</w:t>
            </w:r>
          </w:p>
        </w:tc>
      </w:tr>
      <w:tr w:rsidR="007956F1" w:rsidRPr="007956F1" w:rsidTr="00F9770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390"/>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rFonts w:ascii="Calibri" w:hAnsi="Calibri"/>
                <w:b/>
                <w:sz w:val="22"/>
                <w:szCs w:val="22"/>
              </w:rPr>
            </w:pPr>
            <w:r w:rsidRPr="007956F1">
              <w:rPr>
                <w:b/>
                <w:sz w:val="22"/>
                <w:szCs w:val="22"/>
              </w:rPr>
              <w:t>A</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Del="009772D1" w:rsidRDefault="00A72233" w:rsidP="00A72233">
            <w:pPr>
              <w:jc w:val="center"/>
              <w:rPr>
                <w:b/>
                <w:spacing w:val="-4"/>
              </w:rPr>
            </w:pPr>
            <w:r w:rsidRPr="007956F1">
              <w:rPr>
                <w:b/>
                <w:sz w:val="22"/>
                <w:szCs w:val="22"/>
              </w:rPr>
              <w:t>B</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rFonts w:ascii="Calibri" w:hAnsi="Calibri"/>
                <w:b/>
                <w:sz w:val="22"/>
                <w:szCs w:val="22"/>
              </w:rPr>
            </w:pPr>
            <w:r w:rsidRPr="007956F1">
              <w:rPr>
                <w:b/>
                <w:sz w:val="22"/>
                <w:szCs w:val="22"/>
              </w:rPr>
              <w:t>C</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rFonts w:ascii="Calibri" w:hAnsi="Calibri"/>
                <w:b/>
                <w:sz w:val="22"/>
                <w:szCs w:val="22"/>
              </w:rPr>
            </w:pPr>
            <w:r w:rsidRPr="007956F1">
              <w:rPr>
                <w:b/>
                <w:sz w:val="22"/>
                <w:szCs w:val="22"/>
              </w:rPr>
              <w:t>D</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E03105" w:rsidP="00A72233">
            <w:pPr>
              <w:jc w:val="both"/>
            </w:pPr>
            <w:r w:rsidRPr="007956F1">
              <w:t>Direktīvas 1.pants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Del="009772D1" w:rsidRDefault="00A72233" w:rsidP="00630E39">
            <w:pPr>
              <w:jc w:val="both"/>
              <w:rPr>
                <w:spacing w:val="-4"/>
              </w:rPr>
            </w:pPr>
            <w:r w:rsidRPr="007956F1">
              <w:t>Uzņēmumu ienākuma nodokļa likuma 1.pielikum</w:t>
            </w:r>
            <w:r w:rsidR="00630E39" w:rsidRPr="007956F1">
              <w:t>s</w:t>
            </w:r>
            <w:r w:rsidRPr="007956F1">
              <w:t xml:space="preserve"> </w:t>
            </w:r>
            <w:r w:rsidR="00630E39" w:rsidRPr="007956F1">
              <w:t>(</w:t>
            </w:r>
            <w:r w:rsidRPr="007956F1">
              <w:t>4. un 19.punkts</w:t>
            </w:r>
            <w:r w:rsidR="00630E39" w:rsidRPr="007956F1">
              <w:t xml:space="preserve"> – jaunās dalībvalstis)</w:t>
            </w:r>
            <w:r w:rsidRPr="007956F1">
              <w:t xml:space="preserve"> un 2.pielikum</w:t>
            </w:r>
            <w:r w:rsidR="00630E39" w:rsidRPr="007956F1">
              <w:t>s</w:t>
            </w:r>
            <w:r w:rsidRPr="007956F1">
              <w:t xml:space="preserve"> </w:t>
            </w:r>
            <w:r w:rsidR="00630E39" w:rsidRPr="007956F1">
              <w:t>(</w:t>
            </w:r>
            <w:r w:rsidRPr="007956F1">
              <w:t>4. un 20.punkts</w:t>
            </w:r>
            <w:r w:rsidR="00630E39" w:rsidRPr="007956F1">
              <w:t xml:space="preserve"> – jaunās dalībvalstis)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rFonts w:ascii="Calibri" w:hAnsi="Calibri"/>
                <w:sz w:val="22"/>
                <w:szCs w:val="22"/>
              </w:rPr>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spacing w:val="-4"/>
              </w:rPr>
            </w:pPr>
            <w:r w:rsidRPr="007956F1">
              <w:rPr>
                <w:spacing w:val="-4"/>
              </w:rPr>
              <w:t>Nacionālais tiesību akts neparedz stingrākas prasības.</w:t>
            </w:r>
          </w:p>
          <w:p w:rsidR="00E03105" w:rsidRPr="007956F1" w:rsidRDefault="00E03105" w:rsidP="00A72233">
            <w:pPr>
              <w:jc w:val="both"/>
              <w:rPr>
                <w:rFonts w:ascii="Calibri" w:hAnsi="Calibri"/>
                <w:sz w:val="22"/>
                <w:szCs w:val="22"/>
              </w:rPr>
            </w:pP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C4727" w:rsidRPr="007956F1" w:rsidRDefault="00EC4727" w:rsidP="00A72233">
            <w:pPr>
              <w:jc w:val="both"/>
            </w:pPr>
            <w:r w:rsidRPr="007956F1">
              <w:t>Direktīvas 1.pielikuma 6.punkta b) apakšpunkts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C4727" w:rsidRPr="007956F1" w:rsidRDefault="00EC4727" w:rsidP="00630E39">
            <w:pPr>
              <w:jc w:val="both"/>
            </w:pPr>
            <w:r w:rsidRPr="007956F1">
              <w:t>Uzņēmumu ienākuma nodokļa likuma 1.pielikum</w:t>
            </w:r>
            <w:r w:rsidR="00630E39" w:rsidRPr="007956F1">
              <w:t>s</w:t>
            </w:r>
            <w:r w:rsidRPr="007956F1">
              <w:t xml:space="preserve"> </w:t>
            </w:r>
            <w:r w:rsidR="00630E39" w:rsidRPr="007956F1">
              <w:t>(</w:t>
            </w:r>
            <w:r w:rsidR="00257721" w:rsidRPr="007956F1">
              <w:t>4. un 20.punkts</w:t>
            </w:r>
            <w:r w:rsidR="00630E39" w:rsidRPr="007956F1">
              <w:t xml:space="preserve"> – jaunās dalībvalstis)</w:t>
            </w:r>
            <w:r w:rsidR="00257721" w:rsidRPr="007956F1">
              <w:t xml:space="preserve"> </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5BA9" w:rsidRPr="007956F1" w:rsidRDefault="00E75BA9" w:rsidP="00A72233">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C4727" w:rsidRPr="007956F1" w:rsidRDefault="00E75BA9" w:rsidP="00A72233">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7721" w:rsidRPr="007956F1" w:rsidRDefault="00257721" w:rsidP="00A72233">
            <w:pPr>
              <w:jc w:val="both"/>
            </w:pPr>
            <w:r w:rsidRPr="007956F1">
              <w:t>Direktīvas 1.pielikuma 7.punkta a) apakšpunkts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7721" w:rsidRPr="007956F1" w:rsidRDefault="00257721" w:rsidP="00630E39">
            <w:pPr>
              <w:jc w:val="both"/>
            </w:pPr>
            <w:r w:rsidRPr="007956F1">
              <w:t>Uzņēmumu ienākuma nodokļa likuma 2.pielikum</w:t>
            </w:r>
            <w:r w:rsidR="00630E39" w:rsidRPr="007956F1">
              <w:t>s</w:t>
            </w:r>
            <w:r w:rsidRPr="007956F1">
              <w:t xml:space="preserve"> </w:t>
            </w:r>
            <w:r w:rsidR="00630E39" w:rsidRPr="007956F1">
              <w:t>(</w:t>
            </w:r>
            <w:r w:rsidR="0017039D" w:rsidRPr="007956F1">
              <w:t>4. un 21.punkts</w:t>
            </w:r>
            <w:r w:rsidR="00630E39" w:rsidRPr="007956F1">
              <w:t xml:space="preserve"> – jaunās dalībvalstis)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7721" w:rsidRPr="007956F1" w:rsidRDefault="00E75BA9" w:rsidP="00A72233">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7721" w:rsidRPr="007956F1" w:rsidRDefault="00E75BA9" w:rsidP="00A72233">
            <w:pPr>
              <w:jc w:val="both"/>
              <w:rPr>
                <w:spacing w:val="-4"/>
              </w:rPr>
            </w:pPr>
            <w:r w:rsidRPr="007956F1">
              <w:rPr>
                <w:spacing w:val="-4"/>
              </w:rPr>
              <w:t>Nacionālais tiesību akts neparedz stingrākas prasības.</w:t>
            </w:r>
          </w:p>
        </w:tc>
      </w:tr>
      <w:tr w:rsidR="007956F1" w:rsidRPr="007956F1" w:rsidTr="009C233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688"/>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rFonts w:ascii="Calibri" w:hAnsi="Calibri"/>
                <w:sz w:val="22"/>
                <w:szCs w:val="22"/>
              </w:rPr>
            </w:pPr>
          </w:p>
        </w:tc>
        <w:tc>
          <w:tcPr>
            <w:tcW w:w="70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b/>
                <w:spacing w:val="-4"/>
              </w:rPr>
            </w:pPr>
            <w:r w:rsidRPr="007956F1">
              <w:rPr>
                <w:b/>
              </w:rPr>
              <w:t>Padomes 2009.gada 19.oktobra direktīvas 2009/133/EK par kopēju nodokļu sistēmu, ko piemēro dažādu dalībvalstu uzņēmējsabiedrību apvienošanai, sadalīšanai, daļējai sadalīšanai, to aktīvu pārvešanai un akciju maiņai, kā arī SE vai SCE juridiskās adreses pārcelšanai no vienas dalībvalsts uz citu (kodificēta versija).</w:t>
            </w:r>
          </w:p>
        </w:tc>
      </w:tr>
      <w:tr w:rsidR="007956F1" w:rsidRPr="007956F1" w:rsidTr="00F9770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437"/>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rFonts w:ascii="Calibri" w:hAnsi="Calibri"/>
                <w:b/>
                <w:sz w:val="22"/>
                <w:szCs w:val="22"/>
              </w:rPr>
            </w:pPr>
            <w:r w:rsidRPr="007956F1">
              <w:rPr>
                <w:b/>
                <w:sz w:val="22"/>
                <w:szCs w:val="22"/>
              </w:rPr>
              <w:t>A</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b/>
                <w:bCs/>
              </w:rPr>
            </w:pPr>
            <w:r w:rsidRPr="007956F1">
              <w:rPr>
                <w:b/>
                <w:sz w:val="22"/>
                <w:szCs w:val="22"/>
              </w:rPr>
              <w:t>B</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b/>
              </w:rPr>
            </w:pPr>
            <w:r w:rsidRPr="007956F1">
              <w:rPr>
                <w:b/>
                <w:sz w:val="22"/>
                <w:szCs w:val="22"/>
              </w:rPr>
              <w:t>C</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b/>
                <w:spacing w:val="-4"/>
              </w:rPr>
            </w:pPr>
            <w:r w:rsidRPr="007956F1">
              <w:rPr>
                <w:b/>
                <w:sz w:val="22"/>
                <w:szCs w:val="22"/>
              </w:rPr>
              <w:t>D</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E03105" w:rsidP="00A72233">
            <w:pPr>
              <w:jc w:val="both"/>
            </w:pPr>
            <w:r w:rsidRPr="007956F1">
              <w:t xml:space="preserve">Direktīvas </w:t>
            </w:r>
            <w:r w:rsidR="00A72233" w:rsidRPr="007956F1">
              <w:t>2.pant</w:t>
            </w:r>
            <w:r w:rsidR="00CD1159" w:rsidRPr="007956F1">
              <w:t>s</w:t>
            </w:r>
            <w:r w:rsidR="00A72233" w:rsidRPr="007956F1">
              <w:t>, definīcijas</w:t>
            </w:r>
          </w:p>
          <w:p w:rsidR="00A72233" w:rsidRPr="007956F1" w:rsidRDefault="00A72233" w:rsidP="00A72233">
            <w:pPr>
              <w:jc w:val="both"/>
            </w:pP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CD1159" w:rsidP="00A72233">
            <w:pPr>
              <w:jc w:val="both"/>
            </w:pPr>
            <w:r w:rsidRPr="007956F1">
              <w:t>Uzņēmumu ienākuma nodokļa likuma</w:t>
            </w:r>
          </w:p>
          <w:p w:rsidR="00A72233" w:rsidRPr="007956F1" w:rsidRDefault="00A72233" w:rsidP="00A72233">
            <w:pPr>
              <w:jc w:val="both"/>
            </w:pPr>
            <w:r w:rsidRPr="007956F1">
              <w:t xml:space="preserve"> 1.pant</w:t>
            </w:r>
            <w:r w:rsidR="00C4461D" w:rsidRPr="007956F1">
              <w:t>s</w:t>
            </w:r>
            <w:r w:rsidRPr="007956F1">
              <w:t xml:space="preserve"> </w:t>
            </w:r>
            <w:r w:rsidR="00C4461D" w:rsidRPr="007956F1">
              <w:t>(</w:t>
            </w:r>
            <w:r w:rsidRPr="007956F1">
              <w:t>Definīcijas</w:t>
            </w:r>
            <w:r w:rsidR="00C4461D" w:rsidRPr="007956F1">
              <w:t>)</w:t>
            </w:r>
            <w:r w:rsidRPr="007956F1">
              <w:t xml:space="preserve">, tai skaitā 11) punkts par juridiskās adreses pārcelšanu </w:t>
            </w:r>
          </w:p>
          <w:p w:rsidR="00A72233" w:rsidRPr="007956F1" w:rsidRDefault="00A72233" w:rsidP="00EA0DB5">
            <w:pPr>
              <w:jc w:val="both"/>
            </w:pP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spacing w:val="-4"/>
              </w:rPr>
            </w:pPr>
            <w:r w:rsidRPr="007956F1">
              <w:rPr>
                <w:spacing w:val="-4"/>
              </w:rPr>
              <w:t>Nacionālais tiesību akts neparedz stingrākas prasības.</w:t>
            </w:r>
          </w:p>
          <w:p w:rsidR="00A72233" w:rsidRPr="007956F1" w:rsidRDefault="00A72233" w:rsidP="00A72233">
            <w:pPr>
              <w:jc w:val="both"/>
              <w:rPr>
                <w:spacing w:val="-4"/>
              </w:rPr>
            </w:pP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D1159" w:rsidRPr="007956F1" w:rsidRDefault="00CD1159" w:rsidP="00CD1159">
            <w:pPr>
              <w:jc w:val="both"/>
            </w:pPr>
            <w:r w:rsidRPr="007956F1">
              <w:t>Direktīvas 3.pant</w:t>
            </w:r>
            <w:r w:rsidR="00AD05BF" w:rsidRPr="007956F1">
              <w:t>a</w:t>
            </w:r>
            <w:r w:rsidRPr="007956F1">
              <w:t xml:space="preserve"> (a)</w:t>
            </w:r>
            <w:r w:rsidR="00EA22F2" w:rsidRPr="007956F1">
              <w:t xml:space="preserve"> punkts</w:t>
            </w:r>
          </w:p>
          <w:p w:rsidR="00AD05BF" w:rsidRPr="007956F1" w:rsidRDefault="00AD05BF" w:rsidP="00CD1159">
            <w:pPr>
              <w:jc w:val="both"/>
            </w:pPr>
          </w:p>
          <w:p w:rsidR="00CD1159" w:rsidRPr="007956F1" w:rsidRDefault="00CD1159" w:rsidP="00CD1159">
            <w:pPr>
              <w:jc w:val="both"/>
            </w:pP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D05BF" w:rsidRPr="007956F1" w:rsidRDefault="008856BF" w:rsidP="00AD05BF">
            <w:pPr>
              <w:jc w:val="both"/>
            </w:pPr>
            <w:r w:rsidRPr="007956F1">
              <w:t xml:space="preserve">Uzņēmumu ienākuma nodokļa likuma </w:t>
            </w:r>
            <w:r w:rsidR="00AD05BF" w:rsidRPr="007956F1">
              <w:t>1. un 2. pielikum</w:t>
            </w:r>
            <w:r w:rsidR="00EA0DB5" w:rsidRPr="007956F1">
              <w:t>s</w:t>
            </w:r>
          </w:p>
          <w:p w:rsidR="00CD1159" w:rsidRPr="007956F1" w:rsidRDefault="00CD1159" w:rsidP="00A72233">
            <w:pPr>
              <w:jc w:val="both"/>
            </w:pP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D1159" w:rsidRPr="007956F1" w:rsidRDefault="00EA0DB5" w:rsidP="00A72233">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D1159" w:rsidRPr="007956F1" w:rsidRDefault="00EA0DB5" w:rsidP="00A72233">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A22F2" w:rsidRPr="007956F1" w:rsidRDefault="00EA22F2" w:rsidP="00CD1159">
            <w:pPr>
              <w:jc w:val="both"/>
            </w:pPr>
            <w:r w:rsidRPr="007956F1">
              <w:t>Direktīvas 3.panta (c) punkts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A22F2" w:rsidRPr="007956F1" w:rsidRDefault="00EA22F2" w:rsidP="00AD05BF">
            <w:pPr>
              <w:jc w:val="both"/>
            </w:pPr>
            <w:r w:rsidRPr="007956F1">
              <w:t>Uzņēmumu ienākuma nodokļa likuma 2.pielikums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A22F2" w:rsidRPr="007956F1" w:rsidRDefault="00EA22F2" w:rsidP="00A72233">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A22F2" w:rsidRPr="007956F1" w:rsidRDefault="00EA22F2" w:rsidP="00A72233">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05BF" w:rsidRPr="007956F1" w:rsidRDefault="00AD05BF" w:rsidP="00AD05BF">
            <w:pPr>
              <w:jc w:val="both"/>
            </w:pPr>
            <w:r w:rsidRPr="007956F1">
              <w:t xml:space="preserve">Direktīvas 4., 10., 12. un </w:t>
            </w:r>
          </w:p>
          <w:p w:rsidR="00AD05BF" w:rsidRPr="007956F1" w:rsidRDefault="00AD05BF" w:rsidP="00AD05BF">
            <w:pPr>
              <w:jc w:val="both"/>
            </w:pPr>
            <w:r w:rsidRPr="007956F1">
              <w:t>14.pants.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A0DB5" w:rsidRPr="007956F1" w:rsidRDefault="008856BF" w:rsidP="00EA0DB5">
            <w:pPr>
              <w:jc w:val="both"/>
            </w:pPr>
            <w:r w:rsidRPr="007956F1">
              <w:t xml:space="preserve">Uzņēmumu ienākuma nodokļa likuma </w:t>
            </w:r>
            <w:r w:rsidR="00EA0DB5" w:rsidRPr="007956F1">
              <w:t xml:space="preserve">17.pants (arī ietvertas Direktīvā </w:t>
            </w:r>
            <w:r w:rsidRPr="007956F1">
              <w:t>minētās</w:t>
            </w:r>
            <w:r w:rsidR="00EA0DB5" w:rsidRPr="007956F1">
              <w:t xml:space="preserve"> definīcijas)</w:t>
            </w:r>
          </w:p>
          <w:p w:rsidR="00AD05BF" w:rsidRPr="007956F1" w:rsidRDefault="00AD05BF" w:rsidP="00AD05BF">
            <w:pPr>
              <w:jc w:val="both"/>
            </w:pP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D05BF" w:rsidRPr="007956F1" w:rsidRDefault="00EA0DB5" w:rsidP="00A72233">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D05BF" w:rsidRPr="007956F1" w:rsidRDefault="00EA0DB5" w:rsidP="00A72233">
            <w:pPr>
              <w:jc w:val="both"/>
              <w:rPr>
                <w:spacing w:val="-4"/>
              </w:rPr>
            </w:pPr>
            <w:r w:rsidRPr="007956F1">
              <w:rPr>
                <w:spacing w:val="-4"/>
              </w:rPr>
              <w:t>Nacionālais tiesību akts neparedz stingrākas prasības.</w:t>
            </w:r>
          </w:p>
        </w:tc>
      </w:tr>
      <w:tr w:rsidR="007956F1" w:rsidRPr="007956F1" w:rsidTr="000B54D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pPr>
          </w:p>
        </w:tc>
        <w:tc>
          <w:tcPr>
            <w:tcW w:w="70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b/>
                <w:spacing w:val="-4"/>
              </w:rPr>
            </w:pPr>
            <w:r w:rsidRPr="007956F1">
              <w:rPr>
                <w:b/>
                <w:bCs/>
              </w:rPr>
              <w:t xml:space="preserve">Padomes 2011.gada 30.novembra direktīvas </w:t>
            </w:r>
            <w:hyperlink r:id="rId29" w:tgtFrame="_blank" w:history="1">
              <w:r w:rsidRPr="007956F1">
                <w:rPr>
                  <w:rStyle w:val="Hyperlink"/>
                  <w:b/>
                  <w:bCs/>
                  <w:color w:val="auto"/>
                </w:rPr>
                <w:t>2011/96/ES</w:t>
              </w:r>
            </w:hyperlink>
            <w:r w:rsidRPr="007956F1">
              <w:rPr>
                <w:b/>
                <w:bCs/>
              </w:rPr>
              <w:t xml:space="preserve"> par kopējo sistēmu nodokļu uzlikšanai, ko piemēro </w:t>
            </w:r>
            <w:proofErr w:type="spellStart"/>
            <w:r w:rsidRPr="007956F1">
              <w:rPr>
                <w:b/>
                <w:bCs/>
              </w:rPr>
              <w:t>mātesuzņēmumiem</w:t>
            </w:r>
            <w:proofErr w:type="spellEnd"/>
            <w:r w:rsidRPr="007956F1">
              <w:rPr>
                <w:b/>
                <w:bCs/>
              </w:rPr>
              <w:t xml:space="preserve"> un meitasuzņēmumiem, kuri atrodas dažādās dalībvalstīs (pārstrādātā versija)</w:t>
            </w:r>
            <w:r w:rsidR="001C307C" w:rsidRPr="007956F1">
              <w:rPr>
                <w:b/>
                <w:bCs/>
              </w:rPr>
              <w:t xml:space="preserve"> (turpmāk – Direktīva 2011/96/ES)</w:t>
            </w:r>
          </w:p>
        </w:tc>
      </w:tr>
      <w:tr w:rsidR="007956F1" w:rsidRPr="007956F1" w:rsidTr="00F9770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383"/>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b/>
              </w:rPr>
            </w:pPr>
            <w:r w:rsidRPr="007956F1">
              <w:rPr>
                <w:b/>
                <w:sz w:val="22"/>
                <w:szCs w:val="22"/>
              </w:rPr>
              <w:t>A</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b/>
              </w:rPr>
            </w:pPr>
            <w:r w:rsidRPr="007956F1">
              <w:rPr>
                <w:b/>
                <w:sz w:val="22"/>
                <w:szCs w:val="22"/>
              </w:rPr>
              <w:t>B</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b/>
              </w:rPr>
            </w:pPr>
            <w:r w:rsidRPr="007956F1">
              <w:rPr>
                <w:b/>
                <w:sz w:val="22"/>
                <w:szCs w:val="22"/>
              </w:rPr>
              <w:t>C</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b/>
                <w:spacing w:val="-4"/>
              </w:rPr>
            </w:pPr>
            <w:r w:rsidRPr="007956F1">
              <w:rPr>
                <w:b/>
                <w:sz w:val="22"/>
                <w:szCs w:val="22"/>
              </w:rPr>
              <w:t>D</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E03105" w:rsidP="0092531C">
            <w:pPr>
              <w:jc w:val="both"/>
            </w:pPr>
            <w:r w:rsidRPr="007956F1">
              <w:t xml:space="preserve">Direktīvas </w:t>
            </w:r>
            <w:r w:rsidR="00A72233" w:rsidRPr="007956F1">
              <w:t>2.panta (a)</w:t>
            </w:r>
            <w:r w:rsidR="0092531C" w:rsidRPr="007956F1">
              <w:t xml:space="preserve"> punkta</w:t>
            </w:r>
            <w:r w:rsidR="00A72233" w:rsidRPr="007956F1">
              <w:t xml:space="preserve"> (i)</w:t>
            </w:r>
            <w:r w:rsidR="0092531C" w:rsidRPr="007956F1">
              <w:t xml:space="preserve"> apakšpunkts</w:t>
            </w:r>
            <w:r w:rsidR="00A72233" w:rsidRPr="007956F1">
              <w:t xml:space="preserve">   </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B867AA" w:rsidP="0092531C">
            <w:pPr>
              <w:jc w:val="both"/>
            </w:pPr>
            <w:r w:rsidRPr="007956F1">
              <w:t>Uzņēmumu ienākuma nodokļa likuma</w:t>
            </w:r>
            <w:r w:rsidR="00A72233" w:rsidRPr="007956F1">
              <w:rPr>
                <w:spacing w:val="-4"/>
              </w:rPr>
              <w:t xml:space="preserve"> 1</w:t>
            </w:r>
            <w:r w:rsidRPr="007956F1">
              <w:rPr>
                <w:spacing w:val="-4"/>
              </w:rPr>
              <w:t>.</w:t>
            </w:r>
            <w:r w:rsidR="00A72233" w:rsidRPr="007956F1">
              <w:rPr>
                <w:spacing w:val="-4"/>
              </w:rPr>
              <w:t xml:space="preserve">  pielikum</w:t>
            </w:r>
            <w:r w:rsidR="0092531C" w:rsidRPr="007956F1">
              <w:rPr>
                <w:spacing w:val="-4"/>
              </w:rPr>
              <w:t>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Direktīvas 2.panta (a) punkta (iii) apakšpunkts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 xml:space="preserve">Uzņēmumu ienākuma nodokļa likuma 2. pielikums </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0E3010" w:rsidP="007F42F1">
            <w:pPr>
              <w:jc w:val="both"/>
            </w:pPr>
            <w:r w:rsidRPr="007956F1">
              <w:t xml:space="preserve">Direktīvas </w:t>
            </w:r>
            <w:r w:rsidR="007F42F1" w:rsidRPr="007956F1">
              <w:t>4.panta 1.daļa.</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Uzņēmumu ienākuma nodokļa likuma</w:t>
            </w:r>
            <w:r w:rsidRPr="007956F1">
              <w:rPr>
                <w:spacing w:val="-4"/>
              </w:rPr>
              <w:t xml:space="preserve"> 4.pants </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5.pants.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Uzņēmumu ienākuma nodokļa likuma</w:t>
            </w:r>
            <w:r w:rsidRPr="007956F1">
              <w:rPr>
                <w:spacing w:val="-4"/>
              </w:rPr>
              <w:t xml:space="preserve"> 4.pants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0B54D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p>
        </w:tc>
        <w:tc>
          <w:tcPr>
            <w:tcW w:w="70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b/>
                <w:spacing w:val="-4"/>
              </w:rPr>
            </w:pPr>
            <w:r w:rsidRPr="007956F1">
              <w:rPr>
                <w:b/>
              </w:rPr>
              <w:t xml:space="preserve">Padomes 2013.gada 13.maija direktīvas </w:t>
            </w:r>
            <w:r w:rsidRPr="007956F1">
              <w:rPr>
                <w:b/>
                <w:u w:val="single"/>
              </w:rPr>
              <w:t>2013/13/ES</w:t>
            </w:r>
            <w:r w:rsidRPr="007956F1">
              <w:rPr>
                <w:b/>
              </w:rPr>
              <w:t>, ar ko pielāgo dažas direktīvas nodokļu jomā saistībā ar Horvātijas Republikas pievienošanos normas</w:t>
            </w:r>
          </w:p>
        </w:tc>
      </w:tr>
      <w:tr w:rsidR="007956F1" w:rsidRPr="007956F1" w:rsidTr="00F9770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421"/>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A</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B</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C</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spacing w:val="-4"/>
              </w:rPr>
            </w:pPr>
            <w:r w:rsidRPr="007956F1">
              <w:rPr>
                <w:b/>
                <w:sz w:val="22"/>
                <w:szCs w:val="22"/>
              </w:rPr>
              <w:t>D</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 xml:space="preserve">Direktīvas 1.pielikuma otrā punkta b) apakšpunkts </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Uzņēmumu ienākuma nodokļa likuma 1.pielikuma 9.punkts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 xml:space="preserve">Direktīvas 1.pielikuma ceturtā punkta a) apakšpunkts </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Uzņēmumu ienākuma nodokļa likuma 1.pielikuma 9.punkts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Direktīvas 1.pielikuma piektā punkta a) apakšpunkts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Uzņēmumu ienākuma nodokļa likuma 1.pielikuma 9.punkts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0B54D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p>
        </w:tc>
        <w:tc>
          <w:tcPr>
            <w:tcW w:w="70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b/>
                <w:spacing w:val="-4"/>
              </w:rPr>
            </w:pPr>
            <w:r w:rsidRPr="007956F1">
              <w:rPr>
                <w:b/>
              </w:rPr>
              <w:t xml:space="preserve">Padomes 2014.gada 8.jūlija direktīvas </w:t>
            </w:r>
            <w:r w:rsidRPr="007956F1">
              <w:rPr>
                <w:b/>
                <w:u w:val="single"/>
              </w:rPr>
              <w:t>2014/86/ES,</w:t>
            </w:r>
            <w:r w:rsidRPr="007956F1">
              <w:rPr>
                <w:b/>
              </w:rPr>
              <w:t xml:space="preserve"> ar ko groza Direktīvu 2011/96/ES par kopējo sistēmu nodokļu uzlikšanai, ko piemēro </w:t>
            </w:r>
            <w:proofErr w:type="spellStart"/>
            <w:r w:rsidRPr="007956F1">
              <w:rPr>
                <w:b/>
              </w:rPr>
              <w:t>mātesuzņēmumiem</w:t>
            </w:r>
            <w:proofErr w:type="spellEnd"/>
            <w:r w:rsidRPr="007956F1">
              <w:rPr>
                <w:b/>
              </w:rPr>
              <w:t xml:space="preserve"> un meitasuzņēmumiem, kuri atrodas dažādās dalībvalstīs</w:t>
            </w:r>
          </w:p>
        </w:tc>
      </w:tr>
      <w:tr w:rsidR="007956F1" w:rsidRPr="007956F1" w:rsidTr="00F9770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421"/>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A</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B</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C</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spacing w:val="-4"/>
              </w:rPr>
            </w:pPr>
            <w:r w:rsidRPr="007956F1">
              <w:rPr>
                <w:b/>
                <w:sz w:val="22"/>
                <w:szCs w:val="22"/>
              </w:rPr>
              <w:t>D</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Direktīvas 1.panta pirmā daļa.</w:t>
            </w:r>
          </w:p>
          <w:p w:rsidR="007F42F1" w:rsidRPr="007956F1" w:rsidRDefault="007F42F1" w:rsidP="007F42F1">
            <w:pPr>
              <w:jc w:val="both"/>
            </w:pP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t>Uzņēmumu ienākuma nodokļa likuma</w:t>
            </w:r>
            <w:r w:rsidRPr="007956F1">
              <w:rPr>
                <w:spacing w:val="-4"/>
              </w:rPr>
              <w:t xml:space="preserve"> 6.panta (3) daļa</w:t>
            </w:r>
          </w:p>
          <w:p w:rsidR="007F42F1" w:rsidRPr="007956F1" w:rsidRDefault="007F42F1" w:rsidP="007F42F1">
            <w:pPr>
              <w:jc w:val="both"/>
            </w:pP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Direktīvas 1.panta otrā daļa.</w:t>
            </w:r>
          </w:p>
          <w:p w:rsidR="007F42F1" w:rsidRPr="007956F1" w:rsidRDefault="007F42F1" w:rsidP="007F42F1">
            <w:pPr>
              <w:jc w:val="both"/>
            </w:pP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Uzņēmumu ienākuma nodokļa likuma 1.pielikuma 18.punkts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Direktīvas 1.panta trešā daļa.</w:t>
            </w:r>
          </w:p>
          <w:p w:rsidR="007F42F1" w:rsidRPr="007956F1" w:rsidRDefault="007F42F1" w:rsidP="007F42F1">
            <w:pPr>
              <w:jc w:val="both"/>
            </w:pP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Uzņēmumu ienākuma nodokļa likuma 1.pielikuma 20.punkts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0B54D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p>
        </w:tc>
        <w:tc>
          <w:tcPr>
            <w:tcW w:w="70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b/>
                <w:spacing w:val="-4"/>
              </w:rPr>
            </w:pPr>
            <w:r w:rsidRPr="007956F1">
              <w:rPr>
                <w:b/>
              </w:rPr>
              <w:t xml:space="preserve">Padomes 2015.gada 27.janvāra direktīvas </w:t>
            </w:r>
            <w:r w:rsidRPr="007956F1">
              <w:rPr>
                <w:b/>
                <w:u w:val="single"/>
              </w:rPr>
              <w:t>2015/121/ES</w:t>
            </w:r>
            <w:r w:rsidRPr="007956F1">
              <w:rPr>
                <w:b/>
              </w:rPr>
              <w:t xml:space="preserve">, ar ko groza Direktīvu 2011/96/ES par kopējo sistēmu nodokļu uzlikšanai, ko piemēro </w:t>
            </w:r>
            <w:proofErr w:type="spellStart"/>
            <w:r w:rsidRPr="007956F1">
              <w:rPr>
                <w:b/>
              </w:rPr>
              <w:t>mātesuzņēmumiem</w:t>
            </w:r>
            <w:proofErr w:type="spellEnd"/>
            <w:r w:rsidRPr="007956F1">
              <w:rPr>
                <w:b/>
              </w:rPr>
              <w:t xml:space="preserve"> un meitasuzņēmumiem, kuri atrodas dažādās dalībvalstīs.</w:t>
            </w:r>
          </w:p>
        </w:tc>
      </w:tr>
      <w:tr w:rsidR="007956F1" w:rsidRPr="007956F1" w:rsidTr="00F9770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405"/>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A</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B</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C</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spacing w:val="-4"/>
              </w:rPr>
            </w:pPr>
            <w:r w:rsidRPr="007956F1">
              <w:rPr>
                <w:b/>
                <w:sz w:val="22"/>
                <w:szCs w:val="22"/>
              </w:rPr>
              <w:t>D</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Direktīvas 1.pants.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Uzņēmumu ienākuma nodokļa likuma</w:t>
            </w:r>
            <w:r w:rsidRPr="007956F1">
              <w:rPr>
                <w:spacing w:val="-4"/>
              </w:rPr>
              <w:t xml:space="preserve"> 6.panta piektā daļa</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b/>
              </w:rPr>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0B54D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p>
        </w:tc>
        <w:tc>
          <w:tcPr>
            <w:tcW w:w="70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b/>
                <w:spacing w:val="-4"/>
              </w:rPr>
            </w:pPr>
            <w:r w:rsidRPr="007956F1">
              <w:rPr>
                <w:b/>
              </w:rPr>
              <w:t>Padomes 2016.gada 12.jūlija direktīvas 2016/1164/ES, ar ko paredz noteikumus tādas nodokļu apiešanas prakses novēršanai, kas tieši iespaido iekšējā tirgus darbību normas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A</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B</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C</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spacing w:val="-4"/>
              </w:rPr>
            </w:pPr>
            <w:r w:rsidRPr="007956F1">
              <w:rPr>
                <w:b/>
                <w:sz w:val="22"/>
                <w:szCs w:val="22"/>
              </w:rPr>
              <w:t>D</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Direktīvas 4.pants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Uzņēmumu ienākuma nodokļa likuma</w:t>
            </w:r>
            <w:r w:rsidRPr="007956F1">
              <w:rPr>
                <w:spacing w:val="-4"/>
              </w:rPr>
              <w:t xml:space="preserve"> 10.pants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Direktīvas 5.pants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Uzņēmumu ienākuma nodokļa likuma būtība jau nodrošina direktīvas prasību pārņemšanu</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Direktīvas 6.pants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Uzņēmumu ienākuma nodokļa likuma</w:t>
            </w:r>
            <w:r w:rsidRPr="007956F1">
              <w:rPr>
                <w:spacing w:val="-4"/>
              </w:rPr>
              <w:t xml:space="preserve"> 6.panta piektais punkts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42F1" w:rsidRPr="007956F1" w:rsidRDefault="007F42F1" w:rsidP="007F42F1">
            <w:pPr>
              <w:jc w:val="both"/>
              <w:rPr>
                <w:rFonts w:ascii="Calibri" w:hAnsi="Calibri"/>
              </w:rPr>
            </w:pPr>
            <w:r w:rsidRPr="007956F1">
              <w:rPr>
                <w:spacing w:val="-6"/>
              </w:rPr>
              <w:t>Kā ir izmantota ES tiesību aktā paredzētā rīcības brīvība dalībvalstij pārņemt vai ieviest noteiktas ES tiesību akta normas?</w:t>
            </w:r>
            <w:r w:rsidRPr="007956F1">
              <w:rPr>
                <w:spacing w:val="-6"/>
              </w:rPr>
              <w:br/>
              <w:t>Kādēļ?</w:t>
            </w:r>
          </w:p>
        </w:tc>
        <w:tc>
          <w:tcPr>
            <w:tcW w:w="70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298" w:rsidRPr="007956F1" w:rsidRDefault="00AA24C6" w:rsidP="00624F2D">
            <w:pPr>
              <w:pStyle w:val="Normal1"/>
              <w:shd w:val="clear" w:color="auto" w:fill="FFFFFF"/>
              <w:spacing w:before="120" w:beforeAutospacing="0" w:after="0" w:afterAutospacing="0" w:line="312" w:lineRule="atLeast"/>
              <w:jc w:val="both"/>
              <w:textAlignment w:val="baseline"/>
            </w:pPr>
            <w:r w:rsidRPr="007956F1">
              <w:rPr>
                <w:bCs/>
              </w:rPr>
              <w:t>Direktīvas 2011/96/ES 4.panta 3.punktā noteikta rīcības brīvība</w:t>
            </w:r>
            <w:r w:rsidRPr="007956F1">
              <w:rPr>
                <w:shd w:val="clear" w:color="auto" w:fill="FFFFFF"/>
              </w:rPr>
              <w:t xml:space="preserve"> dalībvalstīm paredzēt, ka no </w:t>
            </w:r>
            <w:proofErr w:type="spellStart"/>
            <w:r w:rsidRPr="007956F1">
              <w:rPr>
                <w:shd w:val="clear" w:color="auto" w:fill="FFFFFF"/>
              </w:rPr>
              <w:t>mātesuzņēmuma</w:t>
            </w:r>
            <w:proofErr w:type="spellEnd"/>
            <w:r w:rsidRPr="007956F1">
              <w:rPr>
                <w:shd w:val="clear" w:color="auto" w:fill="FFFFFF"/>
              </w:rPr>
              <w:t xml:space="preserve"> pelņas, kam uzliek nodokļus, nevar atskaitīt maksājumus, kuri attiecas uz kapitāla daļu un zaudējumiem, ko rada meitasuzņēmuma peļņas sadalīšana</w:t>
            </w:r>
            <w:r w:rsidR="002A5298" w:rsidRPr="007956F1">
              <w:rPr>
                <w:shd w:val="clear" w:color="auto" w:fill="FFFFFF"/>
              </w:rPr>
              <w:t xml:space="preserve">. Minētā rīcības brīvība </w:t>
            </w:r>
            <w:r w:rsidRPr="007956F1">
              <w:rPr>
                <w:u w:val="single"/>
                <w:shd w:val="clear" w:color="auto" w:fill="FFFFFF"/>
              </w:rPr>
              <w:t>attiecas uz direktīvas 4.panta 1.punkta b) apakšpunktu</w:t>
            </w:r>
            <w:r w:rsidR="002A5298" w:rsidRPr="007956F1">
              <w:rPr>
                <w:u w:val="single"/>
                <w:shd w:val="clear" w:color="auto" w:fill="FFFFFF"/>
              </w:rPr>
              <w:t>.</w:t>
            </w:r>
            <w:r w:rsidR="002A5298" w:rsidRPr="007956F1">
              <w:rPr>
                <w:shd w:val="clear" w:color="auto" w:fill="FFFFFF"/>
              </w:rPr>
              <w:t xml:space="preserve"> Tas </w:t>
            </w:r>
            <w:r w:rsidRPr="007956F1">
              <w:rPr>
                <w:shd w:val="clear" w:color="auto" w:fill="FFFFFF"/>
              </w:rPr>
              <w:t>paredz</w:t>
            </w:r>
            <w:r w:rsidR="002A5298" w:rsidRPr="007956F1">
              <w:rPr>
                <w:shd w:val="clear" w:color="auto" w:fill="FFFFFF"/>
              </w:rPr>
              <w:t>, ka j</w:t>
            </w:r>
            <w:r w:rsidR="002A5298" w:rsidRPr="007956F1">
              <w:t xml:space="preserve">a </w:t>
            </w:r>
            <w:proofErr w:type="spellStart"/>
            <w:r w:rsidR="002A5298" w:rsidRPr="007956F1">
              <w:t>mātesuzņēmums</w:t>
            </w:r>
            <w:proofErr w:type="spellEnd"/>
            <w:r w:rsidR="002A5298" w:rsidRPr="007956F1">
              <w:t xml:space="preserve"> vai tā pastāvīgais uzņēmums, pamatojoties uz </w:t>
            </w:r>
            <w:proofErr w:type="spellStart"/>
            <w:r w:rsidR="002A5298" w:rsidRPr="007956F1">
              <w:t>mātesuzņēmuma</w:t>
            </w:r>
            <w:proofErr w:type="spellEnd"/>
            <w:r w:rsidR="002A5298" w:rsidRPr="007956F1">
              <w:t xml:space="preserve"> asociāciju ar savu meitasuzņēmumu, saņem sadalīto peļņu, </w:t>
            </w:r>
            <w:proofErr w:type="spellStart"/>
            <w:r w:rsidR="002A5298" w:rsidRPr="007956F1">
              <w:t>mātesuzņēmuma</w:t>
            </w:r>
            <w:proofErr w:type="spellEnd"/>
            <w:r w:rsidR="002A5298" w:rsidRPr="007956F1">
              <w:t xml:space="preserve"> dalībvalsts un tā pastāvīgā uzņēmuma dalībvalsts, izņemot gadījumu, ja meitasuzņēmums ir likvidēts, uzliek </w:t>
            </w:r>
            <w:r w:rsidR="002A5298" w:rsidRPr="007956F1">
              <w:rPr>
                <w:rFonts w:hint="eastAsia"/>
              </w:rPr>
              <w:t>šā</w:t>
            </w:r>
            <w:r w:rsidR="002A5298" w:rsidRPr="007956F1">
              <w:t>dai pe</w:t>
            </w:r>
            <w:r w:rsidR="002A5298" w:rsidRPr="007956F1">
              <w:rPr>
                <w:rFonts w:hint="eastAsia"/>
              </w:rPr>
              <w:t>ļņ</w:t>
            </w:r>
            <w:r w:rsidR="002A5298" w:rsidRPr="007956F1">
              <w:t>ai nodok</w:t>
            </w:r>
            <w:r w:rsidR="002A5298" w:rsidRPr="007956F1">
              <w:rPr>
                <w:rFonts w:hint="eastAsia"/>
              </w:rPr>
              <w:t>ļ</w:t>
            </w:r>
            <w:r w:rsidR="002A5298" w:rsidRPr="007956F1">
              <w:t>us, at</w:t>
            </w:r>
            <w:r w:rsidR="002A5298" w:rsidRPr="007956F1">
              <w:rPr>
                <w:rFonts w:hint="eastAsia"/>
              </w:rPr>
              <w:t>ļ</w:t>
            </w:r>
            <w:r w:rsidR="002A5298" w:rsidRPr="007956F1">
              <w:t xml:space="preserve">aujot </w:t>
            </w:r>
            <w:proofErr w:type="spellStart"/>
            <w:r w:rsidR="002A5298" w:rsidRPr="007956F1">
              <w:t>m</w:t>
            </w:r>
            <w:r w:rsidR="002A5298" w:rsidRPr="007956F1">
              <w:rPr>
                <w:rFonts w:hint="eastAsia"/>
              </w:rPr>
              <w:t>ā</w:t>
            </w:r>
            <w:r w:rsidR="002A5298" w:rsidRPr="007956F1">
              <w:t>tesuz</w:t>
            </w:r>
            <w:r w:rsidR="002A5298" w:rsidRPr="007956F1">
              <w:rPr>
                <w:rFonts w:hint="eastAsia"/>
              </w:rPr>
              <w:t>ņē</w:t>
            </w:r>
            <w:r w:rsidR="002A5298" w:rsidRPr="007956F1">
              <w:t>mumam</w:t>
            </w:r>
            <w:proofErr w:type="spellEnd"/>
            <w:r w:rsidR="002A5298" w:rsidRPr="007956F1">
              <w:t xml:space="preserve"> un past</w:t>
            </w:r>
            <w:r w:rsidR="002A5298" w:rsidRPr="007956F1">
              <w:rPr>
                <w:rFonts w:hint="eastAsia"/>
              </w:rPr>
              <w:t>ā</w:t>
            </w:r>
            <w:r w:rsidR="002A5298" w:rsidRPr="007956F1">
              <w:t>v</w:t>
            </w:r>
            <w:r w:rsidR="002A5298" w:rsidRPr="007956F1">
              <w:rPr>
                <w:rFonts w:hint="eastAsia"/>
              </w:rPr>
              <w:t>ī</w:t>
            </w:r>
            <w:r w:rsidR="002A5298" w:rsidRPr="007956F1">
              <w:t>gajam uz</w:t>
            </w:r>
            <w:r w:rsidR="002A5298" w:rsidRPr="007956F1">
              <w:rPr>
                <w:rFonts w:hint="eastAsia"/>
              </w:rPr>
              <w:t>ņē</w:t>
            </w:r>
            <w:r w:rsidR="002A5298" w:rsidRPr="007956F1">
              <w:t xml:space="preserve">mumam </w:t>
            </w:r>
            <w:r w:rsidR="002A5298" w:rsidRPr="007956F1">
              <w:rPr>
                <w:rFonts w:hint="eastAsia"/>
              </w:rPr>
              <w:t>–</w:t>
            </w:r>
            <w:r w:rsidR="002A5298" w:rsidRPr="007956F1">
              <w:t xml:space="preserve"> l</w:t>
            </w:r>
            <w:r w:rsidR="002A5298" w:rsidRPr="007956F1">
              <w:rPr>
                <w:rFonts w:hint="eastAsia"/>
              </w:rPr>
              <w:t>ī</w:t>
            </w:r>
            <w:r w:rsidR="002A5298" w:rsidRPr="007956F1">
              <w:t>dz atbilsto</w:t>
            </w:r>
            <w:r w:rsidR="002A5298" w:rsidRPr="007956F1">
              <w:rPr>
                <w:rFonts w:hint="eastAsia"/>
              </w:rPr>
              <w:t>šā</w:t>
            </w:r>
            <w:r w:rsidR="002A5298" w:rsidRPr="007956F1">
              <w:t xml:space="preserve"> maks</w:t>
            </w:r>
            <w:r w:rsidR="002A5298" w:rsidRPr="007956F1">
              <w:rPr>
                <w:rFonts w:hint="eastAsia"/>
              </w:rPr>
              <w:t>ā</w:t>
            </w:r>
            <w:r w:rsidR="002A5298" w:rsidRPr="007956F1">
              <w:t>jam</w:t>
            </w:r>
            <w:r w:rsidR="002A5298" w:rsidRPr="007956F1">
              <w:rPr>
                <w:rFonts w:hint="eastAsia"/>
              </w:rPr>
              <w:t>ā</w:t>
            </w:r>
            <w:r w:rsidR="002A5298" w:rsidRPr="007956F1">
              <w:t xml:space="preserve"> nodok</w:t>
            </w:r>
            <w:r w:rsidR="002A5298" w:rsidRPr="007956F1">
              <w:rPr>
                <w:rFonts w:hint="eastAsia"/>
              </w:rPr>
              <w:t>ļ</w:t>
            </w:r>
            <w:r w:rsidR="002A5298" w:rsidRPr="007956F1">
              <w:t>a summas robe</w:t>
            </w:r>
            <w:r w:rsidR="002A5298" w:rsidRPr="007956F1">
              <w:rPr>
                <w:rFonts w:hint="eastAsia"/>
              </w:rPr>
              <w:t>ž</w:t>
            </w:r>
            <w:r w:rsidR="002A5298" w:rsidRPr="007956F1">
              <w:t xml:space="preserve">ai </w:t>
            </w:r>
            <w:r w:rsidR="002A5298" w:rsidRPr="007956F1">
              <w:rPr>
                <w:rFonts w:hint="eastAsia"/>
              </w:rPr>
              <w:t>–</w:t>
            </w:r>
            <w:r w:rsidR="002A5298" w:rsidRPr="007956F1">
              <w:t xml:space="preserve"> </w:t>
            </w:r>
            <w:r w:rsidR="002A5298" w:rsidRPr="007956F1">
              <w:rPr>
                <w:u w:val="single"/>
              </w:rPr>
              <w:t>atskait</w:t>
            </w:r>
            <w:r w:rsidR="002A5298" w:rsidRPr="007956F1">
              <w:rPr>
                <w:rFonts w:hint="eastAsia"/>
                <w:u w:val="single"/>
              </w:rPr>
              <w:t>ī</w:t>
            </w:r>
            <w:r w:rsidR="002A5298" w:rsidRPr="007956F1">
              <w:rPr>
                <w:u w:val="single"/>
              </w:rPr>
              <w:t>t</w:t>
            </w:r>
            <w:r w:rsidR="002A5298" w:rsidRPr="007956F1">
              <w:t xml:space="preserve"> no maks</w:t>
            </w:r>
            <w:r w:rsidR="002A5298" w:rsidRPr="007956F1">
              <w:rPr>
                <w:rFonts w:hint="eastAsia"/>
              </w:rPr>
              <w:t>ā</w:t>
            </w:r>
            <w:r w:rsidR="002A5298" w:rsidRPr="007956F1">
              <w:t>jam</w:t>
            </w:r>
            <w:r w:rsidR="002A5298" w:rsidRPr="007956F1">
              <w:rPr>
                <w:rFonts w:hint="eastAsia"/>
              </w:rPr>
              <w:t>ā</w:t>
            </w:r>
            <w:r w:rsidR="002A5298" w:rsidRPr="007956F1">
              <w:t>s nodok</w:t>
            </w:r>
            <w:r w:rsidR="002A5298" w:rsidRPr="007956F1">
              <w:rPr>
                <w:rFonts w:hint="eastAsia"/>
              </w:rPr>
              <w:t>ļ</w:t>
            </w:r>
            <w:r w:rsidR="002A5298" w:rsidRPr="007956F1">
              <w:t>a summas to uz</w:t>
            </w:r>
            <w:r w:rsidR="002A5298" w:rsidRPr="007956F1">
              <w:rPr>
                <w:rFonts w:hint="eastAsia"/>
              </w:rPr>
              <w:t>ņē</w:t>
            </w:r>
            <w:r w:rsidR="002A5298" w:rsidRPr="007956F1">
              <w:t>mumu ien</w:t>
            </w:r>
            <w:r w:rsidR="002A5298" w:rsidRPr="007956F1">
              <w:rPr>
                <w:rFonts w:hint="eastAsia"/>
              </w:rPr>
              <w:t>ā</w:t>
            </w:r>
            <w:r w:rsidR="002A5298" w:rsidRPr="007956F1">
              <w:t>kuma nodok</w:t>
            </w:r>
            <w:r w:rsidR="002A5298" w:rsidRPr="007956F1">
              <w:rPr>
                <w:rFonts w:hint="eastAsia"/>
              </w:rPr>
              <w:t>ļ</w:t>
            </w:r>
            <w:r w:rsidR="002A5298" w:rsidRPr="007956F1">
              <w:t>a da</w:t>
            </w:r>
            <w:r w:rsidR="002A5298" w:rsidRPr="007956F1">
              <w:rPr>
                <w:rFonts w:hint="eastAsia"/>
              </w:rPr>
              <w:t>ļ</w:t>
            </w:r>
            <w:r w:rsidR="002A5298" w:rsidRPr="007956F1">
              <w:t>u, kas saist</w:t>
            </w:r>
            <w:r w:rsidR="002A5298" w:rsidRPr="007956F1">
              <w:rPr>
                <w:rFonts w:hint="eastAsia"/>
              </w:rPr>
              <w:t>ī</w:t>
            </w:r>
            <w:r w:rsidR="002A5298" w:rsidRPr="007956F1">
              <w:t>ta ar min</w:t>
            </w:r>
            <w:r w:rsidR="002A5298" w:rsidRPr="007956F1">
              <w:rPr>
                <w:rFonts w:hint="eastAsia"/>
              </w:rPr>
              <w:t>ē</w:t>
            </w:r>
            <w:r w:rsidR="002A5298" w:rsidRPr="007956F1">
              <w:t>to pe</w:t>
            </w:r>
            <w:r w:rsidR="002A5298" w:rsidRPr="007956F1">
              <w:rPr>
                <w:rFonts w:hint="eastAsia"/>
              </w:rPr>
              <w:t>ļņ</w:t>
            </w:r>
            <w:r w:rsidR="002A5298" w:rsidRPr="007956F1">
              <w:t>u un ko samaks</w:t>
            </w:r>
            <w:r w:rsidR="002A5298" w:rsidRPr="007956F1">
              <w:rPr>
                <w:rFonts w:hint="eastAsia"/>
              </w:rPr>
              <w:t>ā</w:t>
            </w:r>
            <w:r w:rsidR="002A5298" w:rsidRPr="007956F1">
              <w:t>jis meitasuz</w:t>
            </w:r>
            <w:r w:rsidR="002A5298" w:rsidRPr="007956F1">
              <w:rPr>
                <w:rFonts w:hint="eastAsia"/>
              </w:rPr>
              <w:t>ņē</w:t>
            </w:r>
            <w:r w:rsidR="002A5298" w:rsidRPr="007956F1">
              <w:t>mums un jebkur</w:t>
            </w:r>
            <w:r w:rsidR="002A5298" w:rsidRPr="007956F1">
              <w:rPr>
                <w:rFonts w:hint="eastAsia"/>
              </w:rPr>
              <w:t>š</w:t>
            </w:r>
            <w:r w:rsidR="002A5298" w:rsidRPr="007956F1">
              <w:t xml:space="preserve"> zem</w:t>
            </w:r>
            <w:r w:rsidR="002A5298" w:rsidRPr="007956F1">
              <w:rPr>
                <w:rFonts w:hint="eastAsia"/>
              </w:rPr>
              <w:t>ā</w:t>
            </w:r>
            <w:r w:rsidR="002A5298" w:rsidRPr="007956F1">
              <w:t>k</w:t>
            </w:r>
            <w:r w:rsidR="002A5298" w:rsidRPr="007956F1">
              <w:rPr>
                <w:rFonts w:hint="eastAsia"/>
              </w:rPr>
              <w:t>ā</w:t>
            </w:r>
            <w:r w:rsidR="002A5298" w:rsidRPr="007956F1">
              <w:t xml:space="preserve"> l</w:t>
            </w:r>
            <w:r w:rsidR="002A5298" w:rsidRPr="007956F1">
              <w:rPr>
                <w:rFonts w:hint="eastAsia"/>
              </w:rPr>
              <w:t>ī</w:t>
            </w:r>
            <w:r w:rsidR="002A5298" w:rsidRPr="007956F1">
              <w:t>me</w:t>
            </w:r>
            <w:r w:rsidR="002A5298" w:rsidRPr="007956F1">
              <w:rPr>
                <w:rFonts w:hint="eastAsia"/>
              </w:rPr>
              <w:t>ņ</w:t>
            </w:r>
            <w:r w:rsidR="002A5298" w:rsidRPr="007956F1">
              <w:t>a meitasuz</w:t>
            </w:r>
            <w:r w:rsidR="002A5298" w:rsidRPr="007956F1">
              <w:rPr>
                <w:rFonts w:hint="eastAsia"/>
              </w:rPr>
              <w:t>ņē</w:t>
            </w:r>
            <w:r w:rsidR="002A5298" w:rsidRPr="007956F1">
              <w:t xml:space="preserve">mums. </w:t>
            </w:r>
          </w:p>
          <w:p w:rsidR="002A5298" w:rsidRPr="007956F1" w:rsidRDefault="006C4C8B" w:rsidP="00624F2D">
            <w:pPr>
              <w:pStyle w:val="Normal1"/>
              <w:shd w:val="clear" w:color="auto" w:fill="FFFFFF"/>
              <w:spacing w:before="120" w:beforeAutospacing="0" w:after="0" w:afterAutospacing="0" w:line="312" w:lineRule="atLeast"/>
              <w:jc w:val="both"/>
              <w:textAlignment w:val="baseline"/>
            </w:pPr>
            <w:r w:rsidRPr="007956F1">
              <w:t xml:space="preserve">Turpretim, </w:t>
            </w:r>
            <w:r w:rsidR="002A5298" w:rsidRPr="007956F1">
              <w:t xml:space="preserve">Latvija ir ieviesusi </w:t>
            </w:r>
            <w:r w:rsidR="002A5298" w:rsidRPr="007956F1">
              <w:rPr>
                <w:u w:val="single"/>
                <w:shd w:val="clear" w:color="auto" w:fill="FFFFFF"/>
              </w:rPr>
              <w:t>direktīvas 4.panta 1.punkta a) apakšpunktā paredzēto normu, kas paredz nodokļu atbrīvojumu šādai peļņai.</w:t>
            </w:r>
          </w:p>
          <w:p w:rsidR="002A5298" w:rsidRPr="007956F1" w:rsidRDefault="002A5298" w:rsidP="00624F2D">
            <w:pPr>
              <w:pStyle w:val="Normal1"/>
              <w:shd w:val="clear" w:color="auto" w:fill="FFFFFF"/>
              <w:spacing w:before="120" w:beforeAutospacing="0" w:after="0" w:afterAutospacing="0" w:line="312" w:lineRule="atLeast"/>
              <w:jc w:val="both"/>
              <w:textAlignment w:val="baseline"/>
              <w:rPr>
                <w:vanish/>
              </w:rPr>
            </w:pPr>
          </w:p>
          <w:p w:rsidR="006C4C8B" w:rsidRPr="007956F1" w:rsidRDefault="00AA24C6" w:rsidP="00624F2D">
            <w:pPr>
              <w:rPr>
                <w:shd w:val="clear" w:color="auto" w:fill="FFFFFF"/>
              </w:rPr>
            </w:pPr>
            <w:r w:rsidRPr="007956F1">
              <w:rPr>
                <w:shd w:val="clear" w:color="auto" w:fill="FFFFFF"/>
              </w:rPr>
              <w:t xml:space="preserve"> </w:t>
            </w:r>
          </w:p>
          <w:p w:rsidR="006C4C8B" w:rsidRPr="007956F1" w:rsidRDefault="00E904E0" w:rsidP="00624F2D">
            <w:pPr>
              <w:jc w:val="both"/>
            </w:pPr>
            <w:r w:rsidRPr="007956F1">
              <w:t>Direktīvas</w:t>
            </w:r>
            <w:r w:rsidR="006C4C8B" w:rsidRPr="007956F1">
              <w:t xml:space="preserve"> 3.panta 2.punktā dalībvalstīm noteikta</w:t>
            </w:r>
            <w:r w:rsidRPr="007956F1">
              <w:t>s</w:t>
            </w:r>
            <w:r w:rsidR="006C4C8B" w:rsidRPr="007956F1">
              <w:t xml:space="preserve"> izvēles tiesīb</w:t>
            </w:r>
            <w:r w:rsidRPr="007956F1">
              <w:t>as</w:t>
            </w:r>
            <w:r w:rsidR="006C4C8B" w:rsidRPr="007956F1">
              <w:t>:</w:t>
            </w:r>
          </w:p>
          <w:p w:rsidR="006C4C8B" w:rsidRPr="007956F1" w:rsidRDefault="006C4C8B" w:rsidP="00624F2D">
            <w:pPr>
              <w:jc w:val="both"/>
            </w:pPr>
            <w:r w:rsidRPr="007956F1">
              <w:t>a) nosl</w:t>
            </w:r>
            <w:r w:rsidRPr="007956F1">
              <w:rPr>
                <w:rFonts w:hint="eastAsia"/>
              </w:rPr>
              <w:t>ē</w:t>
            </w:r>
            <w:r w:rsidRPr="007956F1">
              <w:t>dzot divpus</w:t>
            </w:r>
            <w:r w:rsidRPr="007956F1">
              <w:rPr>
                <w:rFonts w:hint="eastAsia"/>
              </w:rPr>
              <w:t>ē</w:t>
            </w:r>
            <w:r w:rsidRPr="007956F1">
              <w:t>ju nol</w:t>
            </w:r>
            <w:r w:rsidRPr="007956F1">
              <w:rPr>
                <w:rFonts w:hint="eastAsia"/>
              </w:rPr>
              <w:t>ī</w:t>
            </w:r>
            <w:r w:rsidRPr="007956F1">
              <w:t>gumu, kapit</w:t>
            </w:r>
            <w:r w:rsidRPr="007956F1">
              <w:rPr>
                <w:rFonts w:hint="eastAsia"/>
              </w:rPr>
              <w:t>ā</w:t>
            </w:r>
            <w:r w:rsidRPr="007956F1">
              <w:t>la da</w:t>
            </w:r>
            <w:r w:rsidRPr="007956F1">
              <w:rPr>
                <w:rFonts w:hint="eastAsia"/>
              </w:rPr>
              <w:t>ļ</w:t>
            </w:r>
            <w:r w:rsidRPr="007956F1">
              <w:t>u krit</w:t>
            </w:r>
            <w:r w:rsidRPr="007956F1">
              <w:rPr>
                <w:rFonts w:hint="eastAsia"/>
              </w:rPr>
              <w:t>ē</w:t>
            </w:r>
            <w:r w:rsidRPr="007956F1">
              <w:t>riju aizst</w:t>
            </w:r>
            <w:r w:rsidRPr="007956F1">
              <w:rPr>
                <w:rFonts w:hint="eastAsia"/>
              </w:rPr>
              <w:t>ā</w:t>
            </w:r>
            <w:r w:rsidRPr="007956F1">
              <w:t>t ar balssties</w:t>
            </w:r>
            <w:r w:rsidRPr="007956F1">
              <w:rPr>
                <w:rFonts w:hint="eastAsia"/>
              </w:rPr>
              <w:t>ī</w:t>
            </w:r>
            <w:r w:rsidRPr="007956F1">
              <w:t>bu krit</w:t>
            </w:r>
            <w:r w:rsidRPr="007956F1">
              <w:rPr>
                <w:rFonts w:hint="eastAsia"/>
              </w:rPr>
              <w:t>ē</w:t>
            </w:r>
            <w:r w:rsidRPr="007956F1">
              <w:t>riju;</w:t>
            </w:r>
          </w:p>
          <w:p w:rsidR="006C4C8B" w:rsidRPr="007956F1" w:rsidRDefault="006C4C8B" w:rsidP="00624F2D">
            <w:pPr>
              <w:jc w:val="both"/>
            </w:pPr>
            <w:r w:rsidRPr="007956F1">
              <w:t>b) nepiem</w:t>
            </w:r>
            <w:r w:rsidRPr="007956F1">
              <w:rPr>
                <w:rFonts w:hint="eastAsia"/>
              </w:rPr>
              <w:t>ē</w:t>
            </w:r>
            <w:r w:rsidRPr="007956F1">
              <w:t xml:space="preserve">rot </w:t>
            </w:r>
            <w:r w:rsidRPr="007956F1">
              <w:rPr>
                <w:rFonts w:hint="eastAsia"/>
              </w:rPr>
              <w:t>š</w:t>
            </w:r>
            <w:r w:rsidRPr="007956F1">
              <w:t>o direkt</w:t>
            </w:r>
            <w:r w:rsidRPr="007956F1">
              <w:rPr>
                <w:rFonts w:hint="eastAsia"/>
              </w:rPr>
              <w:t>ī</w:t>
            </w:r>
            <w:r w:rsidRPr="007956F1">
              <w:t>vu min</w:t>
            </w:r>
            <w:r w:rsidRPr="007956F1">
              <w:rPr>
                <w:rFonts w:hint="eastAsia"/>
              </w:rPr>
              <w:t>ē</w:t>
            </w:r>
            <w:r w:rsidRPr="007956F1">
              <w:t>t</w:t>
            </w:r>
            <w:r w:rsidRPr="007956F1">
              <w:rPr>
                <w:rFonts w:hint="eastAsia"/>
              </w:rPr>
              <w:t>ā</w:t>
            </w:r>
            <w:r w:rsidRPr="007956F1">
              <w:t>s dal</w:t>
            </w:r>
            <w:r w:rsidRPr="007956F1">
              <w:rPr>
                <w:rFonts w:hint="eastAsia"/>
              </w:rPr>
              <w:t>ī</w:t>
            </w:r>
            <w:r w:rsidRPr="007956F1">
              <w:t>bvalsts uz</w:t>
            </w:r>
            <w:r w:rsidRPr="007956F1">
              <w:rPr>
                <w:rFonts w:hint="eastAsia"/>
              </w:rPr>
              <w:t>ņē</w:t>
            </w:r>
            <w:r w:rsidRPr="007956F1">
              <w:t>m</w:t>
            </w:r>
            <w:r w:rsidRPr="007956F1">
              <w:rPr>
                <w:rFonts w:hint="eastAsia"/>
              </w:rPr>
              <w:t>ē</w:t>
            </w:r>
            <w:r w:rsidRPr="007956F1">
              <w:t>jsabiedr</w:t>
            </w:r>
            <w:r w:rsidRPr="007956F1">
              <w:rPr>
                <w:rFonts w:hint="eastAsia"/>
              </w:rPr>
              <w:t>ī</w:t>
            </w:r>
            <w:r w:rsidRPr="007956F1">
              <w:t>b</w:t>
            </w:r>
            <w:r w:rsidRPr="007956F1">
              <w:rPr>
                <w:rFonts w:hint="eastAsia"/>
              </w:rPr>
              <w:t>ā</w:t>
            </w:r>
            <w:r w:rsidRPr="007956F1">
              <w:t>m, kas vismaz divus gadus nep</w:t>
            </w:r>
            <w:r w:rsidRPr="007956F1">
              <w:rPr>
                <w:rFonts w:hint="eastAsia"/>
              </w:rPr>
              <w:t>ā</w:t>
            </w:r>
            <w:r w:rsidRPr="007956F1">
              <w:t>rtraukti nesaglab</w:t>
            </w:r>
            <w:r w:rsidRPr="007956F1">
              <w:rPr>
                <w:rFonts w:hint="eastAsia"/>
              </w:rPr>
              <w:t>ā</w:t>
            </w:r>
            <w:r w:rsidRPr="007956F1">
              <w:t xml:space="preserve"> kapit</w:t>
            </w:r>
            <w:r w:rsidRPr="007956F1">
              <w:rPr>
                <w:rFonts w:hint="eastAsia"/>
              </w:rPr>
              <w:t>ā</w:t>
            </w:r>
            <w:r w:rsidRPr="007956F1">
              <w:t>la da</w:t>
            </w:r>
            <w:r w:rsidRPr="007956F1">
              <w:rPr>
                <w:rFonts w:hint="eastAsia"/>
              </w:rPr>
              <w:t>ļ</w:t>
            </w:r>
            <w:r w:rsidRPr="007956F1">
              <w:t>u, kuras d</w:t>
            </w:r>
            <w:r w:rsidRPr="007956F1">
              <w:rPr>
                <w:rFonts w:hint="eastAsia"/>
              </w:rPr>
              <w:t>ēļ</w:t>
            </w:r>
            <w:r w:rsidRPr="007956F1">
              <w:t xml:space="preserve"> t</w:t>
            </w:r>
            <w:r w:rsidRPr="007956F1">
              <w:rPr>
                <w:rFonts w:hint="eastAsia"/>
              </w:rPr>
              <w:t>ā</w:t>
            </w:r>
            <w:r w:rsidRPr="007956F1">
              <w:t>s var uzskat</w:t>
            </w:r>
            <w:r w:rsidRPr="007956F1">
              <w:rPr>
                <w:rFonts w:hint="eastAsia"/>
              </w:rPr>
              <w:t>ī</w:t>
            </w:r>
            <w:r w:rsidRPr="007956F1">
              <w:t xml:space="preserve">t par </w:t>
            </w:r>
            <w:proofErr w:type="spellStart"/>
            <w:r w:rsidRPr="007956F1">
              <w:t>m</w:t>
            </w:r>
            <w:r w:rsidRPr="007956F1">
              <w:rPr>
                <w:rFonts w:hint="eastAsia"/>
              </w:rPr>
              <w:t>ā</w:t>
            </w:r>
            <w:r w:rsidRPr="007956F1">
              <w:t>tesuz</w:t>
            </w:r>
            <w:r w:rsidRPr="007956F1">
              <w:rPr>
                <w:rFonts w:hint="eastAsia"/>
              </w:rPr>
              <w:t>ņē</w:t>
            </w:r>
            <w:r w:rsidRPr="007956F1">
              <w:t>mumiem</w:t>
            </w:r>
            <w:proofErr w:type="spellEnd"/>
            <w:r w:rsidRPr="007956F1">
              <w:t>, vai t</w:t>
            </w:r>
            <w:r w:rsidRPr="007956F1">
              <w:rPr>
                <w:rFonts w:hint="eastAsia"/>
              </w:rPr>
              <w:t>ā</w:t>
            </w:r>
            <w:r w:rsidRPr="007956F1">
              <w:t>m uz</w:t>
            </w:r>
            <w:r w:rsidRPr="007956F1">
              <w:rPr>
                <w:rFonts w:hint="eastAsia"/>
              </w:rPr>
              <w:t>ņē</w:t>
            </w:r>
            <w:r w:rsidRPr="007956F1">
              <w:t>m</w:t>
            </w:r>
            <w:r w:rsidRPr="007956F1">
              <w:rPr>
                <w:rFonts w:hint="eastAsia"/>
              </w:rPr>
              <w:t>ē</w:t>
            </w:r>
            <w:r w:rsidRPr="007956F1">
              <w:t>jsabiedr</w:t>
            </w:r>
            <w:r w:rsidRPr="007956F1">
              <w:rPr>
                <w:rFonts w:hint="eastAsia"/>
              </w:rPr>
              <w:t>ī</w:t>
            </w:r>
            <w:r w:rsidRPr="007956F1">
              <w:t>b</w:t>
            </w:r>
            <w:r w:rsidRPr="007956F1">
              <w:rPr>
                <w:rFonts w:hint="eastAsia"/>
              </w:rPr>
              <w:t>ā</w:t>
            </w:r>
            <w:r w:rsidRPr="007956F1">
              <w:t>m, kur</w:t>
            </w:r>
            <w:r w:rsidRPr="007956F1">
              <w:rPr>
                <w:rFonts w:hint="eastAsia"/>
              </w:rPr>
              <w:t>ā</w:t>
            </w:r>
            <w:r w:rsidRPr="007956F1">
              <w:t>s citas dal</w:t>
            </w:r>
            <w:r w:rsidRPr="007956F1">
              <w:rPr>
                <w:rFonts w:hint="eastAsia"/>
              </w:rPr>
              <w:t>ī</w:t>
            </w:r>
            <w:r w:rsidRPr="007956F1">
              <w:t>bvalsts uz</w:t>
            </w:r>
            <w:r w:rsidRPr="007956F1">
              <w:rPr>
                <w:rFonts w:hint="eastAsia"/>
              </w:rPr>
              <w:t>ņē</w:t>
            </w:r>
            <w:r w:rsidRPr="007956F1">
              <w:t>m</w:t>
            </w:r>
            <w:r w:rsidRPr="007956F1">
              <w:rPr>
                <w:rFonts w:hint="eastAsia"/>
              </w:rPr>
              <w:t>ē</w:t>
            </w:r>
            <w:r w:rsidRPr="007956F1">
              <w:t>jsabiedr</w:t>
            </w:r>
            <w:r w:rsidRPr="007956F1">
              <w:rPr>
                <w:rFonts w:hint="eastAsia"/>
              </w:rPr>
              <w:t>ī</w:t>
            </w:r>
            <w:r w:rsidRPr="007956F1">
              <w:t>bas nesaglab</w:t>
            </w:r>
            <w:r w:rsidRPr="007956F1">
              <w:rPr>
                <w:rFonts w:hint="eastAsia"/>
              </w:rPr>
              <w:t>ā</w:t>
            </w:r>
            <w:r w:rsidRPr="007956F1">
              <w:t xml:space="preserve"> </w:t>
            </w:r>
            <w:r w:rsidRPr="007956F1">
              <w:rPr>
                <w:rFonts w:hint="eastAsia"/>
              </w:rPr>
              <w:t>šā</w:t>
            </w:r>
            <w:r w:rsidRPr="007956F1">
              <w:t>du kapit</w:t>
            </w:r>
            <w:r w:rsidRPr="007956F1">
              <w:rPr>
                <w:rFonts w:hint="eastAsia"/>
              </w:rPr>
              <w:t>ā</w:t>
            </w:r>
            <w:r w:rsidRPr="007956F1">
              <w:t>la da</w:t>
            </w:r>
            <w:r w:rsidRPr="007956F1">
              <w:rPr>
                <w:rFonts w:hint="eastAsia"/>
              </w:rPr>
              <w:t>ļ</w:t>
            </w:r>
            <w:r w:rsidRPr="007956F1">
              <w:t>u nep</w:t>
            </w:r>
            <w:r w:rsidRPr="007956F1">
              <w:rPr>
                <w:rFonts w:hint="eastAsia"/>
              </w:rPr>
              <w:t>ā</w:t>
            </w:r>
            <w:r w:rsidRPr="007956F1">
              <w:t>rtraukti vismaz divus gadus</w:t>
            </w:r>
            <w:r w:rsidR="00E904E0" w:rsidRPr="007956F1">
              <w:t>.</w:t>
            </w:r>
          </w:p>
          <w:p w:rsidR="00E904E0" w:rsidRPr="007956F1" w:rsidRDefault="00E904E0" w:rsidP="00624F2D">
            <w:pPr>
              <w:jc w:val="both"/>
            </w:pPr>
          </w:p>
          <w:p w:rsidR="00E904E0" w:rsidRPr="007956F1" w:rsidRDefault="00E904E0" w:rsidP="00624F2D">
            <w:pPr>
              <w:jc w:val="both"/>
            </w:pPr>
            <w:r w:rsidRPr="007956F1">
              <w:t>Turpretim, Latvija nepiemēro ne minētajā punktā noteikto līdzdalības slieksni, ne arī divu gadu turēšanas periodu.</w:t>
            </w:r>
          </w:p>
          <w:p w:rsidR="006C4C8B" w:rsidRPr="007956F1" w:rsidRDefault="006C4C8B" w:rsidP="00624F2D">
            <w:pPr>
              <w:jc w:val="both"/>
              <w:rPr>
                <w:shd w:val="clear" w:color="auto" w:fill="FFFFFF"/>
              </w:rPr>
            </w:pPr>
            <w:r w:rsidRPr="007956F1">
              <w:t xml:space="preserve"> </w:t>
            </w:r>
          </w:p>
          <w:p w:rsidR="006C4C8B" w:rsidRPr="007956F1" w:rsidRDefault="006C4C8B" w:rsidP="006C4C8B">
            <w:pPr>
              <w:rPr>
                <w:vanish/>
              </w:rPr>
            </w:pPr>
          </w:p>
          <w:p w:rsidR="006C4C8B" w:rsidRPr="007956F1" w:rsidRDefault="006C4C8B" w:rsidP="00AA24C6"/>
          <w:p w:rsidR="007F42F1" w:rsidRPr="007956F1" w:rsidRDefault="007F42F1" w:rsidP="00AA24C6"/>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7F42F1" w:rsidRPr="007956F1" w:rsidRDefault="007F42F1" w:rsidP="007F42F1">
            <w:pPr>
              <w:jc w:val="both"/>
              <w:rPr>
                <w:rFonts w:ascii="Calibri" w:hAnsi="Calibri"/>
              </w:rPr>
            </w:pPr>
            <w:r w:rsidRPr="007956F1">
              <w:rPr>
                <w:spacing w:val="-6"/>
              </w:rPr>
              <w:t xml:space="preserve">Saistības sniegt paziņojumu ES institūcijām un ES dalībvalstīm atbilstoši normatīvajiem aktiem, kas regulē informācijas sniegšanu par tehnisko noteikumu, valsts atbalsta piešķiršanas un finanšu noteikumu (attiecībā uz </w:t>
            </w:r>
            <w:proofErr w:type="spellStart"/>
            <w:r w:rsidRPr="007956F1">
              <w:rPr>
                <w:spacing w:val="-6"/>
              </w:rPr>
              <w:t>monetāropolitiku</w:t>
            </w:r>
            <w:proofErr w:type="spellEnd"/>
            <w:r w:rsidRPr="007956F1">
              <w:rPr>
                <w:spacing w:val="-6"/>
              </w:rPr>
              <w:t>) projektiem</w:t>
            </w:r>
          </w:p>
        </w:tc>
        <w:tc>
          <w:tcPr>
            <w:tcW w:w="7040" w:type="dxa"/>
            <w:gridSpan w:val="4"/>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7F42F1" w:rsidRPr="007956F1" w:rsidRDefault="007F42F1" w:rsidP="007F42F1">
            <w:pPr>
              <w:rPr>
                <w:rFonts w:ascii="Calibri" w:hAnsi="Calibri"/>
              </w:rPr>
            </w:pPr>
            <w:r w:rsidRPr="007956F1">
              <w:t>Projekts šo jomu neskar.</w:t>
            </w:r>
          </w:p>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F42F1" w:rsidRPr="007956F1" w:rsidRDefault="007F42F1" w:rsidP="007F42F1">
            <w:r w:rsidRPr="007956F1">
              <w:t>Cita informācija</w:t>
            </w:r>
          </w:p>
        </w:tc>
        <w:tc>
          <w:tcPr>
            <w:tcW w:w="704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F42F1" w:rsidRPr="007956F1" w:rsidRDefault="007F42F1" w:rsidP="007F42F1">
            <w:pPr>
              <w:jc w:val="both"/>
            </w:pPr>
            <w:r w:rsidRPr="007956F1">
              <w:t>Nav.</w:t>
            </w:r>
          </w:p>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9782"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42F1" w:rsidRPr="007956F1" w:rsidRDefault="007F42F1" w:rsidP="007F42F1">
            <w:pPr>
              <w:pStyle w:val="naisc"/>
              <w:spacing w:before="0" w:after="0"/>
              <w:rPr>
                <w:b/>
                <w:sz w:val="24"/>
                <w:szCs w:val="24"/>
              </w:rPr>
            </w:pPr>
          </w:p>
          <w:p w:rsidR="007F42F1" w:rsidRPr="007956F1" w:rsidRDefault="007F42F1" w:rsidP="007F42F1">
            <w:pPr>
              <w:pStyle w:val="naisc"/>
              <w:spacing w:before="0" w:after="0"/>
              <w:rPr>
                <w:b/>
                <w:sz w:val="24"/>
                <w:szCs w:val="24"/>
              </w:rPr>
            </w:pPr>
            <w:r w:rsidRPr="007956F1">
              <w:rPr>
                <w:b/>
                <w:sz w:val="24"/>
                <w:szCs w:val="24"/>
              </w:rPr>
              <w:t>2.tabula</w:t>
            </w:r>
          </w:p>
          <w:p w:rsidR="007F42F1" w:rsidRPr="007956F1" w:rsidRDefault="007F42F1" w:rsidP="007F42F1">
            <w:pPr>
              <w:pStyle w:val="naisc"/>
              <w:spacing w:before="0" w:after="0"/>
              <w:rPr>
                <w:b/>
                <w:sz w:val="24"/>
                <w:szCs w:val="24"/>
              </w:rPr>
            </w:pPr>
            <w:r w:rsidRPr="007956F1">
              <w:rPr>
                <w:b/>
                <w:sz w:val="24"/>
                <w:szCs w:val="24"/>
              </w:rPr>
              <w:t>Ar tiesību akta projektu izpildītās vai uzņemtās saistības, kas izriet no starptautiskajiem tiesību aktiem vai starptautiskas institūcijas vai organizācijas dokumentiem.</w:t>
            </w:r>
          </w:p>
          <w:p w:rsidR="007F42F1" w:rsidRPr="007956F1" w:rsidRDefault="007F42F1" w:rsidP="007F42F1">
            <w:pPr>
              <w:jc w:val="center"/>
            </w:pPr>
            <w:r w:rsidRPr="007956F1">
              <w:rPr>
                <w:b/>
              </w:rPr>
              <w:t>Pasākumi šo saistību izpildei</w:t>
            </w:r>
          </w:p>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9782"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42F1" w:rsidRPr="007956F1" w:rsidRDefault="007F42F1" w:rsidP="007F42F1">
            <w:pPr>
              <w:jc w:val="center"/>
            </w:pPr>
          </w:p>
          <w:p w:rsidR="007F42F1" w:rsidRPr="007956F1" w:rsidRDefault="007F42F1" w:rsidP="007F42F1">
            <w:pPr>
              <w:jc w:val="center"/>
            </w:pPr>
            <w:r w:rsidRPr="007956F1">
              <w:t>Projekts šo jomu neskar</w:t>
            </w:r>
          </w:p>
        </w:tc>
      </w:tr>
    </w:tbl>
    <w:p w:rsidR="0033652A" w:rsidRPr="007956F1" w:rsidRDefault="0033652A" w:rsidP="002431AC">
      <w:pPr>
        <w:rPr>
          <w:sz w:val="28"/>
          <w:szCs w:val="28"/>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40"/>
        <w:gridCol w:w="2810"/>
        <w:gridCol w:w="6600"/>
      </w:tblGrid>
      <w:tr w:rsidR="007956F1" w:rsidRPr="007956F1" w:rsidTr="0098659D">
        <w:trPr>
          <w:trHeight w:val="381"/>
          <w:jc w:val="center"/>
        </w:trPr>
        <w:tc>
          <w:tcPr>
            <w:tcW w:w="9750" w:type="dxa"/>
            <w:gridSpan w:val="3"/>
            <w:vAlign w:val="center"/>
          </w:tcPr>
          <w:p w:rsidR="008078B8" w:rsidRPr="007956F1" w:rsidRDefault="008078B8" w:rsidP="002431AC">
            <w:pPr>
              <w:jc w:val="center"/>
            </w:pPr>
            <w:r w:rsidRPr="007956F1">
              <w:rPr>
                <w:b/>
              </w:rPr>
              <w:t>VI. Tiesību akta projekta izpildes nodrošināšana un tās ietekme uz institūcijām</w:t>
            </w:r>
          </w:p>
        </w:tc>
      </w:tr>
      <w:tr w:rsidR="007956F1" w:rsidRPr="007956F1" w:rsidTr="0098659D">
        <w:trPr>
          <w:trHeight w:val="427"/>
          <w:jc w:val="center"/>
        </w:trPr>
        <w:tc>
          <w:tcPr>
            <w:tcW w:w="340" w:type="dxa"/>
          </w:tcPr>
          <w:p w:rsidR="008078B8" w:rsidRPr="007956F1" w:rsidRDefault="008078B8" w:rsidP="002431AC">
            <w:r w:rsidRPr="007956F1">
              <w:t>1.</w:t>
            </w:r>
          </w:p>
        </w:tc>
        <w:tc>
          <w:tcPr>
            <w:tcW w:w="2810" w:type="dxa"/>
          </w:tcPr>
          <w:p w:rsidR="008078B8" w:rsidRPr="007956F1" w:rsidRDefault="008078B8" w:rsidP="002431AC">
            <w:r w:rsidRPr="007956F1">
              <w:t>Plānotās sabiedrības līdzdalības un komunikācijas aktivitātes saistībā ar projektu</w:t>
            </w:r>
          </w:p>
        </w:tc>
        <w:tc>
          <w:tcPr>
            <w:tcW w:w="6600" w:type="dxa"/>
          </w:tcPr>
          <w:p w:rsidR="008078B8" w:rsidRPr="007956F1" w:rsidRDefault="00EE3D21" w:rsidP="002F58EC">
            <w:pPr>
              <w:jc w:val="both"/>
            </w:pPr>
            <w:r w:rsidRPr="007956F1">
              <w:t>Projekts šo jomu neskar.</w:t>
            </w:r>
          </w:p>
        </w:tc>
      </w:tr>
      <w:tr w:rsidR="007956F1" w:rsidRPr="007956F1" w:rsidTr="00967857">
        <w:trPr>
          <w:trHeight w:val="463"/>
          <w:jc w:val="center"/>
        </w:trPr>
        <w:tc>
          <w:tcPr>
            <w:tcW w:w="340" w:type="dxa"/>
          </w:tcPr>
          <w:p w:rsidR="008078B8" w:rsidRPr="007956F1" w:rsidRDefault="008078B8" w:rsidP="002431AC">
            <w:r w:rsidRPr="007956F1">
              <w:t>2.</w:t>
            </w:r>
          </w:p>
        </w:tc>
        <w:tc>
          <w:tcPr>
            <w:tcW w:w="2810" w:type="dxa"/>
            <w:shd w:val="clear" w:color="auto" w:fill="auto"/>
          </w:tcPr>
          <w:p w:rsidR="008078B8" w:rsidRPr="007956F1" w:rsidRDefault="008078B8" w:rsidP="002431AC">
            <w:r w:rsidRPr="007956F1">
              <w:t>Sabiedrības līdzdalība projekta izstrādē</w:t>
            </w:r>
          </w:p>
        </w:tc>
        <w:tc>
          <w:tcPr>
            <w:tcW w:w="6600" w:type="dxa"/>
            <w:shd w:val="clear" w:color="auto" w:fill="auto"/>
          </w:tcPr>
          <w:p w:rsidR="008078B8" w:rsidRPr="007956F1" w:rsidRDefault="0048077E" w:rsidP="00F8080B">
            <w:pPr>
              <w:jc w:val="both"/>
            </w:pPr>
            <w:r w:rsidRPr="007956F1">
              <w:t xml:space="preserve">Likumprojekta izstrāde veikta sadarbībā ar </w:t>
            </w:r>
            <w:r w:rsidRPr="007956F1">
              <w:rPr>
                <w:bCs/>
              </w:rPr>
              <w:t>Nacionālā</w:t>
            </w:r>
            <w:r w:rsidR="00F8080B" w:rsidRPr="007956F1">
              <w:rPr>
                <w:bCs/>
              </w:rPr>
              <w:t>s</w:t>
            </w:r>
            <w:r w:rsidRPr="007956F1">
              <w:rPr>
                <w:bCs/>
              </w:rPr>
              <w:t xml:space="preserve"> trīspusējās sadarbības padomes pārstāvjiem,</w:t>
            </w:r>
            <w:r w:rsidRPr="007956F1">
              <w:t xml:space="preserve"> Latvijas Tirdzniecības un rūpniecības kameru, </w:t>
            </w:r>
            <w:r w:rsidRPr="007956F1">
              <w:rPr>
                <w:rFonts w:eastAsiaTheme="minorHAnsi" w:cstheme="minorBidi"/>
                <w:lang w:eastAsia="en-US"/>
              </w:rPr>
              <w:t>Latvijas Komercbanku asociācij</w:t>
            </w:r>
            <w:r w:rsidR="00F8080B" w:rsidRPr="007956F1">
              <w:rPr>
                <w:rFonts w:eastAsiaTheme="minorHAnsi" w:cstheme="minorBidi"/>
                <w:lang w:eastAsia="en-US"/>
              </w:rPr>
              <w:t>u</w:t>
            </w:r>
            <w:r w:rsidRPr="007956F1">
              <w:rPr>
                <w:rFonts w:eastAsiaTheme="minorHAnsi" w:cstheme="minorBidi"/>
                <w:lang w:eastAsia="en-US"/>
              </w:rPr>
              <w:t xml:space="preserve">, </w:t>
            </w:r>
            <w:r w:rsidRPr="007956F1">
              <w:t xml:space="preserve">un citām </w:t>
            </w:r>
            <w:r w:rsidR="00F8080B" w:rsidRPr="007956F1">
              <w:t>n</w:t>
            </w:r>
            <w:r w:rsidRPr="007956F1">
              <w:t>evalstiskajām organizācijām.</w:t>
            </w:r>
          </w:p>
        </w:tc>
      </w:tr>
      <w:tr w:rsidR="007956F1" w:rsidRPr="007956F1" w:rsidTr="0098659D">
        <w:trPr>
          <w:trHeight w:val="283"/>
          <w:jc w:val="center"/>
        </w:trPr>
        <w:tc>
          <w:tcPr>
            <w:tcW w:w="340" w:type="dxa"/>
            <w:tcBorders>
              <w:top w:val="single" w:sz="4" w:space="0" w:color="auto"/>
              <w:left w:val="single" w:sz="4" w:space="0" w:color="auto"/>
              <w:bottom w:val="single" w:sz="4" w:space="0" w:color="auto"/>
              <w:right w:val="single" w:sz="4" w:space="0" w:color="auto"/>
            </w:tcBorders>
          </w:tcPr>
          <w:p w:rsidR="007A4206" w:rsidRPr="007956F1" w:rsidRDefault="007A4206" w:rsidP="007A4206">
            <w:r w:rsidRPr="007956F1">
              <w:t>3.</w:t>
            </w:r>
          </w:p>
        </w:tc>
        <w:tc>
          <w:tcPr>
            <w:tcW w:w="2810" w:type="dxa"/>
            <w:tcBorders>
              <w:top w:val="single" w:sz="4" w:space="0" w:color="auto"/>
              <w:left w:val="single" w:sz="4" w:space="0" w:color="auto"/>
              <w:bottom w:val="single" w:sz="4" w:space="0" w:color="auto"/>
              <w:right w:val="single" w:sz="4" w:space="0" w:color="auto"/>
            </w:tcBorders>
          </w:tcPr>
          <w:p w:rsidR="007A4206" w:rsidRPr="007956F1" w:rsidRDefault="007A4206" w:rsidP="007A4206">
            <w:r w:rsidRPr="007956F1">
              <w:t>Sabiedrības līdzdalības rezultāti</w:t>
            </w:r>
          </w:p>
        </w:tc>
        <w:tc>
          <w:tcPr>
            <w:tcW w:w="6600" w:type="dxa"/>
            <w:tcBorders>
              <w:top w:val="single" w:sz="4" w:space="0" w:color="auto"/>
              <w:left w:val="single" w:sz="4" w:space="0" w:color="auto"/>
              <w:bottom w:val="single" w:sz="4" w:space="0" w:color="auto"/>
              <w:right w:val="single" w:sz="4" w:space="0" w:color="auto"/>
            </w:tcBorders>
          </w:tcPr>
          <w:p w:rsidR="007A4206" w:rsidRPr="007956F1" w:rsidRDefault="00F8080B" w:rsidP="00F8080B">
            <w:pPr>
              <w:jc w:val="both"/>
            </w:pPr>
            <w:r w:rsidRPr="007956F1">
              <w:t xml:space="preserve">Likumprojekts tā izstrādes procesā tika pilnveidots ņemot vērā </w:t>
            </w:r>
            <w:r w:rsidRPr="007956F1">
              <w:rPr>
                <w:bCs/>
              </w:rPr>
              <w:t>Nacionālā trīspusējās sadarbības padomes pārstāvju,</w:t>
            </w:r>
            <w:r w:rsidRPr="007956F1">
              <w:t xml:space="preserve"> Latvijas Tirdzniecības un rūpniecības kameras, </w:t>
            </w:r>
            <w:r w:rsidRPr="007956F1">
              <w:rPr>
                <w:rFonts w:eastAsiaTheme="minorHAnsi" w:cstheme="minorBidi"/>
                <w:lang w:eastAsia="en-US"/>
              </w:rPr>
              <w:t xml:space="preserve">Latvijas Komercbanku asociācijas, </w:t>
            </w:r>
            <w:r w:rsidRPr="007956F1">
              <w:t>un citu nevalstisko organizāciju izteiktos iebildumus un priekšlikumu.</w:t>
            </w:r>
          </w:p>
        </w:tc>
      </w:tr>
      <w:tr w:rsidR="007A4206" w:rsidRPr="007956F1" w:rsidTr="003E7787">
        <w:trPr>
          <w:trHeight w:val="279"/>
          <w:jc w:val="center"/>
        </w:trPr>
        <w:tc>
          <w:tcPr>
            <w:tcW w:w="340" w:type="dxa"/>
          </w:tcPr>
          <w:p w:rsidR="007A4206" w:rsidRPr="007956F1" w:rsidRDefault="007A4206" w:rsidP="007A4206">
            <w:r w:rsidRPr="007956F1">
              <w:t>4.</w:t>
            </w:r>
          </w:p>
        </w:tc>
        <w:tc>
          <w:tcPr>
            <w:tcW w:w="2810" w:type="dxa"/>
          </w:tcPr>
          <w:p w:rsidR="007A4206" w:rsidRPr="007956F1" w:rsidRDefault="007A4206" w:rsidP="007A4206">
            <w:r w:rsidRPr="007956F1">
              <w:t>Cita informācija</w:t>
            </w:r>
          </w:p>
        </w:tc>
        <w:tc>
          <w:tcPr>
            <w:tcW w:w="6600" w:type="dxa"/>
          </w:tcPr>
          <w:p w:rsidR="007A4206" w:rsidRPr="007956F1" w:rsidRDefault="007A4206" w:rsidP="007A4206">
            <w:r w:rsidRPr="007956F1">
              <w:t>Nav.</w:t>
            </w:r>
          </w:p>
        </w:tc>
      </w:tr>
    </w:tbl>
    <w:p w:rsidR="008078B8" w:rsidRPr="007956F1" w:rsidRDefault="008078B8" w:rsidP="002431AC">
      <w:pPr>
        <w:rPr>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7"/>
        <w:gridCol w:w="2606"/>
        <w:gridCol w:w="6647"/>
      </w:tblGrid>
      <w:tr w:rsidR="007956F1" w:rsidRPr="007956F1" w:rsidTr="0098659D">
        <w:trPr>
          <w:trHeight w:val="381"/>
          <w:jc w:val="center"/>
        </w:trPr>
        <w:tc>
          <w:tcPr>
            <w:tcW w:w="9720" w:type="dxa"/>
            <w:gridSpan w:val="3"/>
            <w:vAlign w:val="center"/>
          </w:tcPr>
          <w:p w:rsidR="008078B8" w:rsidRPr="007956F1" w:rsidRDefault="008078B8" w:rsidP="002431AC">
            <w:pPr>
              <w:pStyle w:val="naisnod"/>
              <w:spacing w:before="0" w:after="0"/>
              <w:ind w:left="57" w:right="57"/>
              <w:rPr>
                <w:lang w:val="lv-LV"/>
              </w:rPr>
            </w:pPr>
            <w:r w:rsidRPr="007956F1">
              <w:rPr>
                <w:lang w:val="lv-LV"/>
              </w:rPr>
              <w:t>VII. Tiesību akta projekta izpildes nodrošināšana un tās ietekme uz institūcijām</w:t>
            </w:r>
          </w:p>
        </w:tc>
      </w:tr>
      <w:tr w:rsidR="007956F1" w:rsidRPr="007956F1" w:rsidTr="0098659D">
        <w:trPr>
          <w:trHeight w:val="427"/>
          <w:jc w:val="center"/>
        </w:trPr>
        <w:tc>
          <w:tcPr>
            <w:tcW w:w="467" w:type="dxa"/>
          </w:tcPr>
          <w:p w:rsidR="008078B8" w:rsidRPr="007956F1" w:rsidRDefault="008078B8" w:rsidP="002431AC">
            <w:pPr>
              <w:pStyle w:val="naisnod"/>
              <w:spacing w:before="0" w:after="0"/>
              <w:ind w:left="57" w:right="57"/>
              <w:jc w:val="both"/>
              <w:rPr>
                <w:b w:val="0"/>
                <w:lang w:val="lv-LV"/>
              </w:rPr>
            </w:pPr>
            <w:r w:rsidRPr="007956F1">
              <w:rPr>
                <w:b w:val="0"/>
                <w:lang w:val="lv-LV"/>
              </w:rPr>
              <w:t>1.</w:t>
            </w:r>
          </w:p>
        </w:tc>
        <w:tc>
          <w:tcPr>
            <w:tcW w:w="2606" w:type="dxa"/>
          </w:tcPr>
          <w:p w:rsidR="008078B8" w:rsidRPr="007956F1" w:rsidRDefault="008078B8" w:rsidP="00C22BA0">
            <w:pPr>
              <w:pStyle w:val="naisf"/>
              <w:spacing w:before="0" w:after="0"/>
              <w:ind w:left="57" w:right="57" w:firstLine="0"/>
            </w:pPr>
            <w:r w:rsidRPr="007956F1">
              <w:t>Projekta izpildē iesaistītās institūcijas</w:t>
            </w:r>
          </w:p>
        </w:tc>
        <w:tc>
          <w:tcPr>
            <w:tcW w:w="6647" w:type="dxa"/>
          </w:tcPr>
          <w:p w:rsidR="008078B8" w:rsidRPr="007956F1" w:rsidRDefault="005563EC" w:rsidP="005563EC">
            <w:pPr>
              <w:shd w:val="clear" w:color="auto" w:fill="FFFFFF"/>
              <w:jc w:val="both"/>
            </w:pPr>
            <w:r w:rsidRPr="007956F1">
              <w:rPr>
                <w:iCs/>
              </w:rPr>
              <w:t>Valsts ieņēmumu dienests.</w:t>
            </w:r>
          </w:p>
        </w:tc>
      </w:tr>
      <w:tr w:rsidR="007956F1" w:rsidRPr="007956F1" w:rsidTr="0098659D">
        <w:trPr>
          <w:trHeight w:val="463"/>
          <w:jc w:val="center"/>
        </w:trPr>
        <w:tc>
          <w:tcPr>
            <w:tcW w:w="467" w:type="dxa"/>
          </w:tcPr>
          <w:p w:rsidR="008078B8" w:rsidRPr="007956F1" w:rsidRDefault="008078B8" w:rsidP="002431AC">
            <w:pPr>
              <w:pStyle w:val="naisnod"/>
              <w:spacing w:before="0" w:after="0"/>
              <w:ind w:left="57" w:right="57"/>
              <w:jc w:val="both"/>
              <w:rPr>
                <w:b w:val="0"/>
                <w:lang w:val="lv-LV"/>
              </w:rPr>
            </w:pPr>
            <w:r w:rsidRPr="007956F1">
              <w:rPr>
                <w:b w:val="0"/>
                <w:lang w:val="lv-LV"/>
              </w:rPr>
              <w:t>2.</w:t>
            </w:r>
          </w:p>
        </w:tc>
        <w:tc>
          <w:tcPr>
            <w:tcW w:w="2606" w:type="dxa"/>
          </w:tcPr>
          <w:p w:rsidR="008078B8" w:rsidRPr="007956F1" w:rsidRDefault="008078B8" w:rsidP="00C22BA0">
            <w:pPr>
              <w:pStyle w:val="naisf"/>
              <w:spacing w:before="0" w:after="0"/>
              <w:ind w:left="57" w:right="57" w:firstLine="0"/>
            </w:pPr>
            <w:r w:rsidRPr="007956F1">
              <w:t>Projekta izpildes ietekme uz pār</w:t>
            </w:r>
            <w:r w:rsidRPr="007956F1">
              <w:softHyphen/>
              <w:t>valdes funkcijām un institucionālo struktūru.</w:t>
            </w:r>
          </w:p>
          <w:p w:rsidR="008078B8" w:rsidRPr="007956F1" w:rsidRDefault="008078B8" w:rsidP="00C22BA0">
            <w:pPr>
              <w:pStyle w:val="naisf"/>
              <w:spacing w:before="0" w:after="0"/>
              <w:ind w:left="57" w:right="57" w:firstLine="0"/>
            </w:pPr>
            <w:r w:rsidRPr="007956F1">
              <w:t>Jaunu institūciju izveide, esošu institūciju likvidācija vai reorga</w:t>
            </w:r>
            <w:r w:rsidRPr="007956F1">
              <w:softHyphen/>
              <w:t>nizācija, to ietekme uz institūcijas cilvēkresursiem</w:t>
            </w:r>
          </w:p>
        </w:tc>
        <w:tc>
          <w:tcPr>
            <w:tcW w:w="6647" w:type="dxa"/>
          </w:tcPr>
          <w:p w:rsidR="001F4FF9" w:rsidRPr="007956F1" w:rsidRDefault="001F4FF9" w:rsidP="002431AC">
            <w:pPr>
              <w:shd w:val="clear" w:color="auto" w:fill="FFFFFF"/>
              <w:jc w:val="both"/>
            </w:pPr>
            <w:r w:rsidRPr="007956F1">
              <w:t>Funkcijas un uzdevumi netiek grozīti.</w:t>
            </w:r>
          </w:p>
          <w:p w:rsidR="001F4FF9" w:rsidRPr="007956F1" w:rsidRDefault="001F4FF9" w:rsidP="002431AC">
            <w:pPr>
              <w:shd w:val="clear" w:color="auto" w:fill="FFFFFF"/>
              <w:jc w:val="both"/>
            </w:pPr>
            <w:r w:rsidRPr="007956F1">
              <w:rPr>
                <w:rFonts w:eastAsia="Calibri"/>
                <w:lang w:eastAsia="en-US"/>
              </w:rPr>
              <w:t>Jaunas institūcijas nav nepieciešams izveidot.</w:t>
            </w:r>
          </w:p>
          <w:p w:rsidR="001F4FF9" w:rsidRPr="007956F1" w:rsidRDefault="001F4FF9" w:rsidP="002431AC">
            <w:pPr>
              <w:shd w:val="clear" w:color="auto" w:fill="FFFFFF"/>
              <w:jc w:val="both"/>
            </w:pPr>
            <w:r w:rsidRPr="007956F1">
              <w:rPr>
                <w:rFonts w:eastAsia="Calibri"/>
                <w:lang w:eastAsia="en-US"/>
              </w:rPr>
              <w:t>Nav plānota esošu institūciju likvidācija vai reorganizācija.</w:t>
            </w:r>
          </w:p>
          <w:p w:rsidR="008078B8" w:rsidRPr="007956F1" w:rsidRDefault="008078B8" w:rsidP="002431AC">
            <w:pPr>
              <w:shd w:val="clear" w:color="auto" w:fill="FFFFFF"/>
              <w:jc w:val="both"/>
            </w:pPr>
          </w:p>
          <w:p w:rsidR="008078B8" w:rsidRPr="007956F1" w:rsidRDefault="008078B8" w:rsidP="002431AC">
            <w:pPr>
              <w:shd w:val="clear" w:color="auto" w:fill="FFFFFF"/>
              <w:jc w:val="both"/>
            </w:pPr>
          </w:p>
        </w:tc>
      </w:tr>
      <w:tr w:rsidR="008078B8" w:rsidRPr="007956F1" w:rsidTr="0098659D">
        <w:trPr>
          <w:trHeight w:val="283"/>
          <w:jc w:val="center"/>
        </w:trPr>
        <w:tc>
          <w:tcPr>
            <w:tcW w:w="467" w:type="dxa"/>
            <w:tcBorders>
              <w:top w:val="single" w:sz="4" w:space="0" w:color="auto"/>
              <w:left w:val="single" w:sz="4" w:space="0" w:color="auto"/>
              <w:bottom w:val="single" w:sz="4" w:space="0" w:color="auto"/>
              <w:right w:val="single" w:sz="4" w:space="0" w:color="auto"/>
            </w:tcBorders>
          </w:tcPr>
          <w:p w:rsidR="008078B8" w:rsidRPr="007956F1" w:rsidRDefault="008078B8" w:rsidP="002431AC">
            <w:pPr>
              <w:pStyle w:val="naisnod"/>
              <w:spacing w:before="0" w:after="0"/>
              <w:ind w:left="57" w:right="57"/>
              <w:jc w:val="both"/>
              <w:rPr>
                <w:b w:val="0"/>
                <w:lang w:val="lv-LV"/>
              </w:rPr>
            </w:pPr>
            <w:r w:rsidRPr="007956F1">
              <w:rPr>
                <w:b w:val="0"/>
                <w:lang w:val="lv-LV"/>
              </w:rPr>
              <w:t>3.</w:t>
            </w:r>
          </w:p>
        </w:tc>
        <w:tc>
          <w:tcPr>
            <w:tcW w:w="2606" w:type="dxa"/>
            <w:tcBorders>
              <w:top w:val="single" w:sz="4" w:space="0" w:color="auto"/>
              <w:left w:val="single" w:sz="4" w:space="0" w:color="auto"/>
              <w:bottom w:val="single" w:sz="4" w:space="0" w:color="auto"/>
              <w:right w:val="single" w:sz="4" w:space="0" w:color="auto"/>
            </w:tcBorders>
          </w:tcPr>
          <w:p w:rsidR="008078B8" w:rsidRPr="007956F1" w:rsidRDefault="008078B8" w:rsidP="004A2D80">
            <w:pPr>
              <w:pStyle w:val="naisf"/>
              <w:spacing w:before="0" w:after="0"/>
              <w:ind w:right="57" w:firstLine="0"/>
            </w:pPr>
            <w:r w:rsidRPr="007956F1">
              <w:t>Cita informācija</w:t>
            </w:r>
          </w:p>
        </w:tc>
        <w:tc>
          <w:tcPr>
            <w:tcW w:w="6647" w:type="dxa"/>
            <w:tcBorders>
              <w:top w:val="single" w:sz="4" w:space="0" w:color="auto"/>
              <w:left w:val="single" w:sz="4" w:space="0" w:color="auto"/>
              <w:bottom w:val="single" w:sz="4" w:space="0" w:color="auto"/>
              <w:right w:val="single" w:sz="4" w:space="0" w:color="auto"/>
            </w:tcBorders>
          </w:tcPr>
          <w:p w:rsidR="008078B8" w:rsidRPr="007956F1" w:rsidRDefault="008078B8" w:rsidP="002431AC">
            <w:pPr>
              <w:ind w:right="57"/>
              <w:jc w:val="both"/>
            </w:pPr>
            <w:r w:rsidRPr="007956F1">
              <w:t>Nav.</w:t>
            </w:r>
          </w:p>
        </w:tc>
      </w:tr>
    </w:tbl>
    <w:p w:rsidR="00A43FDF" w:rsidRPr="007956F1" w:rsidRDefault="00A43FDF" w:rsidP="009A35C1">
      <w:pPr>
        <w:pStyle w:val="naisf"/>
        <w:tabs>
          <w:tab w:val="right" w:pos="9000"/>
        </w:tabs>
        <w:spacing w:before="0" w:after="0"/>
        <w:ind w:firstLine="709"/>
        <w:rPr>
          <w:sz w:val="28"/>
          <w:szCs w:val="28"/>
        </w:rPr>
      </w:pPr>
    </w:p>
    <w:p w:rsidR="00C5167A" w:rsidRPr="007956F1" w:rsidRDefault="00C5167A" w:rsidP="009A35C1">
      <w:pPr>
        <w:tabs>
          <w:tab w:val="left" w:pos="6521"/>
          <w:tab w:val="right" w:pos="8820"/>
        </w:tabs>
        <w:ind w:firstLine="709"/>
        <w:rPr>
          <w:sz w:val="28"/>
          <w:szCs w:val="28"/>
        </w:rPr>
      </w:pPr>
    </w:p>
    <w:p w:rsidR="00A43FDF" w:rsidRPr="007956F1" w:rsidRDefault="000B2D7B" w:rsidP="009A35C1">
      <w:pPr>
        <w:tabs>
          <w:tab w:val="left" w:pos="6521"/>
          <w:tab w:val="right" w:pos="8820"/>
        </w:tabs>
        <w:ind w:firstLine="709"/>
        <w:rPr>
          <w:sz w:val="28"/>
          <w:szCs w:val="28"/>
        </w:rPr>
      </w:pPr>
      <w:r w:rsidRPr="007956F1">
        <w:rPr>
          <w:sz w:val="28"/>
          <w:szCs w:val="28"/>
        </w:rPr>
        <w:t>Finanšu ministre</w:t>
      </w:r>
      <w:r w:rsidRPr="007956F1">
        <w:rPr>
          <w:sz w:val="28"/>
          <w:szCs w:val="28"/>
        </w:rPr>
        <w:tab/>
        <w:t xml:space="preserve">D. </w:t>
      </w:r>
      <w:r w:rsidR="00A43FDF" w:rsidRPr="007956F1">
        <w:rPr>
          <w:sz w:val="28"/>
          <w:szCs w:val="28"/>
        </w:rPr>
        <w:t>Reizniece</w:t>
      </w:r>
      <w:r w:rsidRPr="007956F1">
        <w:rPr>
          <w:sz w:val="28"/>
          <w:szCs w:val="28"/>
        </w:rPr>
        <w:t xml:space="preserve"> </w:t>
      </w:r>
      <w:r w:rsidR="00A43FDF" w:rsidRPr="007956F1">
        <w:rPr>
          <w:sz w:val="28"/>
          <w:szCs w:val="28"/>
        </w:rPr>
        <w:t>-</w:t>
      </w:r>
      <w:r w:rsidRPr="007956F1">
        <w:rPr>
          <w:sz w:val="28"/>
          <w:szCs w:val="28"/>
        </w:rPr>
        <w:t xml:space="preserve"> </w:t>
      </w:r>
      <w:r w:rsidR="00A43FDF" w:rsidRPr="007956F1">
        <w:rPr>
          <w:sz w:val="28"/>
          <w:szCs w:val="28"/>
        </w:rPr>
        <w:t>Ozola</w:t>
      </w:r>
    </w:p>
    <w:p w:rsidR="007A0B82" w:rsidRPr="007956F1" w:rsidRDefault="007A0B82" w:rsidP="002431AC">
      <w:pPr>
        <w:rPr>
          <w:iCs/>
          <w:sz w:val="20"/>
          <w:szCs w:val="20"/>
        </w:rPr>
      </w:pPr>
    </w:p>
    <w:p w:rsidR="00A43FDF" w:rsidRPr="007956F1" w:rsidRDefault="00A43FDF" w:rsidP="002431AC">
      <w:pPr>
        <w:jc w:val="both"/>
        <w:rPr>
          <w:sz w:val="20"/>
          <w:u w:val="single"/>
        </w:rPr>
      </w:pPr>
    </w:p>
    <w:p w:rsidR="00DA3E39" w:rsidRPr="007956F1" w:rsidRDefault="00DA3E39" w:rsidP="002431AC">
      <w:pPr>
        <w:jc w:val="both"/>
        <w:rPr>
          <w:sz w:val="20"/>
          <w:u w:val="single"/>
        </w:rPr>
      </w:pPr>
    </w:p>
    <w:p w:rsidR="00DA3E39" w:rsidRPr="007956F1" w:rsidRDefault="00DA3E39" w:rsidP="002431AC">
      <w:pPr>
        <w:jc w:val="both"/>
        <w:rPr>
          <w:sz w:val="20"/>
          <w:u w:val="single"/>
        </w:rPr>
      </w:pPr>
    </w:p>
    <w:p w:rsidR="00DA3E39" w:rsidRPr="007956F1" w:rsidRDefault="00DA3E39" w:rsidP="002431AC">
      <w:pPr>
        <w:jc w:val="both"/>
        <w:rPr>
          <w:sz w:val="20"/>
          <w:u w:val="single"/>
        </w:rPr>
      </w:pPr>
    </w:p>
    <w:p w:rsidR="00DA3E39" w:rsidRPr="007956F1" w:rsidRDefault="00DA3E39" w:rsidP="002431AC">
      <w:pPr>
        <w:jc w:val="both"/>
        <w:rPr>
          <w:sz w:val="20"/>
          <w:u w:val="single"/>
        </w:rPr>
      </w:pPr>
    </w:p>
    <w:p w:rsidR="00DA3E39" w:rsidRPr="007956F1" w:rsidRDefault="00DA3E39" w:rsidP="002431AC">
      <w:pPr>
        <w:jc w:val="both"/>
        <w:rPr>
          <w:sz w:val="20"/>
          <w:u w:val="single"/>
        </w:rPr>
      </w:pPr>
    </w:p>
    <w:p w:rsidR="00E41679" w:rsidRPr="007956F1" w:rsidRDefault="00E41679" w:rsidP="002431AC">
      <w:pPr>
        <w:jc w:val="both"/>
        <w:rPr>
          <w:sz w:val="20"/>
          <w:u w:val="single"/>
        </w:rPr>
      </w:pPr>
    </w:p>
    <w:p w:rsidR="00C5167A" w:rsidRPr="007956F1" w:rsidRDefault="00C5167A" w:rsidP="002431AC">
      <w:pPr>
        <w:jc w:val="both"/>
        <w:rPr>
          <w:sz w:val="20"/>
          <w:u w:val="single"/>
        </w:rPr>
      </w:pPr>
    </w:p>
    <w:p w:rsidR="00C5167A" w:rsidRPr="007956F1" w:rsidRDefault="00C5167A" w:rsidP="002431AC">
      <w:pPr>
        <w:jc w:val="both"/>
        <w:rPr>
          <w:sz w:val="20"/>
          <w:u w:val="single"/>
        </w:rPr>
      </w:pPr>
    </w:p>
    <w:p w:rsidR="00C5167A" w:rsidRPr="007956F1" w:rsidRDefault="00C5167A" w:rsidP="002431AC">
      <w:pPr>
        <w:jc w:val="both"/>
        <w:rPr>
          <w:sz w:val="20"/>
          <w:u w:val="single"/>
        </w:rPr>
      </w:pPr>
    </w:p>
    <w:p w:rsidR="00C5167A" w:rsidRPr="007956F1" w:rsidRDefault="00C5167A" w:rsidP="002431AC">
      <w:pPr>
        <w:jc w:val="both"/>
        <w:rPr>
          <w:sz w:val="20"/>
          <w:u w:val="single"/>
        </w:rPr>
      </w:pPr>
    </w:p>
    <w:p w:rsidR="00C5167A" w:rsidRPr="007956F1" w:rsidRDefault="00C5167A" w:rsidP="002431AC">
      <w:pPr>
        <w:jc w:val="both"/>
        <w:rPr>
          <w:sz w:val="20"/>
          <w:u w:val="single"/>
        </w:rPr>
      </w:pPr>
    </w:p>
    <w:p w:rsidR="00DA3E39" w:rsidRPr="007956F1" w:rsidRDefault="00DA3E39" w:rsidP="002431AC">
      <w:pPr>
        <w:jc w:val="both"/>
        <w:rPr>
          <w:sz w:val="20"/>
          <w:u w:val="single"/>
        </w:rPr>
      </w:pPr>
    </w:p>
    <w:p w:rsidR="00DA3E39" w:rsidRPr="007956F1" w:rsidRDefault="00DA3E39" w:rsidP="00DA3E39">
      <w:pPr>
        <w:rPr>
          <w:iCs/>
          <w:sz w:val="20"/>
          <w:szCs w:val="20"/>
        </w:rPr>
      </w:pPr>
      <w:r w:rsidRPr="007956F1">
        <w:rPr>
          <w:iCs/>
          <w:sz w:val="20"/>
          <w:szCs w:val="20"/>
        </w:rPr>
        <w:t>Mačivka 67095630</w:t>
      </w:r>
    </w:p>
    <w:p w:rsidR="00DA3E39" w:rsidRPr="007956F1" w:rsidRDefault="00DB21A9" w:rsidP="00DA3E39">
      <w:pPr>
        <w:rPr>
          <w:iCs/>
          <w:sz w:val="20"/>
          <w:szCs w:val="20"/>
        </w:rPr>
      </w:pPr>
      <w:hyperlink r:id="rId30" w:history="1">
        <w:r w:rsidR="00DA3E39" w:rsidRPr="007956F1">
          <w:rPr>
            <w:rStyle w:val="Hyperlink"/>
            <w:color w:val="auto"/>
            <w:sz w:val="20"/>
            <w:szCs w:val="20"/>
          </w:rPr>
          <w:t>Sandra.Macivka@fm.gov.lv</w:t>
        </w:r>
      </w:hyperlink>
      <w:r w:rsidR="00DA3E39" w:rsidRPr="007956F1">
        <w:rPr>
          <w:iCs/>
          <w:sz w:val="20"/>
          <w:szCs w:val="20"/>
        </w:rPr>
        <w:t xml:space="preserve"> </w:t>
      </w:r>
    </w:p>
    <w:p w:rsidR="00DA3E39" w:rsidRPr="007956F1" w:rsidRDefault="00DA3E39" w:rsidP="00DA3E39">
      <w:pPr>
        <w:rPr>
          <w:iCs/>
          <w:sz w:val="20"/>
          <w:szCs w:val="20"/>
        </w:rPr>
      </w:pPr>
    </w:p>
    <w:p w:rsidR="00DA3E39" w:rsidRPr="007956F1" w:rsidRDefault="00DA3E39" w:rsidP="00DA3E39">
      <w:pPr>
        <w:rPr>
          <w:sz w:val="20"/>
          <w:szCs w:val="16"/>
          <w:lang w:eastAsia="en-US"/>
        </w:rPr>
      </w:pPr>
      <w:r w:rsidRPr="007956F1">
        <w:rPr>
          <w:sz w:val="20"/>
        </w:rPr>
        <w:t>Cāne 67095518</w:t>
      </w:r>
    </w:p>
    <w:p w:rsidR="00DA3E39" w:rsidRPr="007956F1" w:rsidRDefault="00DB21A9" w:rsidP="002431AC">
      <w:pPr>
        <w:jc w:val="both"/>
        <w:rPr>
          <w:sz w:val="20"/>
          <w:u w:val="single"/>
        </w:rPr>
      </w:pPr>
      <w:hyperlink r:id="rId31" w:history="1">
        <w:r w:rsidR="00653172" w:rsidRPr="007956F1">
          <w:rPr>
            <w:rStyle w:val="Hyperlink"/>
            <w:color w:val="auto"/>
            <w:sz w:val="20"/>
          </w:rPr>
          <w:t>Sanda.Cane@fm.gov.lv</w:t>
        </w:r>
      </w:hyperlink>
    </w:p>
    <w:sectPr w:rsidR="00DA3E39" w:rsidRPr="007956F1" w:rsidSect="002E4EAC">
      <w:headerReference w:type="even" r:id="rId32"/>
      <w:headerReference w:type="default" r:id="rId33"/>
      <w:footerReference w:type="even" r:id="rId34"/>
      <w:footerReference w:type="default" r:id="rId35"/>
      <w:footerReference w:type="first" r:id="rId36"/>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1A9" w:rsidRDefault="00DB21A9">
      <w:r>
        <w:separator/>
      </w:r>
    </w:p>
  </w:endnote>
  <w:endnote w:type="continuationSeparator" w:id="0">
    <w:p w:rsidR="00DB21A9" w:rsidRDefault="00DB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E5" w:rsidRDefault="007479E5"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479E5" w:rsidRDefault="007479E5" w:rsidP="00E67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E5" w:rsidRPr="003424AC" w:rsidRDefault="007479E5" w:rsidP="0048077E">
    <w:pPr>
      <w:tabs>
        <w:tab w:val="left" w:pos="709"/>
      </w:tabs>
      <w:jc w:val="both"/>
      <w:rPr>
        <w:sz w:val="20"/>
        <w:szCs w:val="20"/>
      </w:rPr>
    </w:pPr>
    <w:r>
      <w:rPr>
        <w:sz w:val="20"/>
        <w:szCs w:val="20"/>
      </w:rPr>
      <w:t>FMAnot_</w:t>
    </w:r>
    <w:r w:rsidR="00A03384">
      <w:rPr>
        <w:sz w:val="20"/>
        <w:szCs w:val="20"/>
      </w:rPr>
      <w:t>10</w:t>
    </w:r>
    <w:r>
      <w:rPr>
        <w:sz w:val="20"/>
        <w:szCs w:val="20"/>
      </w:rPr>
      <w:t>6072017_UIN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E5" w:rsidRPr="003424AC" w:rsidRDefault="007479E5" w:rsidP="0048077E">
    <w:pPr>
      <w:tabs>
        <w:tab w:val="left" w:pos="709"/>
      </w:tabs>
      <w:jc w:val="both"/>
      <w:rPr>
        <w:sz w:val="20"/>
        <w:szCs w:val="20"/>
      </w:rPr>
    </w:pPr>
    <w:r>
      <w:rPr>
        <w:sz w:val="20"/>
        <w:szCs w:val="20"/>
      </w:rPr>
      <w:t>FMAnot_</w:t>
    </w:r>
    <w:r w:rsidR="00A03384">
      <w:rPr>
        <w:sz w:val="20"/>
        <w:szCs w:val="20"/>
      </w:rPr>
      <w:t>10</w:t>
    </w:r>
    <w:r>
      <w:rPr>
        <w:sz w:val="20"/>
        <w:szCs w:val="20"/>
      </w:rPr>
      <w:t>072017_UIN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1A9" w:rsidRDefault="00DB21A9">
      <w:r>
        <w:separator/>
      </w:r>
    </w:p>
  </w:footnote>
  <w:footnote w:type="continuationSeparator" w:id="0">
    <w:p w:rsidR="00DB21A9" w:rsidRDefault="00DB21A9">
      <w:r>
        <w:continuationSeparator/>
      </w:r>
    </w:p>
  </w:footnote>
  <w:footnote w:id="1">
    <w:p w:rsidR="007479E5" w:rsidRPr="00C2755B" w:rsidRDefault="007479E5" w:rsidP="00C2755B">
      <w:pPr>
        <w:pStyle w:val="FootnoteText"/>
      </w:pPr>
      <w:r>
        <w:rPr>
          <w:rStyle w:val="FootnoteReference"/>
        </w:rPr>
        <w:footnoteRef/>
      </w:r>
      <w:r>
        <w:t xml:space="preserve"> Pasaules bankas 2017.gada Ziņojums </w:t>
      </w:r>
      <w:r w:rsidRPr="00C2755B">
        <w:t xml:space="preserve"> </w:t>
      </w:r>
      <w:r>
        <w:t>“</w:t>
      </w:r>
      <w:r w:rsidRPr="00C2755B">
        <w:rPr>
          <w:bCs/>
        </w:rPr>
        <w:t xml:space="preserve">Latvijas nodokļu sistēmas </w:t>
      </w:r>
      <w:proofErr w:type="spellStart"/>
      <w:r w:rsidRPr="00C2755B">
        <w:rPr>
          <w:bCs/>
        </w:rPr>
        <w:t>izvērtējums</w:t>
      </w:r>
      <w:proofErr w:type="spellEnd"/>
      <w:r w:rsidRPr="00C2755B">
        <w:rPr>
          <w:bCs/>
        </w:rPr>
        <w:t>”</w:t>
      </w:r>
      <w:r>
        <w:rPr>
          <w:bCs/>
        </w:rPr>
        <w:t xml:space="preserve"> </w:t>
      </w:r>
      <w:hyperlink r:id="rId1" w:history="1">
        <w:r w:rsidRPr="00D27A30">
          <w:rPr>
            <w:rStyle w:val="Hyperlink"/>
            <w:bCs/>
            <w:u w:val="none"/>
          </w:rPr>
          <w:t>http://www.fm.gov.lv/lv/nodoklu_reforma/</w:t>
        </w:r>
      </w:hyperlink>
      <w:r w:rsidRPr="00D27A30">
        <w:t xml:space="preserve"> </w:t>
      </w:r>
      <w:r>
        <w:t>.</w:t>
      </w:r>
    </w:p>
  </w:footnote>
  <w:footnote w:id="2">
    <w:p w:rsidR="007479E5" w:rsidRDefault="007479E5" w:rsidP="00C27F39">
      <w:pPr>
        <w:pStyle w:val="FootnoteText"/>
      </w:pPr>
      <w:r>
        <w:rPr>
          <w:rStyle w:val="FootnoteReference"/>
        </w:rPr>
        <w:footnoteRef/>
      </w:r>
      <w:r>
        <w:t xml:space="preserve"> Latvijas Konkurētspējas Ziņojums 2016. Nodokļu sistēma izaugsmei. Kopsavilkums. Rīga. </w:t>
      </w:r>
      <w:proofErr w:type="spellStart"/>
      <w:r>
        <w:t>Domnīca</w:t>
      </w:r>
      <w:proofErr w:type="spellEnd"/>
      <w:r>
        <w:t xml:space="preserve"> </w:t>
      </w:r>
      <w:proofErr w:type="spellStart"/>
      <w:r>
        <w:t>Certus</w:t>
      </w:r>
      <w:proofErr w:type="spellEnd"/>
      <w:r>
        <w:t>. 2016.</w:t>
      </w:r>
    </w:p>
  </w:footnote>
  <w:footnote w:id="3">
    <w:p w:rsidR="007479E5" w:rsidRDefault="007479E5" w:rsidP="00F96B06">
      <w:pPr>
        <w:pStyle w:val="FootnoteText"/>
      </w:pPr>
      <w:r>
        <w:rPr>
          <w:rStyle w:val="FootnoteReference"/>
        </w:rPr>
        <w:footnoteRef/>
      </w:r>
      <w:r>
        <w:t xml:space="preserve"> Anatolijs </w:t>
      </w:r>
      <w:proofErr w:type="spellStart"/>
      <w:r>
        <w:t>Prohorovs</w:t>
      </w:r>
      <w:proofErr w:type="spellEnd"/>
      <w:r>
        <w:t xml:space="preserve">. Uzņēmumu ienākuma nodoklis Latvijā un Igaunijā: tā ietekme uz uzņēmējdarbību, investīcijām, bezdarba līmeni, nodokļu ieņēmumiem un valsts ekonomisko izaugsmi, – Apgāds “Zinātne”, 2017. – 256 </w:t>
      </w:r>
      <w:proofErr w:type="spellStart"/>
      <w:r>
        <w:t>lpp</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E5" w:rsidRDefault="007479E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79E5" w:rsidRDefault="00747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E5" w:rsidRDefault="007479E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7A30">
      <w:rPr>
        <w:rStyle w:val="PageNumber"/>
        <w:noProof/>
      </w:rPr>
      <w:t>21</w:t>
    </w:r>
    <w:r>
      <w:rPr>
        <w:rStyle w:val="PageNumber"/>
      </w:rPr>
      <w:fldChar w:fldCharType="end"/>
    </w:r>
  </w:p>
  <w:p w:rsidR="007479E5" w:rsidRPr="004F7101" w:rsidRDefault="007479E5" w:rsidP="004F7101">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133D"/>
    <w:multiLevelType w:val="hybridMultilevel"/>
    <w:tmpl w:val="8F5C2BAC"/>
    <w:lvl w:ilvl="0" w:tplc="5A0E3C56">
      <w:start w:val="2020"/>
      <w:numFmt w:val="bullet"/>
      <w:lvlText w:val="-"/>
      <w:lvlJc w:val="left"/>
      <w:pPr>
        <w:ind w:left="1174" w:hanging="360"/>
      </w:pPr>
      <w:rPr>
        <w:rFonts w:ascii="Times New Roman" w:eastAsia="Times New Roman" w:hAnsi="Times New Roman" w:cs="Times New Roman" w:hint="default"/>
        <w:b w:val="0"/>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1" w15:restartNumberingAfterBreak="0">
    <w:nsid w:val="18B8132F"/>
    <w:multiLevelType w:val="hybridMultilevel"/>
    <w:tmpl w:val="718454B4"/>
    <w:lvl w:ilvl="0" w:tplc="0426000F">
      <w:start w:val="1"/>
      <w:numFmt w:val="decimal"/>
      <w:lvlText w:val="%1."/>
      <w:lvlJc w:val="left"/>
      <w:pPr>
        <w:ind w:left="980" w:hanging="360"/>
      </w:pPr>
    </w:lvl>
    <w:lvl w:ilvl="1" w:tplc="04260019" w:tentative="1">
      <w:start w:val="1"/>
      <w:numFmt w:val="lowerLetter"/>
      <w:lvlText w:val="%2."/>
      <w:lvlJc w:val="left"/>
      <w:pPr>
        <w:ind w:left="1700" w:hanging="360"/>
      </w:pPr>
    </w:lvl>
    <w:lvl w:ilvl="2" w:tplc="0426001B" w:tentative="1">
      <w:start w:val="1"/>
      <w:numFmt w:val="lowerRoman"/>
      <w:lvlText w:val="%3."/>
      <w:lvlJc w:val="right"/>
      <w:pPr>
        <w:ind w:left="2420" w:hanging="180"/>
      </w:pPr>
    </w:lvl>
    <w:lvl w:ilvl="3" w:tplc="0426000F" w:tentative="1">
      <w:start w:val="1"/>
      <w:numFmt w:val="decimal"/>
      <w:lvlText w:val="%4."/>
      <w:lvlJc w:val="left"/>
      <w:pPr>
        <w:ind w:left="3140" w:hanging="360"/>
      </w:pPr>
    </w:lvl>
    <w:lvl w:ilvl="4" w:tplc="04260019" w:tentative="1">
      <w:start w:val="1"/>
      <w:numFmt w:val="lowerLetter"/>
      <w:lvlText w:val="%5."/>
      <w:lvlJc w:val="left"/>
      <w:pPr>
        <w:ind w:left="3860" w:hanging="360"/>
      </w:pPr>
    </w:lvl>
    <w:lvl w:ilvl="5" w:tplc="0426001B" w:tentative="1">
      <w:start w:val="1"/>
      <w:numFmt w:val="lowerRoman"/>
      <w:lvlText w:val="%6."/>
      <w:lvlJc w:val="right"/>
      <w:pPr>
        <w:ind w:left="4580" w:hanging="180"/>
      </w:pPr>
    </w:lvl>
    <w:lvl w:ilvl="6" w:tplc="0426000F" w:tentative="1">
      <w:start w:val="1"/>
      <w:numFmt w:val="decimal"/>
      <w:lvlText w:val="%7."/>
      <w:lvlJc w:val="left"/>
      <w:pPr>
        <w:ind w:left="5300" w:hanging="360"/>
      </w:pPr>
    </w:lvl>
    <w:lvl w:ilvl="7" w:tplc="04260019" w:tentative="1">
      <w:start w:val="1"/>
      <w:numFmt w:val="lowerLetter"/>
      <w:lvlText w:val="%8."/>
      <w:lvlJc w:val="left"/>
      <w:pPr>
        <w:ind w:left="6020" w:hanging="360"/>
      </w:pPr>
    </w:lvl>
    <w:lvl w:ilvl="8" w:tplc="0426001B" w:tentative="1">
      <w:start w:val="1"/>
      <w:numFmt w:val="lowerRoman"/>
      <w:lvlText w:val="%9."/>
      <w:lvlJc w:val="right"/>
      <w:pPr>
        <w:ind w:left="6740" w:hanging="180"/>
      </w:pPr>
    </w:lvl>
  </w:abstractNum>
  <w:abstractNum w:abstractNumId="2" w15:restartNumberingAfterBreak="0">
    <w:nsid w:val="27C85E95"/>
    <w:multiLevelType w:val="hybridMultilevel"/>
    <w:tmpl w:val="6AD289D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C27619"/>
    <w:multiLevelType w:val="hybridMultilevel"/>
    <w:tmpl w:val="BA3E77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BA604D"/>
    <w:multiLevelType w:val="hybridMultilevel"/>
    <w:tmpl w:val="8FAA0D30"/>
    <w:lvl w:ilvl="0" w:tplc="48AA0134">
      <w:start w:val="1"/>
      <w:numFmt w:val="decimal"/>
      <w:lvlText w:val="%1)"/>
      <w:lvlJc w:val="left"/>
      <w:pPr>
        <w:tabs>
          <w:tab w:val="num" w:pos="720"/>
        </w:tabs>
        <w:ind w:left="720" w:hanging="360"/>
      </w:pPr>
    </w:lvl>
    <w:lvl w:ilvl="1" w:tplc="954AA990" w:tentative="1">
      <w:start w:val="1"/>
      <w:numFmt w:val="decimal"/>
      <w:lvlText w:val="%2)"/>
      <w:lvlJc w:val="left"/>
      <w:pPr>
        <w:tabs>
          <w:tab w:val="num" w:pos="1440"/>
        </w:tabs>
        <w:ind w:left="1440" w:hanging="360"/>
      </w:pPr>
    </w:lvl>
    <w:lvl w:ilvl="2" w:tplc="89C27212" w:tentative="1">
      <w:start w:val="1"/>
      <w:numFmt w:val="decimal"/>
      <w:lvlText w:val="%3)"/>
      <w:lvlJc w:val="left"/>
      <w:pPr>
        <w:tabs>
          <w:tab w:val="num" w:pos="2160"/>
        </w:tabs>
        <w:ind w:left="2160" w:hanging="360"/>
      </w:pPr>
    </w:lvl>
    <w:lvl w:ilvl="3" w:tplc="A4840872" w:tentative="1">
      <w:start w:val="1"/>
      <w:numFmt w:val="decimal"/>
      <w:lvlText w:val="%4)"/>
      <w:lvlJc w:val="left"/>
      <w:pPr>
        <w:tabs>
          <w:tab w:val="num" w:pos="2880"/>
        </w:tabs>
        <w:ind w:left="2880" w:hanging="360"/>
      </w:pPr>
    </w:lvl>
    <w:lvl w:ilvl="4" w:tplc="51B64550" w:tentative="1">
      <w:start w:val="1"/>
      <w:numFmt w:val="decimal"/>
      <w:lvlText w:val="%5)"/>
      <w:lvlJc w:val="left"/>
      <w:pPr>
        <w:tabs>
          <w:tab w:val="num" w:pos="3600"/>
        </w:tabs>
        <w:ind w:left="3600" w:hanging="360"/>
      </w:pPr>
    </w:lvl>
    <w:lvl w:ilvl="5" w:tplc="9FC60666" w:tentative="1">
      <w:start w:val="1"/>
      <w:numFmt w:val="decimal"/>
      <w:lvlText w:val="%6)"/>
      <w:lvlJc w:val="left"/>
      <w:pPr>
        <w:tabs>
          <w:tab w:val="num" w:pos="4320"/>
        </w:tabs>
        <w:ind w:left="4320" w:hanging="360"/>
      </w:pPr>
    </w:lvl>
    <w:lvl w:ilvl="6" w:tplc="E8B64622" w:tentative="1">
      <w:start w:val="1"/>
      <w:numFmt w:val="decimal"/>
      <w:lvlText w:val="%7)"/>
      <w:lvlJc w:val="left"/>
      <w:pPr>
        <w:tabs>
          <w:tab w:val="num" w:pos="5040"/>
        </w:tabs>
        <w:ind w:left="5040" w:hanging="360"/>
      </w:pPr>
    </w:lvl>
    <w:lvl w:ilvl="7" w:tplc="E6E0C294" w:tentative="1">
      <w:start w:val="1"/>
      <w:numFmt w:val="decimal"/>
      <w:lvlText w:val="%8)"/>
      <w:lvlJc w:val="left"/>
      <w:pPr>
        <w:tabs>
          <w:tab w:val="num" w:pos="5760"/>
        </w:tabs>
        <w:ind w:left="5760" w:hanging="360"/>
      </w:pPr>
    </w:lvl>
    <w:lvl w:ilvl="8" w:tplc="513E1D10" w:tentative="1">
      <w:start w:val="1"/>
      <w:numFmt w:val="decimal"/>
      <w:lvlText w:val="%9)"/>
      <w:lvlJc w:val="left"/>
      <w:pPr>
        <w:tabs>
          <w:tab w:val="num" w:pos="6480"/>
        </w:tabs>
        <w:ind w:left="6480" w:hanging="360"/>
      </w:pPr>
    </w:lvl>
  </w:abstractNum>
  <w:abstractNum w:abstractNumId="5" w15:restartNumberingAfterBreak="0">
    <w:nsid w:val="37CA76A2"/>
    <w:multiLevelType w:val="hybridMultilevel"/>
    <w:tmpl w:val="0F4ADF06"/>
    <w:lvl w:ilvl="0" w:tplc="87B828D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946003"/>
    <w:multiLevelType w:val="hybridMultilevel"/>
    <w:tmpl w:val="7E04C390"/>
    <w:lvl w:ilvl="0" w:tplc="0C6033E8">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8532F8"/>
    <w:multiLevelType w:val="multilevel"/>
    <w:tmpl w:val="05644064"/>
    <w:lvl w:ilvl="0">
      <w:start w:val="1"/>
      <w:numFmt w:val="decimal"/>
      <w:lvlText w:val="%1."/>
      <w:lvlJc w:val="left"/>
      <w:pPr>
        <w:ind w:left="360" w:hanging="360"/>
      </w:pPr>
      <w:rPr>
        <w:rFonts w:hint="default"/>
      </w:rPr>
    </w:lvl>
    <w:lvl w:ilvl="1">
      <w:start w:val="1"/>
      <w:numFmt w:val="decimal"/>
      <w:lvlText w:val="%1.%2."/>
      <w:lvlJc w:val="left"/>
      <w:pPr>
        <w:ind w:left="388" w:hanging="36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248" w:hanging="108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1664" w:hanging="1440"/>
      </w:pPr>
      <w:rPr>
        <w:rFonts w:hint="default"/>
      </w:rPr>
    </w:lvl>
  </w:abstractNum>
  <w:abstractNum w:abstractNumId="8" w15:restartNumberingAfterBreak="0">
    <w:nsid w:val="61F8335B"/>
    <w:multiLevelType w:val="hybridMultilevel"/>
    <w:tmpl w:val="CEDAF8E0"/>
    <w:lvl w:ilvl="0" w:tplc="04260017">
      <w:start w:val="1"/>
      <w:numFmt w:val="lowerLetter"/>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6994287F"/>
    <w:multiLevelType w:val="hybridMultilevel"/>
    <w:tmpl w:val="976ED492"/>
    <w:lvl w:ilvl="0" w:tplc="A9327C64">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D63313B"/>
    <w:multiLevelType w:val="hybridMultilevel"/>
    <w:tmpl w:val="59F0C3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F4F6B51"/>
    <w:multiLevelType w:val="hybridMultilevel"/>
    <w:tmpl w:val="8FDEA3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8327783"/>
    <w:multiLevelType w:val="hybridMultilevel"/>
    <w:tmpl w:val="5DB2C7F6"/>
    <w:lvl w:ilvl="0" w:tplc="87B828D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9"/>
  </w:num>
  <w:num w:numId="6">
    <w:abstractNumId w:val="4"/>
  </w:num>
  <w:num w:numId="7">
    <w:abstractNumId w:val="1"/>
  </w:num>
  <w:num w:numId="8">
    <w:abstractNumId w:val="2"/>
  </w:num>
  <w:num w:numId="9">
    <w:abstractNumId w:val="5"/>
  </w:num>
  <w:num w:numId="10">
    <w:abstractNumId w:val="12"/>
  </w:num>
  <w:num w:numId="11">
    <w:abstractNumId w:val="11"/>
  </w:num>
  <w:num w:numId="12">
    <w:abstractNumId w:val="3"/>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13C1"/>
    <w:rsid w:val="00001FA9"/>
    <w:rsid w:val="0000244E"/>
    <w:rsid w:val="00002952"/>
    <w:rsid w:val="00002C14"/>
    <w:rsid w:val="00003633"/>
    <w:rsid w:val="0000716A"/>
    <w:rsid w:val="00010698"/>
    <w:rsid w:val="00010BBF"/>
    <w:rsid w:val="00011432"/>
    <w:rsid w:val="00011ED2"/>
    <w:rsid w:val="0001378E"/>
    <w:rsid w:val="000142E6"/>
    <w:rsid w:val="000148E2"/>
    <w:rsid w:val="00014CDC"/>
    <w:rsid w:val="00014FD3"/>
    <w:rsid w:val="00016A43"/>
    <w:rsid w:val="00016E50"/>
    <w:rsid w:val="0001718B"/>
    <w:rsid w:val="000203CB"/>
    <w:rsid w:val="0002043D"/>
    <w:rsid w:val="000215CC"/>
    <w:rsid w:val="000218D5"/>
    <w:rsid w:val="00021B0B"/>
    <w:rsid w:val="0002317F"/>
    <w:rsid w:val="00023D4B"/>
    <w:rsid w:val="00025B8C"/>
    <w:rsid w:val="00026585"/>
    <w:rsid w:val="00026B38"/>
    <w:rsid w:val="00026C4D"/>
    <w:rsid w:val="00027D92"/>
    <w:rsid w:val="00030430"/>
    <w:rsid w:val="0003067D"/>
    <w:rsid w:val="00031178"/>
    <w:rsid w:val="00031574"/>
    <w:rsid w:val="000317D4"/>
    <w:rsid w:val="0003205A"/>
    <w:rsid w:val="00032913"/>
    <w:rsid w:val="0003342F"/>
    <w:rsid w:val="00035354"/>
    <w:rsid w:val="00036312"/>
    <w:rsid w:val="00037336"/>
    <w:rsid w:val="00037B40"/>
    <w:rsid w:val="00037DA3"/>
    <w:rsid w:val="00037FAF"/>
    <w:rsid w:val="00040E0A"/>
    <w:rsid w:val="0004140E"/>
    <w:rsid w:val="00042338"/>
    <w:rsid w:val="00044068"/>
    <w:rsid w:val="00047364"/>
    <w:rsid w:val="00047D53"/>
    <w:rsid w:val="000500E1"/>
    <w:rsid w:val="00050DA9"/>
    <w:rsid w:val="00051A01"/>
    <w:rsid w:val="00052654"/>
    <w:rsid w:val="00052B2C"/>
    <w:rsid w:val="00053620"/>
    <w:rsid w:val="00054CDF"/>
    <w:rsid w:val="00055235"/>
    <w:rsid w:val="000554C1"/>
    <w:rsid w:val="0005558D"/>
    <w:rsid w:val="000556D7"/>
    <w:rsid w:val="00055A0F"/>
    <w:rsid w:val="00056D4F"/>
    <w:rsid w:val="0005736C"/>
    <w:rsid w:val="00060EB8"/>
    <w:rsid w:val="0006132B"/>
    <w:rsid w:val="00062165"/>
    <w:rsid w:val="000622AA"/>
    <w:rsid w:val="00062337"/>
    <w:rsid w:val="00062AC3"/>
    <w:rsid w:val="00062B41"/>
    <w:rsid w:val="000635BA"/>
    <w:rsid w:val="00063764"/>
    <w:rsid w:val="000643D8"/>
    <w:rsid w:val="00065A07"/>
    <w:rsid w:val="00066F29"/>
    <w:rsid w:val="00067B4D"/>
    <w:rsid w:val="0007105F"/>
    <w:rsid w:val="000714CA"/>
    <w:rsid w:val="000728B0"/>
    <w:rsid w:val="000733D6"/>
    <w:rsid w:val="0007487C"/>
    <w:rsid w:val="00074981"/>
    <w:rsid w:val="000751F5"/>
    <w:rsid w:val="00075321"/>
    <w:rsid w:val="00080103"/>
    <w:rsid w:val="0008187B"/>
    <w:rsid w:val="000818A1"/>
    <w:rsid w:val="000829E3"/>
    <w:rsid w:val="000830A3"/>
    <w:rsid w:val="000830FB"/>
    <w:rsid w:val="00085B64"/>
    <w:rsid w:val="000865BC"/>
    <w:rsid w:val="000869D1"/>
    <w:rsid w:val="00091B35"/>
    <w:rsid w:val="000961DA"/>
    <w:rsid w:val="00096821"/>
    <w:rsid w:val="00097A82"/>
    <w:rsid w:val="000A1960"/>
    <w:rsid w:val="000A19BA"/>
    <w:rsid w:val="000A346E"/>
    <w:rsid w:val="000A3518"/>
    <w:rsid w:val="000A3996"/>
    <w:rsid w:val="000A3E14"/>
    <w:rsid w:val="000A441E"/>
    <w:rsid w:val="000A4727"/>
    <w:rsid w:val="000A4BC1"/>
    <w:rsid w:val="000A5131"/>
    <w:rsid w:val="000A716C"/>
    <w:rsid w:val="000A77FB"/>
    <w:rsid w:val="000A7E6D"/>
    <w:rsid w:val="000B07AB"/>
    <w:rsid w:val="000B0ABF"/>
    <w:rsid w:val="000B11E0"/>
    <w:rsid w:val="000B161F"/>
    <w:rsid w:val="000B18B2"/>
    <w:rsid w:val="000B2853"/>
    <w:rsid w:val="000B2D7B"/>
    <w:rsid w:val="000B393B"/>
    <w:rsid w:val="000B4230"/>
    <w:rsid w:val="000B54DE"/>
    <w:rsid w:val="000B7E86"/>
    <w:rsid w:val="000C104E"/>
    <w:rsid w:val="000C29F6"/>
    <w:rsid w:val="000C52B4"/>
    <w:rsid w:val="000C6286"/>
    <w:rsid w:val="000C74A0"/>
    <w:rsid w:val="000C7791"/>
    <w:rsid w:val="000C7F8E"/>
    <w:rsid w:val="000D001D"/>
    <w:rsid w:val="000D1D93"/>
    <w:rsid w:val="000D20E6"/>
    <w:rsid w:val="000D56AA"/>
    <w:rsid w:val="000D6B22"/>
    <w:rsid w:val="000D74E2"/>
    <w:rsid w:val="000E0A41"/>
    <w:rsid w:val="000E0D5D"/>
    <w:rsid w:val="000E1E93"/>
    <w:rsid w:val="000E2287"/>
    <w:rsid w:val="000E2426"/>
    <w:rsid w:val="000E3010"/>
    <w:rsid w:val="000E4210"/>
    <w:rsid w:val="000E61F6"/>
    <w:rsid w:val="000E638B"/>
    <w:rsid w:val="000E65AB"/>
    <w:rsid w:val="000E6C5A"/>
    <w:rsid w:val="000E7BB9"/>
    <w:rsid w:val="000F01C4"/>
    <w:rsid w:val="000F06E2"/>
    <w:rsid w:val="000F092F"/>
    <w:rsid w:val="000F29E0"/>
    <w:rsid w:val="000F4C09"/>
    <w:rsid w:val="000F52CA"/>
    <w:rsid w:val="000F557E"/>
    <w:rsid w:val="000F6111"/>
    <w:rsid w:val="000F758B"/>
    <w:rsid w:val="00102F39"/>
    <w:rsid w:val="001036E5"/>
    <w:rsid w:val="001044CC"/>
    <w:rsid w:val="00104785"/>
    <w:rsid w:val="0010525A"/>
    <w:rsid w:val="00106249"/>
    <w:rsid w:val="00106600"/>
    <w:rsid w:val="00106919"/>
    <w:rsid w:val="00107771"/>
    <w:rsid w:val="0010798A"/>
    <w:rsid w:val="0011030F"/>
    <w:rsid w:val="00110D0B"/>
    <w:rsid w:val="00110D8A"/>
    <w:rsid w:val="00111789"/>
    <w:rsid w:val="00112D08"/>
    <w:rsid w:val="0011486D"/>
    <w:rsid w:val="00114E98"/>
    <w:rsid w:val="00115101"/>
    <w:rsid w:val="001171F3"/>
    <w:rsid w:val="001173E0"/>
    <w:rsid w:val="00117EFF"/>
    <w:rsid w:val="00117F55"/>
    <w:rsid w:val="001200AA"/>
    <w:rsid w:val="00120B4F"/>
    <w:rsid w:val="0012134D"/>
    <w:rsid w:val="001215EE"/>
    <w:rsid w:val="0012213E"/>
    <w:rsid w:val="0012245C"/>
    <w:rsid w:val="001237BA"/>
    <w:rsid w:val="00123A37"/>
    <w:rsid w:val="00123E1D"/>
    <w:rsid w:val="00126754"/>
    <w:rsid w:val="00126D5D"/>
    <w:rsid w:val="00127C9A"/>
    <w:rsid w:val="00130CC4"/>
    <w:rsid w:val="00131B06"/>
    <w:rsid w:val="00135026"/>
    <w:rsid w:val="001351DF"/>
    <w:rsid w:val="00135B91"/>
    <w:rsid w:val="001368B1"/>
    <w:rsid w:val="001374E3"/>
    <w:rsid w:val="001376DD"/>
    <w:rsid w:val="00137B07"/>
    <w:rsid w:val="0014080B"/>
    <w:rsid w:val="00140E16"/>
    <w:rsid w:val="001419B1"/>
    <w:rsid w:val="00142BE6"/>
    <w:rsid w:val="0014307B"/>
    <w:rsid w:val="00143134"/>
    <w:rsid w:val="00143B15"/>
    <w:rsid w:val="001442F5"/>
    <w:rsid w:val="001457C4"/>
    <w:rsid w:val="00150D1D"/>
    <w:rsid w:val="00150E04"/>
    <w:rsid w:val="00153BB8"/>
    <w:rsid w:val="0015614D"/>
    <w:rsid w:val="0015638A"/>
    <w:rsid w:val="001565AC"/>
    <w:rsid w:val="001601D0"/>
    <w:rsid w:val="001604B9"/>
    <w:rsid w:val="00160B54"/>
    <w:rsid w:val="00164F5B"/>
    <w:rsid w:val="00165B36"/>
    <w:rsid w:val="00165D83"/>
    <w:rsid w:val="00166434"/>
    <w:rsid w:val="0017039D"/>
    <w:rsid w:val="00170EC6"/>
    <w:rsid w:val="00171776"/>
    <w:rsid w:val="00174445"/>
    <w:rsid w:val="00177FE8"/>
    <w:rsid w:val="0018114A"/>
    <w:rsid w:val="001828B1"/>
    <w:rsid w:val="00182C02"/>
    <w:rsid w:val="00182EB4"/>
    <w:rsid w:val="0018309B"/>
    <w:rsid w:val="001864C6"/>
    <w:rsid w:val="00186FE7"/>
    <w:rsid w:val="0018701E"/>
    <w:rsid w:val="00187CFB"/>
    <w:rsid w:val="00190887"/>
    <w:rsid w:val="001929B1"/>
    <w:rsid w:val="00194389"/>
    <w:rsid w:val="00194520"/>
    <w:rsid w:val="00194B48"/>
    <w:rsid w:val="00194F1C"/>
    <w:rsid w:val="001975E8"/>
    <w:rsid w:val="001A0A53"/>
    <w:rsid w:val="001A19D3"/>
    <w:rsid w:val="001A3A0B"/>
    <w:rsid w:val="001A7657"/>
    <w:rsid w:val="001A7780"/>
    <w:rsid w:val="001A7D5F"/>
    <w:rsid w:val="001B0236"/>
    <w:rsid w:val="001B19BF"/>
    <w:rsid w:val="001B2461"/>
    <w:rsid w:val="001B2575"/>
    <w:rsid w:val="001B409B"/>
    <w:rsid w:val="001B6658"/>
    <w:rsid w:val="001C1EF5"/>
    <w:rsid w:val="001C2210"/>
    <w:rsid w:val="001C25B8"/>
    <w:rsid w:val="001C290F"/>
    <w:rsid w:val="001C307C"/>
    <w:rsid w:val="001C386F"/>
    <w:rsid w:val="001C61F2"/>
    <w:rsid w:val="001C73AF"/>
    <w:rsid w:val="001C7704"/>
    <w:rsid w:val="001D12DE"/>
    <w:rsid w:val="001D4AB0"/>
    <w:rsid w:val="001D548C"/>
    <w:rsid w:val="001D5BD8"/>
    <w:rsid w:val="001D6232"/>
    <w:rsid w:val="001D6249"/>
    <w:rsid w:val="001D669E"/>
    <w:rsid w:val="001D7AB1"/>
    <w:rsid w:val="001D7CF8"/>
    <w:rsid w:val="001E01F9"/>
    <w:rsid w:val="001E24AF"/>
    <w:rsid w:val="001E2D15"/>
    <w:rsid w:val="001E393D"/>
    <w:rsid w:val="001E44E2"/>
    <w:rsid w:val="001E4890"/>
    <w:rsid w:val="001E58E9"/>
    <w:rsid w:val="001F0349"/>
    <w:rsid w:val="001F089C"/>
    <w:rsid w:val="001F0A71"/>
    <w:rsid w:val="001F103E"/>
    <w:rsid w:val="001F18C3"/>
    <w:rsid w:val="001F21CB"/>
    <w:rsid w:val="001F27CD"/>
    <w:rsid w:val="001F3583"/>
    <w:rsid w:val="001F4933"/>
    <w:rsid w:val="001F4FF9"/>
    <w:rsid w:val="001F55C0"/>
    <w:rsid w:val="001F57AE"/>
    <w:rsid w:val="001F6166"/>
    <w:rsid w:val="001F7156"/>
    <w:rsid w:val="001F722B"/>
    <w:rsid w:val="001F7327"/>
    <w:rsid w:val="001F7582"/>
    <w:rsid w:val="00203870"/>
    <w:rsid w:val="00203CFF"/>
    <w:rsid w:val="002067F2"/>
    <w:rsid w:val="0020694F"/>
    <w:rsid w:val="00207B9B"/>
    <w:rsid w:val="00210ABF"/>
    <w:rsid w:val="00211693"/>
    <w:rsid w:val="0021185E"/>
    <w:rsid w:val="00211DF6"/>
    <w:rsid w:val="00212498"/>
    <w:rsid w:val="00212CDB"/>
    <w:rsid w:val="00212D77"/>
    <w:rsid w:val="00213125"/>
    <w:rsid w:val="0021342B"/>
    <w:rsid w:val="00213464"/>
    <w:rsid w:val="002144A3"/>
    <w:rsid w:val="00214DEB"/>
    <w:rsid w:val="00215892"/>
    <w:rsid w:val="00215ACB"/>
    <w:rsid w:val="0021660A"/>
    <w:rsid w:val="00216A53"/>
    <w:rsid w:val="002211AE"/>
    <w:rsid w:val="00222601"/>
    <w:rsid w:val="002237E8"/>
    <w:rsid w:val="00225FFE"/>
    <w:rsid w:val="00227472"/>
    <w:rsid w:val="002319F9"/>
    <w:rsid w:val="00232290"/>
    <w:rsid w:val="00232575"/>
    <w:rsid w:val="00232FC7"/>
    <w:rsid w:val="00235696"/>
    <w:rsid w:val="00236243"/>
    <w:rsid w:val="002370B3"/>
    <w:rsid w:val="002431AC"/>
    <w:rsid w:val="00243783"/>
    <w:rsid w:val="00243CC7"/>
    <w:rsid w:val="002450A3"/>
    <w:rsid w:val="002461F5"/>
    <w:rsid w:val="00246735"/>
    <w:rsid w:val="0025017B"/>
    <w:rsid w:val="00253C98"/>
    <w:rsid w:val="002551B8"/>
    <w:rsid w:val="00255A73"/>
    <w:rsid w:val="00255D47"/>
    <w:rsid w:val="002560E4"/>
    <w:rsid w:val="00257721"/>
    <w:rsid w:val="0026006B"/>
    <w:rsid w:val="00260957"/>
    <w:rsid w:val="00260F92"/>
    <w:rsid w:val="002624DE"/>
    <w:rsid w:val="00262E83"/>
    <w:rsid w:val="00262F54"/>
    <w:rsid w:val="0026359B"/>
    <w:rsid w:val="00264CAA"/>
    <w:rsid w:val="00267C4A"/>
    <w:rsid w:val="00267FED"/>
    <w:rsid w:val="00270489"/>
    <w:rsid w:val="00273FA2"/>
    <w:rsid w:val="002750D9"/>
    <w:rsid w:val="00277C88"/>
    <w:rsid w:val="00277DE4"/>
    <w:rsid w:val="0028218C"/>
    <w:rsid w:val="00285008"/>
    <w:rsid w:val="00290393"/>
    <w:rsid w:val="00290EA6"/>
    <w:rsid w:val="00291CD8"/>
    <w:rsid w:val="002926A8"/>
    <w:rsid w:val="00293A01"/>
    <w:rsid w:val="0029515B"/>
    <w:rsid w:val="00296E93"/>
    <w:rsid w:val="002A171D"/>
    <w:rsid w:val="002A1A91"/>
    <w:rsid w:val="002A2389"/>
    <w:rsid w:val="002A3AA6"/>
    <w:rsid w:val="002A4871"/>
    <w:rsid w:val="002A5298"/>
    <w:rsid w:val="002A5373"/>
    <w:rsid w:val="002A5615"/>
    <w:rsid w:val="002A5B80"/>
    <w:rsid w:val="002A6F46"/>
    <w:rsid w:val="002A7800"/>
    <w:rsid w:val="002A786B"/>
    <w:rsid w:val="002B190C"/>
    <w:rsid w:val="002B1E4F"/>
    <w:rsid w:val="002B3016"/>
    <w:rsid w:val="002B426F"/>
    <w:rsid w:val="002C04C1"/>
    <w:rsid w:val="002C0AF0"/>
    <w:rsid w:val="002C101D"/>
    <w:rsid w:val="002C1F9A"/>
    <w:rsid w:val="002C2881"/>
    <w:rsid w:val="002C2F59"/>
    <w:rsid w:val="002C3F3E"/>
    <w:rsid w:val="002C543D"/>
    <w:rsid w:val="002C66F4"/>
    <w:rsid w:val="002C72CC"/>
    <w:rsid w:val="002C7D5E"/>
    <w:rsid w:val="002D083D"/>
    <w:rsid w:val="002D0F75"/>
    <w:rsid w:val="002D211C"/>
    <w:rsid w:val="002D47FC"/>
    <w:rsid w:val="002D49DC"/>
    <w:rsid w:val="002D4D84"/>
    <w:rsid w:val="002D69F9"/>
    <w:rsid w:val="002E23CC"/>
    <w:rsid w:val="002E3501"/>
    <w:rsid w:val="002E41D7"/>
    <w:rsid w:val="002E4B29"/>
    <w:rsid w:val="002E4EAC"/>
    <w:rsid w:val="002E5ACF"/>
    <w:rsid w:val="002E6F2E"/>
    <w:rsid w:val="002E79ED"/>
    <w:rsid w:val="002E7E9D"/>
    <w:rsid w:val="002F045D"/>
    <w:rsid w:val="002F081D"/>
    <w:rsid w:val="002F58EC"/>
    <w:rsid w:val="003004DA"/>
    <w:rsid w:val="00300B43"/>
    <w:rsid w:val="00300B57"/>
    <w:rsid w:val="003013B7"/>
    <w:rsid w:val="00301AE4"/>
    <w:rsid w:val="003023A3"/>
    <w:rsid w:val="00302614"/>
    <w:rsid w:val="0030294E"/>
    <w:rsid w:val="00303B38"/>
    <w:rsid w:val="00310FF2"/>
    <w:rsid w:val="003128AB"/>
    <w:rsid w:val="00313950"/>
    <w:rsid w:val="00314F97"/>
    <w:rsid w:val="00317116"/>
    <w:rsid w:val="0031795E"/>
    <w:rsid w:val="00320C1A"/>
    <w:rsid w:val="00323639"/>
    <w:rsid w:val="0032418A"/>
    <w:rsid w:val="00324B52"/>
    <w:rsid w:val="0032546B"/>
    <w:rsid w:val="00327279"/>
    <w:rsid w:val="00327384"/>
    <w:rsid w:val="00327F83"/>
    <w:rsid w:val="00331977"/>
    <w:rsid w:val="00332137"/>
    <w:rsid w:val="003359F1"/>
    <w:rsid w:val="0033652A"/>
    <w:rsid w:val="00336E3A"/>
    <w:rsid w:val="003424A8"/>
    <w:rsid w:val="003424AC"/>
    <w:rsid w:val="003435BC"/>
    <w:rsid w:val="00343685"/>
    <w:rsid w:val="00343C43"/>
    <w:rsid w:val="0034414E"/>
    <w:rsid w:val="003442F7"/>
    <w:rsid w:val="00344387"/>
    <w:rsid w:val="00344C93"/>
    <w:rsid w:val="003451C7"/>
    <w:rsid w:val="003453BB"/>
    <w:rsid w:val="00345E59"/>
    <w:rsid w:val="003462C7"/>
    <w:rsid w:val="00346569"/>
    <w:rsid w:val="00346D36"/>
    <w:rsid w:val="003470D3"/>
    <w:rsid w:val="00350066"/>
    <w:rsid w:val="00350088"/>
    <w:rsid w:val="00350448"/>
    <w:rsid w:val="00350B7E"/>
    <w:rsid w:val="00350E4B"/>
    <w:rsid w:val="0035132A"/>
    <w:rsid w:val="00351E79"/>
    <w:rsid w:val="00352224"/>
    <w:rsid w:val="003533D7"/>
    <w:rsid w:val="003544F9"/>
    <w:rsid w:val="003545C2"/>
    <w:rsid w:val="00356BA3"/>
    <w:rsid w:val="0035791D"/>
    <w:rsid w:val="0036070B"/>
    <w:rsid w:val="00360A6D"/>
    <w:rsid w:val="00363543"/>
    <w:rsid w:val="003659F6"/>
    <w:rsid w:val="0036668E"/>
    <w:rsid w:val="0036779E"/>
    <w:rsid w:val="003723D5"/>
    <w:rsid w:val="00373BA6"/>
    <w:rsid w:val="00373E65"/>
    <w:rsid w:val="00373E97"/>
    <w:rsid w:val="0037521D"/>
    <w:rsid w:val="0037584D"/>
    <w:rsid w:val="00375EC0"/>
    <w:rsid w:val="00376F87"/>
    <w:rsid w:val="00377097"/>
    <w:rsid w:val="00380988"/>
    <w:rsid w:val="0038216D"/>
    <w:rsid w:val="00382C20"/>
    <w:rsid w:val="003848C3"/>
    <w:rsid w:val="0039325D"/>
    <w:rsid w:val="00393ACC"/>
    <w:rsid w:val="0039573D"/>
    <w:rsid w:val="00395E7A"/>
    <w:rsid w:val="003969A4"/>
    <w:rsid w:val="00397B99"/>
    <w:rsid w:val="00397E45"/>
    <w:rsid w:val="003A0573"/>
    <w:rsid w:val="003A0D5C"/>
    <w:rsid w:val="003A1388"/>
    <w:rsid w:val="003A499D"/>
    <w:rsid w:val="003A4BE0"/>
    <w:rsid w:val="003A6AA6"/>
    <w:rsid w:val="003A6B4E"/>
    <w:rsid w:val="003A6DDE"/>
    <w:rsid w:val="003A7F83"/>
    <w:rsid w:val="003B2646"/>
    <w:rsid w:val="003B5012"/>
    <w:rsid w:val="003B54F2"/>
    <w:rsid w:val="003B6B36"/>
    <w:rsid w:val="003B7212"/>
    <w:rsid w:val="003C1378"/>
    <w:rsid w:val="003C2EB4"/>
    <w:rsid w:val="003C3CF8"/>
    <w:rsid w:val="003C3F1B"/>
    <w:rsid w:val="003C462F"/>
    <w:rsid w:val="003C5BEE"/>
    <w:rsid w:val="003C608C"/>
    <w:rsid w:val="003C62DB"/>
    <w:rsid w:val="003C72C5"/>
    <w:rsid w:val="003C78E6"/>
    <w:rsid w:val="003C7C57"/>
    <w:rsid w:val="003D07E3"/>
    <w:rsid w:val="003D105B"/>
    <w:rsid w:val="003D170A"/>
    <w:rsid w:val="003D1B81"/>
    <w:rsid w:val="003D1BA4"/>
    <w:rsid w:val="003D26AA"/>
    <w:rsid w:val="003D56A6"/>
    <w:rsid w:val="003D5BCD"/>
    <w:rsid w:val="003D6272"/>
    <w:rsid w:val="003E0577"/>
    <w:rsid w:val="003E0D8D"/>
    <w:rsid w:val="003E2622"/>
    <w:rsid w:val="003E27D3"/>
    <w:rsid w:val="003E50C0"/>
    <w:rsid w:val="003E558B"/>
    <w:rsid w:val="003E74C1"/>
    <w:rsid w:val="003E7787"/>
    <w:rsid w:val="003E7C26"/>
    <w:rsid w:val="003F0227"/>
    <w:rsid w:val="003F08FA"/>
    <w:rsid w:val="003F095D"/>
    <w:rsid w:val="003F0EB5"/>
    <w:rsid w:val="003F10DD"/>
    <w:rsid w:val="003F12FD"/>
    <w:rsid w:val="003F14B5"/>
    <w:rsid w:val="003F15C8"/>
    <w:rsid w:val="003F1647"/>
    <w:rsid w:val="003F18E0"/>
    <w:rsid w:val="003F48CE"/>
    <w:rsid w:val="00400BE9"/>
    <w:rsid w:val="004011A4"/>
    <w:rsid w:val="00401CF6"/>
    <w:rsid w:val="00401D34"/>
    <w:rsid w:val="0040277D"/>
    <w:rsid w:val="004035C4"/>
    <w:rsid w:val="00403F02"/>
    <w:rsid w:val="00405CC8"/>
    <w:rsid w:val="004073D8"/>
    <w:rsid w:val="004074DD"/>
    <w:rsid w:val="0041110C"/>
    <w:rsid w:val="004135AF"/>
    <w:rsid w:val="00416E93"/>
    <w:rsid w:val="004176A2"/>
    <w:rsid w:val="004179A3"/>
    <w:rsid w:val="00422134"/>
    <w:rsid w:val="004229A7"/>
    <w:rsid w:val="00423C3D"/>
    <w:rsid w:val="00425A8E"/>
    <w:rsid w:val="00425E94"/>
    <w:rsid w:val="004276AB"/>
    <w:rsid w:val="00427BFE"/>
    <w:rsid w:val="00427C8B"/>
    <w:rsid w:val="0043042E"/>
    <w:rsid w:val="00430C79"/>
    <w:rsid w:val="00432B8E"/>
    <w:rsid w:val="00432ECC"/>
    <w:rsid w:val="004330C2"/>
    <w:rsid w:val="004331F8"/>
    <w:rsid w:val="0043362E"/>
    <w:rsid w:val="0043570D"/>
    <w:rsid w:val="00436CCF"/>
    <w:rsid w:val="00442A67"/>
    <w:rsid w:val="0044321F"/>
    <w:rsid w:val="004452D0"/>
    <w:rsid w:val="004458B9"/>
    <w:rsid w:val="00445C40"/>
    <w:rsid w:val="004465F1"/>
    <w:rsid w:val="004472E4"/>
    <w:rsid w:val="00450663"/>
    <w:rsid w:val="0045075A"/>
    <w:rsid w:val="0045165B"/>
    <w:rsid w:val="00452463"/>
    <w:rsid w:val="00453834"/>
    <w:rsid w:val="00453C10"/>
    <w:rsid w:val="004548A3"/>
    <w:rsid w:val="004611DC"/>
    <w:rsid w:val="00461283"/>
    <w:rsid w:val="004629F6"/>
    <w:rsid w:val="00463998"/>
    <w:rsid w:val="00465C89"/>
    <w:rsid w:val="0046641F"/>
    <w:rsid w:val="004670CB"/>
    <w:rsid w:val="00467C04"/>
    <w:rsid w:val="00470322"/>
    <w:rsid w:val="004703DB"/>
    <w:rsid w:val="0047049C"/>
    <w:rsid w:val="004713F8"/>
    <w:rsid w:val="00472123"/>
    <w:rsid w:val="00472716"/>
    <w:rsid w:val="00474007"/>
    <w:rsid w:val="00477528"/>
    <w:rsid w:val="00480261"/>
    <w:rsid w:val="0048077E"/>
    <w:rsid w:val="0048079D"/>
    <w:rsid w:val="00480ACA"/>
    <w:rsid w:val="00481CEC"/>
    <w:rsid w:val="004823DD"/>
    <w:rsid w:val="0048335E"/>
    <w:rsid w:val="00483A06"/>
    <w:rsid w:val="00485C53"/>
    <w:rsid w:val="00486DBE"/>
    <w:rsid w:val="00487128"/>
    <w:rsid w:val="00487218"/>
    <w:rsid w:val="00487EB8"/>
    <w:rsid w:val="0049016E"/>
    <w:rsid w:val="004912EA"/>
    <w:rsid w:val="00492E21"/>
    <w:rsid w:val="00493C47"/>
    <w:rsid w:val="004942F9"/>
    <w:rsid w:val="0049461E"/>
    <w:rsid w:val="00496F2A"/>
    <w:rsid w:val="004A1218"/>
    <w:rsid w:val="004A16F4"/>
    <w:rsid w:val="004A2D80"/>
    <w:rsid w:val="004A333B"/>
    <w:rsid w:val="004A3721"/>
    <w:rsid w:val="004A38DF"/>
    <w:rsid w:val="004A3DEF"/>
    <w:rsid w:val="004A5E4A"/>
    <w:rsid w:val="004A6555"/>
    <w:rsid w:val="004A65A4"/>
    <w:rsid w:val="004A6DCA"/>
    <w:rsid w:val="004B0EAF"/>
    <w:rsid w:val="004B2A68"/>
    <w:rsid w:val="004B3A7C"/>
    <w:rsid w:val="004B3B76"/>
    <w:rsid w:val="004B3F04"/>
    <w:rsid w:val="004B6D0A"/>
    <w:rsid w:val="004B6EEE"/>
    <w:rsid w:val="004B72DF"/>
    <w:rsid w:val="004C0D5F"/>
    <w:rsid w:val="004C2008"/>
    <w:rsid w:val="004C2EB6"/>
    <w:rsid w:val="004C35A2"/>
    <w:rsid w:val="004C644F"/>
    <w:rsid w:val="004C6EA6"/>
    <w:rsid w:val="004C7556"/>
    <w:rsid w:val="004C78E8"/>
    <w:rsid w:val="004D0D34"/>
    <w:rsid w:val="004D225C"/>
    <w:rsid w:val="004D2863"/>
    <w:rsid w:val="004D2C5F"/>
    <w:rsid w:val="004D370E"/>
    <w:rsid w:val="004D4794"/>
    <w:rsid w:val="004D566C"/>
    <w:rsid w:val="004D6A54"/>
    <w:rsid w:val="004E0009"/>
    <w:rsid w:val="004E03A9"/>
    <w:rsid w:val="004E08EF"/>
    <w:rsid w:val="004E0EB8"/>
    <w:rsid w:val="004E2FFD"/>
    <w:rsid w:val="004E3A86"/>
    <w:rsid w:val="004E3CB2"/>
    <w:rsid w:val="004E4520"/>
    <w:rsid w:val="004E4C27"/>
    <w:rsid w:val="004E4F4C"/>
    <w:rsid w:val="004E51A9"/>
    <w:rsid w:val="004E54DE"/>
    <w:rsid w:val="004E5E7C"/>
    <w:rsid w:val="004E7A70"/>
    <w:rsid w:val="004F0416"/>
    <w:rsid w:val="004F136F"/>
    <w:rsid w:val="004F2E1C"/>
    <w:rsid w:val="004F3408"/>
    <w:rsid w:val="004F3B9B"/>
    <w:rsid w:val="004F3CC6"/>
    <w:rsid w:val="004F4114"/>
    <w:rsid w:val="004F4651"/>
    <w:rsid w:val="004F4A5C"/>
    <w:rsid w:val="004F7101"/>
    <w:rsid w:val="004F7DD3"/>
    <w:rsid w:val="005002B2"/>
    <w:rsid w:val="0050070C"/>
    <w:rsid w:val="00500C25"/>
    <w:rsid w:val="005015F2"/>
    <w:rsid w:val="0050190F"/>
    <w:rsid w:val="00501F00"/>
    <w:rsid w:val="00502677"/>
    <w:rsid w:val="0050307E"/>
    <w:rsid w:val="00503B57"/>
    <w:rsid w:val="00503E02"/>
    <w:rsid w:val="00504B2B"/>
    <w:rsid w:val="00504D59"/>
    <w:rsid w:val="00507031"/>
    <w:rsid w:val="0050797E"/>
    <w:rsid w:val="005103B8"/>
    <w:rsid w:val="005124BF"/>
    <w:rsid w:val="00512FDF"/>
    <w:rsid w:val="005135BE"/>
    <w:rsid w:val="00514D3F"/>
    <w:rsid w:val="005163C8"/>
    <w:rsid w:val="005167CC"/>
    <w:rsid w:val="00516CE1"/>
    <w:rsid w:val="00516F03"/>
    <w:rsid w:val="00520A66"/>
    <w:rsid w:val="005212D3"/>
    <w:rsid w:val="00521316"/>
    <w:rsid w:val="00521416"/>
    <w:rsid w:val="00521D86"/>
    <w:rsid w:val="00523CC5"/>
    <w:rsid w:val="0052453E"/>
    <w:rsid w:val="005252A2"/>
    <w:rsid w:val="00525572"/>
    <w:rsid w:val="00527227"/>
    <w:rsid w:val="005275FC"/>
    <w:rsid w:val="00527946"/>
    <w:rsid w:val="00530611"/>
    <w:rsid w:val="005307FA"/>
    <w:rsid w:val="00531855"/>
    <w:rsid w:val="005318CE"/>
    <w:rsid w:val="00531E58"/>
    <w:rsid w:val="00531FC6"/>
    <w:rsid w:val="00532134"/>
    <w:rsid w:val="00532AE5"/>
    <w:rsid w:val="00532B88"/>
    <w:rsid w:val="00533466"/>
    <w:rsid w:val="0053447E"/>
    <w:rsid w:val="0053506D"/>
    <w:rsid w:val="00535F50"/>
    <w:rsid w:val="00535FED"/>
    <w:rsid w:val="00536BCD"/>
    <w:rsid w:val="005411D0"/>
    <w:rsid w:val="00541711"/>
    <w:rsid w:val="005423DF"/>
    <w:rsid w:val="00542502"/>
    <w:rsid w:val="00542B06"/>
    <w:rsid w:val="00543A1A"/>
    <w:rsid w:val="0054527A"/>
    <w:rsid w:val="005460B5"/>
    <w:rsid w:val="00552D19"/>
    <w:rsid w:val="00555784"/>
    <w:rsid w:val="005563EC"/>
    <w:rsid w:val="00556A32"/>
    <w:rsid w:val="00556FF2"/>
    <w:rsid w:val="00557651"/>
    <w:rsid w:val="005577C0"/>
    <w:rsid w:val="00560892"/>
    <w:rsid w:val="00560A28"/>
    <w:rsid w:val="00561863"/>
    <w:rsid w:val="00562110"/>
    <w:rsid w:val="00562349"/>
    <w:rsid w:val="0056357D"/>
    <w:rsid w:val="005638AC"/>
    <w:rsid w:val="0056528F"/>
    <w:rsid w:val="005662A5"/>
    <w:rsid w:val="00570FD4"/>
    <w:rsid w:val="005714EF"/>
    <w:rsid w:val="0057184C"/>
    <w:rsid w:val="005732DB"/>
    <w:rsid w:val="0057433C"/>
    <w:rsid w:val="00574824"/>
    <w:rsid w:val="00574A86"/>
    <w:rsid w:val="005750FA"/>
    <w:rsid w:val="005762FA"/>
    <w:rsid w:val="005764CD"/>
    <w:rsid w:val="00577EAF"/>
    <w:rsid w:val="00580F14"/>
    <w:rsid w:val="00582D05"/>
    <w:rsid w:val="00584C77"/>
    <w:rsid w:val="00585C73"/>
    <w:rsid w:val="00585C9D"/>
    <w:rsid w:val="00585D0E"/>
    <w:rsid w:val="00586FD5"/>
    <w:rsid w:val="0058741B"/>
    <w:rsid w:val="00590599"/>
    <w:rsid w:val="00590603"/>
    <w:rsid w:val="005912D4"/>
    <w:rsid w:val="0059174F"/>
    <w:rsid w:val="00592270"/>
    <w:rsid w:val="00592648"/>
    <w:rsid w:val="00592F11"/>
    <w:rsid w:val="00593217"/>
    <w:rsid w:val="00595EAD"/>
    <w:rsid w:val="00596AF9"/>
    <w:rsid w:val="00596E04"/>
    <w:rsid w:val="00597BEA"/>
    <w:rsid w:val="00597D52"/>
    <w:rsid w:val="005A055C"/>
    <w:rsid w:val="005A2224"/>
    <w:rsid w:val="005A251A"/>
    <w:rsid w:val="005A2C4C"/>
    <w:rsid w:val="005A342A"/>
    <w:rsid w:val="005A4F99"/>
    <w:rsid w:val="005A5033"/>
    <w:rsid w:val="005A7347"/>
    <w:rsid w:val="005A7F8B"/>
    <w:rsid w:val="005B02EC"/>
    <w:rsid w:val="005B03D4"/>
    <w:rsid w:val="005B05E5"/>
    <w:rsid w:val="005B1710"/>
    <w:rsid w:val="005B2A1F"/>
    <w:rsid w:val="005B4BAB"/>
    <w:rsid w:val="005B6672"/>
    <w:rsid w:val="005B6E41"/>
    <w:rsid w:val="005C0816"/>
    <w:rsid w:val="005C560B"/>
    <w:rsid w:val="005C57D3"/>
    <w:rsid w:val="005C6264"/>
    <w:rsid w:val="005C6C4A"/>
    <w:rsid w:val="005C708F"/>
    <w:rsid w:val="005C7CCD"/>
    <w:rsid w:val="005C7CEE"/>
    <w:rsid w:val="005D192E"/>
    <w:rsid w:val="005D25B1"/>
    <w:rsid w:val="005D2E99"/>
    <w:rsid w:val="005D340F"/>
    <w:rsid w:val="005D4043"/>
    <w:rsid w:val="005D4084"/>
    <w:rsid w:val="005D52F3"/>
    <w:rsid w:val="005D57D5"/>
    <w:rsid w:val="005D6F6A"/>
    <w:rsid w:val="005D7AAD"/>
    <w:rsid w:val="005D7B1D"/>
    <w:rsid w:val="005E09A0"/>
    <w:rsid w:val="005E3AE4"/>
    <w:rsid w:val="005E4391"/>
    <w:rsid w:val="005E4627"/>
    <w:rsid w:val="005E502A"/>
    <w:rsid w:val="005E641B"/>
    <w:rsid w:val="005E6A02"/>
    <w:rsid w:val="005E7852"/>
    <w:rsid w:val="005F04D3"/>
    <w:rsid w:val="005F0502"/>
    <w:rsid w:val="005F13AC"/>
    <w:rsid w:val="005F327C"/>
    <w:rsid w:val="005F35C7"/>
    <w:rsid w:val="005F514E"/>
    <w:rsid w:val="005F51A5"/>
    <w:rsid w:val="005F588E"/>
    <w:rsid w:val="005F6059"/>
    <w:rsid w:val="005F70AF"/>
    <w:rsid w:val="005F78C5"/>
    <w:rsid w:val="00600AC4"/>
    <w:rsid w:val="00601280"/>
    <w:rsid w:val="00601DD7"/>
    <w:rsid w:val="00603E3A"/>
    <w:rsid w:val="0060478D"/>
    <w:rsid w:val="006058AD"/>
    <w:rsid w:val="00605FC9"/>
    <w:rsid w:val="00606BF1"/>
    <w:rsid w:val="00606F67"/>
    <w:rsid w:val="00607946"/>
    <w:rsid w:val="00607C4C"/>
    <w:rsid w:val="00607C7C"/>
    <w:rsid w:val="006104E2"/>
    <w:rsid w:val="006108A9"/>
    <w:rsid w:val="00611FA7"/>
    <w:rsid w:val="0061480C"/>
    <w:rsid w:val="00615A60"/>
    <w:rsid w:val="00615BB8"/>
    <w:rsid w:val="00616477"/>
    <w:rsid w:val="00616624"/>
    <w:rsid w:val="0062063A"/>
    <w:rsid w:val="00621743"/>
    <w:rsid w:val="006241FB"/>
    <w:rsid w:val="00624F2D"/>
    <w:rsid w:val="00625FE7"/>
    <w:rsid w:val="00626CE6"/>
    <w:rsid w:val="00627F41"/>
    <w:rsid w:val="006303BD"/>
    <w:rsid w:val="00630E39"/>
    <w:rsid w:val="00632354"/>
    <w:rsid w:val="00635219"/>
    <w:rsid w:val="00636BCC"/>
    <w:rsid w:val="0063732D"/>
    <w:rsid w:val="00637384"/>
    <w:rsid w:val="00637414"/>
    <w:rsid w:val="00637A14"/>
    <w:rsid w:val="00640C01"/>
    <w:rsid w:val="00644565"/>
    <w:rsid w:val="0064478A"/>
    <w:rsid w:val="00644C38"/>
    <w:rsid w:val="00646861"/>
    <w:rsid w:val="00646C6C"/>
    <w:rsid w:val="0064729F"/>
    <w:rsid w:val="006476B6"/>
    <w:rsid w:val="00647EAF"/>
    <w:rsid w:val="00650506"/>
    <w:rsid w:val="00650F9F"/>
    <w:rsid w:val="0065162C"/>
    <w:rsid w:val="00651670"/>
    <w:rsid w:val="0065254F"/>
    <w:rsid w:val="00653172"/>
    <w:rsid w:val="006566DB"/>
    <w:rsid w:val="00656ECE"/>
    <w:rsid w:val="00660AA4"/>
    <w:rsid w:val="00660FDC"/>
    <w:rsid w:val="006639A0"/>
    <w:rsid w:val="00663B21"/>
    <w:rsid w:val="0066450D"/>
    <w:rsid w:val="0066540B"/>
    <w:rsid w:val="006671DA"/>
    <w:rsid w:val="006710DC"/>
    <w:rsid w:val="0067182F"/>
    <w:rsid w:val="00671C00"/>
    <w:rsid w:val="006728A1"/>
    <w:rsid w:val="006732C7"/>
    <w:rsid w:val="0067354B"/>
    <w:rsid w:val="00673ECF"/>
    <w:rsid w:val="0067450E"/>
    <w:rsid w:val="0067588F"/>
    <w:rsid w:val="0067671F"/>
    <w:rsid w:val="0067765A"/>
    <w:rsid w:val="006804A5"/>
    <w:rsid w:val="00681C5D"/>
    <w:rsid w:val="00682FD4"/>
    <w:rsid w:val="0068317E"/>
    <w:rsid w:val="006838D3"/>
    <w:rsid w:val="00684B19"/>
    <w:rsid w:val="00685996"/>
    <w:rsid w:val="00686785"/>
    <w:rsid w:val="00687587"/>
    <w:rsid w:val="006907C1"/>
    <w:rsid w:val="00690C51"/>
    <w:rsid w:val="006912BE"/>
    <w:rsid w:val="00693D39"/>
    <w:rsid w:val="00694F0C"/>
    <w:rsid w:val="00695894"/>
    <w:rsid w:val="00695B1A"/>
    <w:rsid w:val="0069656B"/>
    <w:rsid w:val="00696756"/>
    <w:rsid w:val="006A0404"/>
    <w:rsid w:val="006A05F6"/>
    <w:rsid w:val="006A1588"/>
    <w:rsid w:val="006A38F7"/>
    <w:rsid w:val="006A3989"/>
    <w:rsid w:val="006A4A47"/>
    <w:rsid w:val="006A4A57"/>
    <w:rsid w:val="006A4B2E"/>
    <w:rsid w:val="006A4E19"/>
    <w:rsid w:val="006A4ED7"/>
    <w:rsid w:val="006A52E0"/>
    <w:rsid w:val="006A5EEA"/>
    <w:rsid w:val="006A6259"/>
    <w:rsid w:val="006A7521"/>
    <w:rsid w:val="006A7BCB"/>
    <w:rsid w:val="006A7C37"/>
    <w:rsid w:val="006B27B3"/>
    <w:rsid w:val="006B50D9"/>
    <w:rsid w:val="006B540B"/>
    <w:rsid w:val="006B621D"/>
    <w:rsid w:val="006B74BB"/>
    <w:rsid w:val="006B75C3"/>
    <w:rsid w:val="006B781E"/>
    <w:rsid w:val="006C014B"/>
    <w:rsid w:val="006C061B"/>
    <w:rsid w:val="006C07E6"/>
    <w:rsid w:val="006C0989"/>
    <w:rsid w:val="006C098B"/>
    <w:rsid w:val="006C111B"/>
    <w:rsid w:val="006C21BB"/>
    <w:rsid w:val="006C4157"/>
    <w:rsid w:val="006C449F"/>
    <w:rsid w:val="006C4C8B"/>
    <w:rsid w:val="006C58E4"/>
    <w:rsid w:val="006C6060"/>
    <w:rsid w:val="006C7160"/>
    <w:rsid w:val="006D0450"/>
    <w:rsid w:val="006D0849"/>
    <w:rsid w:val="006D10B2"/>
    <w:rsid w:val="006D11E3"/>
    <w:rsid w:val="006D1FDA"/>
    <w:rsid w:val="006D55DC"/>
    <w:rsid w:val="006D5987"/>
    <w:rsid w:val="006D6199"/>
    <w:rsid w:val="006D666B"/>
    <w:rsid w:val="006D687E"/>
    <w:rsid w:val="006D68A6"/>
    <w:rsid w:val="006E0200"/>
    <w:rsid w:val="006E0C55"/>
    <w:rsid w:val="006E11B0"/>
    <w:rsid w:val="006E3999"/>
    <w:rsid w:val="006E453C"/>
    <w:rsid w:val="006E4728"/>
    <w:rsid w:val="006E4F54"/>
    <w:rsid w:val="006E524E"/>
    <w:rsid w:val="006E5B8A"/>
    <w:rsid w:val="006E6E6C"/>
    <w:rsid w:val="006F05F0"/>
    <w:rsid w:val="006F1984"/>
    <w:rsid w:val="006F1EAE"/>
    <w:rsid w:val="006F2684"/>
    <w:rsid w:val="006F2E92"/>
    <w:rsid w:val="006F428C"/>
    <w:rsid w:val="006F4383"/>
    <w:rsid w:val="006F6D63"/>
    <w:rsid w:val="006F7D77"/>
    <w:rsid w:val="007011AD"/>
    <w:rsid w:val="007023D0"/>
    <w:rsid w:val="007032E3"/>
    <w:rsid w:val="007051F0"/>
    <w:rsid w:val="0070661F"/>
    <w:rsid w:val="007068EA"/>
    <w:rsid w:val="00706C4E"/>
    <w:rsid w:val="007075A2"/>
    <w:rsid w:val="00710B74"/>
    <w:rsid w:val="00710EE3"/>
    <w:rsid w:val="007110D7"/>
    <w:rsid w:val="0071160B"/>
    <w:rsid w:val="00711B38"/>
    <w:rsid w:val="00712B4D"/>
    <w:rsid w:val="00713029"/>
    <w:rsid w:val="007153EC"/>
    <w:rsid w:val="00715498"/>
    <w:rsid w:val="00720097"/>
    <w:rsid w:val="00721069"/>
    <w:rsid w:val="00721BB1"/>
    <w:rsid w:val="007224C3"/>
    <w:rsid w:val="007232E7"/>
    <w:rsid w:val="0072363D"/>
    <w:rsid w:val="00724ADC"/>
    <w:rsid w:val="007263E4"/>
    <w:rsid w:val="007263FD"/>
    <w:rsid w:val="007272D8"/>
    <w:rsid w:val="007309A9"/>
    <w:rsid w:val="00730FC0"/>
    <w:rsid w:val="0073143B"/>
    <w:rsid w:val="00735B17"/>
    <w:rsid w:val="00735ECE"/>
    <w:rsid w:val="00736753"/>
    <w:rsid w:val="0074034C"/>
    <w:rsid w:val="00740780"/>
    <w:rsid w:val="00740CCA"/>
    <w:rsid w:val="00742BEE"/>
    <w:rsid w:val="00743311"/>
    <w:rsid w:val="007442A7"/>
    <w:rsid w:val="0074526A"/>
    <w:rsid w:val="007452FB"/>
    <w:rsid w:val="00745587"/>
    <w:rsid w:val="0074597A"/>
    <w:rsid w:val="007479E5"/>
    <w:rsid w:val="00750AAC"/>
    <w:rsid w:val="00751CD3"/>
    <w:rsid w:val="00752305"/>
    <w:rsid w:val="00754952"/>
    <w:rsid w:val="00755C2E"/>
    <w:rsid w:val="007579C6"/>
    <w:rsid w:val="00761D65"/>
    <w:rsid w:val="007626EA"/>
    <w:rsid w:val="00762756"/>
    <w:rsid w:val="00765A04"/>
    <w:rsid w:val="00767BB2"/>
    <w:rsid w:val="00767CE0"/>
    <w:rsid w:val="00772036"/>
    <w:rsid w:val="0077222B"/>
    <w:rsid w:val="00772BB4"/>
    <w:rsid w:val="007742E8"/>
    <w:rsid w:val="00774C1E"/>
    <w:rsid w:val="007750A6"/>
    <w:rsid w:val="00775D5E"/>
    <w:rsid w:val="00777848"/>
    <w:rsid w:val="00780BC3"/>
    <w:rsid w:val="00780EC8"/>
    <w:rsid w:val="007833FE"/>
    <w:rsid w:val="007860A9"/>
    <w:rsid w:val="00786342"/>
    <w:rsid w:val="007874FD"/>
    <w:rsid w:val="00787E12"/>
    <w:rsid w:val="0079018F"/>
    <w:rsid w:val="0079094C"/>
    <w:rsid w:val="007918F9"/>
    <w:rsid w:val="007923BC"/>
    <w:rsid w:val="007929B2"/>
    <w:rsid w:val="00793E3E"/>
    <w:rsid w:val="007956F1"/>
    <w:rsid w:val="007957F8"/>
    <w:rsid w:val="00795CFC"/>
    <w:rsid w:val="00796C48"/>
    <w:rsid w:val="007A05CB"/>
    <w:rsid w:val="007A08BD"/>
    <w:rsid w:val="007A0A1F"/>
    <w:rsid w:val="007A0B82"/>
    <w:rsid w:val="007A0C1C"/>
    <w:rsid w:val="007A0F0C"/>
    <w:rsid w:val="007A11B5"/>
    <w:rsid w:val="007A17D3"/>
    <w:rsid w:val="007A1852"/>
    <w:rsid w:val="007A3028"/>
    <w:rsid w:val="007A3400"/>
    <w:rsid w:val="007A3A88"/>
    <w:rsid w:val="007A3E0D"/>
    <w:rsid w:val="007A4206"/>
    <w:rsid w:val="007A436B"/>
    <w:rsid w:val="007A5ACD"/>
    <w:rsid w:val="007A6633"/>
    <w:rsid w:val="007A726D"/>
    <w:rsid w:val="007B1958"/>
    <w:rsid w:val="007B1DDA"/>
    <w:rsid w:val="007B2994"/>
    <w:rsid w:val="007B3A4D"/>
    <w:rsid w:val="007C0D5C"/>
    <w:rsid w:val="007C12BD"/>
    <w:rsid w:val="007C1E6D"/>
    <w:rsid w:val="007C5128"/>
    <w:rsid w:val="007C5AEB"/>
    <w:rsid w:val="007C5D29"/>
    <w:rsid w:val="007D05B9"/>
    <w:rsid w:val="007D16F0"/>
    <w:rsid w:val="007D51C7"/>
    <w:rsid w:val="007D6145"/>
    <w:rsid w:val="007D61DC"/>
    <w:rsid w:val="007D6576"/>
    <w:rsid w:val="007D72CD"/>
    <w:rsid w:val="007E0492"/>
    <w:rsid w:val="007E243E"/>
    <w:rsid w:val="007E2CE0"/>
    <w:rsid w:val="007E423C"/>
    <w:rsid w:val="007E43A2"/>
    <w:rsid w:val="007E53A9"/>
    <w:rsid w:val="007E59FC"/>
    <w:rsid w:val="007E6E9D"/>
    <w:rsid w:val="007E7247"/>
    <w:rsid w:val="007F06F6"/>
    <w:rsid w:val="007F0BDA"/>
    <w:rsid w:val="007F3BBD"/>
    <w:rsid w:val="007F40B6"/>
    <w:rsid w:val="007F40F0"/>
    <w:rsid w:val="007F42F1"/>
    <w:rsid w:val="007F466F"/>
    <w:rsid w:val="007F74B1"/>
    <w:rsid w:val="00800110"/>
    <w:rsid w:val="008029DA"/>
    <w:rsid w:val="00802A1D"/>
    <w:rsid w:val="008036A6"/>
    <w:rsid w:val="008041FB"/>
    <w:rsid w:val="00804FD4"/>
    <w:rsid w:val="0080522F"/>
    <w:rsid w:val="00805245"/>
    <w:rsid w:val="00806CE4"/>
    <w:rsid w:val="0080706A"/>
    <w:rsid w:val="008078B8"/>
    <w:rsid w:val="00810011"/>
    <w:rsid w:val="00811FA5"/>
    <w:rsid w:val="00816B9D"/>
    <w:rsid w:val="0082159A"/>
    <w:rsid w:val="008228FB"/>
    <w:rsid w:val="008229E4"/>
    <w:rsid w:val="00824DEB"/>
    <w:rsid w:val="00825DAC"/>
    <w:rsid w:val="00827386"/>
    <w:rsid w:val="008277E1"/>
    <w:rsid w:val="00830225"/>
    <w:rsid w:val="00830B1F"/>
    <w:rsid w:val="008311D9"/>
    <w:rsid w:val="0083152E"/>
    <w:rsid w:val="00832560"/>
    <w:rsid w:val="00832B10"/>
    <w:rsid w:val="0083449E"/>
    <w:rsid w:val="008346A6"/>
    <w:rsid w:val="00835A13"/>
    <w:rsid w:val="00836889"/>
    <w:rsid w:val="00836AAD"/>
    <w:rsid w:val="008374A6"/>
    <w:rsid w:val="00840687"/>
    <w:rsid w:val="00841121"/>
    <w:rsid w:val="00841243"/>
    <w:rsid w:val="00842077"/>
    <w:rsid w:val="00842D8D"/>
    <w:rsid w:val="008434E2"/>
    <w:rsid w:val="00843565"/>
    <w:rsid w:val="00844132"/>
    <w:rsid w:val="00845744"/>
    <w:rsid w:val="0084747F"/>
    <w:rsid w:val="00847A5F"/>
    <w:rsid w:val="00847EE9"/>
    <w:rsid w:val="00850D6E"/>
    <w:rsid w:val="00850DC2"/>
    <w:rsid w:val="00850E76"/>
    <w:rsid w:val="008517DE"/>
    <w:rsid w:val="0085181D"/>
    <w:rsid w:val="00851CA9"/>
    <w:rsid w:val="008522BC"/>
    <w:rsid w:val="008524B5"/>
    <w:rsid w:val="008528BE"/>
    <w:rsid w:val="00852905"/>
    <w:rsid w:val="00852C32"/>
    <w:rsid w:val="00853F80"/>
    <w:rsid w:val="00854F86"/>
    <w:rsid w:val="008555AC"/>
    <w:rsid w:val="00855690"/>
    <w:rsid w:val="0085630D"/>
    <w:rsid w:val="008568BB"/>
    <w:rsid w:val="008572AA"/>
    <w:rsid w:val="00857D7B"/>
    <w:rsid w:val="00860361"/>
    <w:rsid w:val="008641F4"/>
    <w:rsid w:val="00866955"/>
    <w:rsid w:val="00867428"/>
    <w:rsid w:val="0087205C"/>
    <w:rsid w:val="00872866"/>
    <w:rsid w:val="0087292C"/>
    <w:rsid w:val="00873DAA"/>
    <w:rsid w:val="0087402B"/>
    <w:rsid w:val="0087443C"/>
    <w:rsid w:val="00874A94"/>
    <w:rsid w:val="00874E43"/>
    <w:rsid w:val="00875858"/>
    <w:rsid w:val="00875CFD"/>
    <w:rsid w:val="00880A15"/>
    <w:rsid w:val="008811F0"/>
    <w:rsid w:val="00883455"/>
    <w:rsid w:val="0088448D"/>
    <w:rsid w:val="00884E29"/>
    <w:rsid w:val="008856BF"/>
    <w:rsid w:val="00885D90"/>
    <w:rsid w:val="00887529"/>
    <w:rsid w:val="00891871"/>
    <w:rsid w:val="00893866"/>
    <w:rsid w:val="00895BA6"/>
    <w:rsid w:val="00897E91"/>
    <w:rsid w:val="008A017A"/>
    <w:rsid w:val="008A072A"/>
    <w:rsid w:val="008A2EDB"/>
    <w:rsid w:val="008A405A"/>
    <w:rsid w:val="008A40EB"/>
    <w:rsid w:val="008A4959"/>
    <w:rsid w:val="008A575A"/>
    <w:rsid w:val="008A62AF"/>
    <w:rsid w:val="008A6CB0"/>
    <w:rsid w:val="008A7887"/>
    <w:rsid w:val="008B0971"/>
    <w:rsid w:val="008B2452"/>
    <w:rsid w:val="008B24E2"/>
    <w:rsid w:val="008B28D7"/>
    <w:rsid w:val="008B2ED5"/>
    <w:rsid w:val="008B56E3"/>
    <w:rsid w:val="008B7FB9"/>
    <w:rsid w:val="008C15B3"/>
    <w:rsid w:val="008C2018"/>
    <w:rsid w:val="008C2174"/>
    <w:rsid w:val="008C30A6"/>
    <w:rsid w:val="008C3F33"/>
    <w:rsid w:val="008C4106"/>
    <w:rsid w:val="008C4341"/>
    <w:rsid w:val="008C4E30"/>
    <w:rsid w:val="008C4E65"/>
    <w:rsid w:val="008C5273"/>
    <w:rsid w:val="008C53D7"/>
    <w:rsid w:val="008C555E"/>
    <w:rsid w:val="008C5870"/>
    <w:rsid w:val="008C6095"/>
    <w:rsid w:val="008C73DC"/>
    <w:rsid w:val="008C7C19"/>
    <w:rsid w:val="008D0B9C"/>
    <w:rsid w:val="008D1902"/>
    <w:rsid w:val="008D2D31"/>
    <w:rsid w:val="008D3694"/>
    <w:rsid w:val="008E0FEB"/>
    <w:rsid w:val="008E21D5"/>
    <w:rsid w:val="008E3E67"/>
    <w:rsid w:val="008E422D"/>
    <w:rsid w:val="008E4EC4"/>
    <w:rsid w:val="008E680F"/>
    <w:rsid w:val="008E75DA"/>
    <w:rsid w:val="008E7793"/>
    <w:rsid w:val="008F0170"/>
    <w:rsid w:val="008F0C79"/>
    <w:rsid w:val="008F1589"/>
    <w:rsid w:val="008F166D"/>
    <w:rsid w:val="008F18CF"/>
    <w:rsid w:val="008F28A2"/>
    <w:rsid w:val="008F416C"/>
    <w:rsid w:val="008F48D3"/>
    <w:rsid w:val="008F4BDA"/>
    <w:rsid w:val="008F5C3C"/>
    <w:rsid w:val="008F765C"/>
    <w:rsid w:val="0090042C"/>
    <w:rsid w:val="009005FF"/>
    <w:rsid w:val="009017B5"/>
    <w:rsid w:val="00902027"/>
    <w:rsid w:val="00902568"/>
    <w:rsid w:val="0090388B"/>
    <w:rsid w:val="00905D22"/>
    <w:rsid w:val="00906008"/>
    <w:rsid w:val="00906247"/>
    <w:rsid w:val="0090777A"/>
    <w:rsid w:val="00907F2A"/>
    <w:rsid w:val="00910808"/>
    <w:rsid w:val="009123ED"/>
    <w:rsid w:val="009123FA"/>
    <w:rsid w:val="00913455"/>
    <w:rsid w:val="00913C8E"/>
    <w:rsid w:val="009140BC"/>
    <w:rsid w:val="00914D90"/>
    <w:rsid w:val="00915BDA"/>
    <w:rsid w:val="00916CC9"/>
    <w:rsid w:val="009217CF"/>
    <w:rsid w:val="00921B51"/>
    <w:rsid w:val="0092366B"/>
    <w:rsid w:val="009246D6"/>
    <w:rsid w:val="00924D09"/>
    <w:rsid w:val="0092531C"/>
    <w:rsid w:val="009259D3"/>
    <w:rsid w:val="009265AC"/>
    <w:rsid w:val="0092720E"/>
    <w:rsid w:val="0092757F"/>
    <w:rsid w:val="0092760F"/>
    <w:rsid w:val="009300DC"/>
    <w:rsid w:val="009308AD"/>
    <w:rsid w:val="009319AB"/>
    <w:rsid w:val="00931FB4"/>
    <w:rsid w:val="009320D0"/>
    <w:rsid w:val="00932365"/>
    <w:rsid w:val="00932CEF"/>
    <w:rsid w:val="0093357E"/>
    <w:rsid w:val="00933E3B"/>
    <w:rsid w:val="0093415B"/>
    <w:rsid w:val="009372D9"/>
    <w:rsid w:val="0094067B"/>
    <w:rsid w:val="0094088C"/>
    <w:rsid w:val="00940F12"/>
    <w:rsid w:val="009414D4"/>
    <w:rsid w:val="009421BE"/>
    <w:rsid w:val="009426B9"/>
    <w:rsid w:val="00942929"/>
    <w:rsid w:val="00942CCC"/>
    <w:rsid w:val="009431E6"/>
    <w:rsid w:val="009439B5"/>
    <w:rsid w:val="00944F61"/>
    <w:rsid w:val="00946903"/>
    <w:rsid w:val="009472E5"/>
    <w:rsid w:val="009474EF"/>
    <w:rsid w:val="00951B93"/>
    <w:rsid w:val="00952CB4"/>
    <w:rsid w:val="00954769"/>
    <w:rsid w:val="00954BE4"/>
    <w:rsid w:val="00956992"/>
    <w:rsid w:val="00957AAA"/>
    <w:rsid w:val="00961B55"/>
    <w:rsid w:val="00962037"/>
    <w:rsid w:val="009622BA"/>
    <w:rsid w:val="009637F5"/>
    <w:rsid w:val="00964BC1"/>
    <w:rsid w:val="00964F65"/>
    <w:rsid w:val="00964FB5"/>
    <w:rsid w:val="009658EC"/>
    <w:rsid w:val="00967857"/>
    <w:rsid w:val="00970558"/>
    <w:rsid w:val="009708F5"/>
    <w:rsid w:val="00971FD0"/>
    <w:rsid w:val="00972779"/>
    <w:rsid w:val="0097289B"/>
    <w:rsid w:val="00972A0B"/>
    <w:rsid w:val="00973A46"/>
    <w:rsid w:val="009744B5"/>
    <w:rsid w:val="00974C0A"/>
    <w:rsid w:val="00975012"/>
    <w:rsid w:val="00975A9E"/>
    <w:rsid w:val="009772D1"/>
    <w:rsid w:val="009773BC"/>
    <w:rsid w:val="009802BA"/>
    <w:rsid w:val="009816B5"/>
    <w:rsid w:val="00981FF9"/>
    <w:rsid w:val="009824C0"/>
    <w:rsid w:val="009825BB"/>
    <w:rsid w:val="00982F36"/>
    <w:rsid w:val="0098314B"/>
    <w:rsid w:val="00983DA3"/>
    <w:rsid w:val="00984EE9"/>
    <w:rsid w:val="00985129"/>
    <w:rsid w:val="00985B79"/>
    <w:rsid w:val="0098659D"/>
    <w:rsid w:val="0098681C"/>
    <w:rsid w:val="0099065D"/>
    <w:rsid w:val="00991768"/>
    <w:rsid w:val="0099189B"/>
    <w:rsid w:val="0099194A"/>
    <w:rsid w:val="00992E1E"/>
    <w:rsid w:val="00995105"/>
    <w:rsid w:val="0099539A"/>
    <w:rsid w:val="009965DB"/>
    <w:rsid w:val="0099699E"/>
    <w:rsid w:val="00996A03"/>
    <w:rsid w:val="00997515"/>
    <w:rsid w:val="00997FA3"/>
    <w:rsid w:val="009A0C45"/>
    <w:rsid w:val="009A185C"/>
    <w:rsid w:val="009A1C94"/>
    <w:rsid w:val="009A30DD"/>
    <w:rsid w:val="009A35BF"/>
    <w:rsid w:val="009A35C1"/>
    <w:rsid w:val="009A4681"/>
    <w:rsid w:val="009A4CC1"/>
    <w:rsid w:val="009A5537"/>
    <w:rsid w:val="009A6E72"/>
    <w:rsid w:val="009B0C6C"/>
    <w:rsid w:val="009B20EB"/>
    <w:rsid w:val="009B2349"/>
    <w:rsid w:val="009B5EA5"/>
    <w:rsid w:val="009B7D66"/>
    <w:rsid w:val="009B7FDC"/>
    <w:rsid w:val="009C010D"/>
    <w:rsid w:val="009C0388"/>
    <w:rsid w:val="009C0B38"/>
    <w:rsid w:val="009C1A56"/>
    <w:rsid w:val="009C1CB5"/>
    <w:rsid w:val="009C233F"/>
    <w:rsid w:val="009C247D"/>
    <w:rsid w:val="009C2C40"/>
    <w:rsid w:val="009C4471"/>
    <w:rsid w:val="009C5363"/>
    <w:rsid w:val="009C542B"/>
    <w:rsid w:val="009D057E"/>
    <w:rsid w:val="009D06AA"/>
    <w:rsid w:val="009D0D5B"/>
    <w:rsid w:val="009D0E96"/>
    <w:rsid w:val="009D17E1"/>
    <w:rsid w:val="009D2A22"/>
    <w:rsid w:val="009D47CF"/>
    <w:rsid w:val="009D654A"/>
    <w:rsid w:val="009D6DD3"/>
    <w:rsid w:val="009E09FA"/>
    <w:rsid w:val="009E34E5"/>
    <w:rsid w:val="009E5FF5"/>
    <w:rsid w:val="009E6295"/>
    <w:rsid w:val="009E6DBE"/>
    <w:rsid w:val="009E794E"/>
    <w:rsid w:val="009F020E"/>
    <w:rsid w:val="009F1AA8"/>
    <w:rsid w:val="009F3456"/>
    <w:rsid w:val="009F3B88"/>
    <w:rsid w:val="009F3DE4"/>
    <w:rsid w:val="009F6088"/>
    <w:rsid w:val="00A0109B"/>
    <w:rsid w:val="00A01F35"/>
    <w:rsid w:val="00A01FA2"/>
    <w:rsid w:val="00A03384"/>
    <w:rsid w:val="00A036A3"/>
    <w:rsid w:val="00A03DCB"/>
    <w:rsid w:val="00A03F5C"/>
    <w:rsid w:val="00A04BD7"/>
    <w:rsid w:val="00A06CE0"/>
    <w:rsid w:val="00A0737E"/>
    <w:rsid w:val="00A075C4"/>
    <w:rsid w:val="00A076A4"/>
    <w:rsid w:val="00A121DE"/>
    <w:rsid w:val="00A12469"/>
    <w:rsid w:val="00A12EC1"/>
    <w:rsid w:val="00A12F2D"/>
    <w:rsid w:val="00A15465"/>
    <w:rsid w:val="00A15BE0"/>
    <w:rsid w:val="00A177F8"/>
    <w:rsid w:val="00A17930"/>
    <w:rsid w:val="00A20A4B"/>
    <w:rsid w:val="00A263A2"/>
    <w:rsid w:val="00A264E8"/>
    <w:rsid w:val="00A32D07"/>
    <w:rsid w:val="00A33C2B"/>
    <w:rsid w:val="00A33FF3"/>
    <w:rsid w:val="00A3476A"/>
    <w:rsid w:val="00A34E50"/>
    <w:rsid w:val="00A34E6F"/>
    <w:rsid w:val="00A351FF"/>
    <w:rsid w:val="00A3572E"/>
    <w:rsid w:val="00A3750D"/>
    <w:rsid w:val="00A4169E"/>
    <w:rsid w:val="00A42B1B"/>
    <w:rsid w:val="00A43D3D"/>
    <w:rsid w:val="00A43FDF"/>
    <w:rsid w:val="00A4430F"/>
    <w:rsid w:val="00A46369"/>
    <w:rsid w:val="00A4641F"/>
    <w:rsid w:val="00A466A9"/>
    <w:rsid w:val="00A46B6B"/>
    <w:rsid w:val="00A46CA4"/>
    <w:rsid w:val="00A50D58"/>
    <w:rsid w:val="00A522B9"/>
    <w:rsid w:val="00A52B67"/>
    <w:rsid w:val="00A55CB6"/>
    <w:rsid w:val="00A56727"/>
    <w:rsid w:val="00A5684A"/>
    <w:rsid w:val="00A6183D"/>
    <w:rsid w:val="00A61F1B"/>
    <w:rsid w:val="00A62D24"/>
    <w:rsid w:val="00A63C25"/>
    <w:rsid w:val="00A64AC7"/>
    <w:rsid w:val="00A65DDA"/>
    <w:rsid w:val="00A66552"/>
    <w:rsid w:val="00A6672B"/>
    <w:rsid w:val="00A66C19"/>
    <w:rsid w:val="00A66ED3"/>
    <w:rsid w:val="00A67735"/>
    <w:rsid w:val="00A67BE4"/>
    <w:rsid w:val="00A67EC2"/>
    <w:rsid w:val="00A70CC5"/>
    <w:rsid w:val="00A721EA"/>
    <w:rsid w:val="00A72233"/>
    <w:rsid w:val="00A72958"/>
    <w:rsid w:val="00A73C5A"/>
    <w:rsid w:val="00A74423"/>
    <w:rsid w:val="00A7447F"/>
    <w:rsid w:val="00A762CC"/>
    <w:rsid w:val="00A80AE0"/>
    <w:rsid w:val="00A80C31"/>
    <w:rsid w:val="00A80DC1"/>
    <w:rsid w:val="00A8136E"/>
    <w:rsid w:val="00A82ACE"/>
    <w:rsid w:val="00A84595"/>
    <w:rsid w:val="00A84E82"/>
    <w:rsid w:val="00A8517D"/>
    <w:rsid w:val="00A85CF2"/>
    <w:rsid w:val="00A85F97"/>
    <w:rsid w:val="00A91789"/>
    <w:rsid w:val="00A919F6"/>
    <w:rsid w:val="00A91B4A"/>
    <w:rsid w:val="00A958E2"/>
    <w:rsid w:val="00A96344"/>
    <w:rsid w:val="00A96E60"/>
    <w:rsid w:val="00A97C4F"/>
    <w:rsid w:val="00AA1B6E"/>
    <w:rsid w:val="00AA1FCE"/>
    <w:rsid w:val="00AA24C6"/>
    <w:rsid w:val="00AA2FBE"/>
    <w:rsid w:val="00AA4B94"/>
    <w:rsid w:val="00AA4D9B"/>
    <w:rsid w:val="00AA54CC"/>
    <w:rsid w:val="00AA591F"/>
    <w:rsid w:val="00AA5F67"/>
    <w:rsid w:val="00AA75AC"/>
    <w:rsid w:val="00AB0481"/>
    <w:rsid w:val="00AB134B"/>
    <w:rsid w:val="00AB2342"/>
    <w:rsid w:val="00AB252B"/>
    <w:rsid w:val="00AB2D1F"/>
    <w:rsid w:val="00AB405C"/>
    <w:rsid w:val="00AB47CE"/>
    <w:rsid w:val="00AB575B"/>
    <w:rsid w:val="00AB5F49"/>
    <w:rsid w:val="00AC2D12"/>
    <w:rsid w:val="00AC38E8"/>
    <w:rsid w:val="00AC4F51"/>
    <w:rsid w:val="00AC7BC2"/>
    <w:rsid w:val="00AD0371"/>
    <w:rsid w:val="00AD05BF"/>
    <w:rsid w:val="00AD070B"/>
    <w:rsid w:val="00AD13DC"/>
    <w:rsid w:val="00AD151F"/>
    <w:rsid w:val="00AD2AC6"/>
    <w:rsid w:val="00AD3AAE"/>
    <w:rsid w:val="00AD4813"/>
    <w:rsid w:val="00AD4849"/>
    <w:rsid w:val="00AD5291"/>
    <w:rsid w:val="00AD54C5"/>
    <w:rsid w:val="00AD5522"/>
    <w:rsid w:val="00AD5A38"/>
    <w:rsid w:val="00AD5A97"/>
    <w:rsid w:val="00AD5FAA"/>
    <w:rsid w:val="00AD72B7"/>
    <w:rsid w:val="00AD7C5A"/>
    <w:rsid w:val="00AE407F"/>
    <w:rsid w:val="00AE53F8"/>
    <w:rsid w:val="00AE56A7"/>
    <w:rsid w:val="00AE6312"/>
    <w:rsid w:val="00AE638B"/>
    <w:rsid w:val="00AE659A"/>
    <w:rsid w:val="00AE6D63"/>
    <w:rsid w:val="00AE713B"/>
    <w:rsid w:val="00AE72F9"/>
    <w:rsid w:val="00AF06DA"/>
    <w:rsid w:val="00AF1207"/>
    <w:rsid w:val="00AF211B"/>
    <w:rsid w:val="00AF4C35"/>
    <w:rsid w:val="00AF6518"/>
    <w:rsid w:val="00AF6E5F"/>
    <w:rsid w:val="00B009D4"/>
    <w:rsid w:val="00B02B90"/>
    <w:rsid w:val="00B0314B"/>
    <w:rsid w:val="00B03809"/>
    <w:rsid w:val="00B043C7"/>
    <w:rsid w:val="00B04864"/>
    <w:rsid w:val="00B04D60"/>
    <w:rsid w:val="00B06836"/>
    <w:rsid w:val="00B0737E"/>
    <w:rsid w:val="00B074FA"/>
    <w:rsid w:val="00B13774"/>
    <w:rsid w:val="00B13A8A"/>
    <w:rsid w:val="00B14120"/>
    <w:rsid w:val="00B1468C"/>
    <w:rsid w:val="00B15C76"/>
    <w:rsid w:val="00B16573"/>
    <w:rsid w:val="00B16B2E"/>
    <w:rsid w:val="00B16C29"/>
    <w:rsid w:val="00B17555"/>
    <w:rsid w:val="00B17FFC"/>
    <w:rsid w:val="00B2169D"/>
    <w:rsid w:val="00B25B35"/>
    <w:rsid w:val="00B2755E"/>
    <w:rsid w:val="00B30640"/>
    <w:rsid w:val="00B3069C"/>
    <w:rsid w:val="00B30FD5"/>
    <w:rsid w:val="00B3267E"/>
    <w:rsid w:val="00B3274D"/>
    <w:rsid w:val="00B33351"/>
    <w:rsid w:val="00B33503"/>
    <w:rsid w:val="00B33DD7"/>
    <w:rsid w:val="00B35767"/>
    <w:rsid w:val="00B372A8"/>
    <w:rsid w:val="00B40531"/>
    <w:rsid w:val="00B412E9"/>
    <w:rsid w:val="00B43332"/>
    <w:rsid w:val="00B438CF"/>
    <w:rsid w:val="00B45596"/>
    <w:rsid w:val="00B45967"/>
    <w:rsid w:val="00B45C39"/>
    <w:rsid w:val="00B46EE7"/>
    <w:rsid w:val="00B50D25"/>
    <w:rsid w:val="00B50E06"/>
    <w:rsid w:val="00B51340"/>
    <w:rsid w:val="00B51C6A"/>
    <w:rsid w:val="00B51D85"/>
    <w:rsid w:val="00B5206E"/>
    <w:rsid w:val="00B521BC"/>
    <w:rsid w:val="00B52543"/>
    <w:rsid w:val="00B53FDE"/>
    <w:rsid w:val="00B54DED"/>
    <w:rsid w:val="00B559A4"/>
    <w:rsid w:val="00B56748"/>
    <w:rsid w:val="00B56C9C"/>
    <w:rsid w:val="00B56DDC"/>
    <w:rsid w:val="00B5724D"/>
    <w:rsid w:val="00B577BB"/>
    <w:rsid w:val="00B6057E"/>
    <w:rsid w:val="00B60D59"/>
    <w:rsid w:val="00B6117A"/>
    <w:rsid w:val="00B63281"/>
    <w:rsid w:val="00B648C9"/>
    <w:rsid w:val="00B64BA3"/>
    <w:rsid w:val="00B71741"/>
    <w:rsid w:val="00B722B6"/>
    <w:rsid w:val="00B72C79"/>
    <w:rsid w:val="00B73B01"/>
    <w:rsid w:val="00B750A0"/>
    <w:rsid w:val="00B764B0"/>
    <w:rsid w:val="00B76903"/>
    <w:rsid w:val="00B76D47"/>
    <w:rsid w:val="00B8030D"/>
    <w:rsid w:val="00B80A99"/>
    <w:rsid w:val="00B80BDF"/>
    <w:rsid w:val="00B81EB4"/>
    <w:rsid w:val="00B8256E"/>
    <w:rsid w:val="00B82EEE"/>
    <w:rsid w:val="00B8321D"/>
    <w:rsid w:val="00B836B7"/>
    <w:rsid w:val="00B83A0D"/>
    <w:rsid w:val="00B84083"/>
    <w:rsid w:val="00B867AA"/>
    <w:rsid w:val="00B86AE2"/>
    <w:rsid w:val="00B903B6"/>
    <w:rsid w:val="00B9058C"/>
    <w:rsid w:val="00B90950"/>
    <w:rsid w:val="00B9143A"/>
    <w:rsid w:val="00B9219A"/>
    <w:rsid w:val="00B94C5A"/>
    <w:rsid w:val="00B94F12"/>
    <w:rsid w:val="00B94FFC"/>
    <w:rsid w:val="00B96FEE"/>
    <w:rsid w:val="00B97120"/>
    <w:rsid w:val="00B97FFC"/>
    <w:rsid w:val="00BA0702"/>
    <w:rsid w:val="00BA0926"/>
    <w:rsid w:val="00BA0A4E"/>
    <w:rsid w:val="00BA0DE7"/>
    <w:rsid w:val="00BA260B"/>
    <w:rsid w:val="00BA31AB"/>
    <w:rsid w:val="00BA3D78"/>
    <w:rsid w:val="00BA406A"/>
    <w:rsid w:val="00BA4567"/>
    <w:rsid w:val="00BA4C6D"/>
    <w:rsid w:val="00BA53C0"/>
    <w:rsid w:val="00BA5905"/>
    <w:rsid w:val="00BA6025"/>
    <w:rsid w:val="00BA6533"/>
    <w:rsid w:val="00BA74B2"/>
    <w:rsid w:val="00BA767C"/>
    <w:rsid w:val="00BB10B0"/>
    <w:rsid w:val="00BB1220"/>
    <w:rsid w:val="00BB1A61"/>
    <w:rsid w:val="00BB1B35"/>
    <w:rsid w:val="00BB1C0A"/>
    <w:rsid w:val="00BB27B1"/>
    <w:rsid w:val="00BB47A5"/>
    <w:rsid w:val="00BC11F4"/>
    <w:rsid w:val="00BC15F7"/>
    <w:rsid w:val="00BC1DFD"/>
    <w:rsid w:val="00BC217E"/>
    <w:rsid w:val="00BC21CD"/>
    <w:rsid w:val="00BC3593"/>
    <w:rsid w:val="00BC3A24"/>
    <w:rsid w:val="00BC3F1F"/>
    <w:rsid w:val="00BC4272"/>
    <w:rsid w:val="00BC45E2"/>
    <w:rsid w:val="00BC4812"/>
    <w:rsid w:val="00BC5379"/>
    <w:rsid w:val="00BC6AA9"/>
    <w:rsid w:val="00BC6D3B"/>
    <w:rsid w:val="00BD05EC"/>
    <w:rsid w:val="00BD0F8B"/>
    <w:rsid w:val="00BD3F2E"/>
    <w:rsid w:val="00BD45F9"/>
    <w:rsid w:val="00BD4EE5"/>
    <w:rsid w:val="00BD56EF"/>
    <w:rsid w:val="00BD6DCF"/>
    <w:rsid w:val="00BD77BE"/>
    <w:rsid w:val="00BD796B"/>
    <w:rsid w:val="00BE044B"/>
    <w:rsid w:val="00BE0593"/>
    <w:rsid w:val="00BE2A35"/>
    <w:rsid w:val="00BE3A13"/>
    <w:rsid w:val="00BE4545"/>
    <w:rsid w:val="00BE629D"/>
    <w:rsid w:val="00BE6428"/>
    <w:rsid w:val="00BF06A6"/>
    <w:rsid w:val="00BF17F3"/>
    <w:rsid w:val="00BF2B04"/>
    <w:rsid w:val="00BF323C"/>
    <w:rsid w:val="00BF49A5"/>
    <w:rsid w:val="00BF5DAA"/>
    <w:rsid w:val="00BF5EBC"/>
    <w:rsid w:val="00BF7DFF"/>
    <w:rsid w:val="00BF7F74"/>
    <w:rsid w:val="00C0099F"/>
    <w:rsid w:val="00C016B5"/>
    <w:rsid w:val="00C031D2"/>
    <w:rsid w:val="00C03399"/>
    <w:rsid w:val="00C048E4"/>
    <w:rsid w:val="00C04CD5"/>
    <w:rsid w:val="00C057A9"/>
    <w:rsid w:val="00C073FC"/>
    <w:rsid w:val="00C117D6"/>
    <w:rsid w:val="00C13854"/>
    <w:rsid w:val="00C139AF"/>
    <w:rsid w:val="00C1515E"/>
    <w:rsid w:val="00C15B05"/>
    <w:rsid w:val="00C1645C"/>
    <w:rsid w:val="00C16F1A"/>
    <w:rsid w:val="00C20207"/>
    <w:rsid w:val="00C20745"/>
    <w:rsid w:val="00C20E73"/>
    <w:rsid w:val="00C2113E"/>
    <w:rsid w:val="00C2166C"/>
    <w:rsid w:val="00C220CA"/>
    <w:rsid w:val="00C2218E"/>
    <w:rsid w:val="00C222BD"/>
    <w:rsid w:val="00C22BA0"/>
    <w:rsid w:val="00C2331C"/>
    <w:rsid w:val="00C24245"/>
    <w:rsid w:val="00C25FD9"/>
    <w:rsid w:val="00C26F6D"/>
    <w:rsid w:val="00C2755B"/>
    <w:rsid w:val="00C276D1"/>
    <w:rsid w:val="00C27802"/>
    <w:rsid w:val="00C27F39"/>
    <w:rsid w:val="00C30395"/>
    <w:rsid w:val="00C3060D"/>
    <w:rsid w:val="00C30CE6"/>
    <w:rsid w:val="00C31DB5"/>
    <w:rsid w:val="00C33334"/>
    <w:rsid w:val="00C33AF7"/>
    <w:rsid w:val="00C3404E"/>
    <w:rsid w:val="00C34BC7"/>
    <w:rsid w:val="00C354A2"/>
    <w:rsid w:val="00C358D8"/>
    <w:rsid w:val="00C404BD"/>
    <w:rsid w:val="00C419EF"/>
    <w:rsid w:val="00C41A6F"/>
    <w:rsid w:val="00C41EE7"/>
    <w:rsid w:val="00C43D55"/>
    <w:rsid w:val="00C43F96"/>
    <w:rsid w:val="00C4409E"/>
    <w:rsid w:val="00C4461D"/>
    <w:rsid w:val="00C44B81"/>
    <w:rsid w:val="00C4515D"/>
    <w:rsid w:val="00C50D4E"/>
    <w:rsid w:val="00C50EFE"/>
    <w:rsid w:val="00C5167A"/>
    <w:rsid w:val="00C52A9C"/>
    <w:rsid w:val="00C52AC7"/>
    <w:rsid w:val="00C555CB"/>
    <w:rsid w:val="00C562E9"/>
    <w:rsid w:val="00C606CF"/>
    <w:rsid w:val="00C609C2"/>
    <w:rsid w:val="00C60D39"/>
    <w:rsid w:val="00C64269"/>
    <w:rsid w:val="00C64553"/>
    <w:rsid w:val="00C64D18"/>
    <w:rsid w:val="00C6503A"/>
    <w:rsid w:val="00C65443"/>
    <w:rsid w:val="00C65F0F"/>
    <w:rsid w:val="00C661C4"/>
    <w:rsid w:val="00C663CB"/>
    <w:rsid w:val="00C666BD"/>
    <w:rsid w:val="00C66F2A"/>
    <w:rsid w:val="00C672C8"/>
    <w:rsid w:val="00C67BF6"/>
    <w:rsid w:val="00C71638"/>
    <w:rsid w:val="00C7224A"/>
    <w:rsid w:val="00C725F3"/>
    <w:rsid w:val="00C746C0"/>
    <w:rsid w:val="00C750C3"/>
    <w:rsid w:val="00C75785"/>
    <w:rsid w:val="00C76935"/>
    <w:rsid w:val="00C76BA0"/>
    <w:rsid w:val="00C77E2C"/>
    <w:rsid w:val="00C80405"/>
    <w:rsid w:val="00C80B20"/>
    <w:rsid w:val="00C80EDD"/>
    <w:rsid w:val="00C8186D"/>
    <w:rsid w:val="00C819C6"/>
    <w:rsid w:val="00C82363"/>
    <w:rsid w:val="00C83997"/>
    <w:rsid w:val="00C84A05"/>
    <w:rsid w:val="00C8594B"/>
    <w:rsid w:val="00C87114"/>
    <w:rsid w:val="00C901F4"/>
    <w:rsid w:val="00C9083E"/>
    <w:rsid w:val="00C921EB"/>
    <w:rsid w:val="00C9240F"/>
    <w:rsid w:val="00C93239"/>
    <w:rsid w:val="00C94042"/>
    <w:rsid w:val="00C959C8"/>
    <w:rsid w:val="00C97315"/>
    <w:rsid w:val="00C97BB8"/>
    <w:rsid w:val="00CA0305"/>
    <w:rsid w:val="00CA154A"/>
    <w:rsid w:val="00CA1F58"/>
    <w:rsid w:val="00CA3670"/>
    <w:rsid w:val="00CA3933"/>
    <w:rsid w:val="00CA5C36"/>
    <w:rsid w:val="00CA5DB0"/>
    <w:rsid w:val="00CA5F9C"/>
    <w:rsid w:val="00CA67D8"/>
    <w:rsid w:val="00CA71CF"/>
    <w:rsid w:val="00CB1012"/>
    <w:rsid w:val="00CB30B7"/>
    <w:rsid w:val="00CB56DC"/>
    <w:rsid w:val="00CB5D27"/>
    <w:rsid w:val="00CB721C"/>
    <w:rsid w:val="00CB73D8"/>
    <w:rsid w:val="00CC038C"/>
    <w:rsid w:val="00CC15F4"/>
    <w:rsid w:val="00CC1D67"/>
    <w:rsid w:val="00CC23FF"/>
    <w:rsid w:val="00CC358C"/>
    <w:rsid w:val="00CC7359"/>
    <w:rsid w:val="00CD0592"/>
    <w:rsid w:val="00CD1159"/>
    <w:rsid w:val="00CD12DA"/>
    <w:rsid w:val="00CD179E"/>
    <w:rsid w:val="00CD4286"/>
    <w:rsid w:val="00CD431A"/>
    <w:rsid w:val="00CD5918"/>
    <w:rsid w:val="00CD6DDB"/>
    <w:rsid w:val="00CE0633"/>
    <w:rsid w:val="00CE4113"/>
    <w:rsid w:val="00CE4559"/>
    <w:rsid w:val="00CE543A"/>
    <w:rsid w:val="00CE644F"/>
    <w:rsid w:val="00CF01F4"/>
    <w:rsid w:val="00CF0822"/>
    <w:rsid w:val="00CF27BE"/>
    <w:rsid w:val="00CF458D"/>
    <w:rsid w:val="00CF5CD2"/>
    <w:rsid w:val="00CF6AC1"/>
    <w:rsid w:val="00D0099C"/>
    <w:rsid w:val="00D0159F"/>
    <w:rsid w:val="00D02D56"/>
    <w:rsid w:val="00D02E14"/>
    <w:rsid w:val="00D03313"/>
    <w:rsid w:val="00D03633"/>
    <w:rsid w:val="00D03B89"/>
    <w:rsid w:val="00D047FA"/>
    <w:rsid w:val="00D051F3"/>
    <w:rsid w:val="00D10893"/>
    <w:rsid w:val="00D11617"/>
    <w:rsid w:val="00D12CBD"/>
    <w:rsid w:val="00D1412E"/>
    <w:rsid w:val="00D14E3A"/>
    <w:rsid w:val="00D163CD"/>
    <w:rsid w:val="00D16640"/>
    <w:rsid w:val="00D20EFD"/>
    <w:rsid w:val="00D214E6"/>
    <w:rsid w:val="00D236B8"/>
    <w:rsid w:val="00D239BC"/>
    <w:rsid w:val="00D24544"/>
    <w:rsid w:val="00D24CB1"/>
    <w:rsid w:val="00D26382"/>
    <w:rsid w:val="00D27A30"/>
    <w:rsid w:val="00D31432"/>
    <w:rsid w:val="00D32ECD"/>
    <w:rsid w:val="00D33D2F"/>
    <w:rsid w:val="00D344F1"/>
    <w:rsid w:val="00D347C2"/>
    <w:rsid w:val="00D35467"/>
    <w:rsid w:val="00D3708D"/>
    <w:rsid w:val="00D4113E"/>
    <w:rsid w:val="00D4186C"/>
    <w:rsid w:val="00D41E35"/>
    <w:rsid w:val="00D41FD8"/>
    <w:rsid w:val="00D44628"/>
    <w:rsid w:val="00D44B3D"/>
    <w:rsid w:val="00D44F9D"/>
    <w:rsid w:val="00D4508D"/>
    <w:rsid w:val="00D455A7"/>
    <w:rsid w:val="00D45671"/>
    <w:rsid w:val="00D45A54"/>
    <w:rsid w:val="00D45AC4"/>
    <w:rsid w:val="00D45DF4"/>
    <w:rsid w:val="00D45EF3"/>
    <w:rsid w:val="00D474E4"/>
    <w:rsid w:val="00D475E8"/>
    <w:rsid w:val="00D479AC"/>
    <w:rsid w:val="00D47BAE"/>
    <w:rsid w:val="00D47D05"/>
    <w:rsid w:val="00D503DB"/>
    <w:rsid w:val="00D505D1"/>
    <w:rsid w:val="00D50CC9"/>
    <w:rsid w:val="00D50D1C"/>
    <w:rsid w:val="00D52335"/>
    <w:rsid w:val="00D52EED"/>
    <w:rsid w:val="00D53E7C"/>
    <w:rsid w:val="00D54DCB"/>
    <w:rsid w:val="00D55833"/>
    <w:rsid w:val="00D55903"/>
    <w:rsid w:val="00D56C60"/>
    <w:rsid w:val="00D57437"/>
    <w:rsid w:val="00D57F73"/>
    <w:rsid w:val="00D6004C"/>
    <w:rsid w:val="00D60318"/>
    <w:rsid w:val="00D6033A"/>
    <w:rsid w:val="00D61963"/>
    <w:rsid w:val="00D61B9A"/>
    <w:rsid w:val="00D62426"/>
    <w:rsid w:val="00D633EC"/>
    <w:rsid w:val="00D64C04"/>
    <w:rsid w:val="00D6562C"/>
    <w:rsid w:val="00D663DF"/>
    <w:rsid w:val="00D67822"/>
    <w:rsid w:val="00D67CDE"/>
    <w:rsid w:val="00D67D34"/>
    <w:rsid w:val="00D7026A"/>
    <w:rsid w:val="00D71033"/>
    <w:rsid w:val="00D725F4"/>
    <w:rsid w:val="00D73681"/>
    <w:rsid w:val="00D7383B"/>
    <w:rsid w:val="00D73865"/>
    <w:rsid w:val="00D74478"/>
    <w:rsid w:val="00D75DE4"/>
    <w:rsid w:val="00D77056"/>
    <w:rsid w:val="00D80BBB"/>
    <w:rsid w:val="00D80ED8"/>
    <w:rsid w:val="00D8101D"/>
    <w:rsid w:val="00D81D34"/>
    <w:rsid w:val="00D82CBE"/>
    <w:rsid w:val="00D83170"/>
    <w:rsid w:val="00D85178"/>
    <w:rsid w:val="00D85317"/>
    <w:rsid w:val="00D855C8"/>
    <w:rsid w:val="00D86C0A"/>
    <w:rsid w:val="00D87960"/>
    <w:rsid w:val="00D87ADD"/>
    <w:rsid w:val="00D90E27"/>
    <w:rsid w:val="00D915DF"/>
    <w:rsid w:val="00D916B3"/>
    <w:rsid w:val="00D95641"/>
    <w:rsid w:val="00D959F8"/>
    <w:rsid w:val="00D95E78"/>
    <w:rsid w:val="00D96372"/>
    <w:rsid w:val="00D966A1"/>
    <w:rsid w:val="00D96918"/>
    <w:rsid w:val="00D96A86"/>
    <w:rsid w:val="00D97656"/>
    <w:rsid w:val="00D977D4"/>
    <w:rsid w:val="00DA029F"/>
    <w:rsid w:val="00DA1385"/>
    <w:rsid w:val="00DA1B0E"/>
    <w:rsid w:val="00DA1F9C"/>
    <w:rsid w:val="00DA2E91"/>
    <w:rsid w:val="00DA3752"/>
    <w:rsid w:val="00DA3B88"/>
    <w:rsid w:val="00DA3E39"/>
    <w:rsid w:val="00DA451A"/>
    <w:rsid w:val="00DA5AEE"/>
    <w:rsid w:val="00DA607C"/>
    <w:rsid w:val="00DA608A"/>
    <w:rsid w:val="00DA6E9E"/>
    <w:rsid w:val="00DA7CB6"/>
    <w:rsid w:val="00DB17F4"/>
    <w:rsid w:val="00DB21A9"/>
    <w:rsid w:val="00DB2AD6"/>
    <w:rsid w:val="00DB2B2B"/>
    <w:rsid w:val="00DB31F7"/>
    <w:rsid w:val="00DB5B6B"/>
    <w:rsid w:val="00DC3E3B"/>
    <w:rsid w:val="00DC4815"/>
    <w:rsid w:val="00DC4E71"/>
    <w:rsid w:val="00DC502A"/>
    <w:rsid w:val="00DC51B2"/>
    <w:rsid w:val="00DC6712"/>
    <w:rsid w:val="00DC7107"/>
    <w:rsid w:val="00DC7720"/>
    <w:rsid w:val="00DD143E"/>
    <w:rsid w:val="00DD38E9"/>
    <w:rsid w:val="00DD6745"/>
    <w:rsid w:val="00DD7EE3"/>
    <w:rsid w:val="00DE1DAE"/>
    <w:rsid w:val="00DE4F21"/>
    <w:rsid w:val="00DE6C30"/>
    <w:rsid w:val="00DE721C"/>
    <w:rsid w:val="00DE75B4"/>
    <w:rsid w:val="00DF01D5"/>
    <w:rsid w:val="00DF0CED"/>
    <w:rsid w:val="00DF0EBB"/>
    <w:rsid w:val="00DF1753"/>
    <w:rsid w:val="00DF2A86"/>
    <w:rsid w:val="00DF38DB"/>
    <w:rsid w:val="00DF3AED"/>
    <w:rsid w:val="00DF413B"/>
    <w:rsid w:val="00DF43A2"/>
    <w:rsid w:val="00DF5403"/>
    <w:rsid w:val="00DF5BF3"/>
    <w:rsid w:val="00DF5C8E"/>
    <w:rsid w:val="00DF6017"/>
    <w:rsid w:val="00DF7836"/>
    <w:rsid w:val="00DF7A8B"/>
    <w:rsid w:val="00DF7BAD"/>
    <w:rsid w:val="00E007F1"/>
    <w:rsid w:val="00E00CE5"/>
    <w:rsid w:val="00E03105"/>
    <w:rsid w:val="00E033AE"/>
    <w:rsid w:val="00E03515"/>
    <w:rsid w:val="00E0413A"/>
    <w:rsid w:val="00E041F0"/>
    <w:rsid w:val="00E04470"/>
    <w:rsid w:val="00E0679E"/>
    <w:rsid w:val="00E06B50"/>
    <w:rsid w:val="00E06C3D"/>
    <w:rsid w:val="00E1000D"/>
    <w:rsid w:val="00E111A7"/>
    <w:rsid w:val="00E123D3"/>
    <w:rsid w:val="00E14189"/>
    <w:rsid w:val="00E1593C"/>
    <w:rsid w:val="00E162E5"/>
    <w:rsid w:val="00E169F4"/>
    <w:rsid w:val="00E20556"/>
    <w:rsid w:val="00E20D65"/>
    <w:rsid w:val="00E23A14"/>
    <w:rsid w:val="00E242FF"/>
    <w:rsid w:val="00E24C33"/>
    <w:rsid w:val="00E25691"/>
    <w:rsid w:val="00E26933"/>
    <w:rsid w:val="00E31018"/>
    <w:rsid w:val="00E31D70"/>
    <w:rsid w:val="00E32436"/>
    <w:rsid w:val="00E35EAA"/>
    <w:rsid w:val="00E36491"/>
    <w:rsid w:val="00E367D4"/>
    <w:rsid w:val="00E375E5"/>
    <w:rsid w:val="00E4003E"/>
    <w:rsid w:val="00E4116B"/>
    <w:rsid w:val="00E41679"/>
    <w:rsid w:val="00E4325C"/>
    <w:rsid w:val="00E43890"/>
    <w:rsid w:val="00E43EEA"/>
    <w:rsid w:val="00E43F9C"/>
    <w:rsid w:val="00E4493F"/>
    <w:rsid w:val="00E44E5F"/>
    <w:rsid w:val="00E4557F"/>
    <w:rsid w:val="00E459BB"/>
    <w:rsid w:val="00E47377"/>
    <w:rsid w:val="00E47BCA"/>
    <w:rsid w:val="00E5085D"/>
    <w:rsid w:val="00E50FBD"/>
    <w:rsid w:val="00E51775"/>
    <w:rsid w:val="00E541C1"/>
    <w:rsid w:val="00E55B8E"/>
    <w:rsid w:val="00E55E54"/>
    <w:rsid w:val="00E563C7"/>
    <w:rsid w:val="00E56971"/>
    <w:rsid w:val="00E60D5C"/>
    <w:rsid w:val="00E60EB4"/>
    <w:rsid w:val="00E62E63"/>
    <w:rsid w:val="00E639A0"/>
    <w:rsid w:val="00E63CD5"/>
    <w:rsid w:val="00E64284"/>
    <w:rsid w:val="00E657E6"/>
    <w:rsid w:val="00E66253"/>
    <w:rsid w:val="00E672CF"/>
    <w:rsid w:val="00E70311"/>
    <w:rsid w:val="00E70484"/>
    <w:rsid w:val="00E70FA2"/>
    <w:rsid w:val="00E72C14"/>
    <w:rsid w:val="00E72E9D"/>
    <w:rsid w:val="00E7338C"/>
    <w:rsid w:val="00E7421A"/>
    <w:rsid w:val="00E74450"/>
    <w:rsid w:val="00E75264"/>
    <w:rsid w:val="00E75BA9"/>
    <w:rsid w:val="00E7623E"/>
    <w:rsid w:val="00E76D6F"/>
    <w:rsid w:val="00E80771"/>
    <w:rsid w:val="00E81F84"/>
    <w:rsid w:val="00E83F26"/>
    <w:rsid w:val="00E84A9A"/>
    <w:rsid w:val="00E85CD9"/>
    <w:rsid w:val="00E862C6"/>
    <w:rsid w:val="00E87824"/>
    <w:rsid w:val="00E90052"/>
    <w:rsid w:val="00E904E0"/>
    <w:rsid w:val="00E91AB8"/>
    <w:rsid w:val="00E91F50"/>
    <w:rsid w:val="00E94F6E"/>
    <w:rsid w:val="00E957D9"/>
    <w:rsid w:val="00E96511"/>
    <w:rsid w:val="00E96C7F"/>
    <w:rsid w:val="00EA0DB5"/>
    <w:rsid w:val="00EA0EEC"/>
    <w:rsid w:val="00EA0FAF"/>
    <w:rsid w:val="00EA22F2"/>
    <w:rsid w:val="00EA3A31"/>
    <w:rsid w:val="00EA3C8E"/>
    <w:rsid w:val="00EA5F6D"/>
    <w:rsid w:val="00EB37ED"/>
    <w:rsid w:val="00EB4C0F"/>
    <w:rsid w:val="00EB597F"/>
    <w:rsid w:val="00EB657E"/>
    <w:rsid w:val="00EB79F4"/>
    <w:rsid w:val="00EB7CD4"/>
    <w:rsid w:val="00EC0D2F"/>
    <w:rsid w:val="00EC117A"/>
    <w:rsid w:val="00EC22FE"/>
    <w:rsid w:val="00EC238D"/>
    <w:rsid w:val="00EC377A"/>
    <w:rsid w:val="00EC3C6A"/>
    <w:rsid w:val="00EC4727"/>
    <w:rsid w:val="00EC53E7"/>
    <w:rsid w:val="00EC5904"/>
    <w:rsid w:val="00EC5E63"/>
    <w:rsid w:val="00EC64E7"/>
    <w:rsid w:val="00EC6642"/>
    <w:rsid w:val="00EC714A"/>
    <w:rsid w:val="00EC723D"/>
    <w:rsid w:val="00EC789C"/>
    <w:rsid w:val="00ED06F1"/>
    <w:rsid w:val="00ED2149"/>
    <w:rsid w:val="00ED4A9C"/>
    <w:rsid w:val="00ED641B"/>
    <w:rsid w:val="00EE027D"/>
    <w:rsid w:val="00EE3D21"/>
    <w:rsid w:val="00EE467E"/>
    <w:rsid w:val="00EE4C8F"/>
    <w:rsid w:val="00EE59B8"/>
    <w:rsid w:val="00EE6120"/>
    <w:rsid w:val="00EE648E"/>
    <w:rsid w:val="00EE7466"/>
    <w:rsid w:val="00EE7C9C"/>
    <w:rsid w:val="00EF0A1B"/>
    <w:rsid w:val="00EF17FF"/>
    <w:rsid w:val="00EF1EC2"/>
    <w:rsid w:val="00EF2766"/>
    <w:rsid w:val="00EF509F"/>
    <w:rsid w:val="00EF74EB"/>
    <w:rsid w:val="00F00E55"/>
    <w:rsid w:val="00F021BD"/>
    <w:rsid w:val="00F033A7"/>
    <w:rsid w:val="00F05308"/>
    <w:rsid w:val="00F05B81"/>
    <w:rsid w:val="00F07361"/>
    <w:rsid w:val="00F077A3"/>
    <w:rsid w:val="00F07E72"/>
    <w:rsid w:val="00F10710"/>
    <w:rsid w:val="00F1126E"/>
    <w:rsid w:val="00F11358"/>
    <w:rsid w:val="00F115DB"/>
    <w:rsid w:val="00F118FD"/>
    <w:rsid w:val="00F11D8F"/>
    <w:rsid w:val="00F12021"/>
    <w:rsid w:val="00F145F1"/>
    <w:rsid w:val="00F15107"/>
    <w:rsid w:val="00F16B72"/>
    <w:rsid w:val="00F2020B"/>
    <w:rsid w:val="00F20DA3"/>
    <w:rsid w:val="00F210B8"/>
    <w:rsid w:val="00F210F7"/>
    <w:rsid w:val="00F2316A"/>
    <w:rsid w:val="00F237D1"/>
    <w:rsid w:val="00F24893"/>
    <w:rsid w:val="00F255D4"/>
    <w:rsid w:val="00F2718D"/>
    <w:rsid w:val="00F27955"/>
    <w:rsid w:val="00F30F16"/>
    <w:rsid w:val="00F30F1F"/>
    <w:rsid w:val="00F31CE8"/>
    <w:rsid w:val="00F31D99"/>
    <w:rsid w:val="00F35490"/>
    <w:rsid w:val="00F36E89"/>
    <w:rsid w:val="00F37B4F"/>
    <w:rsid w:val="00F40351"/>
    <w:rsid w:val="00F40AC4"/>
    <w:rsid w:val="00F41504"/>
    <w:rsid w:val="00F430AD"/>
    <w:rsid w:val="00F43D37"/>
    <w:rsid w:val="00F44BE8"/>
    <w:rsid w:val="00F4592B"/>
    <w:rsid w:val="00F47996"/>
    <w:rsid w:val="00F515F5"/>
    <w:rsid w:val="00F533A1"/>
    <w:rsid w:val="00F53D63"/>
    <w:rsid w:val="00F56640"/>
    <w:rsid w:val="00F5664F"/>
    <w:rsid w:val="00F5776D"/>
    <w:rsid w:val="00F604BD"/>
    <w:rsid w:val="00F61585"/>
    <w:rsid w:val="00F622F9"/>
    <w:rsid w:val="00F649BF"/>
    <w:rsid w:val="00F65E3D"/>
    <w:rsid w:val="00F665F2"/>
    <w:rsid w:val="00F6676B"/>
    <w:rsid w:val="00F6698D"/>
    <w:rsid w:val="00F66E3D"/>
    <w:rsid w:val="00F70195"/>
    <w:rsid w:val="00F703FE"/>
    <w:rsid w:val="00F7183B"/>
    <w:rsid w:val="00F71BDA"/>
    <w:rsid w:val="00F7262A"/>
    <w:rsid w:val="00F734E0"/>
    <w:rsid w:val="00F76D8A"/>
    <w:rsid w:val="00F77FD0"/>
    <w:rsid w:val="00F800CD"/>
    <w:rsid w:val="00F8080B"/>
    <w:rsid w:val="00F83083"/>
    <w:rsid w:val="00F83FB8"/>
    <w:rsid w:val="00F84B0A"/>
    <w:rsid w:val="00F86845"/>
    <w:rsid w:val="00F86A44"/>
    <w:rsid w:val="00F87279"/>
    <w:rsid w:val="00F87600"/>
    <w:rsid w:val="00F87D69"/>
    <w:rsid w:val="00F909F9"/>
    <w:rsid w:val="00F9160C"/>
    <w:rsid w:val="00F938F6"/>
    <w:rsid w:val="00F94FE1"/>
    <w:rsid w:val="00F96B06"/>
    <w:rsid w:val="00F96E0C"/>
    <w:rsid w:val="00F9770A"/>
    <w:rsid w:val="00F97918"/>
    <w:rsid w:val="00F97B4F"/>
    <w:rsid w:val="00F97F26"/>
    <w:rsid w:val="00FA205F"/>
    <w:rsid w:val="00FA2556"/>
    <w:rsid w:val="00FA2703"/>
    <w:rsid w:val="00FA29F2"/>
    <w:rsid w:val="00FA43C2"/>
    <w:rsid w:val="00FA4B59"/>
    <w:rsid w:val="00FB18AE"/>
    <w:rsid w:val="00FB1C13"/>
    <w:rsid w:val="00FB1CF1"/>
    <w:rsid w:val="00FB1E7E"/>
    <w:rsid w:val="00FB1F9D"/>
    <w:rsid w:val="00FB4121"/>
    <w:rsid w:val="00FB48F1"/>
    <w:rsid w:val="00FB65A8"/>
    <w:rsid w:val="00FB67E7"/>
    <w:rsid w:val="00FB6973"/>
    <w:rsid w:val="00FC15F8"/>
    <w:rsid w:val="00FC1B9D"/>
    <w:rsid w:val="00FC1F32"/>
    <w:rsid w:val="00FC5CD4"/>
    <w:rsid w:val="00FC7580"/>
    <w:rsid w:val="00FC75E9"/>
    <w:rsid w:val="00FD36B5"/>
    <w:rsid w:val="00FD37C1"/>
    <w:rsid w:val="00FD3AED"/>
    <w:rsid w:val="00FD43F3"/>
    <w:rsid w:val="00FD4EBB"/>
    <w:rsid w:val="00FD5B7C"/>
    <w:rsid w:val="00FD6D35"/>
    <w:rsid w:val="00FE2BB9"/>
    <w:rsid w:val="00FE3697"/>
    <w:rsid w:val="00FE3FA1"/>
    <w:rsid w:val="00FE42ED"/>
    <w:rsid w:val="00FE4390"/>
    <w:rsid w:val="00FE5F4B"/>
    <w:rsid w:val="00FE64BC"/>
    <w:rsid w:val="00FE67A7"/>
    <w:rsid w:val="00FE6BC4"/>
    <w:rsid w:val="00FE6FCC"/>
    <w:rsid w:val="00FE76D5"/>
    <w:rsid w:val="00FE7A14"/>
    <w:rsid w:val="00FF0FD3"/>
    <w:rsid w:val="00FF285D"/>
    <w:rsid w:val="00FF3203"/>
    <w:rsid w:val="00FF6716"/>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3F45B4-7480-4E35-B575-122D8B1E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6BF"/>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unhideWhenUsed/>
    <w:rsid w:val="00C83997"/>
    <w:rPr>
      <w:sz w:val="20"/>
      <w:szCs w:val="20"/>
    </w:rPr>
  </w:style>
  <w:style w:type="character" w:customStyle="1" w:styleId="CommentTextChar">
    <w:name w:val="Comment Text Char"/>
    <w:basedOn w:val="DefaultParagraphFont"/>
    <w:link w:val="CommentText"/>
    <w:uiPriority w:val="99"/>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aliases w:val="2"/>
    <w:basedOn w:val="Normal"/>
    <w:link w:val="ListParagraphChar"/>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Parasts1">
    <w:name w:val="Parasts1"/>
    <w:uiPriority w:val="99"/>
    <w:rsid w:val="006B50D9"/>
    <w:rPr>
      <w:sz w:val="24"/>
      <w:szCs w:val="24"/>
    </w:rPr>
  </w:style>
  <w:style w:type="paragraph" w:customStyle="1" w:styleId="naiskr">
    <w:name w:val="naiskr"/>
    <w:basedOn w:val="Parasts1"/>
    <w:rsid w:val="00127C9A"/>
    <w:pPr>
      <w:spacing w:before="75" w:after="75"/>
    </w:pPr>
  </w:style>
  <w:style w:type="table" w:styleId="TableGrid">
    <w:name w:val="Table Grid"/>
    <w:basedOn w:val="TableNormal"/>
    <w:uiPriority w:val="39"/>
    <w:rsid w:val="0080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B0ABF"/>
    <w:rPr>
      <w:sz w:val="24"/>
      <w:szCs w:val="24"/>
    </w:rPr>
  </w:style>
  <w:style w:type="character" w:customStyle="1" w:styleId="apple-converted-space">
    <w:name w:val="apple-converted-space"/>
    <w:rsid w:val="00895BA6"/>
  </w:style>
  <w:style w:type="character" w:customStyle="1" w:styleId="Bodytext0">
    <w:name w:val="Body text_"/>
    <w:basedOn w:val="DefaultParagraphFont"/>
    <w:link w:val="BodyText20"/>
    <w:rsid w:val="008229E4"/>
    <w:rPr>
      <w:sz w:val="26"/>
      <w:szCs w:val="26"/>
      <w:shd w:val="clear" w:color="auto" w:fill="FFFFFF"/>
    </w:rPr>
  </w:style>
  <w:style w:type="paragraph" w:customStyle="1" w:styleId="BodyText20">
    <w:name w:val="Body Text2"/>
    <w:basedOn w:val="Normal"/>
    <w:link w:val="Bodytext0"/>
    <w:rsid w:val="008229E4"/>
    <w:pPr>
      <w:widowControl w:val="0"/>
      <w:shd w:val="clear" w:color="auto" w:fill="FFFFFF"/>
      <w:spacing w:before="1020" w:after="60" w:line="0" w:lineRule="atLeast"/>
      <w:ind w:hanging="1400"/>
    </w:pPr>
    <w:rPr>
      <w:sz w:val="26"/>
      <w:szCs w:val="26"/>
    </w:rPr>
  </w:style>
  <w:style w:type="paragraph" w:customStyle="1" w:styleId="Default">
    <w:name w:val="Default"/>
    <w:rsid w:val="008E0FEB"/>
    <w:pPr>
      <w:autoSpaceDE w:val="0"/>
      <w:autoSpaceDN w:val="0"/>
      <w:adjustRightInd w:val="0"/>
    </w:pPr>
    <w:rPr>
      <w:color w:val="000000"/>
      <w:sz w:val="24"/>
      <w:szCs w:val="24"/>
    </w:rPr>
  </w:style>
  <w:style w:type="character" w:customStyle="1" w:styleId="BodyText1">
    <w:name w:val="Body Text1"/>
    <w:basedOn w:val="Bodytext0"/>
    <w:rsid w:val="00F87279"/>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F87279"/>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F87279"/>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F87279"/>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566DB"/>
    <w:pPr>
      <w:spacing w:before="100" w:beforeAutospacing="1" w:after="100" w:afterAutospacing="1"/>
    </w:pPr>
  </w:style>
  <w:style w:type="paragraph" w:customStyle="1" w:styleId="tv213">
    <w:name w:val="tv213"/>
    <w:basedOn w:val="Normal"/>
    <w:rsid w:val="004F3B9B"/>
    <w:pPr>
      <w:spacing w:before="100" w:beforeAutospacing="1" w:after="100" w:afterAutospacing="1"/>
    </w:pPr>
  </w:style>
  <w:style w:type="paragraph" w:styleId="PlainText">
    <w:name w:val="Plain Text"/>
    <w:basedOn w:val="Normal"/>
    <w:link w:val="PlainTextChar"/>
    <w:uiPriority w:val="99"/>
    <w:unhideWhenUsed/>
    <w:rsid w:val="00841121"/>
    <w:rPr>
      <w:rFonts w:ascii="Calibri" w:eastAsiaTheme="minorHAnsi" w:hAnsi="Calibri" w:cstheme="minorBidi"/>
      <w:color w:val="1F497D"/>
      <w:sz w:val="22"/>
      <w:szCs w:val="21"/>
      <w:lang w:eastAsia="en-US"/>
    </w:rPr>
  </w:style>
  <w:style w:type="character" w:customStyle="1" w:styleId="PlainTextChar">
    <w:name w:val="Plain Text Char"/>
    <w:basedOn w:val="DefaultParagraphFont"/>
    <w:link w:val="PlainText"/>
    <w:uiPriority w:val="99"/>
    <w:rsid w:val="00841121"/>
    <w:rPr>
      <w:rFonts w:ascii="Calibri" w:eastAsiaTheme="minorHAnsi" w:hAnsi="Calibri" w:cstheme="minorBidi"/>
      <w:color w:val="1F497D"/>
      <w:sz w:val="22"/>
      <w:szCs w:val="21"/>
      <w:lang w:eastAsia="en-US"/>
    </w:rPr>
  </w:style>
  <w:style w:type="paragraph" w:customStyle="1" w:styleId="wordsection1">
    <w:name w:val="wordsection1"/>
    <w:basedOn w:val="Normal"/>
    <w:uiPriority w:val="99"/>
    <w:rsid w:val="00845744"/>
    <w:pPr>
      <w:spacing w:before="100" w:beforeAutospacing="1" w:after="100" w:afterAutospacing="1"/>
    </w:pPr>
    <w:rPr>
      <w:rFonts w:eastAsiaTheme="minorHAnsi"/>
    </w:rPr>
  </w:style>
  <w:style w:type="paragraph" w:customStyle="1" w:styleId="BodyText30">
    <w:name w:val="Body Text3"/>
    <w:basedOn w:val="Normal"/>
    <w:rsid w:val="003969A4"/>
    <w:pPr>
      <w:widowControl w:val="0"/>
      <w:shd w:val="clear" w:color="auto" w:fill="FFFFFF"/>
      <w:spacing w:before="660" w:after="240" w:line="274" w:lineRule="exact"/>
      <w:jc w:val="right"/>
    </w:pPr>
    <w:rPr>
      <w:color w:val="000000"/>
      <w:sz w:val="22"/>
      <w:szCs w:val="22"/>
      <w:lang w:bidi="lv-LV"/>
    </w:rPr>
  </w:style>
  <w:style w:type="character" w:customStyle="1" w:styleId="Mention">
    <w:name w:val="Mention"/>
    <w:basedOn w:val="DefaultParagraphFont"/>
    <w:uiPriority w:val="99"/>
    <w:semiHidden/>
    <w:unhideWhenUsed/>
    <w:rsid w:val="003128AB"/>
    <w:rPr>
      <w:color w:val="2B579A"/>
      <w:shd w:val="clear" w:color="auto" w:fill="E6E6E6"/>
    </w:rPr>
  </w:style>
  <w:style w:type="character" w:customStyle="1" w:styleId="ListParagraphChar">
    <w:name w:val="List Paragraph Char"/>
    <w:aliases w:val="2 Char"/>
    <w:link w:val="ListParagraph"/>
    <w:uiPriority w:val="34"/>
    <w:locked/>
    <w:rsid w:val="00037336"/>
    <w:rPr>
      <w:rFonts w:ascii="Calibri" w:eastAsia="Calibri" w:hAnsi="Calibri"/>
      <w:sz w:val="22"/>
      <w:szCs w:val="22"/>
      <w:lang w:val="en-US" w:eastAsia="en-US"/>
    </w:rPr>
  </w:style>
  <w:style w:type="paragraph" w:customStyle="1" w:styleId="Normal1">
    <w:name w:val="Normal1"/>
    <w:basedOn w:val="Normal"/>
    <w:rsid w:val="002A5298"/>
    <w:pPr>
      <w:spacing w:before="100" w:beforeAutospacing="1" w:after="100" w:afterAutospacing="1"/>
    </w:pPr>
  </w:style>
  <w:style w:type="paragraph" w:customStyle="1" w:styleId="Normal2">
    <w:name w:val="Normal2"/>
    <w:basedOn w:val="Normal"/>
    <w:rsid w:val="006C4C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4344">
      <w:bodyDiv w:val="1"/>
      <w:marLeft w:val="0"/>
      <w:marRight w:val="0"/>
      <w:marTop w:val="0"/>
      <w:marBottom w:val="0"/>
      <w:divBdr>
        <w:top w:val="none" w:sz="0" w:space="0" w:color="auto"/>
        <w:left w:val="none" w:sz="0" w:space="0" w:color="auto"/>
        <w:bottom w:val="none" w:sz="0" w:space="0" w:color="auto"/>
        <w:right w:val="none" w:sz="0" w:space="0" w:color="auto"/>
      </w:divBdr>
    </w:div>
    <w:div w:id="91903841">
      <w:bodyDiv w:val="1"/>
      <w:marLeft w:val="0"/>
      <w:marRight w:val="0"/>
      <w:marTop w:val="0"/>
      <w:marBottom w:val="0"/>
      <w:divBdr>
        <w:top w:val="none" w:sz="0" w:space="0" w:color="auto"/>
        <w:left w:val="none" w:sz="0" w:space="0" w:color="auto"/>
        <w:bottom w:val="none" w:sz="0" w:space="0" w:color="auto"/>
        <w:right w:val="none" w:sz="0" w:space="0" w:color="auto"/>
      </w:divBdr>
    </w:div>
    <w:div w:id="107622790">
      <w:bodyDiv w:val="1"/>
      <w:marLeft w:val="0"/>
      <w:marRight w:val="0"/>
      <w:marTop w:val="0"/>
      <w:marBottom w:val="0"/>
      <w:divBdr>
        <w:top w:val="none" w:sz="0" w:space="0" w:color="auto"/>
        <w:left w:val="none" w:sz="0" w:space="0" w:color="auto"/>
        <w:bottom w:val="none" w:sz="0" w:space="0" w:color="auto"/>
        <w:right w:val="none" w:sz="0" w:space="0" w:color="auto"/>
      </w:divBdr>
    </w:div>
    <w:div w:id="189805726">
      <w:bodyDiv w:val="1"/>
      <w:marLeft w:val="0"/>
      <w:marRight w:val="0"/>
      <w:marTop w:val="0"/>
      <w:marBottom w:val="0"/>
      <w:divBdr>
        <w:top w:val="none" w:sz="0" w:space="0" w:color="auto"/>
        <w:left w:val="none" w:sz="0" w:space="0" w:color="auto"/>
        <w:bottom w:val="none" w:sz="0" w:space="0" w:color="auto"/>
        <w:right w:val="none" w:sz="0" w:space="0" w:color="auto"/>
      </w:divBdr>
    </w:div>
    <w:div w:id="268860166">
      <w:bodyDiv w:val="1"/>
      <w:marLeft w:val="0"/>
      <w:marRight w:val="0"/>
      <w:marTop w:val="0"/>
      <w:marBottom w:val="0"/>
      <w:divBdr>
        <w:top w:val="none" w:sz="0" w:space="0" w:color="auto"/>
        <w:left w:val="none" w:sz="0" w:space="0" w:color="auto"/>
        <w:bottom w:val="none" w:sz="0" w:space="0" w:color="auto"/>
        <w:right w:val="none" w:sz="0" w:space="0" w:color="auto"/>
      </w:divBdr>
    </w:div>
    <w:div w:id="427385607">
      <w:bodyDiv w:val="1"/>
      <w:marLeft w:val="0"/>
      <w:marRight w:val="0"/>
      <w:marTop w:val="0"/>
      <w:marBottom w:val="0"/>
      <w:divBdr>
        <w:top w:val="none" w:sz="0" w:space="0" w:color="auto"/>
        <w:left w:val="none" w:sz="0" w:space="0" w:color="auto"/>
        <w:bottom w:val="none" w:sz="0" w:space="0" w:color="auto"/>
        <w:right w:val="none" w:sz="0" w:space="0" w:color="auto"/>
      </w:divBdr>
    </w:div>
    <w:div w:id="495923094">
      <w:bodyDiv w:val="1"/>
      <w:marLeft w:val="0"/>
      <w:marRight w:val="0"/>
      <w:marTop w:val="0"/>
      <w:marBottom w:val="0"/>
      <w:divBdr>
        <w:top w:val="none" w:sz="0" w:space="0" w:color="auto"/>
        <w:left w:val="none" w:sz="0" w:space="0" w:color="auto"/>
        <w:bottom w:val="none" w:sz="0" w:space="0" w:color="auto"/>
        <w:right w:val="none" w:sz="0" w:space="0" w:color="auto"/>
      </w:divBdr>
    </w:div>
    <w:div w:id="577593377">
      <w:bodyDiv w:val="1"/>
      <w:marLeft w:val="0"/>
      <w:marRight w:val="0"/>
      <w:marTop w:val="0"/>
      <w:marBottom w:val="0"/>
      <w:divBdr>
        <w:top w:val="none" w:sz="0" w:space="0" w:color="auto"/>
        <w:left w:val="none" w:sz="0" w:space="0" w:color="auto"/>
        <w:bottom w:val="none" w:sz="0" w:space="0" w:color="auto"/>
        <w:right w:val="none" w:sz="0" w:space="0" w:color="auto"/>
      </w:divBdr>
      <w:divsChild>
        <w:div w:id="261961395">
          <w:marLeft w:val="0"/>
          <w:marRight w:val="0"/>
          <w:marTop w:val="0"/>
          <w:marBottom w:val="0"/>
          <w:divBdr>
            <w:top w:val="none" w:sz="0" w:space="0" w:color="auto"/>
            <w:left w:val="none" w:sz="0" w:space="0" w:color="auto"/>
            <w:bottom w:val="none" w:sz="0" w:space="0" w:color="auto"/>
            <w:right w:val="none" w:sz="0" w:space="0" w:color="auto"/>
          </w:divBdr>
          <w:divsChild>
            <w:div w:id="334184703">
              <w:marLeft w:val="0"/>
              <w:marRight w:val="0"/>
              <w:marTop w:val="0"/>
              <w:marBottom w:val="0"/>
              <w:divBdr>
                <w:top w:val="none" w:sz="0" w:space="0" w:color="auto"/>
                <w:left w:val="none" w:sz="0" w:space="0" w:color="auto"/>
                <w:bottom w:val="none" w:sz="0" w:space="0" w:color="auto"/>
                <w:right w:val="none" w:sz="0" w:space="0" w:color="auto"/>
              </w:divBdr>
            </w:div>
          </w:divsChild>
        </w:div>
        <w:div w:id="2095279599">
          <w:marLeft w:val="195"/>
          <w:marRight w:val="0"/>
          <w:marTop w:val="0"/>
          <w:marBottom w:val="0"/>
          <w:divBdr>
            <w:top w:val="none" w:sz="0" w:space="0" w:color="auto"/>
            <w:left w:val="none" w:sz="0" w:space="0" w:color="auto"/>
            <w:bottom w:val="none" w:sz="0" w:space="0" w:color="auto"/>
            <w:right w:val="none" w:sz="0" w:space="0" w:color="auto"/>
          </w:divBdr>
        </w:div>
      </w:divsChild>
    </w:div>
    <w:div w:id="595678401">
      <w:bodyDiv w:val="1"/>
      <w:marLeft w:val="0"/>
      <w:marRight w:val="0"/>
      <w:marTop w:val="0"/>
      <w:marBottom w:val="0"/>
      <w:divBdr>
        <w:top w:val="none" w:sz="0" w:space="0" w:color="auto"/>
        <w:left w:val="none" w:sz="0" w:space="0" w:color="auto"/>
        <w:bottom w:val="none" w:sz="0" w:space="0" w:color="auto"/>
        <w:right w:val="none" w:sz="0" w:space="0" w:color="auto"/>
      </w:divBdr>
      <w:divsChild>
        <w:div w:id="1865901298">
          <w:marLeft w:val="0"/>
          <w:marRight w:val="0"/>
          <w:marTop w:val="0"/>
          <w:marBottom w:val="0"/>
          <w:divBdr>
            <w:top w:val="none" w:sz="0" w:space="0" w:color="auto"/>
            <w:left w:val="none" w:sz="0" w:space="0" w:color="auto"/>
            <w:bottom w:val="none" w:sz="0" w:space="0" w:color="auto"/>
            <w:right w:val="none" w:sz="0" w:space="0" w:color="auto"/>
          </w:divBdr>
          <w:divsChild>
            <w:div w:id="1709136825">
              <w:marLeft w:val="0"/>
              <w:marRight w:val="0"/>
              <w:marTop w:val="0"/>
              <w:marBottom w:val="0"/>
              <w:divBdr>
                <w:top w:val="none" w:sz="0" w:space="0" w:color="auto"/>
                <w:left w:val="none" w:sz="0" w:space="0" w:color="auto"/>
                <w:bottom w:val="none" w:sz="0" w:space="0" w:color="auto"/>
                <w:right w:val="none" w:sz="0" w:space="0" w:color="auto"/>
              </w:divBdr>
            </w:div>
          </w:divsChild>
        </w:div>
        <w:div w:id="1357345968">
          <w:marLeft w:val="195"/>
          <w:marRight w:val="0"/>
          <w:marTop w:val="0"/>
          <w:marBottom w:val="0"/>
          <w:divBdr>
            <w:top w:val="none" w:sz="0" w:space="0" w:color="auto"/>
            <w:left w:val="none" w:sz="0" w:space="0" w:color="auto"/>
            <w:bottom w:val="none" w:sz="0" w:space="0" w:color="auto"/>
            <w:right w:val="none" w:sz="0" w:space="0" w:color="auto"/>
          </w:divBdr>
        </w:div>
      </w:divsChild>
    </w:div>
    <w:div w:id="599069737">
      <w:bodyDiv w:val="1"/>
      <w:marLeft w:val="0"/>
      <w:marRight w:val="0"/>
      <w:marTop w:val="0"/>
      <w:marBottom w:val="0"/>
      <w:divBdr>
        <w:top w:val="none" w:sz="0" w:space="0" w:color="auto"/>
        <w:left w:val="none" w:sz="0" w:space="0" w:color="auto"/>
        <w:bottom w:val="none" w:sz="0" w:space="0" w:color="auto"/>
        <w:right w:val="none" w:sz="0" w:space="0" w:color="auto"/>
      </w:divBdr>
    </w:div>
    <w:div w:id="730037377">
      <w:bodyDiv w:val="1"/>
      <w:marLeft w:val="0"/>
      <w:marRight w:val="0"/>
      <w:marTop w:val="0"/>
      <w:marBottom w:val="0"/>
      <w:divBdr>
        <w:top w:val="none" w:sz="0" w:space="0" w:color="auto"/>
        <w:left w:val="none" w:sz="0" w:space="0" w:color="auto"/>
        <w:bottom w:val="none" w:sz="0" w:space="0" w:color="auto"/>
        <w:right w:val="none" w:sz="0" w:space="0" w:color="auto"/>
      </w:divBdr>
    </w:div>
    <w:div w:id="752317783">
      <w:bodyDiv w:val="1"/>
      <w:marLeft w:val="0"/>
      <w:marRight w:val="0"/>
      <w:marTop w:val="0"/>
      <w:marBottom w:val="0"/>
      <w:divBdr>
        <w:top w:val="none" w:sz="0" w:space="0" w:color="auto"/>
        <w:left w:val="none" w:sz="0" w:space="0" w:color="auto"/>
        <w:bottom w:val="none" w:sz="0" w:space="0" w:color="auto"/>
        <w:right w:val="none" w:sz="0" w:space="0" w:color="auto"/>
      </w:divBdr>
    </w:div>
    <w:div w:id="76284192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17">
          <w:marLeft w:val="0"/>
          <w:marRight w:val="0"/>
          <w:marTop w:val="0"/>
          <w:marBottom w:val="0"/>
          <w:divBdr>
            <w:top w:val="none" w:sz="0" w:space="0" w:color="auto"/>
            <w:left w:val="none" w:sz="0" w:space="0" w:color="auto"/>
            <w:bottom w:val="none" w:sz="0" w:space="0" w:color="auto"/>
            <w:right w:val="none" w:sz="0" w:space="0" w:color="auto"/>
          </w:divBdr>
          <w:divsChild>
            <w:div w:id="465583827">
              <w:marLeft w:val="0"/>
              <w:marRight w:val="0"/>
              <w:marTop w:val="100"/>
              <w:marBottom w:val="100"/>
              <w:divBdr>
                <w:top w:val="none" w:sz="0" w:space="0" w:color="auto"/>
                <w:left w:val="none" w:sz="0" w:space="0" w:color="auto"/>
                <w:bottom w:val="none" w:sz="0" w:space="0" w:color="auto"/>
                <w:right w:val="none" w:sz="0" w:space="0" w:color="auto"/>
              </w:divBdr>
              <w:divsChild>
                <w:div w:id="929779855">
                  <w:marLeft w:val="0"/>
                  <w:marRight w:val="0"/>
                  <w:marTop w:val="0"/>
                  <w:marBottom w:val="0"/>
                  <w:divBdr>
                    <w:top w:val="none" w:sz="0" w:space="0" w:color="auto"/>
                    <w:left w:val="none" w:sz="0" w:space="0" w:color="auto"/>
                    <w:bottom w:val="none" w:sz="0" w:space="0" w:color="auto"/>
                    <w:right w:val="none" w:sz="0" w:space="0" w:color="auto"/>
                  </w:divBdr>
                  <w:divsChild>
                    <w:div w:id="866720134">
                      <w:marLeft w:val="0"/>
                      <w:marRight w:val="0"/>
                      <w:marTop w:val="0"/>
                      <w:marBottom w:val="0"/>
                      <w:divBdr>
                        <w:top w:val="none" w:sz="0" w:space="0" w:color="auto"/>
                        <w:left w:val="none" w:sz="0" w:space="0" w:color="auto"/>
                        <w:bottom w:val="none" w:sz="0" w:space="0" w:color="auto"/>
                        <w:right w:val="none" w:sz="0" w:space="0" w:color="auto"/>
                      </w:divBdr>
                      <w:divsChild>
                        <w:div w:id="3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73549">
      <w:bodyDiv w:val="1"/>
      <w:marLeft w:val="0"/>
      <w:marRight w:val="0"/>
      <w:marTop w:val="0"/>
      <w:marBottom w:val="0"/>
      <w:divBdr>
        <w:top w:val="none" w:sz="0" w:space="0" w:color="auto"/>
        <w:left w:val="none" w:sz="0" w:space="0" w:color="auto"/>
        <w:bottom w:val="none" w:sz="0" w:space="0" w:color="auto"/>
        <w:right w:val="none" w:sz="0" w:space="0" w:color="auto"/>
      </w:divBdr>
    </w:div>
    <w:div w:id="794298666">
      <w:bodyDiv w:val="1"/>
      <w:marLeft w:val="0"/>
      <w:marRight w:val="0"/>
      <w:marTop w:val="0"/>
      <w:marBottom w:val="0"/>
      <w:divBdr>
        <w:top w:val="none" w:sz="0" w:space="0" w:color="auto"/>
        <w:left w:val="none" w:sz="0" w:space="0" w:color="auto"/>
        <w:bottom w:val="none" w:sz="0" w:space="0" w:color="auto"/>
        <w:right w:val="none" w:sz="0" w:space="0" w:color="auto"/>
      </w:divBdr>
    </w:div>
    <w:div w:id="875384851">
      <w:bodyDiv w:val="1"/>
      <w:marLeft w:val="0"/>
      <w:marRight w:val="0"/>
      <w:marTop w:val="0"/>
      <w:marBottom w:val="0"/>
      <w:divBdr>
        <w:top w:val="none" w:sz="0" w:space="0" w:color="auto"/>
        <w:left w:val="none" w:sz="0" w:space="0" w:color="auto"/>
        <w:bottom w:val="none" w:sz="0" w:space="0" w:color="auto"/>
        <w:right w:val="none" w:sz="0" w:space="0" w:color="auto"/>
      </w:divBdr>
    </w:div>
    <w:div w:id="909002106">
      <w:bodyDiv w:val="1"/>
      <w:marLeft w:val="0"/>
      <w:marRight w:val="0"/>
      <w:marTop w:val="0"/>
      <w:marBottom w:val="0"/>
      <w:divBdr>
        <w:top w:val="none" w:sz="0" w:space="0" w:color="auto"/>
        <w:left w:val="none" w:sz="0" w:space="0" w:color="auto"/>
        <w:bottom w:val="none" w:sz="0" w:space="0" w:color="auto"/>
        <w:right w:val="none" w:sz="0" w:space="0" w:color="auto"/>
      </w:divBdr>
    </w:div>
    <w:div w:id="934752203">
      <w:bodyDiv w:val="1"/>
      <w:marLeft w:val="0"/>
      <w:marRight w:val="0"/>
      <w:marTop w:val="0"/>
      <w:marBottom w:val="0"/>
      <w:divBdr>
        <w:top w:val="none" w:sz="0" w:space="0" w:color="auto"/>
        <w:left w:val="none" w:sz="0" w:space="0" w:color="auto"/>
        <w:bottom w:val="none" w:sz="0" w:space="0" w:color="auto"/>
        <w:right w:val="none" w:sz="0" w:space="0" w:color="auto"/>
      </w:divBdr>
    </w:div>
    <w:div w:id="1077438777">
      <w:bodyDiv w:val="1"/>
      <w:marLeft w:val="0"/>
      <w:marRight w:val="0"/>
      <w:marTop w:val="0"/>
      <w:marBottom w:val="0"/>
      <w:divBdr>
        <w:top w:val="none" w:sz="0" w:space="0" w:color="auto"/>
        <w:left w:val="none" w:sz="0" w:space="0" w:color="auto"/>
        <w:bottom w:val="none" w:sz="0" w:space="0" w:color="auto"/>
        <w:right w:val="none" w:sz="0" w:space="0" w:color="auto"/>
      </w:divBdr>
    </w:div>
    <w:div w:id="1104574304">
      <w:bodyDiv w:val="1"/>
      <w:marLeft w:val="0"/>
      <w:marRight w:val="0"/>
      <w:marTop w:val="0"/>
      <w:marBottom w:val="0"/>
      <w:divBdr>
        <w:top w:val="none" w:sz="0" w:space="0" w:color="auto"/>
        <w:left w:val="none" w:sz="0" w:space="0" w:color="auto"/>
        <w:bottom w:val="none" w:sz="0" w:space="0" w:color="auto"/>
        <w:right w:val="none" w:sz="0" w:space="0" w:color="auto"/>
      </w:divBdr>
    </w:div>
    <w:div w:id="1284003229">
      <w:bodyDiv w:val="1"/>
      <w:marLeft w:val="0"/>
      <w:marRight w:val="0"/>
      <w:marTop w:val="0"/>
      <w:marBottom w:val="0"/>
      <w:divBdr>
        <w:top w:val="none" w:sz="0" w:space="0" w:color="auto"/>
        <w:left w:val="none" w:sz="0" w:space="0" w:color="auto"/>
        <w:bottom w:val="none" w:sz="0" w:space="0" w:color="auto"/>
        <w:right w:val="none" w:sz="0" w:space="0" w:color="auto"/>
      </w:divBdr>
    </w:div>
    <w:div w:id="1287934438">
      <w:bodyDiv w:val="1"/>
      <w:marLeft w:val="0"/>
      <w:marRight w:val="0"/>
      <w:marTop w:val="0"/>
      <w:marBottom w:val="0"/>
      <w:divBdr>
        <w:top w:val="none" w:sz="0" w:space="0" w:color="auto"/>
        <w:left w:val="none" w:sz="0" w:space="0" w:color="auto"/>
        <w:bottom w:val="none" w:sz="0" w:space="0" w:color="auto"/>
        <w:right w:val="none" w:sz="0" w:space="0" w:color="auto"/>
      </w:divBdr>
    </w:div>
    <w:div w:id="1420172742">
      <w:bodyDiv w:val="1"/>
      <w:marLeft w:val="0"/>
      <w:marRight w:val="0"/>
      <w:marTop w:val="0"/>
      <w:marBottom w:val="0"/>
      <w:divBdr>
        <w:top w:val="none" w:sz="0" w:space="0" w:color="auto"/>
        <w:left w:val="none" w:sz="0" w:space="0" w:color="auto"/>
        <w:bottom w:val="none" w:sz="0" w:space="0" w:color="auto"/>
        <w:right w:val="none" w:sz="0" w:space="0" w:color="auto"/>
      </w:divBdr>
    </w:div>
    <w:div w:id="1472289754">
      <w:bodyDiv w:val="1"/>
      <w:marLeft w:val="0"/>
      <w:marRight w:val="0"/>
      <w:marTop w:val="0"/>
      <w:marBottom w:val="0"/>
      <w:divBdr>
        <w:top w:val="none" w:sz="0" w:space="0" w:color="auto"/>
        <w:left w:val="none" w:sz="0" w:space="0" w:color="auto"/>
        <w:bottom w:val="none" w:sz="0" w:space="0" w:color="auto"/>
        <w:right w:val="none" w:sz="0" w:space="0" w:color="auto"/>
      </w:divBdr>
    </w:div>
    <w:div w:id="1504010126">
      <w:bodyDiv w:val="1"/>
      <w:marLeft w:val="0"/>
      <w:marRight w:val="0"/>
      <w:marTop w:val="0"/>
      <w:marBottom w:val="0"/>
      <w:divBdr>
        <w:top w:val="none" w:sz="0" w:space="0" w:color="auto"/>
        <w:left w:val="none" w:sz="0" w:space="0" w:color="auto"/>
        <w:bottom w:val="none" w:sz="0" w:space="0" w:color="auto"/>
        <w:right w:val="none" w:sz="0" w:space="0" w:color="auto"/>
      </w:divBdr>
      <w:divsChild>
        <w:div w:id="696664888">
          <w:marLeft w:val="0"/>
          <w:marRight w:val="0"/>
          <w:marTop w:val="0"/>
          <w:marBottom w:val="0"/>
          <w:divBdr>
            <w:top w:val="none" w:sz="0" w:space="0" w:color="auto"/>
            <w:left w:val="none" w:sz="0" w:space="0" w:color="auto"/>
            <w:bottom w:val="none" w:sz="0" w:space="0" w:color="auto"/>
            <w:right w:val="none" w:sz="0" w:space="0" w:color="auto"/>
          </w:divBdr>
          <w:divsChild>
            <w:div w:id="1298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90507">
      <w:bodyDiv w:val="1"/>
      <w:marLeft w:val="0"/>
      <w:marRight w:val="0"/>
      <w:marTop w:val="0"/>
      <w:marBottom w:val="0"/>
      <w:divBdr>
        <w:top w:val="none" w:sz="0" w:space="0" w:color="auto"/>
        <w:left w:val="none" w:sz="0" w:space="0" w:color="auto"/>
        <w:bottom w:val="none" w:sz="0" w:space="0" w:color="auto"/>
        <w:right w:val="none" w:sz="0" w:space="0" w:color="auto"/>
      </w:divBdr>
    </w:div>
    <w:div w:id="1557085454">
      <w:bodyDiv w:val="1"/>
      <w:marLeft w:val="0"/>
      <w:marRight w:val="0"/>
      <w:marTop w:val="0"/>
      <w:marBottom w:val="0"/>
      <w:divBdr>
        <w:top w:val="none" w:sz="0" w:space="0" w:color="auto"/>
        <w:left w:val="none" w:sz="0" w:space="0" w:color="auto"/>
        <w:bottom w:val="none" w:sz="0" w:space="0" w:color="auto"/>
        <w:right w:val="none" w:sz="0" w:space="0" w:color="auto"/>
      </w:divBdr>
      <w:divsChild>
        <w:div w:id="100301388">
          <w:marLeft w:val="547"/>
          <w:marRight w:val="0"/>
          <w:marTop w:val="0"/>
          <w:marBottom w:val="0"/>
          <w:divBdr>
            <w:top w:val="none" w:sz="0" w:space="0" w:color="auto"/>
            <w:left w:val="none" w:sz="0" w:space="0" w:color="auto"/>
            <w:bottom w:val="none" w:sz="0" w:space="0" w:color="auto"/>
            <w:right w:val="none" w:sz="0" w:space="0" w:color="auto"/>
          </w:divBdr>
        </w:div>
      </w:divsChild>
    </w:div>
    <w:div w:id="1557204825">
      <w:bodyDiv w:val="1"/>
      <w:marLeft w:val="0"/>
      <w:marRight w:val="0"/>
      <w:marTop w:val="0"/>
      <w:marBottom w:val="0"/>
      <w:divBdr>
        <w:top w:val="none" w:sz="0" w:space="0" w:color="auto"/>
        <w:left w:val="none" w:sz="0" w:space="0" w:color="auto"/>
        <w:bottom w:val="none" w:sz="0" w:space="0" w:color="auto"/>
        <w:right w:val="none" w:sz="0" w:space="0" w:color="auto"/>
      </w:divBdr>
    </w:div>
    <w:div w:id="1613199497">
      <w:bodyDiv w:val="1"/>
      <w:marLeft w:val="0"/>
      <w:marRight w:val="0"/>
      <w:marTop w:val="0"/>
      <w:marBottom w:val="0"/>
      <w:divBdr>
        <w:top w:val="none" w:sz="0" w:space="0" w:color="auto"/>
        <w:left w:val="none" w:sz="0" w:space="0" w:color="auto"/>
        <w:bottom w:val="none" w:sz="0" w:space="0" w:color="auto"/>
        <w:right w:val="none" w:sz="0" w:space="0" w:color="auto"/>
      </w:divBdr>
    </w:div>
    <w:div w:id="1733387166">
      <w:bodyDiv w:val="1"/>
      <w:marLeft w:val="0"/>
      <w:marRight w:val="0"/>
      <w:marTop w:val="0"/>
      <w:marBottom w:val="0"/>
      <w:divBdr>
        <w:top w:val="none" w:sz="0" w:space="0" w:color="auto"/>
        <w:left w:val="none" w:sz="0" w:space="0" w:color="auto"/>
        <w:bottom w:val="none" w:sz="0" w:space="0" w:color="auto"/>
        <w:right w:val="none" w:sz="0" w:space="0" w:color="auto"/>
      </w:divBdr>
    </w:div>
    <w:div w:id="1786268880">
      <w:bodyDiv w:val="1"/>
      <w:marLeft w:val="0"/>
      <w:marRight w:val="0"/>
      <w:marTop w:val="0"/>
      <w:marBottom w:val="0"/>
      <w:divBdr>
        <w:top w:val="none" w:sz="0" w:space="0" w:color="auto"/>
        <w:left w:val="none" w:sz="0" w:space="0" w:color="auto"/>
        <w:bottom w:val="none" w:sz="0" w:space="0" w:color="auto"/>
        <w:right w:val="none" w:sz="0" w:space="0" w:color="auto"/>
      </w:divBdr>
    </w:div>
    <w:div w:id="1841310760">
      <w:bodyDiv w:val="1"/>
      <w:marLeft w:val="0"/>
      <w:marRight w:val="0"/>
      <w:marTop w:val="0"/>
      <w:marBottom w:val="0"/>
      <w:divBdr>
        <w:top w:val="none" w:sz="0" w:space="0" w:color="auto"/>
        <w:left w:val="none" w:sz="0" w:space="0" w:color="auto"/>
        <w:bottom w:val="none" w:sz="0" w:space="0" w:color="auto"/>
        <w:right w:val="none" w:sz="0" w:space="0" w:color="auto"/>
      </w:divBdr>
    </w:div>
    <w:div w:id="1892768064">
      <w:bodyDiv w:val="1"/>
      <w:marLeft w:val="0"/>
      <w:marRight w:val="0"/>
      <w:marTop w:val="0"/>
      <w:marBottom w:val="0"/>
      <w:divBdr>
        <w:top w:val="none" w:sz="0" w:space="0" w:color="auto"/>
        <w:left w:val="none" w:sz="0" w:space="0" w:color="auto"/>
        <w:bottom w:val="none" w:sz="0" w:space="0" w:color="auto"/>
        <w:right w:val="none" w:sz="0" w:space="0" w:color="auto"/>
      </w:divBdr>
    </w:div>
    <w:div w:id="1909538865">
      <w:bodyDiv w:val="1"/>
      <w:marLeft w:val="0"/>
      <w:marRight w:val="0"/>
      <w:marTop w:val="0"/>
      <w:marBottom w:val="0"/>
      <w:divBdr>
        <w:top w:val="none" w:sz="0" w:space="0" w:color="auto"/>
        <w:left w:val="none" w:sz="0" w:space="0" w:color="auto"/>
        <w:bottom w:val="none" w:sz="0" w:space="0" w:color="auto"/>
        <w:right w:val="none" w:sz="0" w:space="0" w:color="auto"/>
      </w:divBdr>
    </w:div>
    <w:div w:id="1909805937">
      <w:bodyDiv w:val="1"/>
      <w:marLeft w:val="0"/>
      <w:marRight w:val="0"/>
      <w:marTop w:val="0"/>
      <w:marBottom w:val="0"/>
      <w:divBdr>
        <w:top w:val="none" w:sz="0" w:space="0" w:color="auto"/>
        <w:left w:val="none" w:sz="0" w:space="0" w:color="auto"/>
        <w:bottom w:val="none" w:sz="0" w:space="0" w:color="auto"/>
        <w:right w:val="none" w:sz="0" w:space="0" w:color="auto"/>
      </w:divBdr>
    </w:div>
    <w:div w:id="1997951541">
      <w:bodyDiv w:val="1"/>
      <w:marLeft w:val="0"/>
      <w:marRight w:val="0"/>
      <w:marTop w:val="0"/>
      <w:marBottom w:val="0"/>
      <w:divBdr>
        <w:top w:val="none" w:sz="0" w:space="0" w:color="auto"/>
        <w:left w:val="none" w:sz="0" w:space="0" w:color="auto"/>
        <w:bottom w:val="none" w:sz="0" w:space="0" w:color="auto"/>
        <w:right w:val="none" w:sz="0" w:space="0" w:color="auto"/>
      </w:divBdr>
    </w:div>
    <w:div w:id="2010668184">
      <w:bodyDiv w:val="1"/>
      <w:marLeft w:val="0"/>
      <w:marRight w:val="0"/>
      <w:marTop w:val="0"/>
      <w:marBottom w:val="0"/>
      <w:divBdr>
        <w:top w:val="none" w:sz="0" w:space="0" w:color="auto"/>
        <w:left w:val="none" w:sz="0" w:space="0" w:color="auto"/>
        <w:bottom w:val="none" w:sz="0" w:space="0" w:color="auto"/>
        <w:right w:val="none" w:sz="0" w:space="0" w:color="auto"/>
      </w:divBdr>
    </w:div>
    <w:div w:id="2090807166">
      <w:bodyDiv w:val="1"/>
      <w:marLeft w:val="0"/>
      <w:marRight w:val="0"/>
      <w:marTop w:val="0"/>
      <w:marBottom w:val="0"/>
      <w:divBdr>
        <w:top w:val="none" w:sz="0" w:space="0" w:color="auto"/>
        <w:left w:val="none" w:sz="0" w:space="0" w:color="auto"/>
        <w:bottom w:val="none" w:sz="0" w:space="0" w:color="auto"/>
        <w:right w:val="none" w:sz="0" w:space="0" w:color="auto"/>
      </w:divBdr>
    </w:div>
    <w:div w:id="2127388130">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eur-lex.europa.eu/eli/dir/2004/66/oj/?locale=LV" TargetMode="External"/><Relationship Id="rId18" Type="http://schemas.openxmlformats.org/officeDocument/2006/relationships/hyperlink" Target="http://eur-lex.europa.eu/eli/dir/2003/49/oj/?locale=LV" TargetMode="External"/><Relationship Id="rId26" Type="http://schemas.openxmlformats.org/officeDocument/2006/relationships/hyperlink" Target="http://eur-lex.europa.eu/eli/dir/2004/76/oj/?locale=LV" TargetMode="External"/><Relationship Id="rId3" Type="http://schemas.openxmlformats.org/officeDocument/2006/relationships/styles" Target="styles.xml"/><Relationship Id="rId21" Type="http://schemas.openxmlformats.org/officeDocument/2006/relationships/hyperlink" Target="http://eur-lex.europa.eu/eli/dir/2003/49/oj/?locale=LV"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eli/dir/2003/49/oj/?locale=LV" TargetMode="External"/><Relationship Id="rId17" Type="http://schemas.openxmlformats.org/officeDocument/2006/relationships/hyperlink" Target="http://eur-lex.europa.eu/eli/dir/2004/76/oj/?locale=LV" TargetMode="External"/><Relationship Id="rId25" Type="http://schemas.openxmlformats.org/officeDocument/2006/relationships/hyperlink" Target="http://eur-lex.europa.eu/eli/dir/2003/49/oj/?locale=LV"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eli/dir/2003/49/oj/?locale=LV" TargetMode="External"/><Relationship Id="rId20" Type="http://schemas.openxmlformats.org/officeDocument/2006/relationships/hyperlink" Target="http://eur-lex.europa.eu/eli/dir/2011/96/oj/?locale=LV" TargetMode="External"/><Relationship Id="rId29" Type="http://schemas.openxmlformats.org/officeDocument/2006/relationships/hyperlink" Target="http://eur-lex.europa.eu/eli/dir/2011/96/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4094-par-uznemumu-ienakuma-nodokli" TargetMode="External"/><Relationship Id="rId24" Type="http://schemas.openxmlformats.org/officeDocument/2006/relationships/hyperlink" Target="http://eur-lex.europa.eu/eli/dir/1977/388/oj/?locale=LV"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eli/dir/1977/388/oj/?locale=LV" TargetMode="External"/><Relationship Id="rId23" Type="http://schemas.openxmlformats.org/officeDocument/2006/relationships/hyperlink" Target="http://eur-lex.europa.eu/eli/dir/1999/45/oj/?locale=LV" TargetMode="External"/><Relationship Id="rId28" Type="http://schemas.openxmlformats.org/officeDocument/2006/relationships/hyperlink" Target="http://eur-lex.europa.eu/eli/dir/2006/98/oj/?locale=LV" TargetMode="External"/><Relationship Id="rId36" Type="http://schemas.openxmlformats.org/officeDocument/2006/relationships/footer" Target="footer3.xml"/><Relationship Id="rId10" Type="http://schemas.openxmlformats.org/officeDocument/2006/relationships/hyperlink" Target="https://likumi.lv/ta/id/34094-par-uznemumu-ienakuma-nodokli" TargetMode="External"/><Relationship Id="rId19" Type="http://schemas.openxmlformats.org/officeDocument/2006/relationships/hyperlink" Target="http://eur-lex.europa.eu/eli/dir/2006/98/oj/?locale=LV" TargetMode="External"/><Relationship Id="rId31" Type="http://schemas.openxmlformats.org/officeDocument/2006/relationships/hyperlink" Target="mailto:Sanda.Cane@fm.gov.lv"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eur-lex.europa.eu/eli/dir/1999/45/oj/?locale=LV" TargetMode="External"/><Relationship Id="rId22" Type="http://schemas.openxmlformats.org/officeDocument/2006/relationships/hyperlink" Target="http://eur-lex.europa.eu/eli/dir/2004/66/oj/?locale=LV" TargetMode="External"/><Relationship Id="rId27" Type="http://schemas.openxmlformats.org/officeDocument/2006/relationships/hyperlink" Target="http://eur-lex.europa.eu/eli/dir/2003/49/oj/?locale=LV" TargetMode="External"/><Relationship Id="rId30" Type="http://schemas.openxmlformats.org/officeDocument/2006/relationships/hyperlink" Target="mailto:Sandra.Macivka@fm.gov.lv"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m.gov.lv/lv/nodoklu_reform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s\tand\TAND\Dainis%20Stikuts\Nodok&#316;u%20pamatnost&#257;dnes%202017\scen&#257;rijs%20nodok&#316;u%20izmai&#326;&#257;m%201303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tand\TAND\Dainis%20Stikuts\Nodok&#316;u%20pamatnost&#257;dnes%202017\scen&#257;rijs%20nodok&#316;u%20izmai&#326;&#257;m%201303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'V4'!$A$76</c:f>
              <c:strCache>
                <c:ptCount val="1"/>
                <c:pt idx="0">
                  <c:v>Bāzes scenārijs</c:v>
                </c:pt>
              </c:strCache>
            </c:strRef>
          </c:tx>
          <c:spPr>
            <a:solidFill>
              <a:schemeClr val="accent1"/>
            </a:solidFill>
            <a:ln>
              <a:noFill/>
            </a:ln>
            <a:effectLst/>
          </c:spPr>
          <c:invertIfNegative val="0"/>
          <c:cat>
            <c:numRef>
              <c:f>'V4'!$B$75:$G$75</c:f>
              <c:numCache>
                <c:formatCode>General</c:formatCode>
                <c:ptCount val="6"/>
                <c:pt idx="0">
                  <c:v>2016</c:v>
                </c:pt>
                <c:pt idx="1">
                  <c:v>2017</c:v>
                </c:pt>
                <c:pt idx="2">
                  <c:v>2018</c:v>
                </c:pt>
                <c:pt idx="3">
                  <c:v>2019</c:v>
                </c:pt>
                <c:pt idx="4">
                  <c:v>2020</c:v>
                </c:pt>
                <c:pt idx="5">
                  <c:v>2021</c:v>
                </c:pt>
              </c:numCache>
            </c:numRef>
          </c:cat>
          <c:val>
            <c:numRef>
              <c:f>'V4'!$B$76:$G$76</c:f>
              <c:numCache>
                <c:formatCode>#,##0</c:formatCode>
                <c:ptCount val="6"/>
                <c:pt idx="0">
                  <c:v>4584.0630000000001</c:v>
                </c:pt>
                <c:pt idx="1">
                  <c:v>4958.0197842021798</c:v>
                </c:pt>
                <c:pt idx="2">
                  <c:v>7023.8547462753031</c:v>
                </c:pt>
                <c:pt idx="3">
                  <c:v>8144.7910063014961</c:v>
                </c:pt>
                <c:pt idx="4">
                  <c:v>9227.0178831306985</c:v>
                </c:pt>
                <c:pt idx="5">
                  <c:v>10453.044031423753</c:v>
                </c:pt>
              </c:numCache>
            </c:numRef>
          </c:val>
          <c:extLst>
            <c:ext xmlns:c16="http://schemas.microsoft.com/office/drawing/2014/chart" uri="{C3380CC4-5D6E-409C-BE32-E72D297353CC}">
              <c16:uniqueId val="{00000000-8ABC-4FDD-917A-34C89429909A}"/>
            </c:ext>
          </c:extLst>
        </c:ser>
        <c:ser>
          <c:idx val="1"/>
          <c:order val="1"/>
          <c:tx>
            <c:strRef>
              <c:f>'V4'!$A$77</c:f>
              <c:strCache>
                <c:ptCount val="1"/>
                <c:pt idx="0">
                  <c:v>Nodokļu izmaiņu ietekme</c:v>
                </c:pt>
              </c:strCache>
            </c:strRef>
          </c:tx>
          <c:spPr>
            <a:solidFill>
              <a:schemeClr val="accent2"/>
            </a:solidFill>
            <a:ln>
              <a:noFill/>
            </a:ln>
            <a:effectLst/>
          </c:spPr>
          <c:invertIfNegative val="0"/>
          <c:dLbls>
            <c:dLbl>
              <c:idx val="2"/>
              <c:layout>
                <c:manualLayout>
                  <c:x val="2.1680216802168022E-3"/>
                  <c:y val="-4.30107526881721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BC-4FDD-917A-34C89429909A}"/>
                </c:ext>
              </c:extLst>
            </c:dLbl>
            <c:dLbl>
              <c:idx val="3"/>
              <c:layout>
                <c:manualLayout>
                  <c:x val="0"/>
                  <c:y val="-4.6920821114369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ABC-4FDD-917A-34C89429909A}"/>
                </c:ext>
              </c:extLst>
            </c:dLbl>
            <c:dLbl>
              <c:idx val="4"/>
              <c:layout>
                <c:manualLayout>
                  <c:x val="0"/>
                  <c:y val="-4.6920821114369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ABC-4FDD-917A-34C89429909A}"/>
                </c:ext>
              </c:extLst>
            </c:dLbl>
            <c:dLbl>
              <c:idx val="5"/>
              <c:layout>
                <c:manualLayout>
                  <c:x val="0"/>
                  <c:y val="-5.8651026392961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ABC-4FDD-917A-34C89429909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'V4'!$B$75:$G$75</c:f>
              <c:numCache>
                <c:formatCode>General</c:formatCode>
                <c:ptCount val="6"/>
                <c:pt idx="0">
                  <c:v>2016</c:v>
                </c:pt>
                <c:pt idx="1">
                  <c:v>2017</c:v>
                </c:pt>
                <c:pt idx="2">
                  <c:v>2018</c:v>
                </c:pt>
                <c:pt idx="3">
                  <c:v>2019</c:v>
                </c:pt>
                <c:pt idx="4">
                  <c:v>2020</c:v>
                </c:pt>
                <c:pt idx="5">
                  <c:v>2021</c:v>
                </c:pt>
              </c:numCache>
            </c:numRef>
          </c:cat>
          <c:val>
            <c:numRef>
              <c:f>'V4'!$B$77:$G$77</c:f>
              <c:numCache>
                <c:formatCode>General</c:formatCode>
                <c:ptCount val="6"/>
                <c:pt idx="2" formatCode="0">
                  <c:v>404.88782285510933</c:v>
                </c:pt>
                <c:pt idx="3" formatCode="0">
                  <c:v>573.71442965051483</c:v>
                </c:pt>
                <c:pt idx="4" formatCode="0">
                  <c:v>764.84139597911235</c:v>
                </c:pt>
                <c:pt idx="5" formatCode="0">
                  <c:v>1194.2237882302343</c:v>
                </c:pt>
              </c:numCache>
            </c:numRef>
          </c:val>
          <c:extLst>
            <c:ext xmlns:c16="http://schemas.microsoft.com/office/drawing/2014/chart" uri="{C3380CC4-5D6E-409C-BE32-E72D297353CC}">
              <c16:uniqueId val="{00000005-8ABC-4FDD-917A-34C89429909A}"/>
            </c:ext>
          </c:extLst>
        </c:ser>
        <c:dLbls>
          <c:showLegendKey val="0"/>
          <c:showVal val="0"/>
          <c:showCatName val="0"/>
          <c:showSerName val="0"/>
          <c:showPercent val="0"/>
          <c:showBubbleSize val="0"/>
        </c:dLbls>
        <c:gapWidth val="150"/>
        <c:overlap val="100"/>
        <c:axId val="285394024"/>
        <c:axId val="285395200"/>
      </c:barChart>
      <c:catAx>
        <c:axId val="285394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85395200"/>
        <c:crosses val="autoZero"/>
        <c:auto val="1"/>
        <c:lblAlgn val="ctr"/>
        <c:lblOffset val="100"/>
        <c:noMultiLvlLbl val="0"/>
      </c:catAx>
      <c:valAx>
        <c:axId val="285395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85394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'V4'!$A$86</c:f>
              <c:strCache>
                <c:ptCount val="1"/>
                <c:pt idx="0">
                  <c:v>Kopējā pamatkapitāla veidošana - Bāzes scenārijs</c:v>
                </c:pt>
              </c:strCache>
            </c:strRef>
          </c:tx>
          <c:spPr>
            <a:ln w="28575" cap="rnd">
              <a:solidFill>
                <a:schemeClr val="accent1">
                  <a:lumMod val="60000"/>
                  <a:lumOff val="40000"/>
                </a:schemeClr>
              </a:solidFill>
              <a:round/>
            </a:ln>
            <a:effectLst/>
          </c:spPr>
          <c:marker>
            <c:symbol val="none"/>
          </c:marker>
          <c:cat>
            <c:numRef>
              <c:f>'V4'!$B$85:$R$85</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'V4'!$B$86:$R$86</c:f>
              <c:numCache>
                <c:formatCode>0.0</c:formatCode>
                <c:ptCount val="17"/>
                <c:pt idx="0">
                  <c:v>33.242509800480697</c:v>
                </c:pt>
                <c:pt idx="1">
                  <c:v>37.381041134808498</c:v>
                </c:pt>
                <c:pt idx="2">
                  <c:v>40.752366498985268</c:v>
                </c:pt>
                <c:pt idx="3">
                  <c:v>-5.0756766210676405</c:v>
                </c:pt>
                <c:pt idx="4">
                  <c:v>-45.62511419491846</c:v>
                </c:pt>
                <c:pt idx="5">
                  <c:v>-18.037505864488665</c:v>
                </c:pt>
                <c:pt idx="6">
                  <c:v>29.440553328729557</c:v>
                </c:pt>
                <c:pt idx="7">
                  <c:v>23.29710684906436</c:v>
                </c:pt>
                <c:pt idx="8">
                  <c:v>-4.6873902271098737</c:v>
                </c:pt>
                <c:pt idx="9">
                  <c:v>0.87476417617302504</c:v>
                </c:pt>
                <c:pt idx="10">
                  <c:v>-1.7821149605325561</c:v>
                </c:pt>
                <c:pt idx="11">
                  <c:v>-12.554478631366683</c:v>
                </c:pt>
                <c:pt idx="12">
                  <c:v>8.1577583947292993</c:v>
                </c:pt>
                <c:pt idx="13">
                  <c:v>41.66653325296376</c:v>
                </c:pt>
                <c:pt idx="14">
                  <c:v>15.958989764425539</c:v>
                </c:pt>
                <c:pt idx="15">
                  <c:v>13.287349865599996</c:v>
                </c:pt>
                <c:pt idx="16">
                  <c:v>13.287349865599978</c:v>
                </c:pt>
              </c:numCache>
            </c:numRef>
          </c:val>
          <c:smooth val="0"/>
          <c:extLst>
            <c:ext xmlns:c16="http://schemas.microsoft.com/office/drawing/2014/chart" uri="{C3380CC4-5D6E-409C-BE32-E72D297353CC}">
              <c16:uniqueId val="{00000000-A770-47E7-81D3-E38091B676F8}"/>
            </c:ext>
          </c:extLst>
        </c:ser>
        <c:ser>
          <c:idx val="1"/>
          <c:order val="1"/>
          <c:tx>
            <c:strRef>
              <c:f>'V4'!$A$87</c:f>
              <c:strCache>
                <c:ptCount val="1"/>
                <c:pt idx="0">
                  <c:v>Kopējā pamatkapitāla veidošana - Nodokļu izmaiņu ietekmes scenārijs</c:v>
                </c:pt>
              </c:strCache>
            </c:strRef>
          </c:tx>
          <c:spPr>
            <a:ln w="28575" cap="rnd">
              <a:solidFill>
                <a:schemeClr val="accent1">
                  <a:lumMod val="75000"/>
                </a:schemeClr>
              </a:solidFill>
              <a:prstDash val="dash"/>
              <a:round/>
            </a:ln>
            <a:effectLst/>
          </c:spPr>
          <c:marker>
            <c:symbol val="none"/>
          </c:marker>
          <c:cat>
            <c:numRef>
              <c:f>'V4'!$B$85:$R$85</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'V4'!$B$87:$R$87</c:f>
              <c:numCache>
                <c:formatCode>General</c:formatCode>
                <c:ptCount val="17"/>
                <c:pt idx="12" formatCode="0.0">
                  <c:v>8.1577583947292993</c:v>
                </c:pt>
                <c:pt idx="13" formatCode="0.0">
                  <c:v>50.491323831198685</c:v>
                </c:pt>
                <c:pt idx="14" formatCode="0.0">
                  <c:v>17.468270847537298</c:v>
                </c:pt>
                <c:pt idx="15" formatCode="0.0">
                  <c:v>14.703928736458181</c:v>
                </c:pt>
                <c:pt idx="16" formatCode="0.0">
                  <c:v>16.810320349289441</c:v>
                </c:pt>
              </c:numCache>
            </c:numRef>
          </c:val>
          <c:smooth val="0"/>
          <c:extLst>
            <c:ext xmlns:c16="http://schemas.microsoft.com/office/drawing/2014/chart" uri="{C3380CC4-5D6E-409C-BE32-E72D297353CC}">
              <c16:uniqueId val="{00000001-A770-47E7-81D3-E38091B676F8}"/>
            </c:ext>
          </c:extLst>
        </c:ser>
        <c:ser>
          <c:idx val="2"/>
          <c:order val="2"/>
          <c:tx>
            <c:strRef>
              <c:f>'V4'!$A$88</c:f>
              <c:strCache>
                <c:ptCount val="1"/>
                <c:pt idx="0">
                  <c:v>Nominālais IKP - Bāzes scenārijs</c:v>
                </c:pt>
              </c:strCache>
            </c:strRef>
          </c:tx>
          <c:spPr>
            <a:ln w="28575" cap="rnd">
              <a:solidFill>
                <a:schemeClr val="accent6">
                  <a:lumMod val="60000"/>
                  <a:lumOff val="40000"/>
                </a:schemeClr>
              </a:solidFill>
              <a:round/>
            </a:ln>
            <a:effectLst/>
          </c:spPr>
          <c:marker>
            <c:symbol val="none"/>
          </c:marker>
          <c:cat>
            <c:numRef>
              <c:f>'V4'!$B$85:$R$85</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'V4'!$B$88:$R$88</c:f>
              <c:numCache>
                <c:formatCode>0.0</c:formatCode>
                <c:ptCount val="17"/>
                <c:pt idx="0">
                  <c:v>23.065995265339044</c:v>
                </c:pt>
                <c:pt idx="1">
                  <c:v>25.774525285734622</c:v>
                </c:pt>
                <c:pt idx="2">
                  <c:v>32.102700677949883</c:v>
                </c:pt>
                <c:pt idx="3">
                  <c:v>7.7869296363214335</c:v>
                </c:pt>
                <c:pt idx="4">
                  <c:v>-22.687321608123749</c:v>
                </c:pt>
                <c:pt idx="5">
                  <c:v>-4.7205091606595762</c:v>
                </c:pt>
                <c:pt idx="6">
                  <c:v>13.183725547069919</c:v>
                </c:pt>
                <c:pt idx="7">
                  <c:v>7.7962397431443007</c:v>
                </c:pt>
                <c:pt idx="8">
                  <c:v>4.1163752591085307</c:v>
                </c:pt>
                <c:pt idx="9">
                  <c:v>3.7067812233450077</c:v>
                </c:pt>
                <c:pt idx="10">
                  <c:v>3.1192425050422736</c:v>
                </c:pt>
                <c:pt idx="11">
                  <c:v>2.667243427692235</c:v>
                </c:pt>
                <c:pt idx="12">
                  <c:v>5.1589181233862265</c:v>
                </c:pt>
                <c:pt idx="13">
                  <c:v>5.2380749774734428</c:v>
                </c:pt>
                <c:pt idx="14">
                  <c:v>5.9741016126282345</c:v>
                </c:pt>
                <c:pt idx="15">
                  <c:v>5.7115083437078535</c:v>
                </c:pt>
                <c:pt idx="16">
                  <c:v>5.7002011103650148</c:v>
                </c:pt>
              </c:numCache>
            </c:numRef>
          </c:val>
          <c:smooth val="0"/>
          <c:extLst>
            <c:ext xmlns:c16="http://schemas.microsoft.com/office/drawing/2014/chart" uri="{C3380CC4-5D6E-409C-BE32-E72D297353CC}">
              <c16:uniqueId val="{00000002-A770-47E7-81D3-E38091B676F8}"/>
            </c:ext>
          </c:extLst>
        </c:ser>
        <c:ser>
          <c:idx val="3"/>
          <c:order val="3"/>
          <c:tx>
            <c:strRef>
              <c:f>'V4'!$A$89</c:f>
              <c:strCache>
                <c:ptCount val="1"/>
                <c:pt idx="0">
                  <c:v>Nominālais IKP - Nodokļu izmaiņu ietekmes scenārijs</c:v>
                </c:pt>
              </c:strCache>
            </c:strRef>
          </c:tx>
          <c:spPr>
            <a:ln w="28575" cap="rnd">
              <a:solidFill>
                <a:schemeClr val="accent6">
                  <a:lumMod val="75000"/>
                </a:schemeClr>
              </a:solidFill>
              <a:prstDash val="dash"/>
              <a:round/>
            </a:ln>
            <a:effectLst/>
          </c:spPr>
          <c:marker>
            <c:symbol val="none"/>
          </c:marker>
          <c:cat>
            <c:numRef>
              <c:f>'V4'!$B$85:$R$85</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'V4'!$B$89:$R$89</c:f>
              <c:numCache>
                <c:formatCode>General</c:formatCode>
                <c:ptCount val="17"/>
                <c:pt idx="12" formatCode="0.0">
                  <c:v>5.1589181233862265</c:v>
                </c:pt>
                <c:pt idx="13" formatCode="0.0">
                  <c:v>6.1463299427297216</c:v>
                </c:pt>
                <c:pt idx="14" formatCode="0.0">
                  <c:v>7.1494173350341157</c:v>
                </c:pt>
                <c:pt idx="15" formatCode="0.0">
                  <c:v>7.0325852519877827</c:v>
                </c:pt>
                <c:pt idx="16" formatCode="0.0">
                  <c:v>6.8927319598318633</c:v>
                </c:pt>
              </c:numCache>
            </c:numRef>
          </c:val>
          <c:smooth val="0"/>
          <c:extLst>
            <c:ext xmlns:c16="http://schemas.microsoft.com/office/drawing/2014/chart" uri="{C3380CC4-5D6E-409C-BE32-E72D297353CC}">
              <c16:uniqueId val="{00000003-A770-47E7-81D3-E38091B676F8}"/>
            </c:ext>
          </c:extLst>
        </c:ser>
        <c:dLbls>
          <c:showLegendKey val="0"/>
          <c:showVal val="0"/>
          <c:showCatName val="0"/>
          <c:showSerName val="0"/>
          <c:showPercent val="0"/>
          <c:showBubbleSize val="0"/>
        </c:dLbls>
        <c:smooth val="0"/>
        <c:axId val="285392848"/>
        <c:axId val="285394808"/>
      </c:lineChart>
      <c:catAx>
        <c:axId val="285392848"/>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85394808"/>
        <c:crosses val="autoZero"/>
        <c:auto val="1"/>
        <c:lblAlgn val="ctr"/>
        <c:lblOffset val="100"/>
        <c:noMultiLvlLbl val="0"/>
      </c:catAx>
      <c:valAx>
        <c:axId val="285394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85392848"/>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3A80-1E68-462D-A104-1F202F43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12082</Words>
  <Characters>68874</Characters>
  <Application>Microsoft Office Word</Application>
  <DocSecurity>0</DocSecurity>
  <Lines>573</Lines>
  <Paragraphs>161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Uzņēmumu ienākuma nodokļa likumprojekta sākotnējās ietekmes novērtējuma ziņojums (anotācija)</vt:lpstr>
      <vt:lpstr>Projekta sākotnējās ietekmes novērtējuma ziņojums (anotācija"</vt:lpstr>
    </vt:vector>
  </TitlesOfParts>
  <Company>Finanšu ministrija</Company>
  <LinksUpToDate>false</LinksUpToDate>
  <CharactersWithSpaces>80795</CharactersWithSpaces>
  <SharedDoc>false</SharedDoc>
  <HLinks>
    <vt:vector size="18" baseType="variant">
      <vt:variant>
        <vt:i4>1703968</vt:i4>
      </vt:variant>
      <vt:variant>
        <vt:i4>9</vt:i4>
      </vt:variant>
      <vt:variant>
        <vt:i4>0</vt:i4>
      </vt:variant>
      <vt:variant>
        <vt:i4>5</vt:i4>
      </vt:variant>
      <vt:variant>
        <vt:lpwstr>mailto:Inese.Veinberga@fm.gov.lv</vt:lpwstr>
      </vt:variant>
      <vt:variant>
        <vt:lpwstr/>
      </vt:variant>
      <vt:variant>
        <vt:i4>4915278</vt:i4>
      </vt:variant>
      <vt:variant>
        <vt:i4>3</vt:i4>
      </vt:variant>
      <vt:variant>
        <vt:i4>0</vt:i4>
      </vt:variant>
      <vt:variant>
        <vt:i4>5</vt:i4>
      </vt:variant>
      <vt:variant>
        <vt:lpwstr>http://likumi.lv/doc.php?id=62539</vt:lpwstr>
      </vt:variant>
      <vt:variant>
        <vt:lpwstr/>
      </vt:variant>
      <vt:variant>
        <vt:i4>4587598</vt:i4>
      </vt:variant>
      <vt:variant>
        <vt:i4>0</vt:i4>
      </vt:variant>
      <vt:variant>
        <vt:i4>0</vt:i4>
      </vt:variant>
      <vt:variant>
        <vt:i4>5</vt:i4>
      </vt:variant>
      <vt:variant>
        <vt:lpwstr>http://likumi.lv/doc.php?id=38048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Uzņēmumu ienākuma nodokļa likumprojekta sākotnējās ietekmes novērtējuma ziņojums (anotācija)</dc:title>
  <dc:subject>Sākotnējās ietekmes novērtējuma ziņojums (anotācija)</dc:subject>
  <dc:creator>Sandra Mačivka</dc:creator>
  <dc:description>67095630, sandra.macivka@fm.gov.lv_x000d_
67095515, sanda.cane@fm.gov.lv</dc:description>
  <cp:lastModifiedBy>Sanda Cāne</cp:lastModifiedBy>
  <cp:revision>7</cp:revision>
  <cp:lastPrinted>2017-07-11T07:00:00Z</cp:lastPrinted>
  <dcterms:created xsi:type="dcterms:W3CDTF">2017-07-11T06:03:00Z</dcterms:created>
  <dcterms:modified xsi:type="dcterms:W3CDTF">2017-07-11T07:02:00Z</dcterms:modified>
</cp:coreProperties>
</file>