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9846D" w14:textId="77777777" w:rsidR="00F02ADC" w:rsidRPr="00FD26A1" w:rsidRDefault="00F25315" w:rsidP="00F25315">
      <w:pPr>
        <w:pStyle w:val="naisc"/>
        <w:tabs>
          <w:tab w:val="left" w:pos="2630"/>
          <w:tab w:val="center" w:pos="4535"/>
        </w:tabs>
        <w:spacing w:before="0" w:after="0"/>
        <w:jc w:val="left"/>
        <w:rPr>
          <w:b/>
          <w:sz w:val="26"/>
          <w:szCs w:val="26"/>
        </w:rPr>
      </w:pPr>
      <w:r>
        <w:tab/>
      </w:r>
      <w:r w:rsidR="00F02ADC" w:rsidRPr="00FD26A1">
        <w:rPr>
          <w:b/>
          <w:sz w:val="26"/>
          <w:szCs w:val="26"/>
        </w:rPr>
        <w:t xml:space="preserve">Ministru kabineta rīkojuma projekta </w:t>
      </w:r>
    </w:p>
    <w:p w14:paraId="39CA1C9E" w14:textId="77777777" w:rsidR="00F02ADC" w:rsidRPr="00FD26A1" w:rsidRDefault="009F031D" w:rsidP="00F02ADC">
      <w:pPr>
        <w:pStyle w:val="naisc"/>
        <w:spacing w:before="0" w:after="0"/>
        <w:rPr>
          <w:b/>
          <w:sz w:val="26"/>
          <w:szCs w:val="26"/>
        </w:rPr>
      </w:pPr>
      <w:r w:rsidRPr="00FD26A1">
        <w:rPr>
          <w:b/>
          <w:bCs/>
          <w:sz w:val="26"/>
          <w:szCs w:val="26"/>
        </w:rPr>
        <w:t>„</w:t>
      </w:r>
      <w:r w:rsidR="00E27805" w:rsidRPr="00FD26A1">
        <w:rPr>
          <w:b/>
          <w:bCs/>
          <w:sz w:val="26"/>
          <w:szCs w:val="26"/>
        </w:rPr>
        <w:t xml:space="preserve">Par Valsts ieņēmumu dienesta administratīvās ēkas Talejas ielā 1, Rīgā, telpu nomas maksas ilgtermiņa saistību </w:t>
      </w:r>
      <w:r w:rsidR="00E827C9" w:rsidRPr="00FD26A1">
        <w:rPr>
          <w:b/>
          <w:bCs/>
          <w:sz w:val="26"/>
          <w:szCs w:val="26"/>
        </w:rPr>
        <w:t>precizēšanu</w:t>
      </w:r>
      <w:r w:rsidRPr="00FD26A1">
        <w:rPr>
          <w:b/>
          <w:bCs/>
          <w:sz w:val="26"/>
          <w:szCs w:val="26"/>
        </w:rPr>
        <w:t>”</w:t>
      </w:r>
      <w:r w:rsidR="008C57BD" w:rsidRPr="00FD26A1">
        <w:rPr>
          <w:b/>
          <w:bCs/>
          <w:sz w:val="26"/>
          <w:szCs w:val="26"/>
        </w:rPr>
        <w:t xml:space="preserve"> </w:t>
      </w:r>
      <w:r w:rsidR="00F02ADC" w:rsidRPr="00FD26A1">
        <w:rPr>
          <w:b/>
          <w:sz w:val="26"/>
          <w:szCs w:val="26"/>
        </w:rPr>
        <w:t>sākotnējās ietekmes novērtējuma ziņojums (anotācija)</w:t>
      </w:r>
    </w:p>
    <w:p w14:paraId="19B8BD21" w14:textId="77777777" w:rsidR="00F02ADC" w:rsidRPr="00506968" w:rsidRDefault="00F02ADC" w:rsidP="00F02ADC">
      <w:pPr>
        <w:pStyle w:val="naisc"/>
        <w:spacing w:before="0" w:after="0"/>
        <w:jc w:val="left"/>
        <w:rPr>
          <w:bCs/>
          <w:caps/>
          <w:sz w:val="26"/>
          <w:szCs w:val="26"/>
        </w:rPr>
      </w:pPr>
    </w:p>
    <w:tbl>
      <w:tblPr>
        <w:tblStyle w:val="TableGrid"/>
        <w:tblW w:w="0" w:type="auto"/>
        <w:tblLook w:val="04A0" w:firstRow="1" w:lastRow="0" w:firstColumn="1" w:lastColumn="0" w:noHBand="0" w:noVBand="1"/>
      </w:tblPr>
      <w:tblGrid>
        <w:gridCol w:w="528"/>
        <w:gridCol w:w="1556"/>
        <w:gridCol w:w="6977"/>
      </w:tblGrid>
      <w:tr w:rsidR="008C57BD" w:rsidRPr="00506968" w14:paraId="2BFEEA56" w14:textId="77777777" w:rsidTr="002D3247">
        <w:tc>
          <w:tcPr>
            <w:tcW w:w="9061" w:type="dxa"/>
            <w:gridSpan w:val="3"/>
          </w:tcPr>
          <w:p w14:paraId="5F3C6BC2" w14:textId="77777777" w:rsidR="008C57BD" w:rsidRPr="00506968" w:rsidRDefault="008C57BD" w:rsidP="008C57BD">
            <w:pPr>
              <w:pStyle w:val="naisc"/>
              <w:spacing w:before="0" w:after="0"/>
              <w:rPr>
                <w:bCs/>
                <w:caps/>
                <w:sz w:val="26"/>
                <w:szCs w:val="26"/>
              </w:rPr>
            </w:pPr>
            <w:r w:rsidRPr="00506968">
              <w:rPr>
                <w:b/>
                <w:bCs/>
                <w:sz w:val="26"/>
                <w:szCs w:val="26"/>
              </w:rPr>
              <w:t>I. Tiesību akta projekta izstrādes nepieciešamība</w:t>
            </w:r>
          </w:p>
        </w:tc>
      </w:tr>
      <w:tr w:rsidR="00C91383" w:rsidRPr="00506968" w14:paraId="71E50D75" w14:textId="77777777" w:rsidTr="002D3247">
        <w:tc>
          <w:tcPr>
            <w:tcW w:w="528" w:type="dxa"/>
          </w:tcPr>
          <w:p w14:paraId="6D70BE8E" w14:textId="77777777" w:rsidR="008C57BD" w:rsidRPr="00506968" w:rsidRDefault="008C57BD" w:rsidP="00F02ADC">
            <w:pPr>
              <w:pStyle w:val="naisc"/>
              <w:spacing w:before="0" w:after="0"/>
              <w:jc w:val="left"/>
              <w:rPr>
                <w:bCs/>
                <w:caps/>
                <w:sz w:val="26"/>
                <w:szCs w:val="26"/>
              </w:rPr>
            </w:pPr>
            <w:r w:rsidRPr="00506968">
              <w:rPr>
                <w:sz w:val="26"/>
                <w:szCs w:val="26"/>
              </w:rPr>
              <w:t>1.</w:t>
            </w:r>
          </w:p>
        </w:tc>
        <w:tc>
          <w:tcPr>
            <w:tcW w:w="1556" w:type="dxa"/>
          </w:tcPr>
          <w:p w14:paraId="194B3B35" w14:textId="77777777" w:rsidR="008C57BD" w:rsidRPr="00506968" w:rsidRDefault="008C57BD" w:rsidP="00F02ADC">
            <w:pPr>
              <w:pStyle w:val="naisc"/>
              <w:spacing w:before="0" w:after="0"/>
              <w:jc w:val="left"/>
              <w:rPr>
                <w:bCs/>
                <w:caps/>
                <w:sz w:val="26"/>
                <w:szCs w:val="26"/>
              </w:rPr>
            </w:pPr>
            <w:r w:rsidRPr="00506968">
              <w:rPr>
                <w:sz w:val="26"/>
                <w:szCs w:val="26"/>
              </w:rPr>
              <w:t>Pamatojums</w:t>
            </w:r>
          </w:p>
        </w:tc>
        <w:tc>
          <w:tcPr>
            <w:tcW w:w="6977" w:type="dxa"/>
          </w:tcPr>
          <w:p w14:paraId="762B3033" w14:textId="77777777" w:rsidR="008C57BD" w:rsidRPr="00506968" w:rsidRDefault="0037147C" w:rsidP="002F36D8">
            <w:pPr>
              <w:pStyle w:val="naisc"/>
              <w:spacing w:before="0" w:after="0"/>
              <w:jc w:val="both"/>
              <w:rPr>
                <w:bCs/>
                <w:sz w:val="26"/>
                <w:szCs w:val="26"/>
              </w:rPr>
            </w:pPr>
            <w:r>
              <w:rPr>
                <w:bCs/>
                <w:sz w:val="26"/>
                <w:szCs w:val="26"/>
              </w:rPr>
              <w:t>Finanšu ministrijas (Valsts ieņēmumu dienesta) iniciatīva</w:t>
            </w:r>
            <w:r w:rsidR="00C3585B" w:rsidRPr="00C3585B">
              <w:rPr>
                <w:bCs/>
                <w:sz w:val="26"/>
                <w:szCs w:val="26"/>
              </w:rPr>
              <w:t xml:space="preserve"> </w:t>
            </w:r>
          </w:p>
        </w:tc>
      </w:tr>
      <w:tr w:rsidR="00926CC5" w:rsidRPr="00506968" w14:paraId="4D7AFFC2" w14:textId="77777777" w:rsidTr="002D3247">
        <w:tc>
          <w:tcPr>
            <w:tcW w:w="528" w:type="dxa"/>
          </w:tcPr>
          <w:p w14:paraId="7B42484C" w14:textId="77777777" w:rsidR="008C57BD" w:rsidRPr="00506968" w:rsidRDefault="008C57BD" w:rsidP="001E5481">
            <w:pPr>
              <w:spacing w:before="100" w:beforeAutospacing="1" w:after="100" w:afterAutospacing="1"/>
              <w:rPr>
                <w:sz w:val="26"/>
                <w:szCs w:val="26"/>
                <w:lang w:eastAsia="lv-LV"/>
              </w:rPr>
            </w:pPr>
            <w:r w:rsidRPr="00506968">
              <w:rPr>
                <w:sz w:val="26"/>
                <w:szCs w:val="26"/>
                <w:lang w:eastAsia="lv-LV"/>
              </w:rPr>
              <w:t>2.</w:t>
            </w:r>
          </w:p>
        </w:tc>
        <w:tc>
          <w:tcPr>
            <w:tcW w:w="1556" w:type="dxa"/>
          </w:tcPr>
          <w:p w14:paraId="38DC831F" w14:textId="77777777" w:rsidR="008C57BD" w:rsidRPr="00506968" w:rsidRDefault="008C57BD" w:rsidP="00F02ADC">
            <w:pPr>
              <w:pStyle w:val="naisc"/>
              <w:spacing w:before="0" w:after="0"/>
              <w:jc w:val="left"/>
              <w:rPr>
                <w:bCs/>
                <w:caps/>
                <w:sz w:val="26"/>
                <w:szCs w:val="26"/>
              </w:rPr>
            </w:pPr>
            <w:r w:rsidRPr="00506968">
              <w:rPr>
                <w:sz w:val="26"/>
                <w:szCs w:val="26"/>
              </w:rPr>
              <w:t>Pašreizējā situācija un problēmas, kuru risināšanai tiesību akta projekts izstrādāts, tiesiskā regulējuma mērķis un būtība</w:t>
            </w:r>
          </w:p>
        </w:tc>
        <w:tc>
          <w:tcPr>
            <w:tcW w:w="6977" w:type="dxa"/>
            <w:shd w:val="clear" w:color="auto" w:fill="auto"/>
          </w:tcPr>
          <w:p w14:paraId="3681C7BE" w14:textId="572DB83C" w:rsidR="0093427B" w:rsidRDefault="003516F0" w:rsidP="001955B8">
            <w:pPr>
              <w:ind w:firstLine="505"/>
              <w:jc w:val="both"/>
              <w:rPr>
                <w:sz w:val="26"/>
                <w:szCs w:val="26"/>
                <w:lang w:eastAsia="lv-LV"/>
              </w:rPr>
            </w:pPr>
            <w:r w:rsidRPr="003516F0">
              <w:rPr>
                <w:sz w:val="26"/>
                <w:szCs w:val="26"/>
                <w:lang w:eastAsia="lv-LV"/>
              </w:rPr>
              <w:t xml:space="preserve">Šobrīd </w:t>
            </w:r>
            <w:r w:rsidR="00260ADA">
              <w:rPr>
                <w:sz w:val="26"/>
                <w:szCs w:val="26"/>
                <w:lang w:eastAsia="lv-LV"/>
              </w:rPr>
              <w:t>Valsts ieņēmumu dienests (turpmāk – VID)</w:t>
            </w:r>
            <w:r w:rsidR="00260ADA" w:rsidRPr="003516F0">
              <w:rPr>
                <w:sz w:val="26"/>
                <w:szCs w:val="26"/>
                <w:lang w:eastAsia="lv-LV"/>
              </w:rPr>
              <w:t xml:space="preserve"> </w:t>
            </w:r>
            <w:r w:rsidRPr="003516F0">
              <w:rPr>
                <w:sz w:val="26"/>
                <w:szCs w:val="26"/>
                <w:lang w:eastAsia="lv-LV"/>
              </w:rPr>
              <w:t xml:space="preserve">datu centru Talejas ielā 1, Rīgā (turpmāk – </w:t>
            </w:r>
            <w:r w:rsidR="006A4801">
              <w:rPr>
                <w:sz w:val="26"/>
                <w:szCs w:val="26"/>
                <w:lang w:eastAsia="lv-LV"/>
              </w:rPr>
              <w:t>d</w:t>
            </w:r>
            <w:r w:rsidRPr="003516F0">
              <w:rPr>
                <w:sz w:val="26"/>
                <w:szCs w:val="26"/>
                <w:lang w:eastAsia="lv-LV"/>
              </w:rPr>
              <w:t xml:space="preserve">atu centrs) nomā </w:t>
            </w:r>
            <w:r w:rsidRPr="003516F0">
              <w:rPr>
                <w:sz w:val="26"/>
                <w:szCs w:val="26"/>
              </w:rPr>
              <w:t>no</w:t>
            </w:r>
            <w:r w:rsidR="00B14896" w:rsidRPr="00B07BC2">
              <w:rPr>
                <w:bCs/>
                <w:sz w:val="26"/>
                <w:szCs w:val="26"/>
              </w:rPr>
              <w:t xml:space="preserve"> </w:t>
            </w:r>
            <w:r w:rsidR="00260ADA" w:rsidRPr="00DB30FF">
              <w:rPr>
                <w:sz w:val="26"/>
                <w:szCs w:val="26"/>
              </w:rPr>
              <w:t>VAS “Valsts nekustamie īpašumi” (turpmāk – VNĪ)</w:t>
            </w:r>
            <w:r w:rsidRPr="00260ADA">
              <w:rPr>
                <w:sz w:val="26"/>
                <w:szCs w:val="26"/>
              </w:rPr>
              <w:t>,</w:t>
            </w:r>
            <w:r w:rsidRPr="003516F0">
              <w:rPr>
                <w:sz w:val="26"/>
                <w:szCs w:val="26"/>
              </w:rPr>
              <w:t xml:space="preserve"> </w:t>
            </w:r>
            <w:r w:rsidR="00B14896">
              <w:rPr>
                <w:sz w:val="26"/>
                <w:szCs w:val="26"/>
              </w:rPr>
              <w:t xml:space="preserve">kas </w:t>
            </w:r>
            <w:r w:rsidRPr="003516F0">
              <w:rPr>
                <w:sz w:val="26"/>
                <w:szCs w:val="26"/>
              </w:rPr>
              <w:t xml:space="preserve">nodrošina </w:t>
            </w:r>
            <w:r w:rsidR="006A4801">
              <w:rPr>
                <w:sz w:val="26"/>
                <w:szCs w:val="26"/>
              </w:rPr>
              <w:t>d</w:t>
            </w:r>
            <w:r w:rsidRPr="003516F0">
              <w:rPr>
                <w:sz w:val="26"/>
                <w:szCs w:val="26"/>
              </w:rPr>
              <w:t>atu centra apsaimniekošanu</w:t>
            </w:r>
            <w:r w:rsidR="0093427B">
              <w:rPr>
                <w:sz w:val="26"/>
                <w:szCs w:val="26"/>
              </w:rPr>
              <w:t>, taču</w:t>
            </w:r>
            <w:r w:rsidRPr="003516F0">
              <w:rPr>
                <w:sz w:val="26"/>
                <w:szCs w:val="26"/>
              </w:rPr>
              <w:t xml:space="preserve"> </w:t>
            </w:r>
            <w:r w:rsidR="006A4801">
              <w:rPr>
                <w:sz w:val="26"/>
                <w:szCs w:val="26"/>
              </w:rPr>
              <w:t>d</w:t>
            </w:r>
            <w:r w:rsidRPr="00A744C5">
              <w:rPr>
                <w:sz w:val="26"/>
                <w:szCs w:val="26"/>
              </w:rPr>
              <w:t>atu centra uzturēšana un pārvaldīšana nav</w:t>
            </w:r>
            <w:r w:rsidR="00260ADA">
              <w:rPr>
                <w:sz w:val="26"/>
                <w:szCs w:val="26"/>
              </w:rPr>
              <w:t xml:space="preserve"> </w:t>
            </w:r>
            <w:r w:rsidRPr="003516F0">
              <w:rPr>
                <w:sz w:val="26"/>
                <w:szCs w:val="26"/>
              </w:rPr>
              <w:t xml:space="preserve">VNĪ </w:t>
            </w:r>
            <w:r w:rsidRPr="003516F0">
              <w:rPr>
                <w:sz w:val="26"/>
                <w:szCs w:val="26"/>
                <w:lang w:eastAsia="lv-LV"/>
              </w:rPr>
              <w:t xml:space="preserve">pamatdarbības veids (šādi pakalpojumi netiek sniegti citiem klientiem), līdz ar to </w:t>
            </w:r>
            <w:r w:rsidR="00A00CAC">
              <w:rPr>
                <w:sz w:val="26"/>
                <w:szCs w:val="26"/>
                <w:lang w:eastAsia="lv-LV"/>
              </w:rPr>
              <w:t xml:space="preserve">VNĪ </w:t>
            </w:r>
            <w:r w:rsidRPr="003516F0">
              <w:rPr>
                <w:sz w:val="26"/>
                <w:szCs w:val="26"/>
                <w:lang w:eastAsia="lv-LV"/>
              </w:rPr>
              <w:t>trūkst nepieciešamo specifisko zināšanu, pieredzes konkrētajā industrijā un biznesa vidē.</w:t>
            </w:r>
            <w:r w:rsidR="0093427B">
              <w:rPr>
                <w:sz w:val="26"/>
                <w:szCs w:val="26"/>
                <w:lang w:eastAsia="lv-LV"/>
              </w:rPr>
              <w:t xml:space="preserve"> </w:t>
            </w:r>
          </w:p>
          <w:p w14:paraId="2BD8892F" w14:textId="09FA572A" w:rsidR="003516F0" w:rsidRPr="003516F0" w:rsidRDefault="003516F0" w:rsidP="001955B8">
            <w:pPr>
              <w:ind w:firstLine="505"/>
              <w:jc w:val="both"/>
              <w:rPr>
                <w:sz w:val="26"/>
                <w:szCs w:val="26"/>
              </w:rPr>
            </w:pPr>
            <w:r w:rsidRPr="003516F0">
              <w:rPr>
                <w:sz w:val="26"/>
                <w:szCs w:val="26"/>
                <w:lang w:eastAsia="lv-LV"/>
              </w:rPr>
              <w:t xml:space="preserve"> </w:t>
            </w:r>
            <w:r w:rsidR="001E5942">
              <w:rPr>
                <w:sz w:val="26"/>
                <w:szCs w:val="26"/>
                <w:lang w:eastAsia="lv-LV"/>
              </w:rPr>
              <w:t>D</w:t>
            </w:r>
            <w:r w:rsidRPr="003516F0">
              <w:rPr>
                <w:sz w:val="26"/>
                <w:szCs w:val="26"/>
                <w:lang w:eastAsia="lv-LV"/>
              </w:rPr>
              <w:t>atu centra pārvaldība notiek nekustamā īpašuma – biroja telpu pārvaldības</w:t>
            </w:r>
            <w:r w:rsidR="001955B8">
              <w:rPr>
                <w:sz w:val="26"/>
                <w:szCs w:val="26"/>
                <w:lang w:eastAsia="lv-LV"/>
              </w:rPr>
              <w:t xml:space="preserve"> </w:t>
            </w:r>
            <w:r w:rsidR="001955B8" w:rsidRPr="00A00CAC">
              <w:rPr>
                <w:sz w:val="26"/>
                <w:szCs w:val="26"/>
                <w:lang w:eastAsia="lv-LV"/>
              </w:rPr>
              <w:t>programmas</w:t>
            </w:r>
            <w:r w:rsidRPr="003516F0">
              <w:rPr>
                <w:sz w:val="26"/>
                <w:szCs w:val="26"/>
                <w:lang w:eastAsia="lv-LV"/>
              </w:rPr>
              <w:t xml:space="preserve"> ietvaros</w:t>
            </w:r>
            <w:r w:rsidR="001E5942">
              <w:rPr>
                <w:sz w:val="26"/>
                <w:szCs w:val="26"/>
                <w:lang w:eastAsia="lv-LV"/>
              </w:rPr>
              <w:t xml:space="preserve"> saskaņā ar </w:t>
            </w:r>
            <w:r w:rsidR="006A4801" w:rsidRPr="006A4801">
              <w:rPr>
                <w:sz w:val="26"/>
                <w:szCs w:val="26"/>
                <w:lang w:eastAsia="lv-LV"/>
              </w:rPr>
              <w:t xml:space="preserve">starp VNĪ un VID </w:t>
            </w:r>
            <w:r w:rsidR="001E5942">
              <w:rPr>
                <w:sz w:val="26"/>
                <w:szCs w:val="26"/>
                <w:lang w:eastAsia="lv-LV"/>
              </w:rPr>
              <w:t>2014.gada 30.aprīlī noslēgto</w:t>
            </w:r>
            <w:r w:rsidR="001E5942" w:rsidRPr="001E5942">
              <w:rPr>
                <w:sz w:val="26"/>
                <w:szCs w:val="26"/>
                <w:lang w:eastAsia="lv-LV"/>
              </w:rPr>
              <w:t xml:space="preserve"> Telpu Talej</w:t>
            </w:r>
            <w:r w:rsidR="001E5942">
              <w:rPr>
                <w:sz w:val="26"/>
                <w:szCs w:val="26"/>
                <w:lang w:eastAsia="lv-LV"/>
              </w:rPr>
              <w:t xml:space="preserve">as ielā 1, Rīgā apakšnomas līgumu </w:t>
            </w:r>
            <w:r w:rsidR="0093427B">
              <w:rPr>
                <w:sz w:val="26"/>
                <w:szCs w:val="26"/>
                <w:lang w:eastAsia="lv-LV"/>
              </w:rPr>
              <w:t xml:space="preserve">Nr.7-2-14-818 un papildus noslēgtajām vienošanām. </w:t>
            </w:r>
            <w:r w:rsidR="001E5942">
              <w:rPr>
                <w:sz w:val="26"/>
                <w:szCs w:val="26"/>
                <w:lang w:eastAsia="lv-LV"/>
              </w:rPr>
              <w:t xml:space="preserve"> </w:t>
            </w:r>
          </w:p>
          <w:p w14:paraId="2D139CA7" w14:textId="77B1A2D4" w:rsidR="003516F0" w:rsidRPr="003516F0" w:rsidRDefault="003516F0" w:rsidP="00A744C5">
            <w:pPr>
              <w:ind w:firstLine="505"/>
              <w:jc w:val="both"/>
              <w:rPr>
                <w:sz w:val="26"/>
                <w:szCs w:val="26"/>
                <w:lang w:eastAsia="lv-LV"/>
              </w:rPr>
            </w:pPr>
            <w:r w:rsidRPr="003516F0">
              <w:rPr>
                <w:sz w:val="26"/>
                <w:szCs w:val="26"/>
                <w:lang w:eastAsia="lv-LV"/>
              </w:rPr>
              <w:t xml:space="preserve">Kopumā VID </w:t>
            </w:r>
            <w:r w:rsidR="001E5942">
              <w:rPr>
                <w:sz w:val="26"/>
                <w:szCs w:val="26"/>
                <w:lang w:eastAsia="lv-LV"/>
              </w:rPr>
              <w:t>ir jā</w:t>
            </w:r>
            <w:r w:rsidRPr="003516F0">
              <w:rPr>
                <w:sz w:val="26"/>
                <w:szCs w:val="26"/>
                <w:lang w:eastAsia="lv-LV"/>
              </w:rPr>
              <w:t xml:space="preserve">uztur 60 dažādas savstarpēji saistītas kritiskas informācijas sistēmas. Daudzām no VID informācijas sistēmām ir Eiropas Savienības normatīvajos aktos noteikti augsti pieejamības rādītāji, kas savukārt nosaka prasību nodrošināt augstu datu centra pieejamību (datu centrā darbinātās informācijas sistēmas nedrīkst atrasties neplānotā dīkstāvē). </w:t>
            </w:r>
          </w:p>
          <w:p w14:paraId="646D7E92" w14:textId="2CF56DF9" w:rsidR="003516F0" w:rsidRPr="00DB30FF" w:rsidRDefault="0093427B" w:rsidP="00A744C5">
            <w:pPr>
              <w:ind w:firstLine="505"/>
              <w:jc w:val="both"/>
              <w:rPr>
                <w:sz w:val="26"/>
                <w:szCs w:val="26"/>
                <w:lang w:eastAsia="lv-LV"/>
              </w:rPr>
            </w:pPr>
            <w:r w:rsidRPr="00DB30FF">
              <w:rPr>
                <w:sz w:val="26"/>
                <w:szCs w:val="26"/>
                <w:lang w:eastAsia="lv-LV"/>
              </w:rPr>
              <w:t xml:space="preserve">VID jaunās ēkas </w:t>
            </w:r>
            <w:r w:rsidR="006A4801" w:rsidRPr="00DB30FF">
              <w:rPr>
                <w:sz w:val="26"/>
                <w:szCs w:val="26"/>
                <w:lang w:eastAsia="lv-LV"/>
              </w:rPr>
              <w:t>d</w:t>
            </w:r>
            <w:r w:rsidR="003516F0" w:rsidRPr="00DB30FF">
              <w:rPr>
                <w:sz w:val="26"/>
                <w:szCs w:val="26"/>
                <w:lang w:eastAsia="lv-LV"/>
              </w:rPr>
              <w:t>atu centra izveides plānošana tika uzsākta jau 2008.gadā un</w:t>
            </w:r>
            <w:r w:rsidR="00DB109D">
              <w:rPr>
                <w:sz w:val="26"/>
                <w:szCs w:val="26"/>
                <w:lang w:eastAsia="lv-LV"/>
              </w:rPr>
              <w:t xml:space="preserve"> </w:t>
            </w:r>
            <w:r w:rsidRPr="00DB30FF">
              <w:rPr>
                <w:sz w:val="26"/>
                <w:szCs w:val="26"/>
                <w:lang w:eastAsia="lv-LV"/>
              </w:rPr>
              <w:t>attiecīgi paredzot diezgan lielu</w:t>
            </w:r>
            <w:r w:rsidR="009F040F">
              <w:rPr>
                <w:sz w:val="26"/>
                <w:szCs w:val="26"/>
                <w:lang w:eastAsia="lv-LV"/>
              </w:rPr>
              <w:t xml:space="preserve"> resursu (telpu platību, elektrobarošanas jaudu)</w:t>
            </w:r>
            <w:r w:rsidR="003516F0" w:rsidRPr="00DB30FF">
              <w:rPr>
                <w:sz w:val="26"/>
                <w:szCs w:val="26"/>
                <w:lang w:eastAsia="lv-LV"/>
              </w:rPr>
              <w:t>.</w:t>
            </w:r>
            <w:r w:rsidR="009F040F">
              <w:rPr>
                <w:sz w:val="26"/>
                <w:szCs w:val="26"/>
                <w:lang w:eastAsia="lv-LV"/>
              </w:rPr>
              <w:t xml:space="preserve"> </w:t>
            </w:r>
            <w:r w:rsidRPr="00DB30FF">
              <w:rPr>
                <w:sz w:val="26"/>
                <w:szCs w:val="26"/>
                <w:lang w:eastAsia="lv-LV"/>
              </w:rPr>
              <w:t xml:space="preserve"> Šobrīd </w:t>
            </w:r>
            <w:r w:rsidR="006A4801" w:rsidRPr="00DB30FF">
              <w:rPr>
                <w:sz w:val="26"/>
                <w:szCs w:val="26"/>
                <w:lang w:eastAsia="lv-LV"/>
              </w:rPr>
              <w:t>d</w:t>
            </w:r>
            <w:r w:rsidRPr="00DB30FF">
              <w:rPr>
                <w:sz w:val="26"/>
                <w:szCs w:val="26"/>
                <w:lang w:eastAsia="lv-LV"/>
              </w:rPr>
              <w:t xml:space="preserve">atu centru Talejas ielā 1 izmanto tikai VID </w:t>
            </w:r>
            <w:r w:rsidR="00BA325D" w:rsidRPr="00DB30FF">
              <w:rPr>
                <w:sz w:val="26"/>
                <w:szCs w:val="26"/>
                <w:lang w:eastAsia="lv-LV"/>
              </w:rPr>
              <w:t>vajadzībām</w:t>
            </w:r>
            <w:r w:rsidR="006A4801" w:rsidRPr="00DB30FF">
              <w:rPr>
                <w:sz w:val="26"/>
                <w:szCs w:val="26"/>
                <w:lang w:eastAsia="lv-LV"/>
              </w:rPr>
              <w:t>, k</w:t>
            </w:r>
            <w:r w:rsidRPr="00DB30FF">
              <w:rPr>
                <w:sz w:val="26"/>
                <w:szCs w:val="26"/>
                <w:lang w:eastAsia="lv-LV"/>
              </w:rPr>
              <w:t xml:space="preserve">ā rezultātā </w:t>
            </w:r>
            <w:r w:rsidR="000A679D">
              <w:rPr>
                <w:sz w:val="26"/>
                <w:szCs w:val="26"/>
                <w:lang w:eastAsia="lv-LV"/>
              </w:rPr>
              <w:t>tā</w:t>
            </w:r>
            <w:r w:rsidR="003516F0" w:rsidRPr="00DB30FF">
              <w:rPr>
                <w:sz w:val="26"/>
                <w:szCs w:val="26"/>
                <w:lang w:eastAsia="lv-LV"/>
              </w:rPr>
              <w:t xml:space="preserve"> elektroenerģijas patēriņš nav efektīvs un dzesēšanas sistēmas darbība nav optimāla</w:t>
            </w:r>
            <w:r w:rsidRPr="00DB30FF">
              <w:rPr>
                <w:sz w:val="26"/>
                <w:szCs w:val="26"/>
                <w:lang w:eastAsia="lv-LV"/>
              </w:rPr>
              <w:t xml:space="preserve">, jo </w:t>
            </w:r>
            <w:r w:rsidR="006A4801" w:rsidRPr="00DB30FF">
              <w:rPr>
                <w:sz w:val="26"/>
                <w:szCs w:val="26"/>
                <w:lang w:eastAsia="lv-LV"/>
              </w:rPr>
              <w:t>d</w:t>
            </w:r>
            <w:r w:rsidRPr="00DB30FF">
              <w:rPr>
                <w:sz w:val="26"/>
                <w:szCs w:val="26"/>
                <w:lang w:eastAsia="lv-LV"/>
              </w:rPr>
              <w:t>atu centrs netiek darbināts ar pilnu jaudu.</w:t>
            </w:r>
          </w:p>
          <w:p w14:paraId="579D80F4" w14:textId="48250CFA" w:rsidR="003516F0" w:rsidRPr="003516F0" w:rsidRDefault="003516F0" w:rsidP="00A744C5">
            <w:pPr>
              <w:ind w:firstLine="505"/>
              <w:jc w:val="both"/>
              <w:rPr>
                <w:sz w:val="26"/>
                <w:szCs w:val="26"/>
                <w:lang w:eastAsia="lv-LV"/>
              </w:rPr>
            </w:pPr>
            <w:r w:rsidRPr="003516F0">
              <w:rPr>
                <w:sz w:val="26"/>
                <w:szCs w:val="26"/>
                <w:lang w:eastAsia="lv-LV"/>
              </w:rPr>
              <w:t xml:space="preserve">VID kā vienu no jaunās stratēģijas mērķiem ir izvirzījis “Zaļo domāšanu”, ar to saprotot efektīvu un taupīgu resursu izmantošanu. VID savām vajadzībām izmanto tikai daļu no datu centra </w:t>
            </w:r>
            <w:r w:rsidR="009F040F">
              <w:rPr>
                <w:sz w:val="26"/>
                <w:szCs w:val="26"/>
                <w:lang w:eastAsia="lv-LV"/>
              </w:rPr>
              <w:t>resursa</w:t>
            </w:r>
            <w:r w:rsidRPr="003516F0">
              <w:rPr>
                <w:sz w:val="26"/>
                <w:szCs w:val="26"/>
                <w:lang w:eastAsia="lv-LV"/>
              </w:rPr>
              <w:t>, bet ikmēneša nomas maksu maksā par visu datu centru kopumā, tajā skaitā arī par neizmantoto datu centra daļu. Līdz ar to pastāv iespēja neizmantot</w:t>
            </w:r>
            <w:r w:rsidR="009F040F">
              <w:rPr>
                <w:sz w:val="26"/>
                <w:szCs w:val="26"/>
                <w:lang w:eastAsia="lv-LV"/>
              </w:rPr>
              <w:t>o</w:t>
            </w:r>
            <w:r w:rsidRPr="003516F0">
              <w:rPr>
                <w:sz w:val="26"/>
                <w:szCs w:val="26"/>
                <w:lang w:eastAsia="lv-LV"/>
              </w:rPr>
              <w:t xml:space="preserve"> datu centra </w:t>
            </w:r>
            <w:r w:rsidR="009F040F">
              <w:rPr>
                <w:sz w:val="26"/>
                <w:szCs w:val="26"/>
                <w:lang w:eastAsia="lv-LV"/>
              </w:rPr>
              <w:t>resursu</w:t>
            </w:r>
            <w:r w:rsidR="009F040F" w:rsidRPr="003516F0">
              <w:rPr>
                <w:sz w:val="26"/>
                <w:szCs w:val="26"/>
                <w:lang w:eastAsia="lv-LV"/>
              </w:rPr>
              <w:t xml:space="preserve"> </w:t>
            </w:r>
            <w:r w:rsidRPr="003516F0">
              <w:rPr>
                <w:sz w:val="26"/>
                <w:szCs w:val="26"/>
                <w:lang w:eastAsia="lv-LV"/>
              </w:rPr>
              <w:t xml:space="preserve">piedāvāt citām valsts institūcijām, tādējādi nodrošinot datu centra </w:t>
            </w:r>
            <w:r w:rsidR="009F040F">
              <w:rPr>
                <w:sz w:val="26"/>
                <w:szCs w:val="26"/>
                <w:lang w:eastAsia="lv-LV"/>
              </w:rPr>
              <w:t xml:space="preserve">resursa </w:t>
            </w:r>
            <w:r w:rsidRPr="003516F0">
              <w:rPr>
                <w:sz w:val="26"/>
                <w:szCs w:val="26"/>
                <w:lang w:eastAsia="lv-LV"/>
              </w:rPr>
              <w:t>izmantošanu pilnā apjomā.</w:t>
            </w:r>
          </w:p>
          <w:p w14:paraId="5068E948" w14:textId="77777777" w:rsidR="003516F0" w:rsidRPr="003516F0" w:rsidRDefault="003516F0" w:rsidP="00A744C5">
            <w:pPr>
              <w:ind w:firstLine="505"/>
              <w:jc w:val="both"/>
              <w:rPr>
                <w:sz w:val="26"/>
                <w:szCs w:val="26"/>
                <w:lang w:eastAsia="lv-LV"/>
              </w:rPr>
            </w:pPr>
            <w:r w:rsidRPr="003516F0">
              <w:rPr>
                <w:sz w:val="26"/>
                <w:szCs w:val="26"/>
                <w:lang w:eastAsia="lv-LV"/>
              </w:rPr>
              <w:t>VID noslogo aptuveni 25 % no datu centra projektētās elektroenerģijas jaudas, kā rezultātā datu centrā esošo iekārtu dzesēšanai tiek patērēts ne optimāls elektroenerģijas apjoms, kuru var samazināt, noslogojot datu centra dzesēšanas sistēmu pilnvērtīgi (vismaz par 70 %), kas ir panākams, ievietojot datu centrā papildus iekārtas tādos apjomos, kuras VID nav iespējams izmantot.</w:t>
            </w:r>
          </w:p>
          <w:p w14:paraId="63CA446C" w14:textId="77777777" w:rsidR="003516F0" w:rsidRPr="003516F0" w:rsidRDefault="003516F0" w:rsidP="00A744C5">
            <w:pPr>
              <w:ind w:firstLine="505"/>
              <w:jc w:val="both"/>
              <w:rPr>
                <w:sz w:val="26"/>
                <w:szCs w:val="26"/>
              </w:rPr>
            </w:pPr>
            <w:r w:rsidRPr="003516F0">
              <w:rPr>
                <w:sz w:val="26"/>
                <w:szCs w:val="26"/>
              </w:rPr>
              <w:t xml:space="preserve">Atbilstoši Elektronisko sakaru likuma 5.panta pirmās daļas 3.punktam Satiksmes ministrija kompetences ietvaros </w:t>
            </w:r>
            <w:r w:rsidRPr="003516F0">
              <w:rPr>
                <w:sz w:val="26"/>
                <w:szCs w:val="26"/>
              </w:rPr>
              <w:lastRenderedPageBreak/>
              <w:t>elektronisko sakaru nozarē nodrošina valsts elektronisko sakaru pakalpojumu centra (turpmāk – VESPC) izveidošanu, uzturēšanu un darbību. Elektronisko sakaru likuma 25.</w:t>
            </w:r>
            <w:r w:rsidRPr="003516F0">
              <w:rPr>
                <w:sz w:val="26"/>
                <w:szCs w:val="26"/>
                <w:vertAlign w:val="superscript"/>
              </w:rPr>
              <w:t>1 </w:t>
            </w:r>
            <w:r w:rsidRPr="003516F0">
              <w:rPr>
                <w:sz w:val="26"/>
                <w:szCs w:val="26"/>
              </w:rPr>
              <w:t>panta otrajā daļā ir paredzēta Ministru kabineta kompetence noteikt VESPC lietošanas kārtību, valsts informācijas sistēmu izvietošanu un uzturēšanu VESPC, kā arī to valsts nozīmes informācijas sistēmu sarakstu, kuras ir jāievieto VESPC. Atbilstoši Elektronisko sakaru likuma pārejas noteikumu 20.punktam Ministru kabinets līdz 2017.gada 31.decembrim izdod šā likuma 25.</w:t>
            </w:r>
            <w:r w:rsidRPr="003516F0">
              <w:rPr>
                <w:sz w:val="26"/>
                <w:szCs w:val="26"/>
                <w:vertAlign w:val="superscript"/>
              </w:rPr>
              <w:t>1 </w:t>
            </w:r>
            <w:r w:rsidRPr="003516F0">
              <w:rPr>
                <w:sz w:val="26"/>
                <w:szCs w:val="26"/>
              </w:rPr>
              <w:t>panta otrajā daļā minētos noteikumus.</w:t>
            </w:r>
          </w:p>
          <w:p w14:paraId="61AFD832" w14:textId="77777777" w:rsidR="003516F0" w:rsidRPr="003516F0" w:rsidRDefault="00E96B65" w:rsidP="00A744C5">
            <w:pPr>
              <w:ind w:firstLine="505"/>
              <w:jc w:val="both"/>
              <w:rPr>
                <w:sz w:val="26"/>
                <w:szCs w:val="26"/>
                <w:lang w:eastAsia="lv-LV"/>
              </w:rPr>
            </w:pPr>
            <w:r>
              <w:rPr>
                <w:sz w:val="26"/>
                <w:szCs w:val="26"/>
              </w:rPr>
              <w:t>Ņ</w:t>
            </w:r>
            <w:r w:rsidR="003516F0" w:rsidRPr="003516F0">
              <w:rPr>
                <w:sz w:val="26"/>
                <w:szCs w:val="26"/>
              </w:rPr>
              <w:t xml:space="preserve">emot vērā to, ka </w:t>
            </w:r>
            <w:r w:rsidR="003516F0" w:rsidRPr="003516F0">
              <w:rPr>
                <w:sz w:val="26"/>
                <w:szCs w:val="26"/>
                <w:lang w:eastAsia="lv-LV"/>
              </w:rPr>
              <w:t xml:space="preserve">VAS “Latvijas valsts radio un televīzijas centrs” (turpmāk – LVRTC) </w:t>
            </w:r>
            <w:r w:rsidR="003516F0" w:rsidRPr="003516F0">
              <w:rPr>
                <w:sz w:val="26"/>
                <w:szCs w:val="26"/>
              </w:rPr>
              <w:t xml:space="preserve">ir kritisku valsts informācijas komunikāciju tehnoloģiju infrastruktūras turētājs, </w:t>
            </w:r>
            <w:r w:rsidRPr="003516F0">
              <w:rPr>
                <w:sz w:val="26"/>
                <w:szCs w:val="26"/>
              </w:rPr>
              <w:t xml:space="preserve">2016.gada 22.augustā </w:t>
            </w:r>
            <w:r w:rsidR="003516F0" w:rsidRPr="003516F0">
              <w:rPr>
                <w:sz w:val="26"/>
                <w:szCs w:val="26"/>
              </w:rPr>
              <w:t xml:space="preserve">starp Satiksmes ministriju un LVRTC noslēgts Deleģēšanas līgums par VESPC izveidi, uzturēšanu un darbības nodrošināšanu, kurā noteikts, ka Satiksmes ministrija uzdod LVRTC līdz </w:t>
            </w:r>
            <w:r w:rsidR="003516F0" w:rsidRPr="00DA4467">
              <w:rPr>
                <w:sz w:val="26"/>
                <w:szCs w:val="26"/>
              </w:rPr>
              <w:t>2017.gada 31.decembrim</w:t>
            </w:r>
            <w:r w:rsidR="003516F0" w:rsidRPr="003516F0">
              <w:rPr>
                <w:sz w:val="26"/>
                <w:szCs w:val="26"/>
              </w:rPr>
              <w:t xml:space="preserve"> veikt VESPC izveidi, uzturēšanu un darbību. VESPC ietver tehnisko līdzekļu un pakalpojumu kopumu, kas nodrošina valsts institūcijām infrastruktūru ar augstu konfidencialitāti, integritāti un pieejamību. Ar Deleģēšanas līgumu VESPC funkciju īstenošana tiek deleģēta </w:t>
            </w:r>
            <w:r w:rsidR="003516F0" w:rsidRPr="003516F0">
              <w:rPr>
                <w:sz w:val="26"/>
                <w:szCs w:val="26"/>
                <w:lang w:eastAsia="lv-LV"/>
              </w:rPr>
              <w:t>LVRTC,</w:t>
            </w:r>
            <w:r w:rsidR="003516F0" w:rsidRPr="003516F0">
              <w:rPr>
                <w:sz w:val="26"/>
                <w:szCs w:val="26"/>
              </w:rPr>
              <w:t xml:space="preserve"> </w:t>
            </w:r>
            <w:r w:rsidR="003516F0" w:rsidRPr="003516F0">
              <w:rPr>
                <w:sz w:val="26"/>
                <w:szCs w:val="26"/>
                <w:lang w:eastAsia="lv-LV"/>
              </w:rPr>
              <w:t>pamatojoties uz Elektronisko sakaru likuma 5.panta otro daļu, kas nosaka, ka Satiksmes ministrija var deleģēt augstāk norādītās funkcijas.</w:t>
            </w:r>
          </w:p>
          <w:p w14:paraId="3205E4C2" w14:textId="0F31CF78" w:rsidR="003516F0" w:rsidRPr="003516F0" w:rsidRDefault="00AB225B" w:rsidP="00A744C5">
            <w:pPr>
              <w:ind w:firstLine="505"/>
              <w:jc w:val="both"/>
              <w:rPr>
                <w:sz w:val="26"/>
                <w:szCs w:val="26"/>
              </w:rPr>
            </w:pPr>
            <w:r>
              <w:rPr>
                <w:sz w:val="26"/>
                <w:szCs w:val="26"/>
              </w:rPr>
              <w:t>LVRTC strādā pie projekta par daudzlietotāju datu centr</w:t>
            </w:r>
            <w:r w:rsidR="000A679D">
              <w:rPr>
                <w:sz w:val="26"/>
                <w:szCs w:val="26"/>
              </w:rPr>
              <w:t>a</w:t>
            </w:r>
            <w:r>
              <w:rPr>
                <w:sz w:val="26"/>
                <w:szCs w:val="26"/>
              </w:rPr>
              <w:t xml:space="preserve"> izveidi</w:t>
            </w:r>
            <w:r w:rsidR="001955B8">
              <w:rPr>
                <w:sz w:val="26"/>
                <w:szCs w:val="26"/>
              </w:rPr>
              <w:t xml:space="preserve"> esošajā VID datu centrā</w:t>
            </w:r>
            <w:r>
              <w:rPr>
                <w:sz w:val="26"/>
                <w:szCs w:val="26"/>
              </w:rPr>
              <w:t xml:space="preserve">, kura ietvaros </w:t>
            </w:r>
            <w:r w:rsidR="001955B8">
              <w:rPr>
                <w:sz w:val="26"/>
                <w:szCs w:val="26"/>
              </w:rPr>
              <w:t>LVRTC</w:t>
            </w:r>
            <w:r w:rsidR="004D515B">
              <w:rPr>
                <w:sz w:val="26"/>
                <w:szCs w:val="26"/>
              </w:rPr>
              <w:t xml:space="preserve"> </w:t>
            </w:r>
            <w:r w:rsidR="004D515B" w:rsidRPr="005678AC">
              <w:rPr>
                <w:b/>
                <w:sz w:val="26"/>
                <w:szCs w:val="26"/>
              </w:rPr>
              <w:t>kopīgi ar VNĪ</w:t>
            </w:r>
            <w:r w:rsidR="001955B8">
              <w:rPr>
                <w:sz w:val="26"/>
                <w:szCs w:val="26"/>
              </w:rPr>
              <w:t xml:space="preserve"> </w:t>
            </w:r>
            <w:r>
              <w:rPr>
                <w:sz w:val="26"/>
                <w:szCs w:val="26"/>
              </w:rPr>
              <w:t>veiks</w:t>
            </w:r>
            <w:r w:rsidRPr="003516F0">
              <w:rPr>
                <w:sz w:val="26"/>
                <w:szCs w:val="26"/>
              </w:rPr>
              <w:t xml:space="preserve"> atbilsto</w:t>
            </w:r>
            <w:r>
              <w:rPr>
                <w:sz w:val="26"/>
                <w:szCs w:val="26"/>
              </w:rPr>
              <w:t>šas investīcijas un uzlabojumus</w:t>
            </w:r>
            <w:r w:rsidR="001955B8">
              <w:rPr>
                <w:sz w:val="26"/>
                <w:szCs w:val="26"/>
              </w:rPr>
              <w:t>, tādējādi nodrošino</w:t>
            </w:r>
            <w:r w:rsidRPr="003516F0">
              <w:rPr>
                <w:sz w:val="26"/>
                <w:szCs w:val="26"/>
              </w:rPr>
              <w:t>t Deleģēšanas līgumā noteikt</w:t>
            </w:r>
            <w:r w:rsidR="001955B8">
              <w:rPr>
                <w:sz w:val="26"/>
                <w:szCs w:val="26"/>
              </w:rPr>
              <w:t>o - līdz 2017.gada 31.decembrim</w:t>
            </w:r>
            <w:r w:rsidR="001955B8">
              <w:t xml:space="preserve"> </w:t>
            </w:r>
            <w:r w:rsidR="001955B8" w:rsidRPr="001955B8">
              <w:rPr>
                <w:sz w:val="26"/>
                <w:szCs w:val="26"/>
              </w:rPr>
              <w:t>veikt VESPC izveidi</w:t>
            </w:r>
            <w:r w:rsidR="001955B8">
              <w:rPr>
                <w:sz w:val="26"/>
                <w:szCs w:val="26"/>
              </w:rPr>
              <w:t>, uzturēšanu un darbību.</w:t>
            </w:r>
            <w:r w:rsidR="003516F0" w:rsidRPr="003516F0">
              <w:rPr>
                <w:sz w:val="26"/>
                <w:szCs w:val="26"/>
              </w:rPr>
              <w:t xml:space="preserve"> Savukārt VID saņems uzlabotu datu centra pakalpojumu jeb VESPC no LVRTC, tādējādi uzlabojot arī</w:t>
            </w:r>
            <w:r w:rsidR="001955B8">
              <w:rPr>
                <w:sz w:val="26"/>
                <w:szCs w:val="26"/>
              </w:rPr>
              <w:t xml:space="preserve"> datu centra energoefektivitāti.</w:t>
            </w:r>
            <w:r w:rsidR="003516F0" w:rsidRPr="003516F0">
              <w:rPr>
                <w:sz w:val="26"/>
                <w:szCs w:val="26"/>
              </w:rPr>
              <w:t xml:space="preserve"> </w:t>
            </w:r>
            <w:r w:rsidR="001955B8" w:rsidRPr="003516F0">
              <w:rPr>
                <w:sz w:val="26"/>
                <w:szCs w:val="26"/>
              </w:rPr>
              <w:t xml:space="preserve">VNĪ </w:t>
            </w:r>
            <w:r w:rsidR="001955B8">
              <w:rPr>
                <w:sz w:val="26"/>
                <w:szCs w:val="26"/>
              </w:rPr>
              <w:t xml:space="preserve">ir panācis </w:t>
            </w:r>
            <w:r w:rsidR="00F40578" w:rsidRPr="00F40578">
              <w:rPr>
                <w:sz w:val="26"/>
                <w:szCs w:val="26"/>
              </w:rPr>
              <w:t xml:space="preserve">konceptuālu </w:t>
            </w:r>
            <w:r w:rsidR="001955B8">
              <w:rPr>
                <w:sz w:val="26"/>
                <w:szCs w:val="26"/>
              </w:rPr>
              <w:t>vienošanos par esošā VID datu centra telpu iznomāšanu LVRTC.</w:t>
            </w:r>
            <w:r w:rsidR="00930D19">
              <w:rPr>
                <w:sz w:val="26"/>
                <w:szCs w:val="26"/>
              </w:rPr>
              <w:t xml:space="preserve"> </w:t>
            </w:r>
          </w:p>
          <w:p w14:paraId="35B36C7B" w14:textId="45FDAD76" w:rsidR="00930D19" w:rsidRPr="001955B8" w:rsidRDefault="00E37B09" w:rsidP="00930D19">
            <w:pPr>
              <w:ind w:firstLine="505"/>
              <w:jc w:val="both"/>
              <w:rPr>
                <w:sz w:val="26"/>
                <w:szCs w:val="26"/>
                <w:lang w:eastAsia="lv-LV"/>
              </w:rPr>
            </w:pPr>
            <w:r w:rsidRPr="00DD289B">
              <w:rPr>
                <w:sz w:val="26"/>
                <w:szCs w:val="26"/>
                <w:lang w:eastAsia="lv-LV"/>
              </w:rPr>
              <w:t>VNĪ pamata nodarbošanā</w:t>
            </w:r>
            <w:r w:rsidR="00DB109D" w:rsidRPr="00DD289B">
              <w:rPr>
                <w:sz w:val="26"/>
                <w:szCs w:val="26"/>
                <w:lang w:eastAsia="lv-LV"/>
              </w:rPr>
              <w:t>s ir telpu noma un apsaimniekošana. Ar datu centru saistīto pakalpojumu sniegšana nav rakst</w:t>
            </w:r>
            <w:r w:rsidRPr="00DD289B">
              <w:rPr>
                <w:sz w:val="26"/>
                <w:szCs w:val="26"/>
                <w:lang w:eastAsia="lv-LV"/>
              </w:rPr>
              <w:t>u</w:t>
            </w:r>
            <w:r w:rsidR="00DB109D" w:rsidRPr="00DD289B">
              <w:rPr>
                <w:sz w:val="26"/>
                <w:szCs w:val="26"/>
                <w:lang w:eastAsia="lv-LV"/>
              </w:rPr>
              <w:t xml:space="preserve">rīga VNĪ funkcija. </w:t>
            </w:r>
            <w:r w:rsidRPr="00DD289B">
              <w:rPr>
                <w:sz w:val="26"/>
                <w:szCs w:val="26"/>
                <w:lang w:eastAsia="lv-LV"/>
              </w:rPr>
              <w:t>Šobrīd</w:t>
            </w:r>
            <w:r w:rsidR="00DB109D" w:rsidRPr="00DD289B">
              <w:rPr>
                <w:sz w:val="26"/>
                <w:szCs w:val="26"/>
                <w:lang w:eastAsia="lv-LV"/>
              </w:rPr>
              <w:t xml:space="preserve"> </w:t>
            </w:r>
            <w:r w:rsidRPr="00DD289B">
              <w:rPr>
                <w:sz w:val="26"/>
                <w:szCs w:val="26"/>
                <w:lang w:eastAsia="lv-LV"/>
              </w:rPr>
              <w:t xml:space="preserve">VNĪ </w:t>
            </w:r>
            <w:r w:rsidR="00DB109D" w:rsidRPr="00DD289B">
              <w:rPr>
                <w:sz w:val="26"/>
                <w:szCs w:val="26"/>
                <w:lang w:eastAsia="lv-LV"/>
              </w:rPr>
              <w:t xml:space="preserve">nodrošina VID datu centra telpu </w:t>
            </w:r>
            <w:r w:rsidRPr="00DD289B">
              <w:rPr>
                <w:sz w:val="26"/>
                <w:szCs w:val="26"/>
                <w:lang w:eastAsia="lv-LV"/>
              </w:rPr>
              <w:t>iznomāšanu</w:t>
            </w:r>
            <w:r w:rsidR="00DB109D" w:rsidRPr="00DD289B">
              <w:rPr>
                <w:sz w:val="26"/>
                <w:szCs w:val="26"/>
                <w:lang w:eastAsia="lv-LV"/>
              </w:rPr>
              <w:t xml:space="preserve"> un pamata (minim</w:t>
            </w:r>
            <w:r w:rsidR="00DD289B" w:rsidRPr="00DD289B">
              <w:rPr>
                <w:sz w:val="26"/>
                <w:szCs w:val="26"/>
                <w:lang w:eastAsia="lv-LV"/>
              </w:rPr>
              <w:t>ā</w:t>
            </w:r>
            <w:r w:rsidR="00DB109D" w:rsidRPr="00DD289B">
              <w:rPr>
                <w:sz w:val="26"/>
                <w:szCs w:val="26"/>
                <w:lang w:eastAsia="lv-LV"/>
              </w:rPr>
              <w:t>l</w:t>
            </w:r>
            <w:r w:rsidR="00DD289B" w:rsidRPr="00DD289B">
              <w:rPr>
                <w:sz w:val="26"/>
                <w:szCs w:val="26"/>
                <w:lang w:eastAsia="lv-LV"/>
              </w:rPr>
              <w:t>ā</w:t>
            </w:r>
            <w:r w:rsidR="00DB109D" w:rsidRPr="00DD289B">
              <w:rPr>
                <w:sz w:val="26"/>
                <w:szCs w:val="26"/>
                <w:lang w:eastAsia="lv-LV"/>
              </w:rPr>
              <w:t xml:space="preserve"> apjomā un kvalitātē)  apsaimniekošanas pakalpojumu</w:t>
            </w:r>
            <w:r w:rsidRPr="00DD289B">
              <w:rPr>
                <w:sz w:val="26"/>
                <w:szCs w:val="26"/>
                <w:lang w:eastAsia="lv-LV"/>
              </w:rPr>
              <w:t>s</w:t>
            </w:r>
            <w:r w:rsidR="00DB109D" w:rsidRPr="00DD289B">
              <w:rPr>
                <w:sz w:val="26"/>
                <w:szCs w:val="26"/>
                <w:lang w:eastAsia="lv-LV"/>
              </w:rPr>
              <w:t xml:space="preserve">. </w:t>
            </w:r>
            <w:r w:rsidR="003516F0" w:rsidRPr="00DD289B">
              <w:rPr>
                <w:sz w:val="26"/>
                <w:szCs w:val="26"/>
                <w:lang w:eastAsia="lv-LV"/>
              </w:rPr>
              <w:t xml:space="preserve">LVRTC nodrošinās </w:t>
            </w:r>
            <w:r w:rsidR="000A679D" w:rsidRPr="00DD289B">
              <w:rPr>
                <w:sz w:val="26"/>
                <w:szCs w:val="26"/>
                <w:lang w:eastAsia="lv-LV"/>
              </w:rPr>
              <w:t>a</w:t>
            </w:r>
            <w:r w:rsidR="003516F0" w:rsidRPr="00DD289B">
              <w:rPr>
                <w:sz w:val="26"/>
                <w:szCs w:val="26"/>
                <w:lang w:eastAsia="lv-LV"/>
              </w:rPr>
              <w:t>ugstas</w:t>
            </w:r>
            <w:r w:rsidR="00DB109D" w:rsidRPr="00DD289B">
              <w:rPr>
                <w:sz w:val="26"/>
                <w:szCs w:val="26"/>
                <w:lang w:eastAsia="lv-LV"/>
              </w:rPr>
              <w:t xml:space="preserve"> </w:t>
            </w:r>
            <w:r w:rsidR="003516F0" w:rsidRPr="00DD289B">
              <w:rPr>
                <w:sz w:val="26"/>
                <w:szCs w:val="26"/>
                <w:lang w:eastAsia="lv-LV"/>
              </w:rPr>
              <w:t>pieejamības datu centra infrastruktūras darbīb</w:t>
            </w:r>
            <w:r w:rsidR="00CC2B33" w:rsidRPr="00DD289B">
              <w:rPr>
                <w:sz w:val="26"/>
                <w:szCs w:val="26"/>
                <w:lang w:eastAsia="lv-LV"/>
              </w:rPr>
              <w:t>u</w:t>
            </w:r>
            <w:r w:rsidR="003516F0" w:rsidRPr="00DD289B">
              <w:rPr>
                <w:sz w:val="26"/>
                <w:szCs w:val="26"/>
                <w:lang w:eastAsia="lv-LV"/>
              </w:rPr>
              <w:t xml:space="preserve"> </w:t>
            </w:r>
            <w:r w:rsidR="00F40578" w:rsidRPr="00DD289B">
              <w:rPr>
                <w:sz w:val="26"/>
                <w:szCs w:val="26"/>
                <w:lang w:eastAsia="lv-LV"/>
              </w:rPr>
              <w:t>un</w:t>
            </w:r>
            <w:r w:rsidR="003516F0" w:rsidRPr="00DD289B">
              <w:rPr>
                <w:sz w:val="26"/>
                <w:szCs w:val="26"/>
                <w:lang w:eastAsia="lv-LV"/>
              </w:rPr>
              <w:t xml:space="preserve"> infrastruktūras uzturēšanu</w:t>
            </w:r>
            <w:r w:rsidR="00483002" w:rsidRPr="00DD289B">
              <w:rPr>
                <w:sz w:val="26"/>
                <w:szCs w:val="26"/>
                <w:lang w:eastAsia="lv-LV"/>
              </w:rPr>
              <w:t>, kas atbilst valsts kritisko informācijas sistēmu prasībām</w:t>
            </w:r>
            <w:r w:rsidR="003516F0" w:rsidRPr="00DD289B">
              <w:rPr>
                <w:sz w:val="26"/>
                <w:szCs w:val="26"/>
                <w:lang w:eastAsia="lv-LV"/>
              </w:rPr>
              <w:t>.</w:t>
            </w:r>
            <w:r w:rsidR="00930D19">
              <w:rPr>
                <w:sz w:val="26"/>
                <w:szCs w:val="26"/>
                <w:lang w:eastAsia="lv-LV"/>
              </w:rPr>
              <w:t xml:space="preserve"> </w:t>
            </w:r>
          </w:p>
          <w:p w14:paraId="53157960" w14:textId="16C775B1" w:rsidR="00737E5C" w:rsidRDefault="00737E5C" w:rsidP="00930D19">
            <w:pPr>
              <w:ind w:firstLine="505"/>
              <w:jc w:val="both"/>
              <w:rPr>
                <w:bCs/>
                <w:sz w:val="26"/>
                <w:szCs w:val="26"/>
              </w:rPr>
            </w:pPr>
            <w:r w:rsidRPr="001955B8">
              <w:rPr>
                <w:bCs/>
                <w:sz w:val="26"/>
                <w:szCs w:val="26"/>
              </w:rPr>
              <w:t xml:space="preserve">Saskaņā ar 2016.gada 15.janvārī </w:t>
            </w:r>
            <w:r w:rsidR="000D71D6">
              <w:rPr>
                <w:sz w:val="26"/>
                <w:szCs w:val="26"/>
              </w:rPr>
              <w:t>starp VNĪ un VID</w:t>
            </w:r>
            <w:r w:rsidRPr="001955B8">
              <w:rPr>
                <w:bCs/>
                <w:sz w:val="26"/>
                <w:szCs w:val="26"/>
              </w:rPr>
              <w:t xml:space="preserve"> noslēgto vienošanos par grozījumiem 2014.gada 30.aprīļa Telpu Talejas ielā 1, Rīgā apakšnomas līgumā Nr.7-2-14-818 (vienošanās tika pi</w:t>
            </w:r>
            <w:r w:rsidR="000D71D6">
              <w:rPr>
                <w:bCs/>
                <w:sz w:val="26"/>
                <w:szCs w:val="26"/>
              </w:rPr>
              <w:t>emērota no 2016.gada 1.janvāra)</w:t>
            </w:r>
            <w:r w:rsidRPr="001955B8">
              <w:rPr>
                <w:bCs/>
                <w:sz w:val="26"/>
                <w:szCs w:val="26"/>
              </w:rPr>
              <w:t xml:space="preserve"> telpu nomas maksa ir 11,20 </w:t>
            </w:r>
            <w:r w:rsidRPr="001955B8">
              <w:rPr>
                <w:bCs/>
                <w:i/>
                <w:sz w:val="26"/>
                <w:szCs w:val="26"/>
              </w:rPr>
              <w:t>euro</w:t>
            </w:r>
            <w:r w:rsidRPr="001955B8">
              <w:rPr>
                <w:bCs/>
                <w:sz w:val="26"/>
                <w:szCs w:val="26"/>
              </w:rPr>
              <w:t>/m</w:t>
            </w:r>
            <w:r w:rsidRPr="001955B8">
              <w:rPr>
                <w:bCs/>
                <w:sz w:val="26"/>
                <w:szCs w:val="26"/>
                <w:vertAlign w:val="superscript"/>
              </w:rPr>
              <w:t xml:space="preserve">2 </w:t>
            </w:r>
            <w:r w:rsidRPr="001955B8">
              <w:rPr>
                <w:bCs/>
                <w:sz w:val="26"/>
                <w:szCs w:val="26"/>
              </w:rPr>
              <w:t>mēnesī.</w:t>
            </w:r>
            <w:r w:rsidR="00930D19">
              <w:rPr>
                <w:bCs/>
                <w:sz w:val="26"/>
                <w:szCs w:val="26"/>
              </w:rPr>
              <w:t xml:space="preserve"> </w:t>
            </w:r>
          </w:p>
          <w:p w14:paraId="7CFAD260" w14:textId="705B597A" w:rsidR="001E7802" w:rsidRDefault="001E7802" w:rsidP="00930D19">
            <w:pPr>
              <w:ind w:firstLine="505"/>
              <w:jc w:val="both"/>
              <w:rPr>
                <w:bCs/>
                <w:sz w:val="26"/>
                <w:szCs w:val="26"/>
              </w:rPr>
            </w:pPr>
          </w:p>
          <w:p w14:paraId="7B8494AE" w14:textId="77777777" w:rsidR="001E7802" w:rsidRDefault="001E7802" w:rsidP="00930D19">
            <w:pPr>
              <w:ind w:firstLine="505"/>
              <w:jc w:val="both"/>
              <w:rPr>
                <w:bCs/>
                <w:sz w:val="26"/>
                <w:szCs w:val="26"/>
              </w:rPr>
            </w:pPr>
          </w:p>
          <w:p w14:paraId="642A6F0E" w14:textId="5A632A07" w:rsidR="00737E5C" w:rsidRDefault="00903474" w:rsidP="00654FB6">
            <w:pPr>
              <w:spacing w:before="120"/>
              <w:ind w:firstLine="505"/>
              <w:jc w:val="both"/>
              <w:rPr>
                <w:sz w:val="26"/>
                <w:szCs w:val="26"/>
                <w:lang w:eastAsia="lv-LV"/>
              </w:rPr>
            </w:pPr>
            <w:r>
              <w:rPr>
                <w:sz w:val="26"/>
                <w:szCs w:val="26"/>
                <w:lang w:eastAsia="lv-LV"/>
              </w:rPr>
              <w:t xml:space="preserve">VNĪ </w:t>
            </w:r>
            <w:r w:rsidR="00654FB6">
              <w:rPr>
                <w:sz w:val="26"/>
                <w:szCs w:val="26"/>
                <w:lang w:eastAsia="lv-LV"/>
              </w:rPr>
              <w:t xml:space="preserve">šobrīd </w:t>
            </w:r>
            <w:r>
              <w:rPr>
                <w:sz w:val="26"/>
                <w:szCs w:val="26"/>
                <w:lang w:eastAsia="lv-LV"/>
              </w:rPr>
              <w:t xml:space="preserve">VID iznomājamo platību </w:t>
            </w:r>
            <w:r w:rsidR="00654FB6">
              <w:rPr>
                <w:sz w:val="26"/>
                <w:szCs w:val="26"/>
                <w:lang w:eastAsia="lv-LV"/>
              </w:rPr>
              <w:t xml:space="preserve">Talejas ielas 1 </w:t>
            </w:r>
            <w:r>
              <w:rPr>
                <w:sz w:val="26"/>
                <w:szCs w:val="26"/>
                <w:lang w:eastAsia="lv-LV"/>
              </w:rPr>
              <w:t>ir sadalījis funkcionālās zonās</w:t>
            </w:r>
            <w:r w:rsidR="00654FB6">
              <w:rPr>
                <w:sz w:val="26"/>
                <w:szCs w:val="26"/>
                <w:lang w:eastAsia="lv-LV"/>
              </w:rPr>
              <w:t xml:space="preserve"> </w:t>
            </w:r>
            <w:r>
              <w:rPr>
                <w:sz w:val="26"/>
                <w:szCs w:val="26"/>
                <w:lang w:eastAsia="lv-LV"/>
              </w:rPr>
              <w:t xml:space="preserve">un attiecīgi katrai telpu zonai </w:t>
            </w:r>
            <w:r w:rsidR="00654FB6">
              <w:rPr>
                <w:sz w:val="26"/>
                <w:szCs w:val="26"/>
                <w:lang w:eastAsia="lv-LV"/>
              </w:rPr>
              <w:t>aprēķinājis</w:t>
            </w:r>
            <w:r>
              <w:rPr>
                <w:sz w:val="26"/>
                <w:szCs w:val="26"/>
                <w:lang w:eastAsia="lv-LV"/>
              </w:rPr>
              <w:t xml:space="preserve"> nomas maksas apmēru, iekļaujoties kopējā mēneša nomas maks</w:t>
            </w:r>
            <w:r w:rsidR="00654FB6">
              <w:rPr>
                <w:sz w:val="26"/>
                <w:szCs w:val="26"/>
                <w:lang w:eastAsia="lv-LV"/>
              </w:rPr>
              <w:t>ā.</w:t>
            </w:r>
          </w:p>
          <w:tbl>
            <w:tblPr>
              <w:tblW w:w="6629" w:type="dxa"/>
              <w:tblCellMar>
                <w:left w:w="0" w:type="dxa"/>
                <w:right w:w="0" w:type="dxa"/>
              </w:tblCellMar>
              <w:tblLook w:val="06A0" w:firstRow="1" w:lastRow="0" w:firstColumn="1" w:lastColumn="0" w:noHBand="1" w:noVBand="1"/>
            </w:tblPr>
            <w:tblGrid>
              <w:gridCol w:w="1628"/>
              <w:gridCol w:w="1161"/>
              <w:gridCol w:w="1119"/>
              <w:gridCol w:w="1405"/>
              <w:gridCol w:w="1316"/>
            </w:tblGrid>
            <w:tr w:rsidR="004954D5" w:rsidRPr="00654FB6" w14:paraId="5A5D459B" w14:textId="77777777" w:rsidTr="004954D5">
              <w:trPr>
                <w:trHeight w:val="993"/>
              </w:trPr>
              <w:tc>
                <w:tcPr>
                  <w:tcW w:w="16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1BFDB83" w14:textId="77777777" w:rsidR="00654FB6" w:rsidRPr="004954D5" w:rsidRDefault="00654FB6" w:rsidP="004954D5">
                  <w:pPr>
                    <w:spacing w:after="0" w:line="240" w:lineRule="auto"/>
                    <w:jc w:val="center"/>
                    <w:rPr>
                      <w:b/>
                      <w:color w:val="000000"/>
                      <w:sz w:val="20"/>
                      <w:szCs w:val="20"/>
                      <w:lang w:eastAsia="lv-LV"/>
                    </w:rPr>
                  </w:pPr>
                  <w:r w:rsidRPr="004954D5">
                    <w:rPr>
                      <w:b/>
                      <w:color w:val="000000"/>
                      <w:sz w:val="20"/>
                      <w:szCs w:val="20"/>
                      <w:lang w:eastAsia="lv-LV"/>
                    </w:rPr>
                    <w:t>Komponente</w:t>
                  </w:r>
                </w:p>
              </w:tc>
              <w:tc>
                <w:tcPr>
                  <w:tcW w:w="116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85510F3" w14:textId="7332FC55" w:rsidR="00654FB6" w:rsidRPr="004954D5" w:rsidRDefault="004954D5" w:rsidP="004954D5">
                  <w:pPr>
                    <w:spacing w:after="0" w:line="240" w:lineRule="auto"/>
                    <w:jc w:val="center"/>
                    <w:rPr>
                      <w:b/>
                      <w:color w:val="000000"/>
                      <w:sz w:val="20"/>
                      <w:szCs w:val="20"/>
                      <w:vertAlign w:val="superscript"/>
                      <w:lang w:eastAsia="lv-LV"/>
                    </w:rPr>
                  </w:pPr>
                  <w:r w:rsidRPr="004954D5">
                    <w:rPr>
                      <w:b/>
                      <w:color w:val="000000"/>
                      <w:sz w:val="20"/>
                      <w:szCs w:val="20"/>
                      <w:lang w:eastAsia="lv-LV"/>
                    </w:rPr>
                    <w:t>Nomājamā platība</w:t>
                  </w:r>
                </w:p>
              </w:tc>
              <w:tc>
                <w:tcPr>
                  <w:tcW w:w="111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2780461" w14:textId="74AE2561" w:rsidR="00654FB6" w:rsidRPr="004954D5" w:rsidRDefault="004954D5" w:rsidP="004954D5">
                  <w:pPr>
                    <w:spacing w:after="0" w:line="240" w:lineRule="auto"/>
                    <w:jc w:val="center"/>
                    <w:rPr>
                      <w:b/>
                      <w:color w:val="000000"/>
                      <w:sz w:val="20"/>
                      <w:szCs w:val="20"/>
                      <w:vertAlign w:val="superscript"/>
                      <w:lang w:eastAsia="lv-LV"/>
                    </w:rPr>
                  </w:pPr>
                  <w:r w:rsidRPr="004954D5">
                    <w:rPr>
                      <w:b/>
                      <w:color w:val="000000"/>
                      <w:sz w:val="20"/>
                      <w:szCs w:val="20"/>
                      <w:lang w:eastAsia="lv-LV"/>
                    </w:rPr>
                    <w:t>Nomas maksa</w:t>
                  </w:r>
                  <w:r w:rsidR="001222A0">
                    <w:rPr>
                      <w:b/>
                      <w:color w:val="000000"/>
                      <w:sz w:val="20"/>
                      <w:szCs w:val="20"/>
                      <w:lang w:eastAsia="lv-LV"/>
                    </w:rPr>
                    <w:t xml:space="preserve"> </w:t>
                  </w:r>
                  <w:r w:rsidR="001222A0" w:rsidRPr="004954D5">
                    <w:rPr>
                      <w:b/>
                      <w:color w:val="000000"/>
                      <w:sz w:val="20"/>
                      <w:szCs w:val="20"/>
                      <w:lang w:eastAsia="lv-LV"/>
                    </w:rPr>
                    <w:t>(bez PVN)</w:t>
                  </w:r>
                  <w:r w:rsidR="001222A0">
                    <w:rPr>
                      <w:b/>
                      <w:color w:val="000000"/>
                      <w:sz w:val="20"/>
                      <w:szCs w:val="20"/>
                      <w:lang w:eastAsia="lv-LV"/>
                    </w:rPr>
                    <w:t>,</w:t>
                  </w:r>
                  <w:r w:rsidRPr="004954D5">
                    <w:rPr>
                      <w:b/>
                      <w:color w:val="000000"/>
                      <w:sz w:val="20"/>
                      <w:szCs w:val="20"/>
                      <w:lang w:eastAsia="lv-LV"/>
                    </w:rPr>
                    <w:t xml:space="preserve"> </w:t>
                  </w:r>
                  <w:r w:rsidR="00654FB6" w:rsidRPr="004954D5">
                    <w:rPr>
                      <w:b/>
                      <w:color w:val="000000"/>
                      <w:sz w:val="20"/>
                      <w:szCs w:val="20"/>
                      <w:lang w:eastAsia="lv-LV"/>
                    </w:rPr>
                    <w:t>euro/m</w:t>
                  </w:r>
                  <w:r w:rsidR="00654FB6" w:rsidRPr="004954D5">
                    <w:rPr>
                      <w:b/>
                      <w:color w:val="000000"/>
                      <w:sz w:val="20"/>
                      <w:szCs w:val="20"/>
                      <w:vertAlign w:val="superscript"/>
                      <w:lang w:eastAsia="lv-LV"/>
                    </w:rPr>
                    <w:t>2</w:t>
                  </w:r>
                </w:p>
              </w:tc>
              <w:tc>
                <w:tcPr>
                  <w:tcW w:w="140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14CEFBB" w14:textId="301EB7BC" w:rsidR="00654FB6" w:rsidRPr="004954D5" w:rsidRDefault="004954D5" w:rsidP="004954D5">
                  <w:pPr>
                    <w:spacing w:after="0" w:line="240" w:lineRule="auto"/>
                    <w:jc w:val="center"/>
                    <w:rPr>
                      <w:b/>
                      <w:color w:val="000000"/>
                      <w:sz w:val="20"/>
                      <w:szCs w:val="20"/>
                      <w:lang w:eastAsia="lv-LV"/>
                    </w:rPr>
                  </w:pPr>
                  <w:r w:rsidRPr="004954D5">
                    <w:rPr>
                      <w:b/>
                      <w:color w:val="000000"/>
                      <w:sz w:val="20"/>
                      <w:szCs w:val="20"/>
                      <w:lang w:eastAsia="lv-LV"/>
                    </w:rPr>
                    <w:t>Nomas maksa m</w:t>
                  </w:r>
                  <w:r w:rsidR="00654FB6" w:rsidRPr="004954D5">
                    <w:rPr>
                      <w:b/>
                      <w:color w:val="000000"/>
                      <w:sz w:val="20"/>
                      <w:szCs w:val="20"/>
                      <w:lang w:eastAsia="lv-LV"/>
                    </w:rPr>
                    <w:t>ēnesī</w:t>
                  </w:r>
                  <w:r w:rsidRPr="004954D5">
                    <w:rPr>
                      <w:b/>
                      <w:color w:val="000000"/>
                      <w:sz w:val="20"/>
                      <w:szCs w:val="20"/>
                      <w:lang w:eastAsia="lv-LV"/>
                    </w:rPr>
                    <w:t xml:space="preserve"> (bez PVN)</w:t>
                  </w:r>
                  <w:r w:rsidR="00654FB6" w:rsidRPr="004954D5">
                    <w:rPr>
                      <w:b/>
                      <w:color w:val="000000"/>
                      <w:sz w:val="20"/>
                      <w:szCs w:val="20"/>
                      <w:lang w:eastAsia="lv-LV"/>
                    </w:rPr>
                    <w:t>, euro</w:t>
                  </w:r>
                </w:p>
              </w:tc>
              <w:tc>
                <w:tcPr>
                  <w:tcW w:w="131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F95A163" w14:textId="72D9279B" w:rsidR="00654FB6" w:rsidRPr="004954D5" w:rsidRDefault="004954D5" w:rsidP="004954D5">
                  <w:pPr>
                    <w:spacing w:after="0" w:line="240" w:lineRule="auto"/>
                    <w:jc w:val="center"/>
                    <w:rPr>
                      <w:b/>
                      <w:color w:val="000000"/>
                      <w:sz w:val="20"/>
                      <w:szCs w:val="20"/>
                      <w:lang w:eastAsia="lv-LV"/>
                    </w:rPr>
                  </w:pPr>
                  <w:r w:rsidRPr="004954D5">
                    <w:rPr>
                      <w:b/>
                      <w:color w:val="000000"/>
                      <w:sz w:val="20"/>
                      <w:szCs w:val="20"/>
                      <w:lang w:eastAsia="lv-LV"/>
                    </w:rPr>
                    <w:t>Nomas maksa g</w:t>
                  </w:r>
                  <w:r w:rsidR="00654FB6" w:rsidRPr="004954D5">
                    <w:rPr>
                      <w:b/>
                      <w:color w:val="000000"/>
                      <w:sz w:val="20"/>
                      <w:szCs w:val="20"/>
                      <w:lang w:eastAsia="lv-LV"/>
                    </w:rPr>
                    <w:t>adā</w:t>
                  </w:r>
                  <w:r w:rsidRPr="004954D5">
                    <w:rPr>
                      <w:b/>
                      <w:color w:val="000000"/>
                      <w:sz w:val="20"/>
                      <w:szCs w:val="20"/>
                      <w:lang w:eastAsia="lv-LV"/>
                    </w:rPr>
                    <w:t xml:space="preserve"> (bez PVN)</w:t>
                  </w:r>
                  <w:r w:rsidR="00654FB6" w:rsidRPr="004954D5">
                    <w:rPr>
                      <w:b/>
                      <w:color w:val="000000"/>
                      <w:sz w:val="20"/>
                      <w:szCs w:val="20"/>
                      <w:lang w:eastAsia="lv-LV"/>
                    </w:rPr>
                    <w:t>, euro</w:t>
                  </w:r>
                </w:p>
              </w:tc>
            </w:tr>
            <w:tr w:rsidR="004954D5" w:rsidRPr="00654FB6" w14:paraId="56FAC14D" w14:textId="77777777" w:rsidTr="004954D5">
              <w:trPr>
                <w:trHeight w:val="375"/>
              </w:trPr>
              <w:tc>
                <w:tcPr>
                  <w:tcW w:w="16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74421DA" w14:textId="77777777" w:rsidR="00654FB6" w:rsidRPr="00654FB6" w:rsidRDefault="00654FB6" w:rsidP="004954D5">
                  <w:pPr>
                    <w:spacing w:after="0" w:line="240" w:lineRule="auto"/>
                    <w:rPr>
                      <w:color w:val="000000"/>
                      <w:sz w:val="20"/>
                      <w:szCs w:val="20"/>
                      <w:lang w:eastAsia="lv-LV"/>
                    </w:rPr>
                  </w:pPr>
                  <w:r w:rsidRPr="00654FB6">
                    <w:rPr>
                      <w:color w:val="000000"/>
                      <w:sz w:val="20"/>
                      <w:szCs w:val="20"/>
                      <w:lang w:eastAsia="lv-LV"/>
                    </w:rPr>
                    <w:t>Datu centrs</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BD37A2B" w14:textId="32994504" w:rsidR="00654FB6" w:rsidRPr="00654FB6" w:rsidRDefault="0084578C" w:rsidP="004954D5">
                  <w:pPr>
                    <w:spacing w:after="0" w:line="240" w:lineRule="auto"/>
                    <w:jc w:val="right"/>
                    <w:rPr>
                      <w:color w:val="000000"/>
                      <w:sz w:val="20"/>
                      <w:szCs w:val="20"/>
                      <w:lang w:eastAsia="lv-LV"/>
                    </w:rPr>
                  </w:pPr>
                  <w:r>
                    <w:rPr>
                      <w:color w:val="000000"/>
                      <w:sz w:val="20"/>
                      <w:szCs w:val="20"/>
                      <w:lang w:eastAsia="lv-LV"/>
                    </w:rPr>
                    <w:t>638,</w:t>
                  </w:r>
                  <w:r w:rsidR="00654FB6" w:rsidRPr="00654FB6">
                    <w:rPr>
                      <w:color w:val="000000"/>
                      <w:sz w:val="20"/>
                      <w:szCs w:val="20"/>
                      <w:lang w:eastAsia="lv-LV"/>
                    </w:rPr>
                    <w:t>70</w:t>
                  </w:r>
                </w:p>
              </w:tc>
              <w:tc>
                <w:tcPr>
                  <w:tcW w:w="11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B029286" w14:textId="4A1E90E3" w:rsidR="00654FB6" w:rsidRPr="00654FB6" w:rsidRDefault="00654FB6" w:rsidP="0084578C">
                  <w:pPr>
                    <w:spacing w:after="0" w:line="240" w:lineRule="auto"/>
                    <w:jc w:val="right"/>
                    <w:rPr>
                      <w:color w:val="000000"/>
                      <w:sz w:val="20"/>
                      <w:szCs w:val="20"/>
                      <w:lang w:eastAsia="lv-LV"/>
                    </w:rPr>
                  </w:pPr>
                  <w:r w:rsidRPr="00654FB6">
                    <w:rPr>
                      <w:color w:val="000000"/>
                      <w:sz w:val="20"/>
                      <w:szCs w:val="20"/>
                      <w:lang w:eastAsia="lv-LV"/>
                    </w:rPr>
                    <w:t>56</w:t>
                  </w:r>
                  <w:r w:rsidR="0084578C">
                    <w:rPr>
                      <w:color w:val="000000"/>
                      <w:sz w:val="20"/>
                      <w:szCs w:val="20"/>
                      <w:lang w:eastAsia="lv-LV"/>
                    </w:rPr>
                    <w:t>,</w:t>
                  </w:r>
                  <w:r w:rsidRPr="00654FB6">
                    <w:rPr>
                      <w:color w:val="000000"/>
                      <w:sz w:val="20"/>
                      <w:szCs w:val="20"/>
                      <w:lang w:eastAsia="lv-LV"/>
                    </w:rPr>
                    <w:t>98</w:t>
                  </w:r>
                </w:p>
              </w:tc>
              <w:tc>
                <w:tcPr>
                  <w:tcW w:w="14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CBBDC6C" w14:textId="7858488A" w:rsidR="00654FB6" w:rsidRPr="00654FB6" w:rsidRDefault="00654FB6" w:rsidP="004954D5">
                  <w:pPr>
                    <w:spacing w:after="0" w:line="240" w:lineRule="auto"/>
                    <w:jc w:val="right"/>
                    <w:rPr>
                      <w:color w:val="000000"/>
                      <w:sz w:val="20"/>
                      <w:szCs w:val="20"/>
                      <w:lang w:eastAsia="lv-LV"/>
                    </w:rPr>
                  </w:pPr>
                  <w:r w:rsidRPr="00654FB6">
                    <w:rPr>
                      <w:color w:val="000000"/>
                      <w:sz w:val="20"/>
                      <w:szCs w:val="20"/>
                      <w:lang w:eastAsia="lv-LV"/>
                    </w:rPr>
                    <w:t>3</w:t>
                  </w:r>
                  <w:r w:rsidR="0084578C">
                    <w:rPr>
                      <w:color w:val="000000"/>
                      <w:sz w:val="20"/>
                      <w:szCs w:val="20"/>
                      <w:lang w:eastAsia="lv-LV"/>
                    </w:rPr>
                    <w:t>6 393,</w:t>
                  </w:r>
                  <w:r w:rsidRPr="00654FB6">
                    <w:rPr>
                      <w:color w:val="000000"/>
                      <w:sz w:val="20"/>
                      <w:szCs w:val="20"/>
                      <w:lang w:eastAsia="lv-LV"/>
                    </w:rPr>
                    <w:t>13</w:t>
                  </w:r>
                </w:p>
              </w:tc>
              <w:tc>
                <w:tcPr>
                  <w:tcW w:w="13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03E87C" w14:textId="02887BB8" w:rsidR="00654FB6" w:rsidRPr="00654FB6" w:rsidRDefault="00654FB6" w:rsidP="0084578C">
                  <w:pPr>
                    <w:spacing w:after="0" w:line="240" w:lineRule="auto"/>
                    <w:jc w:val="right"/>
                    <w:rPr>
                      <w:color w:val="000000"/>
                      <w:sz w:val="20"/>
                      <w:szCs w:val="20"/>
                      <w:lang w:eastAsia="lv-LV"/>
                    </w:rPr>
                  </w:pPr>
                  <w:r w:rsidRPr="00654FB6">
                    <w:rPr>
                      <w:color w:val="000000"/>
                      <w:sz w:val="20"/>
                      <w:szCs w:val="20"/>
                      <w:lang w:eastAsia="lv-LV"/>
                    </w:rPr>
                    <w:t>436</w:t>
                  </w:r>
                  <w:r w:rsidR="0084578C">
                    <w:rPr>
                      <w:color w:val="000000"/>
                      <w:sz w:val="20"/>
                      <w:szCs w:val="20"/>
                      <w:lang w:eastAsia="lv-LV"/>
                    </w:rPr>
                    <w:t> </w:t>
                  </w:r>
                  <w:r w:rsidRPr="00654FB6">
                    <w:rPr>
                      <w:color w:val="000000"/>
                      <w:sz w:val="20"/>
                      <w:szCs w:val="20"/>
                      <w:lang w:eastAsia="lv-LV"/>
                    </w:rPr>
                    <w:t>717</w:t>
                  </w:r>
                  <w:r w:rsidR="0084578C">
                    <w:rPr>
                      <w:color w:val="000000"/>
                      <w:sz w:val="20"/>
                      <w:szCs w:val="20"/>
                      <w:lang w:eastAsia="lv-LV"/>
                    </w:rPr>
                    <w:t>,</w:t>
                  </w:r>
                  <w:r w:rsidRPr="00654FB6">
                    <w:rPr>
                      <w:color w:val="000000"/>
                      <w:sz w:val="20"/>
                      <w:szCs w:val="20"/>
                      <w:lang w:eastAsia="lv-LV"/>
                    </w:rPr>
                    <w:t>56</w:t>
                  </w:r>
                </w:p>
              </w:tc>
            </w:tr>
            <w:tr w:rsidR="004954D5" w:rsidRPr="00654FB6" w14:paraId="096113C7" w14:textId="77777777" w:rsidTr="004954D5">
              <w:trPr>
                <w:trHeight w:val="425"/>
              </w:trPr>
              <w:tc>
                <w:tcPr>
                  <w:tcW w:w="16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CD68228" w14:textId="77777777" w:rsidR="00654FB6" w:rsidRPr="00654FB6" w:rsidRDefault="00654FB6" w:rsidP="004954D5">
                  <w:pPr>
                    <w:spacing w:after="0" w:line="240" w:lineRule="auto"/>
                    <w:rPr>
                      <w:color w:val="000000"/>
                      <w:sz w:val="20"/>
                      <w:szCs w:val="20"/>
                      <w:lang w:eastAsia="lv-LV"/>
                    </w:rPr>
                  </w:pPr>
                  <w:r w:rsidRPr="00654FB6">
                    <w:rPr>
                      <w:color w:val="000000"/>
                      <w:sz w:val="20"/>
                      <w:szCs w:val="20"/>
                      <w:lang w:eastAsia="lv-LV"/>
                    </w:rPr>
                    <w:t>Laboratorija</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C4C3AE7" w14:textId="76B1AC7F" w:rsidR="00654FB6" w:rsidRPr="00654FB6" w:rsidRDefault="00654FB6" w:rsidP="0084578C">
                  <w:pPr>
                    <w:spacing w:after="0" w:line="240" w:lineRule="auto"/>
                    <w:jc w:val="right"/>
                    <w:rPr>
                      <w:color w:val="000000"/>
                      <w:sz w:val="20"/>
                      <w:szCs w:val="20"/>
                      <w:lang w:eastAsia="lv-LV"/>
                    </w:rPr>
                  </w:pPr>
                  <w:r w:rsidRPr="00654FB6">
                    <w:rPr>
                      <w:color w:val="000000"/>
                      <w:sz w:val="20"/>
                      <w:szCs w:val="20"/>
                      <w:lang w:eastAsia="lv-LV"/>
                    </w:rPr>
                    <w:t>948</w:t>
                  </w:r>
                  <w:r w:rsidR="0084578C">
                    <w:rPr>
                      <w:color w:val="000000"/>
                      <w:sz w:val="20"/>
                      <w:szCs w:val="20"/>
                      <w:lang w:eastAsia="lv-LV"/>
                    </w:rPr>
                    <w:t>,</w:t>
                  </w:r>
                  <w:r w:rsidRPr="00654FB6">
                    <w:rPr>
                      <w:color w:val="000000"/>
                      <w:sz w:val="20"/>
                      <w:szCs w:val="20"/>
                      <w:lang w:eastAsia="lv-LV"/>
                    </w:rPr>
                    <w:t>00</w:t>
                  </w:r>
                </w:p>
              </w:tc>
              <w:tc>
                <w:tcPr>
                  <w:tcW w:w="11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37CB239" w14:textId="67E1B55A" w:rsidR="00654FB6" w:rsidRPr="00654FB6" w:rsidRDefault="00654FB6" w:rsidP="004954D5">
                  <w:pPr>
                    <w:spacing w:after="0" w:line="240" w:lineRule="auto"/>
                    <w:jc w:val="right"/>
                    <w:rPr>
                      <w:color w:val="000000"/>
                      <w:sz w:val="20"/>
                      <w:szCs w:val="20"/>
                      <w:lang w:eastAsia="lv-LV"/>
                    </w:rPr>
                  </w:pPr>
                  <w:r w:rsidRPr="00654FB6">
                    <w:rPr>
                      <w:color w:val="000000"/>
                      <w:sz w:val="20"/>
                      <w:szCs w:val="20"/>
                      <w:lang w:eastAsia="lv-LV"/>
                    </w:rPr>
                    <w:t>1</w:t>
                  </w:r>
                  <w:r w:rsidR="0084578C">
                    <w:rPr>
                      <w:color w:val="000000"/>
                      <w:sz w:val="20"/>
                      <w:szCs w:val="20"/>
                      <w:lang w:eastAsia="lv-LV"/>
                    </w:rPr>
                    <w:t>5,</w:t>
                  </w:r>
                  <w:r w:rsidRPr="00654FB6">
                    <w:rPr>
                      <w:color w:val="000000"/>
                      <w:sz w:val="20"/>
                      <w:szCs w:val="20"/>
                      <w:lang w:eastAsia="lv-LV"/>
                    </w:rPr>
                    <w:t>06</w:t>
                  </w:r>
                </w:p>
              </w:tc>
              <w:tc>
                <w:tcPr>
                  <w:tcW w:w="14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1CDE363" w14:textId="469914F2" w:rsidR="00654FB6" w:rsidRPr="00654FB6" w:rsidRDefault="0084578C" w:rsidP="004954D5">
                  <w:pPr>
                    <w:spacing w:after="0" w:line="240" w:lineRule="auto"/>
                    <w:jc w:val="right"/>
                    <w:rPr>
                      <w:color w:val="000000"/>
                      <w:sz w:val="20"/>
                      <w:szCs w:val="20"/>
                      <w:lang w:eastAsia="lv-LV"/>
                    </w:rPr>
                  </w:pPr>
                  <w:r>
                    <w:rPr>
                      <w:color w:val="000000"/>
                      <w:sz w:val="20"/>
                      <w:szCs w:val="20"/>
                      <w:lang w:eastAsia="lv-LV"/>
                    </w:rPr>
                    <w:t>14 276,</w:t>
                  </w:r>
                  <w:r w:rsidR="00654FB6" w:rsidRPr="00654FB6">
                    <w:rPr>
                      <w:color w:val="000000"/>
                      <w:sz w:val="20"/>
                      <w:szCs w:val="20"/>
                      <w:lang w:eastAsia="lv-LV"/>
                    </w:rPr>
                    <w:t>88</w:t>
                  </w:r>
                </w:p>
              </w:tc>
              <w:tc>
                <w:tcPr>
                  <w:tcW w:w="13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2992D06" w14:textId="4D7EF0AF" w:rsidR="00654FB6" w:rsidRPr="00654FB6" w:rsidRDefault="00654FB6" w:rsidP="0084578C">
                  <w:pPr>
                    <w:spacing w:after="0" w:line="240" w:lineRule="auto"/>
                    <w:jc w:val="right"/>
                    <w:rPr>
                      <w:color w:val="000000"/>
                      <w:sz w:val="20"/>
                      <w:szCs w:val="20"/>
                      <w:lang w:eastAsia="lv-LV"/>
                    </w:rPr>
                  </w:pPr>
                  <w:r w:rsidRPr="00654FB6">
                    <w:rPr>
                      <w:color w:val="000000"/>
                      <w:sz w:val="20"/>
                      <w:szCs w:val="20"/>
                      <w:lang w:eastAsia="lv-LV"/>
                    </w:rPr>
                    <w:t>171</w:t>
                  </w:r>
                  <w:r w:rsidR="0084578C">
                    <w:rPr>
                      <w:color w:val="000000"/>
                      <w:sz w:val="20"/>
                      <w:szCs w:val="20"/>
                      <w:lang w:eastAsia="lv-LV"/>
                    </w:rPr>
                    <w:t> </w:t>
                  </w:r>
                  <w:r w:rsidRPr="00654FB6">
                    <w:rPr>
                      <w:color w:val="000000"/>
                      <w:sz w:val="20"/>
                      <w:szCs w:val="20"/>
                      <w:lang w:eastAsia="lv-LV"/>
                    </w:rPr>
                    <w:t>322</w:t>
                  </w:r>
                  <w:r w:rsidR="0084578C">
                    <w:rPr>
                      <w:color w:val="000000"/>
                      <w:sz w:val="20"/>
                      <w:szCs w:val="20"/>
                      <w:lang w:eastAsia="lv-LV"/>
                    </w:rPr>
                    <w:t>,</w:t>
                  </w:r>
                  <w:r w:rsidRPr="00654FB6">
                    <w:rPr>
                      <w:color w:val="000000"/>
                      <w:sz w:val="20"/>
                      <w:szCs w:val="20"/>
                      <w:lang w:eastAsia="lv-LV"/>
                    </w:rPr>
                    <w:t>56</w:t>
                  </w:r>
                </w:p>
              </w:tc>
            </w:tr>
            <w:tr w:rsidR="004954D5" w:rsidRPr="00654FB6" w14:paraId="4021B904" w14:textId="77777777" w:rsidTr="004954D5">
              <w:trPr>
                <w:trHeight w:val="387"/>
              </w:trPr>
              <w:tc>
                <w:tcPr>
                  <w:tcW w:w="16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C406F8A" w14:textId="77777777" w:rsidR="00654FB6" w:rsidRPr="00654FB6" w:rsidRDefault="00654FB6" w:rsidP="004954D5">
                  <w:pPr>
                    <w:spacing w:after="0" w:line="240" w:lineRule="auto"/>
                    <w:rPr>
                      <w:color w:val="000000"/>
                      <w:sz w:val="20"/>
                      <w:szCs w:val="20"/>
                      <w:lang w:eastAsia="lv-LV"/>
                    </w:rPr>
                  </w:pPr>
                  <w:r w:rsidRPr="00654FB6">
                    <w:rPr>
                      <w:color w:val="000000"/>
                      <w:sz w:val="20"/>
                      <w:szCs w:val="20"/>
                      <w:lang w:eastAsia="lv-LV"/>
                    </w:rPr>
                    <w:t>Baltā zona</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F03EE73" w14:textId="1BB48388" w:rsidR="00654FB6" w:rsidRPr="00654FB6" w:rsidRDefault="0084578C" w:rsidP="004954D5">
                  <w:pPr>
                    <w:spacing w:after="0" w:line="240" w:lineRule="auto"/>
                    <w:jc w:val="right"/>
                    <w:rPr>
                      <w:color w:val="000000"/>
                      <w:sz w:val="20"/>
                      <w:szCs w:val="20"/>
                      <w:lang w:eastAsia="lv-LV"/>
                    </w:rPr>
                  </w:pPr>
                  <w:r>
                    <w:rPr>
                      <w:color w:val="000000"/>
                      <w:sz w:val="20"/>
                      <w:szCs w:val="20"/>
                      <w:lang w:eastAsia="lv-LV"/>
                    </w:rPr>
                    <w:t>4 274,</w:t>
                  </w:r>
                  <w:r w:rsidR="00654FB6" w:rsidRPr="00654FB6">
                    <w:rPr>
                      <w:color w:val="000000"/>
                      <w:sz w:val="20"/>
                      <w:szCs w:val="20"/>
                      <w:lang w:eastAsia="lv-LV"/>
                    </w:rPr>
                    <w:t>80</w:t>
                  </w:r>
                </w:p>
              </w:tc>
              <w:tc>
                <w:tcPr>
                  <w:tcW w:w="11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DFB294" w14:textId="21B3CDBE" w:rsidR="00654FB6" w:rsidRPr="00654FB6" w:rsidRDefault="0084578C" w:rsidP="004954D5">
                  <w:pPr>
                    <w:spacing w:after="0" w:line="240" w:lineRule="auto"/>
                    <w:jc w:val="right"/>
                    <w:rPr>
                      <w:color w:val="000000"/>
                      <w:sz w:val="20"/>
                      <w:szCs w:val="20"/>
                      <w:lang w:eastAsia="lv-LV"/>
                    </w:rPr>
                  </w:pPr>
                  <w:r>
                    <w:rPr>
                      <w:color w:val="000000"/>
                      <w:sz w:val="20"/>
                      <w:szCs w:val="20"/>
                      <w:lang w:eastAsia="lv-LV"/>
                    </w:rPr>
                    <w:t>12,</w:t>
                  </w:r>
                  <w:r w:rsidR="00654FB6" w:rsidRPr="00654FB6">
                    <w:rPr>
                      <w:color w:val="000000"/>
                      <w:sz w:val="20"/>
                      <w:szCs w:val="20"/>
                      <w:lang w:eastAsia="lv-LV"/>
                    </w:rPr>
                    <w:t>89</w:t>
                  </w:r>
                </w:p>
              </w:tc>
              <w:tc>
                <w:tcPr>
                  <w:tcW w:w="14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4D2BAE6" w14:textId="11C9C4E4" w:rsidR="00654FB6" w:rsidRPr="00654FB6" w:rsidRDefault="00654FB6" w:rsidP="0084578C">
                  <w:pPr>
                    <w:spacing w:after="0" w:line="240" w:lineRule="auto"/>
                    <w:jc w:val="right"/>
                    <w:rPr>
                      <w:color w:val="000000"/>
                      <w:sz w:val="20"/>
                      <w:szCs w:val="20"/>
                      <w:lang w:eastAsia="lv-LV"/>
                    </w:rPr>
                  </w:pPr>
                  <w:r w:rsidRPr="00654FB6">
                    <w:rPr>
                      <w:color w:val="000000"/>
                      <w:sz w:val="20"/>
                      <w:szCs w:val="20"/>
                      <w:lang w:eastAsia="lv-LV"/>
                    </w:rPr>
                    <w:t>55</w:t>
                  </w:r>
                  <w:r w:rsidR="0084578C">
                    <w:rPr>
                      <w:color w:val="000000"/>
                      <w:sz w:val="20"/>
                      <w:szCs w:val="20"/>
                      <w:lang w:eastAsia="lv-LV"/>
                    </w:rPr>
                    <w:t> </w:t>
                  </w:r>
                  <w:r w:rsidRPr="00654FB6">
                    <w:rPr>
                      <w:color w:val="000000"/>
                      <w:sz w:val="20"/>
                      <w:szCs w:val="20"/>
                      <w:lang w:eastAsia="lv-LV"/>
                    </w:rPr>
                    <w:t>102</w:t>
                  </w:r>
                  <w:r w:rsidR="0084578C">
                    <w:rPr>
                      <w:color w:val="000000"/>
                      <w:sz w:val="20"/>
                      <w:szCs w:val="20"/>
                      <w:lang w:eastAsia="lv-LV"/>
                    </w:rPr>
                    <w:t>,</w:t>
                  </w:r>
                  <w:r w:rsidRPr="00654FB6">
                    <w:rPr>
                      <w:color w:val="000000"/>
                      <w:sz w:val="20"/>
                      <w:szCs w:val="20"/>
                      <w:lang w:eastAsia="lv-LV"/>
                    </w:rPr>
                    <w:t>1</w:t>
                  </w:r>
                  <w:r w:rsidR="00C2178C">
                    <w:rPr>
                      <w:color w:val="000000"/>
                      <w:sz w:val="20"/>
                      <w:szCs w:val="20"/>
                      <w:lang w:eastAsia="lv-LV"/>
                    </w:rPr>
                    <w:t>7</w:t>
                  </w:r>
                </w:p>
              </w:tc>
              <w:tc>
                <w:tcPr>
                  <w:tcW w:w="13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358C8F2" w14:textId="25422FAE" w:rsidR="00654FB6" w:rsidRPr="00654FB6" w:rsidRDefault="00654FB6" w:rsidP="00C2178C">
                  <w:pPr>
                    <w:spacing w:after="0" w:line="240" w:lineRule="auto"/>
                    <w:jc w:val="right"/>
                    <w:rPr>
                      <w:color w:val="000000"/>
                      <w:sz w:val="20"/>
                      <w:szCs w:val="20"/>
                      <w:lang w:eastAsia="lv-LV"/>
                    </w:rPr>
                  </w:pPr>
                  <w:r w:rsidRPr="00654FB6">
                    <w:rPr>
                      <w:color w:val="000000"/>
                      <w:sz w:val="20"/>
                      <w:szCs w:val="20"/>
                      <w:lang w:eastAsia="lv-LV"/>
                    </w:rPr>
                    <w:t>6</w:t>
                  </w:r>
                  <w:r w:rsidR="0084578C">
                    <w:rPr>
                      <w:color w:val="000000"/>
                      <w:sz w:val="20"/>
                      <w:szCs w:val="20"/>
                      <w:lang w:eastAsia="lv-LV"/>
                    </w:rPr>
                    <w:t>61 226,</w:t>
                  </w:r>
                  <w:r w:rsidR="00C2178C">
                    <w:rPr>
                      <w:color w:val="000000"/>
                      <w:sz w:val="20"/>
                      <w:szCs w:val="20"/>
                      <w:lang w:eastAsia="lv-LV"/>
                    </w:rPr>
                    <w:t>04</w:t>
                  </w:r>
                </w:p>
              </w:tc>
            </w:tr>
            <w:tr w:rsidR="004954D5" w:rsidRPr="00654FB6" w14:paraId="2D498DD6" w14:textId="77777777" w:rsidTr="004954D5">
              <w:trPr>
                <w:trHeight w:val="265"/>
              </w:trPr>
              <w:tc>
                <w:tcPr>
                  <w:tcW w:w="16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8C3A4C5" w14:textId="77777777" w:rsidR="00654FB6" w:rsidRPr="00654FB6" w:rsidRDefault="00654FB6" w:rsidP="004954D5">
                  <w:pPr>
                    <w:spacing w:after="0" w:line="240" w:lineRule="auto"/>
                    <w:rPr>
                      <w:color w:val="000000"/>
                      <w:sz w:val="20"/>
                      <w:szCs w:val="20"/>
                      <w:lang w:eastAsia="lv-LV"/>
                    </w:rPr>
                  </w:pPr>
                  <w:r w:rsidRPr="00654FB6">
                    <w:rPr>
                      <w:color w:val="000000"/>
                      <w:sz w:val="20"/>
                      <w:szCs w:val="20"/>
                      <w:lang w:eastAsia="lv-LV"/>
                    </w:rPr>
                    <w:t>Biroji</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494FCFF" w14:textId="65EB982A" w:rsidR="00654FB6" w:rsidRPr="00654FB6" w:rsidRDefault="00654FB6" w:rsidP="0084578C">
                  <w:pPr>
                    <w:spacing w:after="0" w:line="240" w:lineRule="auto"/>
                    <w:jc w:val="right"/>
                    <w:rPr>
                      <w:color w:val="000000"/>
                      <w:sz w:val="20"/>
                      <w:szCs w:val="20"/>
                      <w:lang w:eastAsia="lv-LV"/>
                    </w:rPr>
                  </w:pPr>
                  <w:r w:rsidRPr="00654FB6">
                    <w:rPr>
                      <w:color w:val="000000"/>
                      <w:sz w:val="20"/>
                      <w:szCs w:val="20"/>
                      <w:lang w:eastAsia="lv-LV"/>
                    </w:rPr>
                    <w:t>33</w:t>
                  </w:r>
                  <w:r w:rsidR="0084578C">
                    <w:rPr>
                      <w:color w:val="000000"/>
                      <w:sz w:val="20"/>
                      <w:szCs w:val="20"/>
                      <w:lang w:eastAsia="lv-LV"/>
                    </w:rPr>
                    <w:t> </w:t>
                  </w:r>
                  <w:r w:rsidRPr="00654FB6">
                    <w:rPr>
                      <w:color w:val="000000"/>
                      <w:sz w:val="20"/>
                      <w:szCs w:val="20"/>
                      <w:lang w:eastAsia="lv-LV"/>
                    </w:rPr>
                    <w:t>575</w:t>
                  </w:r>
                  <w:r w:rsidR="0084578C">
                    <w:rPr>
                      <w:color w:val="000000"/>
                      <w:sz w:val="20"/>
                      <w:szCs w:val="20"/>
                      <w:lang w:eastAsia="lv-LV"/>
                    </w:rPr>
                    <w:t>,</w:t>
                  </w:r>
                  <w:r w:rsidRPr="00654FB6">
                    <w:rPr>
                      <w:color w:val="000000"/>
                      <w:sz w:val="20"/>
                      <w:szCs w:val="20"/>
                      <w:lang w:eastAsia="lv-LV"/>
                    </w:rPr>
                    <w:t>43</w:t>
                  </w:r>
                </w:p>
              </w:tc>
              <w:tc>
                <w:tcPr>
                  <w:tcW w:w="11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2BA9DE6" w14:textId="28FCB3FE" w:rsidR="00654FB6" w:rsidRPr="00654FB6" w:rsidRDefault="00654FB6" w:rsidP="0084578C">
                  <w:pPr>
                    <w:spacing w:after="0" w:line="240" w:lineRule="auto"/>
                    <w:jc w:val="right"/>
                    <w:rPr>
                      <w:color w:val="000000"/>
                      <w:sz w:val="20"/>
                      <w:szCs w:val="20"/>
                      <w:lang w:eastAsia="lv-LV"/>
                    </w:rPr>
                  </w:pPr>
                  <w:r w:rsidRPr="00654FB6">
                    <w:rPr>
                      <w:color w:val="000000"/>
                      <w:sz w:val="20"/>
                      <w:szCs w:val="20"/>
                      <w:lang w:eastAsia="lv-LV"/>
                    </w:rPr>
                    <w:t>9</w:t>
                  </w:r>
                  <w:r w:rsidR="0084578C">
                    <w:rPr>
                      <w:color w:val="000000"/>
                      <w:sz w:val="20"/>
                      <w:szCs w:val="20"/>
                      <w:lang w:eastAsia="lv-LV"/>
                    </w:rPr>
                    <w:t>,</w:t>
                  </w:r>
                  <w:r w:rsidRPr="00654FB6">
                    <w:rPr>
                      <w:color w:val="000000"/>
                      <w:sz w:val="20"/>
                      <w:szCs w:val="20"/>
                      <w:lang w:eastAsia="lv-LV"/>
                    </w:rPr>
                    <w:t>78</w:t>
                  </w:r>
                </w:p>
              </w:tc>
              <w:tc>
                <w:tcPr>
                  <w:tcW w:w="14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C486389" w14:textId="7977DD4A" w:rsidR="00654FB6" w:rsidRPr="00654FB6" w:rsidRDefault="00654FB6" w:rsidP="0084578C">
                  <w:pPr>
                    <w:spacing w:after="0" w:line="240" w:lineRule="auto"/>
                    <w:jc w:val="right"/>
                    <w:rPr>
                      <w:color w:val="000000"/>
                      <w:sz w:val="20"/>
                      <w:szCs w:val="20"/>
                      <w:lang w:eastAsia="lv-LV"/>
                    </w:rPr>
                  </w:pPr>
                  <w:r w:rsidRPr="00654FB6">
                    <w:rPr>
                      <w:color w:val="000000"/>
                      <w:sz w:val="20"/>
                      <w:szCs w:val="20"/>
                      <w:lang w:eastAsia="lv-LV"/>
                    </w:rPr>
                    <w:t>328</w:t>
                  </w:r>
                  <w:r w:rsidR="0084578C">
                    <w:rPr>
                      <w:color w:val="000000"/>
                      <w:sz w:val="20"/>
                      <w:szCs w:val="20"/>
                      <w:lang w:eastAsia="lv-LV"/>
                    </w:rPr>
                    <w:t> </w:t>
                  </w:r>
                  <w:r w:rsidRPr="00654FB6">
                    <w:rPr>
                      <w:color w:val="000000"/>
                      <w:sz w:val="20"/>
                      <w:szCs w:val="20"/>
                      <w:lang w:eastAsia="lv-LV"/>
                    </w:rPr>
                    <w:t>367</w:t>
                  </w:r>
                  <w:r w:rsidR="0084578C">
                    <w:rPr>
                      <w:color w:val="000000"/>
                      <w:sz w:val="20"/>
                      <w:szCs w:val="20"/>
                      <w:lang w:eastAsia="lv-LV"/>
                    </w:rPr>
                    <w:t>,</w:t>
                  </w:r>
                  <w:r w:rsidRPr="00654FB6">
                    <w:rPr>
                      <w:color w:val="000000"/>
                      <w:sz w:val="20"/>
                      <w:szCs w:val="20"/>
                      <w:lang w:eastAsia="lv-LV"/>
                    </w:rPr>
                    <w:t>71</w:t>
                  </w:r>
                </w:p>
              </w:tc>
              <w:tc>
                <w:tcPr>
                  <w:tcW w:w="13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01F5695" w14:textId="289D67F1" w:rsidR="00654FB6" w:rsidRPr="00654FB6" w:rsidRDefault="00654FB6" w:rsidP="0084578C">
                  <w:pPr>
                    <w:spacing w:after="0" w:line="240" w:lineRule="auto"/>
                    <w:jc w:val="right"/>
                    <w:rPr>
                      <w:color w:val="000000"/>
                      <w:sz w:val="20"/>
                      <w:szCs w:val="20"/>
                      <w:lang w:eastAsia="lv-LV"/>
                    </w:rPr>
                  </w:pPr>
                  <w:r w:rsidRPr="00654FB6">
                    <w:rPr>
                      <w:color w:val="000000"/>
                      <w:sz w:val="20"/>
                      <w:szCs w:val="20"/>
                      <w:lang w:eastAsia="lv-LV"/>
                    </w:rPr>
                    <w:t>3 940</w:t>
                  </w:r>
                  <w:r w:rsidR="0084578C">
                    <w:rPr>
                      <w:color w:val="000000"/>
                      <w:sz w:val="20"/>
                      <w:szCs w:val="20"/>
                      <w:lang w:eastAsia="lv-LV"/>
                    </w:rPr>
                    <w:t> </w:t>
                  </w:r>
                  <w:r w:rsidRPr="00654FB6">
                    <w:rPr>
                      <w:color w:val="000000"/>
                      <w:sz w:val="20"/>
                      <w:szCs w:val="20"/>
                      <w:lang w:eastAsia="lv-LV"/>
                    </w:rPr>
                    <w:t>412</w:t>
                  </w:r>
                  <w:r w:rsidR="0084578C">
                    <w:rPr>
                      <w:color w:val="000000"/>
                      <w:sz w:val="20"/>
                      <w:szCs w:val="20"/>
                      <w:lang w:eastAsia="lv-LV"/>
                    </w:rPr>
                    <w:t>,</w:t>
                  </w:r>
                  <w:r w:rsidRPr="00654FB6">
                    <w:rPr>
                      <w:color w:val="000000"/>
                      <w:sz w:val="20"/>
                      <w:szCs w:val="20"/>
                      <w:lang w:eastAsia="lv-LV"/>
                    </w:rPr>
                    <w:t>52</w:t>
                  </w:r>
                </w:p>
              </w:tc>
            </w:tr>
            <w:tr w:rsidR="004954D5" w:rsidRPr="00654FB6" w14:paraId="4B7FA97B" w14:textId="77777777" w:rsidTr="004954D5">
              <w:trPr>
                <w:trHeight w:val="397"/>
              </w:trPr>
              <w:tc>
                <w:tcPr>
                  <w:tcW w:w="16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9D3204F" w14:textId="77777777" w:rsidR="00654FB6" w:rsidRPr="00654FB6" w:rsidRDefault="00654FB6" w:rsidP="004954D5">
                  <w:pPr>
                    <w:spacing w:after="0" w:line="240" w:lineRule="auto"/>
                    <w:jc w:val="right"/>
                    <w:rPr>
                      <w:b/>
                      <w:color w:val="000000"/>
                      <w:sz w:val="20"/>
                      <w:szCs w:val="20"/>
                      <w:lang w:eastAsia="lv-LV"/>
                    </w:rPr>
                  </w:pPr>
                  <w:r w:rsidRPr="00654FB6">
                    <w:rPr>
                      <w:color w:val="000000"/>
                      <w:sz w:val="20"/>
                      <w:szCs w:val="20"/>
                      <w:lang w:eastAsia="lv-LV"/>
                    </w:rPr>
                    <w:t> </w:t>
                  </w:r>
                  <w:r w:rsidRPr="00654FB6">
                    <w:rPr>
                      <w:b/>
                      <w:color w:val="000000"/>
                      <w:sz w:val="20"/>
                      <w:szCs w:val="20"/>
                      <w:lang w:eastAsia="lv-LV"/>
                    </w:rPr>
                    <w:t xml:space="preserve">Kopā </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38B612C" w14:textId="4CA30B92" w:rsidR="00654FB6" w:rsidRPr="00654FB6" w:rsidRDefault="00654FB6" w:rsidP="0084578C">
                  <w:pPr>
                    <w:spacing w:after="0" w:line="240" w:lineRule="auto"/>
                    <w:jc w:val="right"/>
                    <w:rPr>
                      <w:b/>
                      <w:bCs/>
                      <w:color w:val="000000"/>
                      <w:sz w:val="20"/>
                      <w:szCs w:val="20"/>
                      <w:lang w:eastAsia="lv-LV"/>
                    </w:rPr>
                  </w:pPr>
                  <w:r w:rsidRPr="00654FB6">
                    <w:rPr>
                      <w:b/>
                      <w:bCs/>
                      <w:color w:val="000000"/>
                      <w:sz w:val="20"/>
                      <w:szCs w:val="20"/>
                      <w:lang w:eastAsia="lv-LV"/>
                    </w:rPr>
                    <w:t>39</w:t>
                  </w:r>
                  <w:r w:rsidR="0084578C">
                    <w:rPr>
                      <w:b/>
                      <w:bCs/>
                      <w:color w:val="000000"/>
                      <w:sz w:val="20"/>
                      <w:szCs w:val="20"/>
                      <w:lang w:eastAsia="lv-LV"/>
                    </w:rPr>
                    <w:t> </w:t>
                  </w:r>
                  <w:r w:rsidRPr="00654FB6">
                    <w:rPr>
                      <w:b/>
                      <w:bCs/>
                      <w:color w:val="000000"/>
                      <w:sz w:val="20"/>
                      <w:szCs w:val="20"/>
                      <w:lang w:eastAsia="lv-LV"/>
                    </w:rPr>
                    <w:t>436</w:t>
                  </w:r>
                  <w:r w:rsidR="0084578C">
                    <w:rPr>
                      <w:b/>
                      <w:bCs/>
                      <w:color w:val="000000"/>
                      <w:sz w:val="20"/>
                      <w:szCs w:val="20"/>
                      <w:lang w:eastAsia="lv-LV"/>
                    </w:rPr>
                    <w:t>,</w:t>
                  </w:r>
                  <w:r w:rsidRPr="00654FB6">
                    <w:rPr>
                      <w:b/>
                      <w:bCs/>
                      <w:color w:val="000000"/>
                      <w:sz w:val="20"/>
                      <w:szCs w:val="20"/>
                      <w:lang w:eastAsia="lv-LV"/>
                    </w:rPr>
                    <w:t>93</w:t>
                  </w:r>
                </w:p>
              </w:tc>
              <w:tc>
                <w:tcPr>
                  <w:tcW w:w="11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51BB32C" w14:textId="77777777" w:rsidR="00654FB6" w:rsidRPr="00654FB6" w:rsidRDefault="00654FB6" w:rsidP="004954D5">
                  <w:pPr>
                    <w:spacing w:after="0" w:line="240" w:lineRule="auto"/>
                    <w:rPr>
                      <w:sz w:val="20"/>
                      <w:szCs w:val="20"/>
                      <w:lang w:eastAsia="lv-LV"/>
                    </w:rPr>
                  </w:pPr>
                </w:p>
              </w:tc>
              <w:tc>
                <w:tcPr>
                  <w:tcW w:w="14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2B55ED4" w14:textId="19BEE439" w:rsidR="00654FB6" w:rsidRPr="00654FB6" w:rsidRDefault="00654FB6" w:rsidP="0084578C">
                  <w:pPr>
                    <w:spacing w:after="0" w:line="240" w:lineRule="auto"/>
                    <w:jc w:val="right"/>
                    <w:rPr>
                      <w:color w:val="000000"/>
                      <w:sz w:val="20"/>
                      <w:szCs w:val="20"/>
                      <w:lang w:eastAsia="lv-LV"/>
                    </w:rPr>
                  </w:pPr>
                  <w:r w:rsidRPr="00654FB6">
                    <w:rPr>
                      <w:color w:val="000000"/>
                      <w:sz w:val="20"/>
                      <w:szCs w:val="20"/>
                      <w:lang w:eastAsia="lv-LV"/>
                    </w:rPr>
                    <w:t>434</w:t>
                  </w:r>
                  <w:r w:rsidR="0084578C">
                    <w:rPr>
                      <w:color w:val="000000"/>
                      <w:sz w:val="20"/>
                      <w:szCs w:val="20"/>
                      <w:lang w:eastAsia="lv-LV"/>
                    </w:rPr>
                    <w:t> </w:t>
                  </w:r>
                  <w:r w:rsidRPr="00654FB6">
                    <w:rPr>
                      <w:color w:val="000000"/>
                      <w:sz w:val="20"/>
                      <w:szCs w:val="20"/>
                      <w:lang w:eastAsia="lv-LV"/>
                    </w:rPr>
                    <w:t>139</w:t>
                  </w:r>
                  <w:r w:rsidR="0084578C">
                    <w:rPr>
                      <w:color w:val="000000"/>
                      <w:sz w:val="20"/>
                      <w:szCs w:val="20"/>
                      <w:lang w:eastAsia="lv-LV"/>
                    </w:rPr>
                    <w:t>,</w:t>
                  </w:r>
                  <w:r w:rsidRPr="00654FB6">
                    <w:rPr>
                      <w:color w:val="000000"/>
                      <w:sz w:val="20"/>
                      <w:szCs w:val="20"/>
                      <w:lang w:eastAsia="lv-LV"/>
                    </w:rPr>
                    <w:t>89</w:t>
                  </w:r>
                </w:p>
              </w:tc>
              <w:tc>
                <w:tcPr>
                  <w:tcW w:w="13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3039533" w14:textId="0334E206" w:rsidR="00654FB6" w:rsidRPr="00654FB6" w:rsidRDefault="00654FB6" w:rsidP="0084578C">
                  <w:pPr>
                    <w:spacing w:after="0" w:line="240" w:lineRule="auto"/>
                    <w:jc w:val="right"/>
                    <w:rPr>
                      <w:color w:val="000000"/>
                      <w:sz w:val="20"/>
                      <w:szCs w:val="20"/>
                      <w:lang w:eastAsia="lv-LV"/>
                    </w:rPr>
                  </w:pPr>
                  <w:r w:rsidRPr="00654FB6">
                    <w:rPr>
                      <w:color w:val="000000"/>
                      <w:sz w:val="20"/>
                      <w:szCs w:val="20"/>
                      <w:lang w:eastAsia="lv-LV"/>
                    </w:rPr>
                    <w:t>5 209</w:t>
                  </w:r>
                  <w:r w:rsidR="0084578C">
                    <w:rPr>
                      <w:color w:val="000000"/>
                      <w:sz w:val="20"/>
                      <w:szCs w:val="20"/>
                      <w:lang w:eastAsia="lv-LV"/>
                    </w:rPr>
                    <w:t> </w:t>
                  </w:r>
                  <w:r w:rsidRPr="00654FB6">
                    <w:rPr>
                      <w:color w:val="000000"/>
                      <w:sz w:val="20"/>
                      <w:szCs w:val="20"/>
                      <w:lang w:eastAsia="lv-LV"/>
                    </w:rPr>
                    <w:t>678</w:t>
                  </w:r>
                  <w:r w:rsidR="0084578C">
                    <w:rPr>
                      <w:color w:val="000000"/>
                      <w:sz w:val="20"/>
                      <w:szCs w:val="20"/>
                      <w:lang w:eastAsia="lv-LV"/>
                    </w:rPr>
                    <w:t>,</w:t>
                  </w:r>
                  <w:r w:rsidR="00C2178C">
                    <w:rPr>
                      <w:color w:val="000000"/>
                      <w:sz w:val="20"/>
                      <w:szCs w:val="20"/>
                      <w:lang w:eastAsia="lv-LV"/>
                    </w:rPr>
                    <w:t>68</w:t>
                  </w:r>
                </w:p>
              </w:tc>
            </w:tr>
            <w:tr w:rsidR="004954D5" w:rsidRPr="00654FB6" w14:paraId="588D4D47" w14:textId="77777777" w:rsidTr="0034006A">
              <w:trPr>
                <w:trHeight w:val="363"/>
              </w:trPr>
              <w:tc>
                <w:tcPr>
                  <w:tcW w:w="16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B95B95C" w14:textId="77777777" w:rsidR="00654FB6" w:rsidRPr="00654FB6" w:rsidRDefault="00654FB6" w:rsidP="004954D5">
                  <w:pPr>
                    <w:spacing w:after="0" w:line="240" w:lineRule="auto"/>
                    <w:rPr>
                      <w:color w:val="000000"/>
                      <w:sz w:val="20"/>
                      <w:szCs w:val="20"/>
                      <w:lang w:eastAsia="lv-LV"/>
                    </w:rPr>
                  </w:pPr>
                  <w:r w:rsidRPr="00654FB6">
                    <w:rPr>
                      <w:color w:val="000000"/>
                      <w:sz w:val="20"/>
                      <w:szCs w:val="20"/>
                      <w:lang w:eastAsia="lv-LV"/>
                    </w:rPr>
                    <w:t>Aktīvas iekārtas</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F4EAEB" w14:textId="77777777" w:rsidR="00654FB6" w:rsidRPr="00654FB6" w:rsidRDefault="00654FB6" w:rsidP="004954D5">
                  <w:pPr>
                    <w:spacing w:after="0" w:line="240" w:lineRule="auto"/>
                    <w:rPr>
                      <w:color w:val="000000"/>
                      <w:sz w:val="20"/>
                      <w:szCs w:val="20"/>
                      <w:lang w:eastAsia="lv-LV"/>
                    </w:rPr>
                  </w:pPr>
                  <w:r w:rsidRPr="00654FB6">
                    <w:rPr>
                      <w:color w:val="000000"/>
                      <w:sz w:val="20"/>
                      <w:szCs w:val="20"/>
                      <w:lang w:eastAsia="lv-LV"/>
                    </w:rPr>
                    <w:t> </w:t>
                  </w:r>
                </w:p>
              </w:tc>
              <w:tc>
                <w:tcPr>
                  <w:tcW w:w="11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3E513D0" w14:textId="77777777" w:rsidR="00654FB6" w:rsidRPr="00654FB6" w:rsidRDefault="00654FB6" w:rsidP="004954D5">
                  <w:pPr>
                    <w:spacing w:after="0" w:line="240" w:lineRule="auto"/>
                    <w:rPr>
                      <w:color w:val="000000"/>
                      <w:sz w:val="20"/>
                      <w:szCs w:val="20"/>
                      <w:lang w:eastAsia="lv-LV"/>
                    </w:rPr>
                  </w:pPr>
                  <w:r w:rsidRPr="00654FB6">
                    <w:rPr>
                      <w:color w:val="000000"/>
                      <w:sz w:val="20"/>
                      <w:szCs w:val="20"/>
                      <w:lang w:eastAsia="lv-LV"/>
                    </w:rPr>
                    <w:t> </w:t>
                  </w:r>
                </w:p>
              </w:tc>
              <w:tc>
                <w:tcPr>
                  <w:tcW w:w="14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635CF42" w14:textId="41CC3707" w:rsidR="00654FB6" w:rsidRPr="00654FB6" w:rsidRDefault="00654FB6" w:rsidP="0084578C">
                  <w:pPr>
                    <w:spacing w:after="0" w:line="240" w:lineRule="auto"/>
                    <w:jc w:val="right"/>
                    <w:rPr>
                      <w:color w:val="000000"/>
                      <w:sz w:val="20"/>
                      <w:szCs w:val="20"/>
                      <w:lang w:eastAsia="lv-LV"/>
                    </w:rPr>
                  </w:pPr>
                  <w:r w:rsidRPr="00654FB6">
                    <w:rPr>
                      <w:color w:val="000000"/>
                      <w:sz w:val="20"/>
                      <w:szCs w:val="20"/>
                      <w:lang w:eastAsia="lv-LV"/>
                    </w:rPr>
                    <w:t>7</w:t>
                  </w:r>
                  <w:r w:rsidR="0084578C">
                    <w:rPr>
                      <w:color w:val="000000"/>
                      <w:sz w:val="20"/>
                      <w:szCs w:val="20"/>
                      <w:lang w:eastAsia="lv-LV"/>
                    </w:rPr>
                    <w:t> </w:t>
                  </w:r>
                  <w:r w:rsidRPr="00654FB6">
                    <w:rPr>
                      <w:color w:val="000000"/>
                      <w:sz w:val="20"/>
                      <w:szCs w:val="20"/>
                      <w:lang w:eastAsia="lv-LV"/>
                    </w:rPr>
                    <w:t>553</w:t>
                  </w:r>
                  <w:r w:rsidR="0084578C">
                    <w:rPr>
                      <w:color w:val="000000"/>
                      <w:sz w:val="20"/>
                      <w:szCs w:val="20"/>
                      <w:lang w:eastAsia="lv-LV"/>
                    </w:rPr>
                    <w:t>,</w:t>
                  </w:r>
                  <w:r w:rsidRPr="00654FB6">
                    <w:rPr>
                      <w:color w:val="000000"/>
                      <w:sz w:val="20"/>
                      <w:szCs w:val="20"/>
                      <w:lang w:eastAsia="lv-LV"/>
                    </w:rPr>
                    <w:t>73</w:t>
                  </w:r>
                </w:p>
              </w:tc>
              <w:tc>
                <w:tcPr>
                  <w:tcW w:w="13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95CCF65" w14:textId="0B44BC4A" w:rsidR="00654FB6" w:rsidRPr="00654FB6" w:rsidRDefault="00654FB6" w:rsidP="0084578C">
                  <w:pPr>
                    <w:spacing w:after="0" w:line="240" w:lineRule="auto"/>
                    <w:jc w:val="right"/>
                    <w:rPr>
                      <w:color w:val="000000"/>
                      <w:sz w:val="20"/>
                      <w:szCs w:val="20"/>
                      <w:lang w:eastAsia="lv-LV"/>
                    </w:rPr>
                  </w:pPr>
                  <w:r w:rsidRPr="00654FB6">
                    <w:rPr>
                      <w:color w:val="000000"/>
                      <w:sz w:val="20"/>
                      <w:szCs w:val="20"/>
                      <w:lang w:eastAsia="lv-LV"/>
                    </w:rPr>
                    <w:t>90</w:t>
                  </w:r>
                  <w:r w:rsidR="0084578C">
                    <w:rPr>
                      <w:color w:val="000000"/>
                      <w:sz w:val="20"/>
                      <w:szCs w:val="20"/>
                      <w:lang w:eastAsia="lv-LV"/>
                    </w:rPr>
                    <w:t> </w:t>
                  </w:r>
                  <w:r w:rsidRPr="00654FB6">
                    <w:rPr>
                      <w:color w:val="000000"/>
                      <w:sz w:val="20"/>
                      <w:szCs w:val="20"/>
                      <w:lang w:eastAsia="lv-LV"/>
                    </w:rPr>
                    <w:t>644</w:t>
                  </w:r>
                  <w:r w:rsidR="0084578C">
                    <w:rPr>
                      <w:color w:val="000000"/>
                      <w:sz w:val="20"/>
                      <w:szCs w:val="20"/>
                      <w:lang w:eastAsia="lv-LV"/>
                    </w:rPr>
                    <w:t>,</w:t>
                  </w:r>
                  <w:r w:rsidRPr="00654FB6">
                    <w:rPr>
                      <w:color w:val="000000"/>
                      <w:sz w:val="20"/>
                      <w:szCs w:val="20"/>
                      <w:lang w:eastAsia="lv-LV"/>
                    </w:rPr>
                    <w:t>76</w:t>
                  </w:r>
                </w:p>
              </w:tc>
            </w:tr>
            <w:tr w:rsidR="004954D5" w:rsidRPr="00654FB6" w14:paraId="791129EB" w14:textId="77777777" w:rsidTr="004954D5">
              <w:trPr>
                <w:trHeight w:val="411"/>
              </w:trPr>
              <w:tc>
                <w:tcPr>
                  <w:tcW w:w="16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FDA72BC" w14:textId="77777777" w:rsidR="00654FB6" w:rsidRPr="00654FB6" w:rsidRDefault="00654FB6" w:rsidP="004954D5">
                  <w:pPr>
                    <w:spacing w:after="0" w:line="240" w:lineRule="auto"/>
                    <w:jc w:val="right"/>
                    <w:rPr>
                      <w:b/>
                      <w:color w:val="000000"/>
                      <w:sz w:val="20"/>
                      <w:szCs w:val="20"/>
                      <w:lang w:eastAsia="lv-LV"/>
                    </w:rPr>
                  </w:pPr>
                  <w:r w:rsidRPr="00654FB6">
                    <w:rPr>
                      <w:b/>
                      <w:color w:val="000000"/>
                      <w:sz w:val="20"/>
                      <w:szCs w:val="20"/>
                      <w:lang w:eastAsia="lv-LV"/>
                    </w:rPr>
                    <w:t>Pavisam</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A707D40" w14:textId="77777777" w:rsidR="00654FB6" w:rsidRPr="00654FB6" w:rsidRDefault="00654FB6" w:rsidP="004954D5">
                  <w:pPr>
                    <w:spacing w:after="0" w:line="240" w:lineRule="auto"/>
                    <w:rPr>
                      <w:b/>
                      <w:color w:val="000000"/>
                      <w:sz w:val="20"/>
                      <w:szCs w:val="20"/>
                      <w:lang w:eastAsia="lv-LV"/>
                    </w:rPr>
                  </w:pPr>
                  <w:r w:rsidRPr="00654FB6">
                    <w:rPr>
                      <w:b/>
                      <w:color w:val="000000"/>
                      <w:sz w:val="20"/>
                      <w:szCs w:val="20"/>
                      <w:lang w:eastAsia="lv-LV"/>
                    </w:rPr>
                    <w:t> </w:t>
                  </w:r>
                </w:p>
              </w:tc>
              <w:tc>
                <w:tcPr>
                  <w:tcW w:w="11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81C9C2" w14:textId="77777777" w:rsidR="00654FB6" w:rsidRPr="00654FB6" w:rsidRDefault="00654FB6" w:rsidP="004954D5">
                  <w:pPr>
                    <w:spacing w:after="0" w:line="240" w:lineRule="auto"/>
                    <w:rPr>
                      <w:b/>
                      <w:color w:val="000000"/>
                      <w:sz w:val="20"/>
                      <w:szCs w:val="20"/>
                      <w:lang w:eastAsia="lv-LV"/>
                    </w:rPr>
                  </w:pPr>
                  <w:r w:rsidRPr="00654FB6">
                    <w:rPr>
                      <w:b/>
                      <w:color w:val="000000"/>
                      <w:sz w:val="20"/>
                      <w:szCs w:val="20"/>
                      <w:lang w:eastAsia="lv-LV"/>
                    </w:rPr>
                    <w:t> </w:t>
                  </w:r>
                </w:p>
              </w:tc>
              <w:tc>
                <w:tcPr>
                  <w:tcW w:w="14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25D238" w14:textId="53E77246" w:rsidR="00654FB6" w:rsidRPr="00654FB6" w:rsidRDefault="00654FB6" w:rsidP="0084578C">
                  <w:pPr>
                    <w:spacing w:after="0" w:line="240" w:lineRule="auto"/>
                    <w:jc w:val="right"/>
                    <w:rPr>
                      <w:b/>
                      <w:bCs/>
                      <w:color w:val="000000"/>
                      <w:sz w:val="20"/>
                      <w:szCs w:val="20"/>
                      <w:lang w:eastAsia="lv-LV"/>
                    </w:rPr>
                  </w:pPr>
                  <w:r w:rsidRPr="00654FB6">
                    <w:rPr>
                      <w:b/>
                      <w:bCs/>
                      <w:color w:val="000000"/>
                      <w:sz w:val="20"/>
                      <w:szCs w:val="20"/>
                      <w:lang w:eastAsia="lv-LV"/>
                    </w:rPr>
                    <w:t>441</w:t>
                  </w:r>
                  <w:r w:rsidR="0084578C">
                    <w:rPr>
                      <w:b/>
                      <w:bCs/>
                      <w:color w:val="000000"/>
                      <w:sz w:val="20"/>
                      <w:szCs w:val="20"/>
                      <w:lang w:eastAsia="lv-LV"/>
                    </w:rPr>
                    <w:t> </w:t>
                  </w:r>
                  <w:r w:rsidRPr="00654FB6">
                    <w:rPr>
                      <w:b/>
                      <w:bCs/>
                      <w:color w:val="000000"/>
                      <w:sz w:val="20"/>
                      <w:szCs w:val="20"/>
                      <w:lang w:eastAsia="lv-LV"/>
                    </w:rPr>
                    <w:t>693</w:t>
                  </w:r>
                  <w:r w:rsidR="0084578C">
                    <w:rPr>
                      <w:b/>
                      <w:bCs/>
                      <w:color w:val="000000"/>
                      <w:sz w:val="20"/>
                      <w:szCs w:val="20"/>
                      <w:lang w:eastAsia="lv-LV"/>
                    </w:rPr>
                    <w:t>,</w:t>
                  </w:r>
                  <w:r w:rsidRPr="00654FB6">
                    <w:rPr>
                      <w:b/>
                      <w:bCs/>
                      <w:color w:val="000000"/>
                      <w:sz w:val="20"/>
                      <w:szCs w:val="20"/>
                      <w:lang w:eastAsia="lv-LV"/>
                    </w:rPr>
                    <w:t>62</w:t>
                  </w:r>
                </w:p>
              </w:tc>
              <w:tc>
                <w:tcPr>
                  <w:tcW w:w="13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3FE97C5" w14:textId="16C1115C" w:rsidR="00654FB6" w:rsidRPr="00654FB6" w:rsidRDefault="00654FB6" w:rsidP="004954D5">
                  <w:pPr>
                    <w:spacing w:after="0" w:line="240" w:lineRule="auto"/>
                    <w:jc w:val="right"/>
                    <w:rPr>
                      <w:b/>
                      <w:bCs/>
                      <w:color w:val="000000"/>
                      <w:sz w:val="20"/>
                      <w:szCs w:val="20"/>
                      <w:lang w:eastAsia="lv-LV"/>
                    </w:rPr>
                  </w:pPr>
                  <w:r w:rsidRPr="00654FB6">
                    <w:rPr>
                      <w:b/>
                      <w:bCs/>
                      <w:color w:val="000000"/>
                      <w:sz w:val="20"/>
                      <w:szCs w:val="20"/>
                      <w:lang w:eastAsia="lv-LV"/>
                    </w:rPr>
                    <w:t> </w:t>
                  </w:r>
                  <w:r w:rsidR="0084578C">
                    <w:rPr>
                      <w:b/>
                      <w:bCs/>
                      <w:color w:val="000000"/>
                      <w:sz w:val="20"/>
                      <w:szCs w:val="20"/>
                      <w:lang w:eastAsia="lv-LV"/>
                    </w:rPr>
                    <w:t>5 300 323,</w:t>
                  </w:r>
                  <w:r w:rsidRPr="00654FB6">
                    <w:rPr>
                      <w:b/>
                      <w:bCs/>
                      <w:color w:val="000000"/>
                      <w:sz w:val="20"/>
                      <w:szCs w:val="20"/>
                      <w:lang w:eastAsia="lv-LV"/>
                    </w:rPr>
                    <w:t>44</w:t>
                  </w:r>
                </w:p>
              </w:tc>
            </w:tr>
          </w:tbl>
          <w:p w14:paraId="362BF1D0" w14:textId="2F412E8D" w:rsidR="00903474" w:rsidRDefault="00FB49D0" w:rsidP="007F563B">
            <w:pPr>
              <w:spacing w:before="120"/>
              <w:ind w:firstLine="505"/>
              <w:jc w:val="both"/>
              <w:rPr>
                <w:sz w:val="26"/>
                <w:szCs w:val="26"/>
                <w:lang w:eastAsia="lv-LV"/>
              </w:rPr>
            </w:pPr>
            <w:r>
              <w:rPr>
                <w:sz w:val="26"/>
                <w:szCs w:val="26"/>
                <w:lang w:eastAsia="lv-LV"/>
              </w:rPr>
              <w:t>LVRTC plāno n</w:t>
            </w:r>
            <w:r w:rsidR="00903474">
              <w:rPr>
                <w:sz w:val="26"/>
                <w:szCs w:val="26"/>
                <w:lang w:eastAsia="lv-LV"/>
              </w:rPr>
              <w:t xml:space="preserve">o 2017.gada </w:t>
            </w:r>
            <w:r w:rsidR="007F563B">
              <w:rPr>
                <w:sz w:val="26"/>
                <w:szCs w:val="26"/>
                <w:lang w:eastAsia="lv-LV"/>
              </w:rPr>
              <w:t>1.s</w:t>
            </w:r>
            <w:r w:rsidR="0034006A">
              <w:rPr>
                <w:sz w:val="26"/>
                <w:szCs w:val="26"/>
                <w:lang w:eastAsia="lv-LV"/>
              </w:rPr>
              <w:t>e</w:t>
            </w:r>
            <w:r w:rsidR="007F563B">
              <w:rPr>
                <w:sz w:val="26"/>
                <w:szCs w:val="26"/>
                <w:lang w:eastAsia="lv-LV"/>
              </w:rPr>
              <w:t>p</w:t>
            </w:r>
            <w:r w:rsidR="0034006A">
              <w:rPr>
                <w:sz w:val="26"/>
                <w:szCs w:val="26"/>
                <w:lang w:eastAsia="lv-LV"/>
              </w:rPr>
              <w:t xml:space="preserve">tembra </w:t>
            </w:r>
            <w:r>
              <w:rPr>
                <w:sz w:val="26"/>
                <w:szCs w:val="26"/>
                <w:lang w:eastAsia="lv-LV"/>
              </w:rPr>
              <w:t xml:space="preserve">VID </w:t>
            </w:r>
            <w:r w:rsidR="007F563B">
              <w:rPr>
                <w:sz w:val="26"/>
                <w:szCs w:val="26"/>
                <w:lang w:eastAsia="lv-LV"/>
              </w:rPr>
              <w:t>sniegt datu centra pakalpojumus</w:t>
            </w:r>
            <w:r w:rsidR="00C44794">
              <w:rPr>
                <w:sz w:val="26"/>
                <w:szCs w:val="26"/>
                <w:lang w:eastAsia="lv-LV"/>
              </w:rPr>
              <w:t>,</w:t>
            </w:r>
            <w:r w:rsidR="00FD6DBB">
              <w:rPr>
                <w:sz w:val="26"/>
                <w:szCs w:val="26"/>
                <w:lang w:eastAsia="lv-LV"/>
              </w:rPr>
              <w:t xml:space="preserve"> </w:t>
            </w:r>
            <w:r w:rsidR="00C44794">
              <w:rPr>
                <w:sz w:val="26"/>
                <w:szCs w:val="26"/>
                <w:lang w:eastAsia="lv-LV"/>
              </w:rPr>
              <w:t>iznomājot statnes servertehnikas izvietošanai un sniedzot datu centra operatora pakalpojumus</w:t>
            </w:r>
            <w:r w:rsidR="007F563B">
              <w:rPr>
                <w:sz w:val="26"/>
                <w:szCs w:val="26"/>
                <w:lang w:eastAsia="lv-LV"/>
              </w:rPr>
              <w:t>.</w:t>
            </w:r>
            <w:r w:rsidR="00903474">
              <w:rPr>
                <w:sz w:val="26"/>
                <w:szCs w:val="26"/>
                <w:lang w:eastAsia="lv-LV"/>
              </w:rPr>
              <w:t xml:space="preserve"> </w:t>
            </w:r>
          </w:p>
          <w:p w14:paraId="7BD3D040" w14:textId="77777777" w:rsidR="004D515B" w:rsidRDefault="00252D30" w:rsidP="000665C5">
            <w:pPr>
              <w:ind w:firstLine="505"/>
              <w:jc w:val="both"/>
              <w:rPr>
                <w:sz w:val="26"/>
                <w:szCs w:val="26"/>
                <w:lang w:eastAsia="lv-LV"/>
              </w:rPr>
            </w:pPr>
            <w:r w:rsidRPr="00252D30">
              <w:rPr>
                <w:sz w:val="26"/>
                <w:szCs w:val="26"/>
                <w:lang w:eastAsia="lv-LV"/>
              </w:rPr>
              <w:t>VID ir paredzēts pāriet no telpu nomas attiecībām uz datu centra pakalpojuma apmaksu, kā rezultātā ir nepieciešams pārdalīt finansējumu no ilgtermiņa saistībām  telpu nomas maksai uz VID izdevumiem dat</w:t>
            </w:r>
            <w:r>
              <w:rPr>
                <w:sz w:val="26"/>
                <w:szCs w:val="26"/>
                <w:lang w:eastAsia="lv-LV"/>
              </w:rPr>
              <w:t xml:space="preserve">u centra pakalpojumu saņemšanai </w:t>
            </w:r>
            <w:r w:rsidR="00483002">
              <w:rPr>
                <w:sz w:val="26"/>
                <w:szCs w:val="26"/>
                <w:lang w:eastAsia="lv-LV"/>
              </w:rPr>
              <w:t xml:space="preserve">no </w:t>
            </w:r>
            <w:r w:rsidR="00483002" w:rsidRPr="00817DCA">
              <w:rPr>
                <w:sz w:val="26"/>
                <w:szCs w:val="26"/>
                <w:lang w:eastAsia="lv-LV"/>
              </w:rPr>
              <w:t>LVRTC, nesamazinot VID kopējos izdevumus.</w:t>
            </w:r>
            <w:r w:rsidR="004D515B">
              <w:rPr>
                <w:sz w:val="26"/>
                <w:szCs w:val="26"/>
                <w:lang w:eastAsia="lv-LV"/>
              </w:rPr>
              <w:t xml:space="preserve"> </w:t>
            </w:r>
          </w:p>
          <w:p w14:paraId="1A37DE26" w14:textId="5DE9347A" w:rsidR="00252D30" w:rsidRPr="005678AC" w:rsidRDefault="00F01118" w:rsidP="000665C5">
            <w:pPr>
              <w:ind w:firstLine="505"/>
              <w:jc w:val="both"/>
              <w:rPr>
                <w:b/>
                <w:sz w:val="26"/>
                <w:szCs w:val="26"/>
                <w:lang w:eastAsia="lv-LV"/>
              </w:rPr>
            </w:pPr>
            <w:r w:rsidRPr="005678AC">
              <w:rPr>
                <w:b/>
                <w:sz w:val="26"/>
                <w:szCs w:val="26"/>
                <w:lang w:eastAsia="lv-LV"/>
              </w:rPr>
              <w:t xml:space="preserve">Pēc </w:t>
            </w:r>
            <w:r w:rsidR="004B2982" w:rsidRPr="005678AC">
              <w:rPr>
                <w:b/>
                <w:sz w:val="26"/>
                <w:szCs w:val="26"/>
                <w:lang w:eastAsia="lv-LV"/>
              </w:rPr>
              <w:t xml:space="preserve">VNĪ un </w:t>
            </w:r>
            <w:r w:rsidRPr="005678AC">
              <w:rPr>
                <w:b/>
                <w:sz w:val="26"/>
                <w:szCs w:val="26"/>
                <w:lang w:eastAsia="lv-LV"/>
              </w:rPr>
              <w:t>LVRTC provizoriskām aplēsēm k</w:t>
            </w:r>
            <w:r w:rsidR="004D515B" w:rsidRPr="005678AC">
              <w:rPr>
                <w:b/>
                <w:sz w:val="26"/>
                <w:szCs w:val="26"/>
                <w:lang w:eastAsia="lv-LV"/>
              </w:rPr>
              <w:t>opējā datu centra pa</w:t>
            </w:r>
            <w:r w:rsidR="0084578C">
              <w:rPr>
                <w:b/>
                <w:sz w:val="26"/>
                <w:szCs w:val="26"/>
                <w:lang w:eastAsia="lv-LV"/>
              </w:rPr>
              <w:t>kalpojumu maksa tiek plānota 62,</w:t>
            </w:r>
            <w:r w:rsidR="004D515B" w:rsidRPr="005678AC">
              <w:rPr>
                <w:b/>
                <w:sz w:val="26"/>
                <w:szCs w:val="26"/>
                <w:lang w:eastAsia="lv-LV"/>
              </w:rPr>
              <w:t xml:space="preserve">10 euro/m2 apjomā, kas ietver maksu par ikmēneša nomu un uzturēšanu, pilna gada ietvaros sastādot </w:t>
            </w:r>
            <w:r w:rsidR="004D515B" w:rsidRPr="005678AC">
              <w:rPr>
                <w:b/>
                <w:bCs/>
                <w:sz w:val="26"/>
                <w:szCs w:val="26"/>
              </w:rPr>
              <w:t>575</w:t>
            </w:r>
            <w:r w:rsidR="0084578C">
              <w:rPr>
                <w:b/>
                <w:bCs/>
                <w:sz w:val="26"/>
                <w:szCs w:val="26"/>
              </w:rPr>
              <w:t> 910,</w:t>
            </w:r>
            <w:r w:rsidR="004D515B" w:rsidRPr="005678AC">
              <w:rPr>
                <w:b/>
                <w:bCs/>
                <w:sz w:val="26"/>
                <w:szCs w:val="26"/>
              </w:rPr>
              <w:t xml:space="preserve">68 </w:t>
            </w:r>
            <w:r w:rsidR="004D515B" w:rsidRPr="005678AC">
              <w:rPr>
                <w:b/>
                <w:bCs/>
                <w:i/>
                <w:sz w:val="26"/>
                <w:szCs w:val="26"/>
              </w:rPr>
              <w:t>euro</w:t>
            </w:r>
            <w:r w:rsidR="004D515B" w:rsidRPr="005678AC">
              <w:rPr>
                <w:b/>
                <w:bCs/>
                <w:sz w:val="26"/>
                <w:szCs w:val="26"/>
              </w:rPr>
              <w:t xml:space="preserve"> (aprēķins: </w:t>
            </w:r>
            <w:r w:rsidR="006B1774" w:rsidRPr="005678AC">
              <w:rPr>
                <w:b/>
                <w:bCs/>
                <w:sz w:val="26"/>
                <w:szCs w:val="26"/>
              </w:rPr>
              <w:t>((</w:t>
            </w:r>
            <w:r w:rsidR="004D515B" w:rsidRPr="005678AC">
              <w:rPr>
                <w:b/>
                <w:sz w:val="26"/>
                <w:szCs w:val="26"/>
                <w:lang w:eastAsia="lv-LV"/>
              </w:rPr>
              <w:t>datu centra nomas maksa mēnesī 36 393,13</w:t>
            </w:r>
            <w:r w:rsidR="004D515B" w:rsidRPr="005678AC">
              <w:rPr>
                <w:b/>
                <w:bCs/>
                <w:sz w:val="26"/>
                <w:szCs w:val="26"/>
              </w:rPr>
              <w:t xml:space="preserve"> </w:t>
            </w:r>
            <w:r w:rsidR="004D515B" w:rsidRPr="005678AC">
              <w:rPr>
                <w:b/>
                <w:bCs/>
                <w:i/>
                <w:sz w:val="26"/>
                <w:szCs w:val="26"/>
              </w:rPr>
              <w:t xml:space="preserve">euro + </w:t>
            </w:r>
            <w:r w:rsidR="004D515B" w:rsidRPr="005678AC">
              <w:rPr>
                <w:b/>
                <w:bCs/>
                <w:sz w:val="26"/>
                <w:szCs w:val="26"/>
              </w:rPr>
              <w:t>uzturēšanas maksa 3</w:t>
            </w:r>
            <w:r w:rsidR="0084578C">
              <w:rPr>
                <w:b/>
                <w:bCs/>
                <w:sz w:val="26"/>
                <w:szCs w:val="26"/>
              </w:rPr>
              <w:t xml:space="preserve"> </w:t>
            </w:r>
            <w:r w:rsidR="006B1774" w:rsidRPr="005678AC">
              <w:rPr>
                <w:b/>
                <w:bCs/>
                <w:sz w:val="26"/>
                <w:szCs w:val="26"/>
              </w:rPr>
              <w:t>270</w:t>
            </w:r>
            <w:r w:rsidR="0084578C">
              <w:rPr>
                <w:b/>
                <w:bCs/>
                <w:sz w:val="26"/>
                <w:szCs w:val="26"/>
              </w:rPr>
              <w:t>,</w:t>
            </w:r>
            <w:r w:rsidR="006B1774" w:rsidRPr="005678AC">
              <w:rPr>
                <w:b/>
                <w:bCs/>
                <w:sz w:val="26"/>
                <w:szCs w:val="26"/>
              </w:rPr>
              <w:t>14</w:t>
            </w:r>
            <w:r w:rsidR="004D515B" w:rsidRPr="005678AC">
              <w:rPr>
                <w:b/>
                <w:bCs/>
                <w:i/>
                <w:sz w:val="26"/>
                <w:szCs w:val="26"/>
              </w:rPr>
              <w:t xml:space="preserve"> euro</w:t>
            </w:r>
            <w:r w:rsidR="006B1774" w:rsidRPr="005678AC">
              <w:rPr>
                <w:b/>
                <w:bCs/>
                <w:i/>
                <w:sz w:val="26"/>
                <w:szCs w:val="26"/>
              </w:rPr>
              <w:t>)</w:t>
            </w:r>
            <w:r w:rsidR="004D515B" w:rsidRPr="005678AC">
              <w:rPr>
                <w:b/>
                <w:bCs/>
                <w:i/>
                <w:sz w:val="26"/>
                <w:szCs w:val="26"/>
              </w:rPr>
              <w:t xml:space="preserve"> </w:t>
            </w:r>
            <w:r w:rsidR="004D515B" w:rsidRPr="005678AC">
              <w:rPr>
                <w:b/>
                <w:bCs/>
                <w:sz w:val="26"/>
                <w:szCs w:val="26"/>
              </w:rPr>
              <w:t>x 12 mēneši</w:t>
            </w:r>
            <w:r w:rsidR="006B1774" w:rsidRPr="005678AC">
              <w:rPr>
                <w:b/>
                <w:bCs/>
                <w:sz w:val="26"/>
                <w:szCs w:val="26"/>
              </w:rPr>
              <w:t>)</w:t>
            </w:r>
            <w:r w:rsidR="004D515B" w:rsidRPr="005678AC">
              <w:rPr>
                <w:b/>
                <w:bCs/>
                <w:sz w:val="26"/>
                <w:szCs w:val="26"/>
              </w:rPr>
              <w:t xml:space="preserve"> x 1,21 (t.sk. PVN))</w:t>
            </w:r>
            <w:r w:rsidR="006B1774" w:rsidRPr="005678AC">
              <w:rPr>
                <w:b/>
                <w:sz w:val="26"/>
                <w:szCs w:val="26"/>
                <w:lang w:eastAsia="lv-LV"/>
              </w:rPr>
              <w:t>. Finansējums par datu centra apsaimniekošanas daļu tiks ņemts no VID pamatbudžeta programmas Talejas ielas 1 kopējā  apsaimniekošanai pieejamā finansējuma, pārdalot no tā un daļu novirzot LVRTC datu centra pakalpojuma izmaksu segšanai.</w:t>
            </w:r>
          </w:p>
          <w:p w14:paraId="69D586E2" w14:textId="03872E64" w:rsidR="00C26F7F" w:rsidRDefault="00D15585" w:rsidP="000665C5">
            <w:pPr>
              <w:ind w:firstLine="505"/>
              <w:jc w:val="both"/>
              <w:rPr>
                <w:bCs/>
                <w:sz w:val="26"/>
                <w:szCs w:val="26"/>
              </w:rPr>
            </w:pPr>
            <w:r>
              <w:rPr>
                <w:sz w:val="26"/>
                <w:szCs w:val="26"/>
                <w:lang w:eastAsia="lv-LV"/>
              </w:rPr>
              <w:t>Datu centra platība</w:t>
            </w:r>
            <w:r w:rsidR="000665C5">
              <w:rPr>
                <w:sz w:val="26"/>
                <w:szCs w:val="26"/>
                <w:lang w:eastAsia="lv-LV"/>
              </w:rPr>
              <w:t>s</w:t>
            </w:r>
            <w:r>
              <w:rPr>
                <w:sz w:val="26"/>
                <w:szCs w:val="26"/>
                <w:lang w:eastAsia="lv-LV"/>
              </w:rPr>
              <w:t xml:space="preserve"> </w:t>
            </w:r>
            <w:r w:rsidR="00A32564">
              <w:rPr>
                <w:sz w:val="26"/>
                <w:szCs w:val="26"/>
                <w:lang w:eastAsia="lv-LV"/>
              </w:rPr>
              <w:t>nomas izdevumi 2017.gada 4 mēnešiem (septembris-decembris) ir 176 142,7</w:t>
            </w:r>
            <w:r w:rsidR="006A1637">
              <w:rPr>
                <w:sz w:val="26"/>
                <w:szCs w:val="26"/>
                <w:lang w:eastAsia="lv-LV"/>
              </w:rPr>
              <w:t>5</w:t>
            </w:r>
            <w:r w:rsidR="00A32564">
              <w:rPr>
                <w:sz w:val="26"/>
                <w:szCs w:val="26"/>
                <w:lang w:eastAsia="lv-LV"/>
              </w:rPr>
              <w:t xml:space="preserve"> </w:t>
            </w:r>
            <w:r w:rsidR="00A32564" w:rsidRPr="00A32564">
              <w:rPr>
                <w:i/>
                <w:sz w:val="26"/>
                <w:szCs w:val="26"/>
                <w:lang w:eastAsia="lv-LV"/>
              </w:rPr>
              <w:t>euro</w:t>
            </w:r>
            <w:r w:rsidR="00A32564">
              <w:rPr>
                <w:sz w:val="26"/>
                <w:szCs w:val="26"/>
                <w:lang w:eastAsia="lv-LV"/>
              </w:rPr>
              <w:t xml:space="preserve"> </w:t>
            </w:r>
            <w:r w:rsidR="00A32564" w:rsidRPr="00A32564">
              <w:rPr>
                <w:sz w:val="26"/>
                <w:szCs w:val="26"/>
                <w:lang w:eastAsia="lv-LV"/>
              </w:rPr>
              <w:t xml:space="preserve">(aprēķins: </w:t>
            </w:r>
            <w:r w:rsidR="006A1637">
              <w:rPr>
                <w:sz w:val="26"/>
                <w:szCs w:val="26"/>
                <w:lang w:eastAsia="lv-LV"/>
              </w:rPr>
              <w:t xml:space="preserve">datu centra </w:t>
            </w:r>
            <w:r w:rsidR="00A32564" w:rsidRPr="00A32564">
              <w:rPr>
                <w:sz w:val="26"/>
                <w:szCs w:val="26"/>
                <w:lang w:eastAsia="lv-LV"/>
              </w:rPr>
              <w:t xml:space="preserve">nomas maksa </w:t>
            </w:r>
            <w:r w:rsidR="006A1637">
              <w:rPr>
                <w:sz w:val="26"/>
                <w:szCs w:val="26"/>
                <w:lang w:eastAsia="lv-LV"/>
              </w:rPr>
              <w:t>mēnesī 36 393,13</w:t>
            </w:r>
            <w:r w:rsidR="006A1637">
              <w:rPr>
                <w:bCs/>
                <w:sz w:val="26"/>
                <w:szCs w:val="26"/>
              </w:rPr>
              <w:t xml:space="preserve"> </w:t>
            </w:r>
            <w:r w:rsidR="006A1637" w:rsidRPr="00C667A8">
              <w:rPr>
                <w:bCs/>
                <w:i/>
                <w:sz w:val="26"/>
                <w:szCs w:val="26"/>
              </w:rPr>
              <w:t>euro</w:t>
            </w:r>
            <w:r w:rsidR="006A1637">
              <w:rPr>
                <w:sz w:val="26"/>
                <w:szCs w:val="26"/>
                <w:lang w:eastAsia="lv-LV"/>
              </w:rPr>
              <w:t xml:space="preserve"> </w:t>
            </w:r>
            <w:r w:rsidR="00A32564">
              <w:rPr>
                <w:sz w:val="26"/>
                <w:szCs w:val="26"/>
                <w:lang w:eastAsia="lv-LV"/>
              </w:rPr>
              <w:t>x 4 mēneši</w:t>
            </w:r>
            <w:r w:rsidR="00661E7D">
              <w:rPr>
                <w:sz w:val="26"/>
                <w:szCs w:val="26"/>
                <w:lang w:eastAsia="lv-LV"/>
              </w:rPr>
              <w:t xml:space="preserve"> x </w:t>
            </w:r>
            <w:r w:rsidR="00661E7D" w:rsidRPr="00252B5C">
              <w:rPr>
                <w:bCs/>
                <w:sz w:val="26"/>
                <w:szCs w:val="26"/>
              </w:rPr>
              <w:t>1,21 (</w:t>
            </w:r>
            <w:r w:rsidR="00661E7D">
              <w:rPr>
                <w:bCs/>
                <w:sz w:val="26"/>
                <w:szCs w:val="26"/>
              </w:rPr>
              <w:t xml:space="preserve">t.sk. </w:t>
            </w:r>
            <w:r w:rsidR="00661E7D" w:rsidRPr="00252B5C">
              <w:rPr>
                <w:bCs/>
                <w:sz w:val="26"/>
                <w:szCs w:val="26"/>
              </w:rPr>
              <w:t xml:space="preserve">PVN)), </w:t>
            </w:r>
            <w:r w:rsidR="00371D22">
              <w:rPr>
                <w:sz w:val="26"/>
                <w:szCs w:val="26"/>
                <w:lang w:eastAsia="lv-LV"/>
              </w:rPr>
              <w:t xml:space="preserve">2018.gadā un </w:t>
            </w:r>
            <w:r w:rsidR="00A32564">
              <w:rPr>
                <w:sz w:val="26"/>
                <w:szCs w:val="26"/>
                <w:lang w:eastAsia="lv-LV"/>
              </w:rPr>
              <w:t>turpmāk</w:t>
            </w:r>
            <w:r w:rsidR="00C667A8">
              <w:rPr>
                <w:sz w:val="26"/>
                <w:szCs w:val="26"/>
                <w:lang w:eastAsia="lv-LV"/>
              </w:rPr>
              <w:t xml:space="preserve"> ik</w:t>
            </w:r>
            <w:r w:rsidR="00A32564">
              <w:rPr>
                <w:sz w:val="26"/>
                <w:szCs w:val="26"/>
                <w:lang w:eastAsia="lv-LV"/>
              </w:rPr>
              <w:t xml:space="preserve"> gad</w:t>
            </w:r>
            <w:r w:rsidR="00C667A8">
              <w:rPr>
                <w:sz w:val="26"/>
                <w:szCs w:val="26"/>
                <w:lang w:eastAsia="lv-LV"/>
              </w:rPr>
              <w:t>u</w:t>
            </w:r>
            <w:r w:rsidR="00A32564">
              <w:rPr>
                <w:sz w:val="26"/>
                <w:szCs w:val="26"/>
                <w:lang w:eastAsia="lv-LV"/>
              </w:rPr>
              <w:t xml:space="preserve"> </w:t>
            </w:r>
            <w:r w:rsidR="00A32564">
              <w:rPr>
                <w:bCs/>
                <w:sz w:val="26"/>
                <w:szCs w:val="26"/>
              </w:rPr>
              <w:t>528 428,</w:t>
            </w:r>
            <w:r w:rsidR="006A1637">
              <w:rPr>
                <w:bCs/>
                <w:sz w:val="26"/>
                <w:szCs w:val="26"/>
              </w:rPr>
              <w:t>25</w:t>
            </w:r>
            <w:r w:rsidR="00A32564">
              <w:rPr>
                <w:bCs/>
                <w:sz w:val="26"/>
                <w:szCs w:val="26"/>
              </w:rPr>
              <w:t xml:space="preserve"> </w:t>
            </w:r>
            <w:r w:rsidR="00A32564" w:rsidRPr="00C667A8">
              <w:rPr>
                <w:bCs/>
                <w:i/>
                <w:sz w:val="26"/>
                <w:szCs w:val="26"/>
              </w:rPr>
              <w:t>euro</w:t>
            </w:r>
            <w:r w:rsidR="00A32564">
              <w:rPr>
                <w:bCs/>
                <w:sz w:val="26"/>
                <w:szCs w:val="26"/>
              </w:rPr>
              <w:t xml:space="preserve"> </w:t>
            </w:r>
            <w:r w:rsidR="00D60E69">
              <w:rPr>
                <w:bCs/>
                <w:sz w:val="26"/>
                <w:szCs w:val="26"/>
              </w:rPr>
              <w:t>(</w:t>
            </w:r>
            <w:r w:rsidR="00C667A8" w:rsidRPr="00C667A8">
              <w:rPr>
                <w:bCs/>
                <w:sz w:val="26"/>
                <w:szCs w:val="26"/>
              </w:rPr>
              <w:t xml:space="preserve">aprēķins: </w:t>
            </w:r>
            <w:r w:rsidR="006A1637">
              <w:rPr>
                <w:sz w:val="26"/>
                <w:szCs w:val="26"/>
                <w:lang w:eastAsia="lv-LV"/>
              </w:rPr>
              <w:t xml:space="preserve">datu centra </w:t>
            </w:r>
            <w:r w:rsidR="006A1637" w:rsidRPr="00A32564">
              <w:rPr>
                <w:sz w:val="26"/>
                <w:szCs w:val="26"/>
                <w:lang w:eastAsia="lv-LV"/>
              </w:rPr>
              <w:t xml:space="preserve">nomas maksa </w:t>
            </w:r>
            <w:r w:rsidR="006A1637">
              <w:rPr>
                <w:sz w:val="26"/>
                <w:szCs w:val="26"/>
                <w:lang w:eastAsia="lv-LV"/>
              </w:rPr>
              <w:t>mēnesī 36 393,13</w:t>
            </w:r>
            <w:r w:rsidR="006A1637">
              <w:rPr>
                <w:bCs/>
                <w:sz w:val="26"/>
                <w:szCs w:val="26"/>
              </w:rPr>
              <w:t xml:space="preserve"> </w:t>
            </w:r>
            <w:r w:rsidR="006A1637" w:rsidRPr="00C667A8">
              <w:rPr>
                <w:bCs/>
                <w:i/>
                <w:sz w:val="26"/>
                <w:szCs w:val="26"/>
              </w:rPr>
              <w:t>euro</w:t>
            </w:r>
            <w:r w:rsidR="00C667A8">
              <w:rPr>
                <w:bCs/>
                <w:sz w:val="26"/>
                <w:szCs w:val="26"/>
              </w:rPr>
              <w:t xml:space="preserve"> x 12</w:t>
            </w:r>
            <w:r w:rsidR="00C667A8" w:rsidRPr="00C667A8">
              <w:rPr>
                <w:bCs/>
                <w:sz w:val="26"/>
                <w:szCs w:val="26"/>
              </w:rPr>
              <w:t xml:space="preserve"> mēneši x 1,21 (t.sk. PVN))</w:t>
            </w:r>
            <w:r w:rsidR="00D60E69">
              <w:rPr>
                <w:bCs/>
                <w:sz w:val="26"/>
                <w:szCs w:val="26"/>
              </w:rPr>
              <w:t xml:space="preserve">, </w:t>
            </w:r>
            <w:r w:rsidR="00C667A8" w:rsidRPr="00C667A8">
              <w:rPr>
                <w:bCs/>
                <w:sz w:val="26"/>
                <w:szCs w:val="26"/>
              </w:rPr>
              <w:t>bet 2044.</w:t>
            </w:r>
            <w:r w:rsidR="00C667A8">
              <w:rPr>
                <w:bCs/>
                <w:sz w:val="26"/>
                <w:szCs w:val="26"/>
              </w:rPr>
              <w:t>gada 4 mēnešiem</w:t>
            </w:r>
            <w:r w:rsidR="00C667A8">
              <w:t xml:space="preserve"> </w:t>
            </w:r>
            <w:r w:rsidR="00C667A8">
              <w:rPr>
                <w:bCs/>
                <w:sz w:val="26"/>
                <w:szCs w:val="26"/>
              </w:rPr>
              <w:t>176 142,7</w:t>
            </w:r>
            <w:r w:rsidR="006A1637">
              <w:rPr>
                <w:bCs/>
                <w:sz w:val="26"/>
                <w:szCs w:val="26"/>
              </w:rPr>
              <w:t>5</w:t>
            </w:r>
            <w:r w:rsidR="00C667A8" w:rsidRPr="00C667A8">
              <w:rPr>
                <w:bCs/>
                <w:sz w:val="26"/>
                <w:szCs w:val="26"/>
              </w:rPr>
              <w:t xml:space="preserve"> </w:t>
            </w:r>
            <w:r w:rsidR="00C667A8" w:rsidRPr="00C667A8">
              <w:rPr>
                <w:bCs/>
                <w:i/>
                <w:sz w:val="26"/>
                <w:szCs w:val="26"/>
              </w:rPr>
              <w:t>euro</w:t>
            </w:r>
            <w:r w:rsidR="00C667A8" w:rsidRPr="00C667A8">
              <w:rPr>
                <w:bCs/>
                <w:sz w:val="26"/>
                <w:szCs w:val="26"/>
              </w:rPr>
              <w:t xml:space="preserve"> (aprēķins: </w:t>
            </w:r>
            <w:r w:rsidR="006A1637">
              <w:rPr>
                <w:sz w:val="26"/>
                <w:szCs w:val="26"/>
                <w:lang w:eastAsia="lv-LV"/>
              </w:rPr>
              <w:t xml:space="preserve">datu centra </w:t>
            </w:r>
            <w:r w:rsidR="006A1637" w:rsidRPr="00A32564">
              <w:rPr>
                <w:sz w:val="26"/>
                <w:szCs w:val="26"/>
                <w:lang w:eastAsia="lv-LV"/>
              </w:rPr>
              <w:t xml:space="preserve">nomas maksa </w:t>
            </w:r>
            <w:r w:rsidR="006A1637">
              <w:rPr>
                <w:sz w:val="26"/>
                <w:szCs w:val="26"/>
                <w:lang w:eastAsia="lv-LV"/>
              </w:rPr>
              <w:t>mēnesī 36 393,13</w:t>
            </w:r>
            <w:r w:rsidR="006A1637">
              <w:rPr>
                <w:bCs/>
                <w:sz w:val="26"/>
                <w:szCs w:val="26"/>
              </w:rPr>
              <w:t xml:space="preserve"> </w:t>
            </w:r>
            <w:r w:rsidR="006A1637" w:rsidRPr="00C667A8">
              <w:rPr>
                <w:bCs/>
                <w:i/>
                <w:sz w:val="26"/>
                <w:szCs w:val="26"/>
              </w:rPr>
              <w:t>euro</w:t>
            </w:r>
            <w:r w:rsidR="00C667A8" w:rsidRPr="00C667A8">
              <w:rPr>
                <w:bCs/>
                <w:sz w:val="26"/>
                <w:szCs w:val="26"/>
              </w:rPr>
              <w:t xml:space="preserve"> x 4 mēneši x 1,21 (t.sk. PVN))</w:t>
            </w:r>
            <w:r w:rsidR="00C667A8">
              <w:rPr>
                <w:bCs/>
                <w:sz w:val="26"/>
                <w:szCs w:val="26"/>
              </w:rPr>
              <w:t>.</w:t>
            </w:r>
          </w:p>
          <w:p w14:paraId="245CF864" w14:textId="4A7C9619" w:rsidR="001718D0" w:rsidRDefault="00774EE2" w:rsidP="000665C5">
            <w:pPr>
              <w:ind w:firstLine="505"/>
              <w:jc w:val="both"/>
              <w:rPr>
                <w:sz w:val="26"/>
                <w:szCs w:val="26"/>
              </w:rPr>
            </w:pPr>
            <w:r w:rsidRPr="00C44794">
              <w:rPr>
                <w:bCs/>
                <w:sz w:val="26"/>
                <w:szCs w:val="26"/>
              </w:rPr>
              <w:lastRenderedPageBreak/>
              <w:t>MK rīkojuma projekta tiesi</w:t>
            </w:r>
            <w:r w:rsidR="00F36E11" w:rsidRPr="00C44794">
              <w:rPr>
                <w:bCs/>
                <w:sz w:val="26"/>
                <w:szCs w:val="26"/>
              </w:rPr>
              <w:t xml:space="preserve">skā regulējuma mērķis un būtība ir </w:t>
            </w:r>
            <w:r w:rsidR="00D60E69" w:rsidRPr="00C44794">
              <w:rPr>
                <w:sz w:val="26"/>
                <w:szCs w:val="26"/>
              </w:rPr>
              <w:t>samazināt</w:t>
            </w:r>
            <w:r w:rsidR="003B125A" w:rsidRPr="00C44794">
              <w:rPr>
                <w:sz w:val="26"/>
                <w:szCs w:val="26"/>
              </w:rPr>
              <w:t xml:space="preserve"> </w:t>
            </w:r>
            <w:r w:rsidRPr="00C44794">
              <w:rPr>
                <w:sz w:val="26"/>
                <w:szCs w:val="26"/>
              </w:rPr>
              <w:t xml:space="preserve">ilgtermiņa saistības </w:t>
            </w:r>
            <w:r w:rsidR="00B24205" w:rsidRPr="00C44794">
              <w:rPr>
                <w:sz w:val="26"/>
                <w:szCs w:val="26"/>
              </w:rPr>
              <w:t xml:space="preserve">VID administratīvās ēkas Talejas ielā 1, Rīgā, telpu nomas maksas </w:t>
            </w:r>
            <w:r w:rsidRPr="00C44794">
              <w:rPr>
                <w:sz w:val="26"/>
                <w:szCs w:val="26"/>
              </w:rPr>
              <w:t xml:space="preserve">segšanai </w:t>
            </w:r>
            <w:r w:rsidR="001718D0" w:rsidRPr="00C44794">
              <w:rPr>
                <w:sz w:val="26"/>
                <w:szCs w:val="26"/>
              </w:rPr>
              <w:t>2017</w:t>
            </w:r>
            <w:r w:rsidR="00930370" w:rsidRPr="00C44794">
              <w:rPr>
                <w:sz w:val="26"/>
                <w:szCs w:val="26"/>
              </w:rPr>
              <w:t>.gadā</w:t>
            </w:r>
            <w:r w:rsidR="00D60E69" w:rsidRPr="00C44794">
              <w:rPr>
                <w:sz w:val="26"/>
                <w:szCs w:val="26"/>
              </w:rPr>
              <w:t xml:space="preserve"> 176 143 euro apmērā </w:t>
            </w:r>
            <w:r w:rsidR="00F36E11" w:rsidRPr="00C44794">
              <w:rPr>
                <w:sz w:val="26"/>
                <w:szCs w:val="26"/>
              </w:rPr>
              <w:t xml:space="preserve">un </w:t>
            </w:r>
            <w:r w:rsidR="00371D22" w:rsidRPr="00C44794">
              <w:rPr>
                <w:sz w:val="26"/>
                <w:szCs w:val="26"/>
              </w:rPr>
              <w:t xml:space="preserve">2018.gadā un </w:t>
            </w:r>
            <w:r w:rsidR="00F36E11" w:rsidRPr="00C44794">
              <w:rPr>
                <w:sz w:val="26"/>
                <w:szCs w:val="26"/>
              </w:rPr>
              <w:t xml:space="preserve">turpmākajos </w:t>
            </w:r>
            <w:r w:rsidR="001718D0" w:rsidRPr="00C44794">
              <w:rPr>
                <w:sz w:val="26"/>
                <w:szCs w:val="26"/>
              </w:rPr>
              <w:t>2</w:t>
            </w:r>
            <w:r w:rsidR="00371D22" w:rsidRPr="00C44794">
              <w:rPr>
                <w:sz w:val="26"/>
                <w:szCs w:val="26"/>
              </w:rPr>
              <w:t>5</w:t>
            </w:r>
            <w:r w:rsidR="001718D0" w:rsidRPr="00C44794">
              <w:rPr>
                <w:sz w:val="26"/>
                <w:szCs w:val="26"/>
              </w:rPr>
              <w:t xml:space="preserve"> </w:t>
            </w:r>
            <w:r w:rsidR="00F36E11" w:rsidRPr="00C44794">
              <w:rPr>
                <w:sz w:val="26"/>
                <w:szCs w:val="26"/>
              </w:rPr>
              <w:t xml:space="preserve">gados ik gadu </w:t>
            </w:r>
            <w:r w:rsidR="00D60E69" w:rsidRPr="00C44794">
              <w:rPr>
                <w:sz w:val="26"/>
                <w:szCs w:val="26"/>
              </w:rPr>
              <w:t xml:space="preserve">528 429 </w:t>
            </w:r>
            <w:r w:rsidR="00F36E11" w:rsidRPr="00C44794">
              <w:rPr>
                <w:sz w:val="26"/>
                <w:szCs w:val="26"/>
              </w:rPr>
              <w:t xml:space="preserve"> </w:t>
            </w:r>
            <w:r w:rsidR="00930370" w:rsidRPr="00C44794">
              <w:rPr>
                <w:i/>
                <w:sz w:val="26"/>
                <w:szCs w:val="26"/>
              </w:rPr>
              <w:t>euro</w:t>
            </w:r>
            <w:r w:rsidR="00F36E11" w:rsidRPr="00C44794">
              <w:rPr>
                <w:sz w:val="26"/>
                <w:szCs w:val="26"/>
              </w:rPr>
              <w:t>,</w:t>
            </w:r>
            <w:r w:rsidR="00F36E11" w:rsidRPr="00C44794">
              <w:rPr>
                <w:color w:val="FF0000"/>
                <w:sz w:val="26"/>
                <w:szCs w:val="26"/>
              </w:rPr>
              <w:t xml:space="preserve"> </w:t>
            </w:r>
            <w:r w:rsidR="00930370" w:rsidRPr="00C44794">
              <w:rPr>
                <w:sz w:val="26"/>
                <w:szCs w:val="26"/>
              </w:rPr>
              <w:t>bet 2044.gadā</w:t>
            </w:r>
            <w:r w:rsidR="00D60E69" w:rsidRPr="00C44794">
              <w:rPr>
                <w:sz w:val="26"/>
                <w:szCs w:val="26"/>
              </w:rPr>
              <w:t xml:space="preserve"> 176 143</w:t>
            </w:r>
            <w:r w:rsidR="00F36E11" w:rsidRPr="00C44794">
              <w:rPr>
                <w:sz w:val="26"/>
                <w:szCs w:val="26"/>
              </w:rPr>
              <w:t xml:space="preserve"> </w:t>
            </w:r>
            <w:r w:rsidR="00930370" w:rsidRPr="00C44794">
              <w:rPr>
                <w:i/>
                <w:sz w:val="26"/>
                <w:szCs w:val="26"/>
              </w:rPr>
              <w:t>euro</w:t>
            </w:r>
            <w:r w:rsidR="00930370" w:rsidRPr="00C44794">
              <w:rPr>
                <w:sz w:val="26"/>
                <w:szCs w:val="26"/>
              </w:rPr>
              <w:t xml:space="preserve"> </w:t>
            </w:r>
            <w:r w:rsidR="00B24205" w:rsidRPr="00C44794">
              <w:rPr>
                <w:sz w:val="26"/>
                <w:szCs w:val="26"/>
              </w:rPr>
              <w:t>(no</w:t>
            </w:r>
            <w:r w:rsidR="00FB49D0" w:rsidRPr="00C44794">
              <w:rPr>
                <w:sz w:val="26"/>
                <w:szCs w:val="26"/>
              </w:rPr>
              <w:t xml:space="preserve">mas maksa par četriem mēnešiem) un minēto finansējumu </w:t>
            </w:r>
            <w:r w:rsidR="000665C5" w:rsidRPr="00C44794">
              <w:rPr>
                <w:sz w:val="26"/>
                <w:szCs w:val="26"/>
              </w:rPr>
              <w:t>pārdalīt</w:t>
            </w:r>
            <w:r w:rsidR="00FB49D0" w:rsidRPr="00C44794">
              <w:rPr>
                <w:sz w:val="26"/>
                <w:szCs w:val="26"/>
              </w:rPr>
              <w:t xml:space="preserve"> budžeta programmas 33.00.00 „Valsts ieņēmumu un muitas politikas nodrošināšana” VID pamatkontā, lai VID varētu apmaksāt LVRTC sniegtos datu centra pakalpojumus.</w:t>
            </w:r>
          </w:p>
          <w:p w14:paraId="1DB1EA6C" w14:textId="48A6B107" w:rsidR="0024020B" w:rsidRPr="001718D0" w:rsidRDefault="0024020B" w:rsidP="00AD76D9">
            <w:pPr>
              <w:pStyle w:val="naiskr"/>
              <w:spacing w:before="0" w:beforeAutospacing="0" w:after="120" w:afterAutospacing="0"/>
              <w:ind w:right="25" w:firstLine="505"/>
              <w:jc w:val="both"/>
              <w:rPr>
                <w:sz w:val="26"/>
                <w:szCs w:val="26"/>
              </w:rPr>
            </w:pPr>
            <w:r w:rsidRPr="009C729F">
              <w:rPr>
                <w:sz w:val="26"/>
                <w:szCs w:val="26"/>
              </w:rPr>
              <w:t xml:space="preserve">Vienlaikus sagatavots Ministru kabineta sēdes protokollēmuma projekts, kas paredz noteikt, ka Finanšu ministrijai (Valsts ieņēmumu dienestam) budžeta programmā 33.00.00 „Valsts ieņēmumu un muitas politikas nodrošināšana” faktiskais finansējuma apmērs  ilgtermiņa saistībām pasākumam „VID ēkas Talejas ielā 1, Rīgā, telpu nomas maksas, aprīkojuma iegādes, pārcelšanās un uzturēšanas izdevumu segšanai” nomas maksas izdevumu segšanai </w:t>
            </w:r>
            <w:r w:rsidR="009C729F" w:rsidRPr="009C729F">
              <w:rPr>
                <w:sz w:val="26"/>
                <w:szCs w:val="26"/>
              </w:rPr>
              <w:t>2017.gadā ir 6 237 249 euro</w:t>
            </w:r>
            <w:r w:rsidR="00483002">
              <w:rPr>
                <w:sz w:val="26"/>
                <w:szCs w:val="26"/>
              </w:rPr>
              <w:t xml:space="preserve"> un</w:t>
            </w:r>
            <w:r w:rsidR="009C729F" w:rsidRPr="009C729F">
              <w:rPr>
                <w:sz w:val="26"/>
                <w:szCs w:val="26"/>
              </w:rPr>
              <w:t xml:space="preserve"> </w:t>
            </w:r>
            <w:r w:rsidR="00483002">
              <w:rPr>
                <w:sz w:val="26"/>
                <w:szCs w:val="26"/>
              </w:rPr>
              <w:t xml:space="preserve">no </w:t>
            </w:r>
            <w:r w:rsidRPr="009C729F">
              <w:rPr>
                <w:sz w:val="26"/>
                <w:szCs w:val="26"/>
              </w:rPr>
              <w:t>201</w:t>
            </w:r>
            <w:r w:rsidR="009C729F" w:rsidRPr="009C729F">
              <w:rPr>
                <w:sz w:val="26"/>
                <w:szCs w:val="26"/>
              </w:rPr>
              <w:t>8</w:t>
            </w:r>
            <w:r w:rsidR="00483002">
              <w:rPr>
                <w:sz w:val="26"/>
                <w:szCs w:val="26"/>
              </w:rPr>
              <w:t>.gada līdz 2043.gadam</w:t>
            </w:r>
            <w:r w:rsidR="00755693">
              <w:rPr>
                <w:sz w:val="26"/>
                <w:szCs w:val="26"/>
              </w:rPr>
              <w:t xml:space="preserve"> </w:t>
            </w:r>
            <w:r w:rsidRPr="009C729F">
              <w:rPr>
                <w:sz w:val="26"/>
                <w:szCs w:val="26"/>
              </w:rPr>
              <w:t xml:space="preserve">ir </w:t>
            </w:r>
            <w:r w:rsidR="009C729F" w:rsidRPr="009C729F">
              <w:rPr>
                <w:sz w:val="26"/>
                <w:szCs w:val="26"/>
              </w:rPr>
              <w:t>5 884 96</w:t>
            </w:r>
            <w:r w:rsidR="00981EC3">
              <w:rPr>
                <w:sz w:val="26"/>
                <w:szCs w:val="26"/>
              </w:rPr>
              <w:t>3</w:t>
            </w:r>
            <w:r w:rsidR="009C729F" w:rsidRPr="009C729F">
              <w:rPr>
                <w:sz w:val="26"/>
                <w:szCs w:val="26"/>
              </w:rPr>
              <w:t xml:space="preserve"> </w:t>
            </w:r>
            <w:r w:rsidRPr="009C729F">
              <w:rPr>
                <w:sz w:val="26"/>
                <w:szCs w:val="26"/>
              </w:rPr>
              <w:t>euro</w:t>
            </w:r>
            <w:r w:rsidR="00755693">
              <w:rPr>
                <w:sz w:val="26"/>
                <w:szCs w:val="26"/>
              </w:rPr>
              <w:t xml:space="preserve">, bet </w:t>
            </w:r>
            <w:r w:rsidR="00755693" w:rsidRPr="00755693">
              <w:rPr>
                <w:sz w:val="26"/>
                <w:szCs w:val="26"/>
              </w:rPr>
              <w:t xml:space="preserve">2044.gada 4 mēnešiem </w:t>
            </w:r>
            <w:r w:rsidR="00755693">
              <w:rPr>
                <w:sz w:val="26"/>
                <w:szCs w:val="26"/>
              </w:rPr>
              <w:t>1 961 654</w:t>
            </w:r>
            <w:r w:rsidR="00755693" w:rsidRPr="00755693">
              <w:rPr>
                <w:sz w:val="26"/>
                <w:szCs w:val="26"/>
              </w:rPr>
              <w:t xml:space="preserve"> euro</w:t>
            </w:r>
            <w:r w:rsidR="00687369" w:rsidRPr="009C729F">
              <w:rPr>
                <w:sz w:val="26"/>
                <w:szCs w:val="26"/>
              </w:rPr>
              <w:t>.</w:t>
            </w:r>
          </w:p>
        </w:tc>
      </w:tr>
      <w:tr w:rsidR="00C91383" w:rsidRPr="00506968" w14:paraId="2E3E0C7F" w14:textId="77777777" w:rsidTr="002D3247">
        <w:tc>
          <w:tcPr>
            <w:tcW w:w="528" w:type="dxa"/>
          </w:tcPr>
          <w:p w14:paraId="02B29D1B" w14:textId="77777777" w:rsidR="008C57BD" w:rsidRPr="00506968" w:rsidRDefault="008C57BD" w:rsidP="001E5481">
            <w:pPr>
              <w:spacing w:before="100" w:beforeAutospacing="1" w:after="100" w:afterAutospacing="1"/>
              <w:rPr>
                <w:sz w:val="26"/>
                <w:szCs w:val="26"/>
                <w:lang w:eastAsia="lv-LV"/>
              </w:rPr>
            </w:pPr>
            <w:r w:rsidRPr="00506968">
              <w:rPr>
                <w:sz w:val="26"/>
                <w:szCs w:val="26"/>
                <w:lang w:eastAsia="lv-LV"/>
              </w:rPr>
              <w:lastRenderedPageBreak/>
              <w:t>3.</w:t>
            </w:r>
          </w:p>
        </w:tc>
        <w:tc>
          <w:tcPr>
            <w:tcW w:w="1556" w:type="dxa"/>
          </w:tcPr>
          <w:p w14:paraId="1941D04E" w14:textId="77777777" w:rsidR="008C57BD" w:rsidRPr="00506968" w:rsidRDefault="008C57BD" w:rsidP="00F02ADC">
            <w:pPr>
              <w:pStyle w:val="naisc"/>
              <w:spacing w:before="0" w:after="0"/>
              <w:jc w:val="left"/>
              <w:rPr>
                <w:bCs/>
                <w:caps/>
                <w:sz w:val="26"/>
                <w:szCs w:val="26"/>
              </w:rPr>
            </w:pPr>
            <w:r w:rsidRPr="00506968">
              <w:rPr>
                <w:sz w:val="26"/>
                <w:szCs w:val="26"/>
              </w:rPr>
              <w:t>Projekta izstrādē iesaistītās institūcijas</w:t>
            </w:r>
          </w:p>
        </w:tc>
        <w:tc>
          <w:tcPr>
            <w:tcW w:w="6977" w:type="dxa"/>
          </w:tcPr>
          <w:p w14:paraId="0CE0FC5C" w14:textId="77777777" w:rsidR="008C57BD" w:rsidRPr="00506968" w:rsidRDefault="00D8743A" w:rsidP="004C5E6C">
            <w:pPr>
              <w:pStyle w:val="naisc"/>
              <w:spacing w:before="0" w:after="0"/>
              <w:jc w:val="left"/>
              <w:rPr>
                <w:bCs/>
                <w:caps/>
                <w:sz w:val="26"/>
                <w:szCs w:val="26"/>
              </w:rPr>
            </w:pPr>
            <w:r>
              <w:rPr>
                <w:sz w:val="26"/>
                <w:szCs w:val="26"/>
              </w:rPr>
              <w:t>FM</w:t>
            </w:r>
            <w:r w:rsidR="004C5E6C">
              <w:rPr>
                <w:sz w:val="26"/>
                <w:szCs w:val="26"/>
              </w:rPr>
              <w:t xml:space="preserve"> </w:t>
            </w:r>
            <w:r w:rsidR="008C57BD" w:rsidRPr="00506968">
              <w:rPr>
                <w:sz w:val="26"/>
                <w:szCs w:val="26"/>
              </w:rPr>
              <w:t>(</w:t>
            </w:r>
            <w:r w:rsidR="00F0471E" w:rsidRPr="00506968">
              <w:rPr>
                <w:sz w:val="26"/>
                <w:szCs w:val="26"/>
              </w:rPr>
              <w:t>VID</w:t>
            </w:r>
            <w:r w:rsidR="008C57BD" w:rsidRPr="00506968">
              <w:rPr>
                <w:sz w:val="26"/>
                <w:szCs w:val="26"/>
              </w:rPr>
              <w:t>)</w:t>
            </w:r>
            <w:r w:rsidR="00680433" w:rsidRPr="00506968">
              <w:rPr>
                <w:sz w:val="26"/>
                <w:szCs w:val="26"/>
              </w:rPr>
              <w:t xml:space="preserve"> </w:t>
            </w:r>
          </w:p>
        </w:tc>
      </w:tr>
      <w:tr w:rsidR="00C91383" w:rsidRPr="00506968" w14:paraId="34767E2F" w14:textId="77777777" w:rsidTr="002D3247">
        <w:tc>
          <w:tcPr>
            <w:tcW w:w="528" w:type="dxa"/>
          </w:tcPr>
          <w:p w14:paraId="1D722B05" w14:textId="77777777" w:rsidR="008C57BD" w:rsidRPr="00506968" w:rsidRDefault="008C57BD" w:rsidP="00F02ADC">
            <w:pPr>
              <w:pStyle w:val="naisc"/>
              <w:spacing w:before="0" w:after="0"/>
              <w:jc w:val="left"/>
              <w:rPr>
                <w:bCs/>
                <w:caps/>
                <w:sz w:val="26"/>
                <w:szCs w:val="26"/>
              </w:rPr>
            </w:pPr>
            <w:r w:rsidRPr="00506968">
              <w:rPr>
                <w:sz w:val="26"/>
                <w:szCs w:val="26"/>
              </w:rPr>
              <w:t>4.</w:t>
            </w:r>
          </w:p>
        </w:tc>
        <w:tc>
          <w:tcPr>
            <w:tcW w:w="1556" w:type="dxa"/>
          </w:tcPr>
          <w:p w14:paraId="3FE93236" w14:textId="77777777" w:rsidR="008C57BD" w:rsidRPr="00506968" w:rsidRDefault="008C57BD" w:rsidP="00F02ADC">
            <w:pPr>
              <w:pStyle w:val="naisc"/>
              <w:spacing w:before="0" w:after="0"/>
              <w:jc w:val="left"/>
              <w:rPr>
                <w:bCs/>
                <w:caps/>
                <w:sz w:val="26"/>
                <w:szCs w:val="26"/>
              </w:rPr>
            </w:pPr>
            <w:r w:rsidRPr="00506968">
              <w:rPr>
                <w:sz w:val="26"/>
                <w:szCs w:val="26"/>
              </w:rPr>
              <w:t>Cita informācija</w:t>
            </w:r>
          </w:p>
        </w:tc>
        <w:tc>
          <w:tcPr>
            <w:tcW w:w="6977" w:type="dxa"/>
          </w:tcPr>
          <w:p w14:paraId="703821D3" w14:textId="77777777" w:rsidR="008C57BD" w:rsidRPr="00506968" w:rsidRDefault="008C57BD" w:rsidP="00F02ADC">
            <w:pPr>
              <w:pStyle w:val="naisc"/>
              <w:spacing w:before="0" w:after="0"/>
              <w:jc w:val="left"/>
              <w:rPr>
                <w:bCs/>
                <w:caps/>
                <w:sz w:val="26"/>
                <w:szCs w:val="26"/>
              </w:rPr>
            </w:pPr>
            <w:r w:rsidRPr="00506968">
              <w:rPr>
                <w:bCs/>
                <w:sz w:val="26"/>
                <w:szCs w:val="26"/>
              </w:rPr>
              <w:t>Nav.</w:t>
            </w:r>
          </w:p>
        </w:tc>
      </w:tr>
    </w:tbl>
    <w:p w14:paraId="40D3A585" w14:textId="77777777" w:rsidR="008C57BD" w:rsidRPr="00506968" w:rsidRDefault="00CE62FF" w:rsidP="00CE62FF">
      <w:pPr>
        <w:spacing w:after="0" w:line="240" w:lineRule="auto"/>
        <w:rPr>
          <w:sz w:val="26"/>
          <w:szCs w:val="26"/>
          <w:lang w:eastAsia="lv-LV"/>
        </w:rPr>
      </w:pPr>
      <w:r w:rsidRPr="00506968">
        <w:rPr>
          <w:sz w:val="26"/>
          <w:szCs w:val="26"/>
          <w:lang w:eastAsia="lv-LV"/>
        </w:rPr>
        <w:t> </w:t>
      </w:r>
    </w:p>
    <w:tbl>
      <w:tblPr>
        <w:tblStyle w:val="TableGrid"/>
        <w:tblW w:w="0" w:type="auto"/>
        <w:tblLook w:val="04A0" w:firstRow="1" w:lastRow="0" w:firstColumn="1" w:lastColumn="0" w:noHBand="0" w:noVBand="1"/>
      </w:tblPr>
      <w:tblGrid>
        <w:gridCol w:w="1835"/>
        <w:gridCol w:w="1417"/>
        <w:gridCol w:w="1507"/>
        <w:gridCol w:w="1434"/>
        <w:gridCol w:w="1434"/>
        <w:gridCol w:w="1434"/>
      </w:tblGrid>
      <w:tr w:rsidR="008C57BD" w:rsidRPr="00506968" w14:paraId="13FCB87A" w14:textId="77777777" w:rsidTr="00DC15D6">
        <w:tc>
          <w:tcPr>
            <w:tcW w:w="9061" w:type="dxa"/>
            <w:gridSpan w:val="6"/>
          </w:tcPr>
          <w:p w14:paraId="1281ADFF" w14:textId="77777777" w:rsidR="008C57BD" w:rsidRPr="00506968" w:rsidRDefault="001E5481" w:rsidP="001E5481">
            <w:pPr>
              <w:jc w:val="center"/>
              <w:rPr>
                <w:sz w:val="26"/>
                <w:szCs w:val="26"/>
                <w:lang w:eastAsia="lv-LV"/>
              </w:rPr>
            </w:pPr>
            <w:r w:rsidRPr="00506968">
              <w:rPr>
                <w:b/>
                <w:bCs/>
                <w:sz w:val="26"/>
                <w:szCs w:val="26"/>
                <w:lang w:eastAsia="lv-LV"/>
              </w:rPr>
              <w:t>III. Tiesību akta projekta ietekme uz valsts budžetu un pašvaldību budžetiem</w:t>
            </w:r>
          </w:p>
        </w:tc>
      </w:tr>
      <w:tr w:rsidR="001E5481" w:rsidRPr="00506968" w14:paraId="2118CDFA" w14:textId="77777777" w:rsidTr="00D60E69">
        <w:tc>
          <w:tcPr>
            <w:tcW w:w="1808" w:type="dxa"/>
            <w:vMerge w:val="restart"/>
            <w:vAlign w:val="center"/>
          </w:tcPr>
          <w:p w14:paraId="613DD392" w14:textId="77777777" w:rsidR="001E5481" w:rsidRPr="00506968" w:rsidRDefault="001E5481" w:rsidP="001E5481">
            <w:pPr>
              <w:jc w:val="center"/>
              <w:rPr>
                <w:sz w:val="26"/>
                <w:szCs w:val="26"/>
                <w:lang w:eastAsia="lv-LV"/>
              </w:rPr>
            </w:pPr>
            <w:r w:rsidRPr="00506968">
              <w:rPr>
                <w:b/>
                <w:bCs/>
                <w:sz w:val="26"/>
                <w:szCs w:val="26"/>
                <w:lang w:eastAsia="lv-LV"/>
              </w:rPr>
              <w:t>Rādītāji</w:t>
            </w:r>
          </w:p>
        </w:tc>
        <w:tc>
          <w:tcPr>
            <w:tcW w:w="2936" w:type="dxa"/>
            <w:gridSpan w:val="2"/>
            <w:vMerge w:val="restart"/>
            <w:vAlign w:val="center"/>
          </w:tcPr>
          <w:p w14:paraId="1BEA6B2C" w14:textId="77777777" w:rsidR="001E5481" w:rsidRPr="00506968" w:rsidRDefault="001E5481" w:rsidP="003516F0">
            <w:pPr>
              <w:jc w:val="center"/>
              <w:rPr>
                <w:sz w:val="26"/>
                <w:szCs w:val="26"/>
                <w:lang w:eastAsia="lv-LV"/>
              </w:rPr>
            </w:pPr>
            <w:r w:rsidRPr="00506968">
              <w:rPr>
                <w:bCs/>
                <w:sz w:val="26"/>
                <w:szCs w:val="26"/>
                <w:lang w:eastAsia="lv-LV"/>
              </w:rPr>
              <w:t>201</w:t>
            </w:r>
            <w:r w:rsidR="003516F0">
              <w:rPr>
                <w:bCs/>
                <w:sz w:val="26"/>
                <w:szCs w:val="26"/>
                <w:lang w:eastAsia="lv-LV"/>
              </w:rPr>
              <w:t>7</w:t>
            </w:r>
            <w:r w:rsidRPr="00506968">
              <w:rPr>
                <w:bCs/>
                <w:sz w:val="26"/>
                <w:szCs w:val="26"/>
                <w:lang w:eastAsia="lv-LV"/>
              </w:rPr>
              <w:t>.gads</w:t>
            </w:r>
          </w:p>
        </w:tc>
        <w:tc>
          <w:tcPr>
            <w:tcW w:w="4317" w:type="dxa"/>
            <w:gridSpan w:val="3"/>
          </w:tcPr>
          <w:p w14:paraId="0B1E3661" w14:textId="77777777" w:rsidR="001E5481" w:rsidRPr="00506968" w:rsidRDefault="001E5481" w:rsidP="003516F0">
            <w:pPr>
              <w:jc w:val="center"/>
              <w:rPr>
                <w:sz w:val="26"/>
                <w:szCs w:val="26"/>
                <w:lang w:eastAsia="lv-LV"/>
              </w:rPr>
            </w:pPr>
            <w:r w:rsidRPr="00506968">
              <w:rPr>
                <w:bCs/>
                <w:sz w:val="26"/>
                <w:szCs w:val="26"/>
                <w:lang w:eastAsia="lv-LV"/>
              </w:rPr>
              <w:t xml:space="preserve">Turpmākie trīs gadi </w:t>
            </w:r>
            <w:r w:rsidRPr="00506968">
              <w:rPr>
                <w:bCs/>
                <w:i/>
                <w:sz w:val="26"/>
                <w:szCs w:val="26"/>
                <w:lang w:eastAsia="lv-LV"/>
              </w:rPr>
              <w:t>(euro)</w:t>
            </w:r>
          </w:p>
        </w:tc>
      </w:tr>
      <w:tr w:rsidR="001E5481" w:rsidRPr="00506968" w14:paraId="524079DC" w14:textId="77777777" w:rsidTr="00D60E69">
        <w:tc>
          <w:tcPr>
            <w:tcW w:w="1808" w:type="dxa"/>
            <w:vMerge/>
            <w:vAlign w:val="center"/>
          </w:tcPr>
          <w:p w14:paraId="4FA2C623" w14:textId="77777777" w:rsidR="001E5481" w:rsidRPr="00506968" w:rsidRDefault="001E5481" w:rsidP="00CE62FF">
            <w:pPr>
              <w:rPr>
                <w:sz w:val="26"/>
                <w:szCs w:val="26"/>
                <w:lang w:eastAsia="lv-LV"/>
              </w:rPr>
            </w:pPr>
          </w:p>
        </w:tc>
        <w:tc>
          <w:tcPr>
            <w:tcW w:w="2936" w:type="dxa"/>
            <w:gridSpan w:val="2"/>
            <w:vMerge/>
          </w:tcPr>
          <w:p w14:paraId="32981025" w14:textId="77777777" w:rsidR="001E5481" w:rsidRPr="00506968" w:rsidRDefault="001E5481" w:rsidP="00CE62FF">
            <w:pPr>
              <w:rPr>
                <w:sz w:val="26"/>
                <w:szCs w:val="26"/>
                <w:lang w:eastAsia="lv-LV"/>
              </w:rPr>
            </w:pPr>
          </w:p>
        </w:tc>
        <w:tc>
          <w:tcPr>
            <w:tcW w:w="1439" w:type="dxa"/>
            <w:vAlign w:val="center"/>
          </w:tcPr>
          <w:p w14:paraId="0EB036B5" w14:textId="77777777" w:rsidR="001E5481" w:rsidRPr="00506968" w:rsidRDefault="001E5481" w:rsidP="003516F0">
            <w:pPr>
              <w:jc w:val="center"/>
              <w:rPr>
                <w:bCs/>
                <w:sz w:val="26"/>
                <w:szCs w:val="26"/>
                <w:lang w:eastAsia="lv-LV"/>
              </w:rPr>
            </w:pPr>
            <w:r w:rsidRPr="00506968">
              <w:rPr>
                <w:bCs/>
                <w:sz w:val="26"/>
                <w:szCs w:val="26"/>
                <w:lang w:eastAsia="lv-LV"/>
              </w:rPr>
              <w:t>201</w:t>
            </w:r>
            <w:r w:rsidR="003516F0">
              <w:rPr>
                <w:bCs/>
                <w:sz w:val="26"/>
                <w:szCs w:val="26"/>
                <w:lang w:eastAsia="lv-LV"/>
              </w:rPr>
              <w:t>8</w:t>
            </w:r>
            <w:r w:rsidRPr="00506968">
              <w:rPr>
                <w:bCs/>
                <w:sz w:val="26"/>
                <w:szCs w:val="26"/>
                <w:lang w:eastAsia="lv-LV"/>
              </w:rPr>
              <w:t>.</w:t>
            </w:r>
          </w:p>
        </w:tc>
        <w:tc>
          <w:tcPr>
            <w:tcW w:w="1439" w:type="dxa"/>
            <w:vAlign w:val="center"/>
          </w:tcPr>
          <w:p w14:paraId="192F7A60" w14:textId="77777777" w:rsidR="001E5481" w:rsidRPr="00506968" w:rsidRDefault="001E5481" w:rsidP="003516F0">
            <w:pPr>
              <w:jc w:val="center"/>
              <w:rPr>
                <w:bCs/>
                <w:sz w:val="26"/>
                <w:szCs w:val="26"/>
                <w:lang w:eastAsia="lv-LV"/>
              </w:rPr>
            </w:pPr>
            <w:r w:rsidRPr="00506968">
              <w:rPr>
                <w:bCs/>
                <w:sz w:val="26"/>
                <w:szCs w:val="26"/>
                <w:lang w:eastAsia="lv-LV"/>
              </w:rPr>
              <w:t>201</w:t>
            </w:r>
            <w:r w:rsidR="003516F0">
              <w:rPr>
                <w:bCs/>
                <w:sz w:val="26"/>
                <w:szCs w:val="26"/>
                <w:lang w:eastAsia="lv-LV"/>
              </w:rPr>
              <w:t>9</w:t>
            </w:r>
            <w:r w:rsidRPr="00506968">
              <w:rPr>
                <w:bCs/>
                <w:sz w:val="26"/>
                <w:szCs w:val="26"/>
                <w:lang w:eastAsia="lv-LV"/>
              </w:rPr>
              <w:t>.</w:t>
            </w:r>
          </w:p>
        </w:tc>
        <w:tc>
          <w:tcPr>
            <w:tcW w:w="1439" w:type="dxa"/>
            <w:vAlign w:val="center"/>
          </w:tcPr>
          <w:p w14:paraId="4D766654" w14:textId="77777777" w:rsidR="001E5481" w:rsidRPr="00506968" w:rsidRDefault="001E5481" w:rsidP="003516F0">
            <w:pPr>
              <w:jc w:val="center"/>
              <w:rPr>
                <w:bCs/>
                <w:sz w:val="26"/>
                <w:szCs w:val="26"/>
                <w:lang w:eastAsia="lv-LV"/>
              </w:rPr>
            </w:pPr>
            <w:r w:rsidRPr="00506968">
              <w:rPr>
                <w:bCs/>
                <w:sz w:val="26"/>
                <w:szCs w:val="26"/>
                <w:lang w:eastAsia="lv-LV"/>
              </w:rPr>
              <w:t>20</w:t>
            </w:r>
            <w:r w:rsidR="003516F0">
              <w:rPr>
                <w:bCs/>
                <w:sz w:val="26"/>
                <w:szCs w:val="26"/>
                <w:lang w:eastAsia="lv-LV"/>
              </w:rPr>
              <w:t>20</w:t>
            </w:r>
            <w:r w:rsidRPr="00506968">
              <w:rPr>
                <w:bCs/>
                <w:sz w:val="26"/>
                <w:szCs w:val="26"/>
                <w:lang w:eastAsia="lv-LV"/>
              </w:rPr>
              <w:t>.</w:t>
            </w:r>
          </w:p>
        </w:tc>
      </w:tr>
      <w:tr w:rsidR="001E5481" w:rsidRPr="00506968" w14:paraId="17528261" w14:textId="77777777" w:rsidTr="00D60E69">
        <w:tc>
          <w:tcPr>
            <w:tcW w:w="1808" w:type="dxa"/>
            <w:vMerge/>
            <w:vAlign w:val="center"/>
          </w:tcPr>
          <w:p w14:paraId="0E8FC27E" w14:textId="77777777" w:rsidR="001E5481" w:rsidRPr="00506968" w:rsidRDefault="001E5481" w:rsidP="00CE62FF">
            <w:pPr>
              <w:rPr>
                <w:sz w:val="26"/>
                <w:szCs w:val="26"/>
                <w:lang w:eastAsia="lv-LV"/>
              </w:rPr>
            </w:pPr>
          </w:p>
        </w:tc>
        <w:tc>
          <w:tcPr>
            <w:tcW w:w="1423" w:type="dxa"/>
            <w:vAlign w:val="center"/>
          </w:tcPr>
          <w:p w14:paraId="3C251FE2" w14:textId="77777777" w:rsidR="001E5481" w:rsidRPr="00506968" w:rsidRDefault="001E5481" w:rsidP="001E5481">
            <w:pPr>
              <w:jc w:val="center"/>
              <w:rPr>
                <w:bCs/>
                <w:sz w:val="26"/>
                <w:szCs w:val="26"/>
                <w:lang w:eastAsia="lv-LV"/>
              </w:rPr>
            </w:pPr>
            <w:r w:rsidRPr="00506968">
              <w:rPr>
                <w:bCs/>
                <w:sz w:val="26"/>
                <w:szCs w:val="26"/>
                <w:lang w:eastAsia="lv-LV"/>
              </w:rPr>
              <w:t>Saskaņā ar valsts budžetu kārtējam gadam</w:t>
            </w:r>
          </w:p>
        </w:tc>
        <w:tc>
          <w:tcPr>
            <w:tcW w:w="1513" w:type="dxa"/>
            <w:vAlign w:val="center"/>
          </w:tcPr>
          <w:p w14:paraId="7744FF35" w14:textId="77777777" w:rsidR="001E5481" w:rsidRPr="00506968" w:rsidRDefault="001E5481" w:rsidP="001E5481">
            <w:pPr>
              <w:jc w:val="center"/>
              <w:rPr>
                <w:bCs/>
                <w:sz w:val="26"/>
                <w:szCs w:val="26"/>
                <w:lang w:eastAsia="lv-LV"/>
              </w:rPr>
            </w:pPr>
            <w:r w:rsidRPr="00506968">
              <w:rPr>
                <w:bCs/>
                <w:sz w:val="26"/>
                <w:szCs w:val="26"/>
                <w:lang w:eastAsia="lv-LV"/>
              </w:rPr>
              <w:t>Izmaiņas kārtējā gadā, salīdzinot ar valsts budžetu kārtējam gadam</w:t>
            </w:r>
          </w:p>
        </w:tc>
        <w:tc>
          <w:tcPr>
            <w:tcW w:w="1439" w:type="dxa"/>
            <w:vAlign w:val="center"/>
          </w:tcPr>
          <w:p w14:paraId="2CFF99DA" w14:textId="77777777" w:rsidR="001E5481" w:rsidRPr="00506968" w:rsidRDefault="001E5481" w:rsidP="003516F0">
            <w:pPr>
              <w:jc w:val="center"/>
              <w:rPr>
                <w:bCs/>
                <w:sz w:val="26"/>
                <w:szCs w:val="26"/>
                <w:lang w:eastAsia="lv-LV"/>
              </w:rPr>
            </w:pPr>
            <w:r w:rsidRPr="00506968">
              <w:rPr>
                <w:bCs/>
                <w:sz w:val="26"/>
                <w:szCs w:val="26"/>
                <w:lang w:eastAsia="lv-LV"/>
              </w:rPr>
              <w:t>Izmaiņas, salīdzinot ar kārtējo (</w:t>
            </w:r>
            <w:r w:rsidR="001718D0">
              <w:rPr>
                <w:bCs/>
                <w:sz w:val="26"/>
                <w:szCs w:val="26"/>
                <w:lang w:eastAsia="lv-LV"/>
              </w:rPr>
              <w:t>201</w:t>
            </w:r>
            <w:r w:rsidR="003516F0">
              <w:rPr>
                <w:bCs/>
                <w:sz w:val="26"/>
                <w:szCs w:val="26"/>
                <w:lang w:eastAsia="lv-LV"/>
              </w:rPr>
              <w:t>7</w:t>
            </w:r>
            <w:r w:rsidRPr="00506968">
              <w:rPr>
                <w:bCs/>
                <w:sz w:val="26"/>
                <w:szCs w:val="26"/>
                <w:lang w:eastAsia="lv-LV"/>
              </w:rPr>
              <w:t>) gadu</w:t>
            </w:r>
          </w:p>
        </w:tc>
        <w:tc>
          <w:tcPr>
            <w:tcW w:w="1439" w:type="dxa"/>
            <w:vAlign w:val="center"/>
          </w:tcPr>
          <w:p w14:paraId="64BE14F0" w14:textId="77777777" w:rsidR="001E5481" w:rsidRPr="00506968" w:rsidRDefault="001E5481" w:rsidP="003516F0">
            <w:pPr>
              <w:jc w:val="center"/>
              <w:rPr>
                <w:bCs/>
                <w:sz w:val="26"/>
                <w:szCs w:val="26"/>
                <w:lang w:eastAsia="lv-LV"/>
              </w:rPr>
            </w:pPr>
            <w:r w:rsidRPr="00506968">
              <w:rPr>
                <w:bCs/>
                <w:sz w:val="26"/>
                <w:szCs w:val="26"/>
                <w:lang w:eastAsia="lv-LV"/>
              </w:rPr>
              <w:t>Izmaiņas, salīdzinot ar kārtējo (</w:t>
            </w:r>
            <w:r w:rsidR="001718D0">
              <w:rPr>
                <w:bCs/>
                <w:sz w:val="26"/>
                <w:szCs w:val="26"/>
                <w:lang w:eastAsia="lv-LV"/>
              </w:rPr>
              <w:t>201</w:t>
            </w:r>
            <w:r w:rsidR="003516F0">
              <w:rPr>
                <w:bCs/>
                <w:sz w:val="26"/>
                <w:szCs w:val="26"/>
                <w:lang w:eastAsia="lv-LV"/>
              </w:rPr>
              <w:t>7</w:t>
            </w:r>
            <w:r w:rsidRPr="00506968">
              <w:rPr>
                <w:bCs/>
                <w:sz w:val="26"/>
                <w:szCs w:val="26"/>
                <w:lang w:eastAsia="lv-LV"/>
              </w:rPr>
              <w:t>) gadu</w:t>
            </w:r>
          </w:p>
        </w:tc>
        <w:tc>
          <w:tcPr>
            <w:tcW w:w="1439" w:type="dxa"/>
            <w:vAlign w:val="center"/>
          </w:tcPr>
          <w:p w14:paraId="6B3625BC" w14:textId="77777777" w:rsidR="001E5481" w:rsidRPr="00506968" w:rsidRDefault="001E5481" w:rsidP="003516F0">
            <w:pPr>
              <w:jc w:val="center"/>
              <w:rPr>
                <w:bCs/>
                <w:sz w:val="26"/>
                <w:szCs w:val="26"/>
                <w:lang w:eastAsia="lv-LV"/>
              </w:rPr>
            </w:pPr>
            <w:r w:rsidRPr="00506968">
              <w:rPr>
                <w:bCs/>
                <w:sz w:val="26"/>
                <w:szCs w:val="26"/>
                <w:lang w:eastAsia="lv-LV"/>
              </w:rPr>
              <w:t>Izmaiņas, salīdzinot ar kārtējo (</w:t>
            </w:r>
            <w:r w:rsidR="001718D0">
              <w:rPr>
                <w:bCs/>
                <w:sz w:val="26"/>
                <w:szCs w:val="26"/>
                <w:lang w:eastAsia="lv-LV"/>
              </w:rPr>
              <w:t>201</w:t>
            </w:r>
            <w:r w:rsidR="003516F0">
              <w:rPr>
                <w:bCs/>
                <w:sz w:val="26"/>
                <w:szCs w:val="26"/>
                <w:lang w:eastAsia="lv-LV"/>
              </w:rPr>
              <w:t>7</w:t>
            </w:r>
            <w:r w:rsidRPr="00506968">
              <w:rPr>
                <w:bCs/>
                <w:sz w:val="26"/>
                <w:szCs w:val="26"/>
                <w:lang w:eastAsia="lv-LV"/>
              </w:rPr>
              <w:t>) gadu</w:t>
            </w:r>
          </w:p>
        </w:tc>
      </w:tr>
      <w:tr w:rsidR="001E5481" w:rsidRPr="00506968" w14:paraId="593EB2C4" w14:textId="77777777" w:rsidTr="00D60E69">
        <w:tc>
          <w:tcPr>
            <w:tcW w:w="1808" w:type="dxa"/>
          </w:tcPr>
          <w:p w14:paraId="53607810" w14:textId="77777777" w:rsidR="001E5481" w:rsidRPr="00506968" w:rsidRDefault="00DC15D6" w:rsidP="001E5481">
            <w:pPr>
              <w:rPr>
                <w:bCs/>
                <w:sz w:val="26"/>
                <w:szCs w:val="26"/>
                <w:lang w:eastAsia="lv-LV"/>
              </w:rPr>
            </w:pPr>
            <w:r>
              <w:rPr>
                <w:bCs/>
                <w:sz w:val="26"/>
                <w:szCs w:val="26"/>
                <w:lang w:eastAsia="lv-LV"/>
              </w:rPr>
              <w:t>1</w:t>
            </w:r>
          </w:p>
        </w:tc>
        <w:tc>
          <w:tcPr>
            <w:tcW w:w="1423" w:type="dxa"/>
            <w:vAlign w:val="center"/>
          </w:tcPr>
          <w:p w14:paraId="36EAD9D3" w14:textId="77777777" w:rsidR="001E5481" w:rsidRPr="00506968" w:rsidRDefault="001E5481" w:rsidP="00F0471E">
            <w:pPr>
              <w:jc w:val="center"/>
              <w:rPr>
                <w:bCs/>
                <w:sz w:val="26"/>
                <w:szCs w:val="26"/>
                <w:lang w:eastAsia="lv-LV"/>
              </w:rPr>
            </w:pPr>
            <w:r w:rsidRPr="00506968">
              <w:rPr>
                <w:bCs/>
                <w:sz w:val="26"/>
                <w:szCs w:val="26"/>
                <w:lang w:eastAsia="lv-LV"/>
              </w:rPr>
              <w:t>2</w:t>
            </w:r>
          </w:p>
        </w:tc>
        <w:tc>
          <w:tcPr>
            <w:tcW w:w="1513" w:type="dxa"/>
            <w:vAlign w:val="center"/>
          </w:tcPr>
          <w:p w14:paraId="6AB34F96" w14:textId="77777777" w:rsidR="001E5481" w:rsidRPr="00506968" w:rsidRDefault="001E5481" w:rsidP="00F0471E">
            <w:pPr>
              <w:jc w:val="center"/>
              <w:rPr>
                <w:bCs/>
                <w:sz w:val="26"/>
                <w:szCs w:val="26"/>
                <w:lang w:eastAsia="lv-LV"/>
              </w:rPr>
            </w:pPr>
            <w:r w:rsidRPr="00506968">
              <w:rPr>
                <w:bCs/>
                <w:sz w:val="26"/>
                <w:szCs w:val="26"/>
                <w:lang w:eastAsia="lv-LV"/>
              </w:rPr>
              <w:t>3</w:t>
            </w:r>
          </w:p>
        </w:tc>
        <w:tc>
          <w:tcPr>
            <w:tcW w:w="1439" w:type="dxa"/>
            <w:vAlign w:val="center"/>
          </w:tcPr>
          <w:p w14:paraId="7C0128D2" w14:textId="77777777" w:rsidR="001E5481" w:rsidRPr="00506968" w:rsidRDefault="001E5481" w:rsidP="00F0471E">
            <w:pPr>
              <w:jc w:val="center"/>
              <w:rPr>
                <w:bCs/>
                <w:sz w:val="26"/>
                <w:szCs w:val="26"/>
                <w:lang w:eastAsia="lv-LV"/>
              </w:rPr>
            </w:pPr>
            <w:r w:rsidRPr="00506968">
              <w:rPr>
                <w:bCs/>
                <w:sz w:val="26"/>
                <w:szCs w:val="26"/>
                <w:lang w:eastAsia="lv-LV"/>
              </w:rPr>
              <w:t>4</w:t>
            </w:r>
          </w:p>
        </w:tc>
        <w:tc>
          <w:tcPr>
            <w:tcW w:w="1439" w:type="dxa"/>
            <w:vAlign w:val="center"/>
          </w:tcPr>
          <w:p w14:paraId="5387FFBE" w14:textId="77777777" w:rsidR="001E5481" w:rsidRPr="00506968" w:rsidRDefault="001E5481" w:rsidP="00F0471E">
            <w:pPr>
              <w:jc w:val="center"/>
              <w:rPr>
                <w:bCs/>
                <w:sz w:val="26"/>
                <w:szCs w:val="26"/>
                <w:lang w:eastAsia="lv-LV"/>
              </w:rPr>
            </w:pPr>
            <w:r w:rsidRPr="00506968">
              <w:rPr>
                <w:bCs/>
                <w:sz w:val="26"/>
                <w:szCs w:val="26"/>
                <w:lang w:eastAsia="lv-LV"/>
              </w:rPr>
              <w:t>5</w:t>
            </w:r>
          </w:p>
        </w:tc>
        <w:tc>
          <w:tcPr>
            <w:tcW w:w="1439" w:type="dxa"/>
            <w:vAlign w:val="center"/>
          </w:tcPr>
          <w:p w14:paraId="236AF4D1" w14:textId="77777777" w:rsidR="001E5481" w:rsidRPr="00506968" w:rsidRDefault="001E5481" w:rsidP="00F0471E">
            <w:pPr>
              <w:jc w:val="center"/>
              <w:rPr>
                <w:bCs/>
                <w:sz w:val="26"/>
                <w:szCs w:val="26"/>
                <w:lang w:eastAsia="lv-LV"/>
              </w:rPr>
            </w:pPr>
            <w:r w:rsidRPr="00506968">
              <w:rPr>
                <w:bCs/>
                <w:sz w:val="26"/>
                <w:szCs w:val="26"/>
                <w:lang w:eastAsia="lv-LV"/>
              </w:rPr>
              <w:t>6</w:t>
            </w:r>
          </w:p>
        </w:tc>
      </w:tr>
      <w:tr w:rsidR="00DC15D6" w:rsidRPr="00506968" w14:paraId="1ED3D4F9" w14:textId="77777777" w:rsidTr="00D60E69">
        <w:tc>
          <w:tcPr>
            <w:tcW w:w="1808" w:type="dxa"/>
          </w:tcPr>
          <w:p w14:paraId="555CF5EC" w14:textId="77777777" w:rsidR="00DC15D6" w:rsidRPr="00506968" w:rsidRDefault="00DC15D6" w:rsidP="00DC15D6">
            <w:pPr>
              <w:rPr>
                <w:bCs/>
                <w:sz w:val="26"/>
                <w:szCs w:val="26"/>
                <w:lang w:eastAsia="lv-LV"/>
              </w:rPr>
            </w:pPr>
            <w:r w:rsidRPr="00506968">
              <w:rPr>
                <w:bCs/>
                <w:sz w:val="26"/>
                <w:szCs w:val="26"/>
                <w:lang w:eastAsia="lv-LV"/>
              </w:rPr>
              <w:t>1. Budžeta ieņēmumi:</w:t>
            </w:r>
          </w:p>
        </w:tc>
        <w:tc>
          <w:tcPr>
            <w:tcW w:w="1423" w:type="dxa"/>
            <w:shd w:val="clear" w:color="auto" w:fill="auto"/>
            <w:vAlign w:val="center"/>
          </w:tcPr>
          <w:p w14:paraId="6A534E13" w14:textId="77777777" w:rsidR="001718D0" w:rsidRDefault="001718D0" w:rsidP="00DC15D6">
            <w:pPr>
              <w:jc w:val="center"/>
              <w:rPr>
                <w:bCs/>
                <w:sz w:val="22"/>
                <w:lang w:eastAsia="lv-LV"/>
              </w:rPr>
            </w:pPr>
            <w:r>
              <w:rPr>
                <w:bCs/>
                <w:sz w:val="22"/>
                <w:lang w:eastAsia="lv-LV"/>
              </w:rPr>
              <w:t> </w:t>
            </w:r>
          </w:p>
          <w:p w14:paraId="18E72BF6" w14:textId="77777777" w:rsidR="00DC15D6" w:rsidRPr="002F36D8" w:rsidRDefault="00DC15D6" w:rsidP="00DC15D6">
            <w:pPr>
              <w:jc w:val="center"/>
              <w:rPr>
                <w:bCs/>
                <w:sz w:val="26"/>
                <w:szCs w:val="26"/>
                <w:lang w:eastAsia="lv-LV"/>
              </w:rPr>
            </w:pPr>
          </w:p>
        </w:tc>
        <w:tc>
          <w:tcPr>
            <w:tcW w:w="1513" w:type="dxa"/>
            <w:shd w:val="clear" w:color="auto" w:fill="auto"/>
            <w:vAlign w:val="center"/>
          </w:tcPr>
          <w:p w14:paraId="778E35E9" w14:textId="77777777" w:rsidR="00DC15D6" w:rsidRPr="002F36D8" w:rsidRDefault="00DC15D6" w:rsidP="00DC15D6">
            <w:pPr>
              <w:jc w:val="center"/>
              <w:rPr>
                <w:bCs/>
                <w:sz w:val="26"/>
                <w:szCs w:val="26"/>
                <w:lang w:eastAsia="lv-LV"/>
              </w:rPr>
            </w:pPr>
          </w:p>
        </w:tc>
        <w:tc>
          <w:tcPr>
            <w:tcW w:w="1439" w:type="dxa"/>
            <w:shd w:val="clear" w:color="auto" w:fill="auto"/>
            <w:vAlign w:val="center"/>
          </w:tcPr>
          <w:p w14:paraId="25B718AB" w14:textId="77777777" w:rsidR="00DC15D6" w:rsidRPr="002F36D8" w:rsidRDefault="00DC15D6" w:rsidP="00DC15D6">
            <w:pPr>
              <w:jc w:val="center"/>
              <w:rPr>
                <w:bCs/>
                <w:sz w:val="26"/>
                <w:szCs w:val="26"/>
                <w:lang w:eastAsia="lv-LV"/>
              </w:rPr>
            </w:pPr>
          </w:p>
        </w:tc>
        <w:tc>
          <w:tcPr>
            <w:tcW w:w="1439" w:type="dxa"/>
            <w:shd w:val="clear" w:color="auto" w:fill="auto"/>
            <w:vAlign w:val="center"/>
          </w:tcPr>
          <w:p w14:paraId="7C3A16AF" w14:textId="77777777" w:rsidR="00DC15D6" w:rsidRPr="002F36D8" w:rsidRDefault="00DC15D6" w:rsidP="00DC15D6">
            <w:pPr>
              <w:jc w:val="center"/>
              <w:rPr>
                <w:bCs/>
                <w:sz w:val="26"/>
                <w:szCs w:val="26"/>
                <w:lang w:eastAsia="lv-LV"/>
              </w:rPr>
            </w:pPr>
          </w:p>
        </w:tc>
        <w:tc>
          <w:tcPr>
            <w:tcW w:w="1439" w:type="dxa"/>
            <w:shd w:val="clear" w:color="auto" w:fill="auto"/>
            <w:vAlign w:val="center"/>
          </w:tcPr>
          <w:p w14:paraId="5B852B1D" w14:textId="77777777" w:rsidR="00DC15D6" w:rsidRPr="002F36D8" w:rsidRDefault="00DC15D6" w:rsidP="00DC15D6">
            <w:pPr>
              <w:jc w:val="center"/>
              <w:rPr>
                <w:bCs/>
                <w:sz w:val="26"/>
                <w:szCs w:val="26"/>
                <w:lang w:eastAsia="lv-LV"/>
              </w:rPr>
            </w:pPr>
          </w:p>
        </w:tc>
      </w:tr>
      <w:tr w:rsidR="00DC15D6" w:rsidRPr="00506968" w14:paraId="61DD6697" w14:textId="77777777" w:rsidTr="00D60E69">
        <w:tc>
          <w:tcPr>
            <w:tcW w:w="1808" w:type="dxa"/>
          </w:tcPr>
          <w:p w14:paraId="3F9E1B57" w14:textId="77777777" w:rsidR="00DC15D6" w:rsidRPr="00506968" w:rsidRDefault="00DC15D6" w:rsidP="00DC15D6">
            <w:pPr>
              <w:rPr>
                <w:bCs/>
                <w:sz w:val="26"/>
                <w:szCs w:val="26"/>
                <w:lang w:eastAsia="lv-LV"/>
              </w:rPr>
            </w:pPr>
            <w:r w:rsidRPr="00506968">
              <w:rPr>
                <w:bCs/>
                <w:sz w:val="26"/>
                <w:szCs w:val="26"/>
                <w:lang w:eastAsia="lv-LV"/>
              </w:rPr>
              <w:t xml:space="preserve">1.1. valsts pamatbudžets, tai skaitā ieņēmumi no maksas pakalpojumiem </w:t>
            </w:r>
            <w:r w:rsidRPr="00506968">
              <w:rPr>
                <w:bCs/>
                <w:sz w:val="26"/>
                <w:szCs w:val="26"/>
                <w:lang w:eastAsia="lv-LV"/>
              </w:rPr>
              <w:lastRenderedPageBreak/>
              <w:t>un citi pašu ieņēmumi</w:t>
            </w:r>
          </w:p>
        </w:tc>
        <w:tc>
          <w:tcPr>
            <w:tcW w:w="1423" w:type="dxa"/>
            <w:shd w:val="clear" w:color="auto" w:fill="auto"/>
            <w:vAlign w:val="center"/>
          </w:tcPr>
          <w:p w14:paraId="2F8BAC01" w14:textId="77777777" w:rsidR="00DC15D6" w:rsidRPr="002F36D8" w:rsidRDefault="00DC15D6" w:rsidP="00D60E69">
            <w:pPr>
              <w:jc w:val="center"/>
              <w:rPr>
                <w:bCs/>
                <w:sz w:val="22"/>
                <w:lang w:eastAsia="lv-LV"/>
              </w:rPr>
            </w:pPr>
          </w:p>
        </w:tc>
        <w:tc>
          <w:tcPr>
            <w:tcW w:w="1513" w:type="dxa"/>
            <w:shd w:val="clear" w:color="auto" w:fill="auto"/>
            <w:vAlign w:val="center"/>
          </w:tcPr>
          <w:p w14:paraId="1C525C36" w14:textId="77777777" w:rsidR="00DC15D6" w:rsidRPr="002F36D8" w:rsidRDefault="00DC15D6" w:rsidP="00DC15D6">
            <w:pPr>
              <w:jc w:val="center"/>
              <w:rPr>
                <w:bCs/>
                <w:sz w:val="22"/>
                <w:lang w:eastAsia="lv-LV"/>
              </w:rPr>
            </w:pPr>
          </w:p>
        </w:tc>
        <w:tc>
          <w:tcPr>
            <w:tcW w:w="1439" w:type="dxa"/>
            <w:shd w:val="clear" w:color="auto" w:fill="auto"/>
            <w:vAlign w:val="center"/>
          </w:tcPr>
          <w:p w14:paraId="1EA83FC9" w14:textId="77777777" w:rsidR="00DC15D6" w:rsidRPr="002F36D8" w:rsidRDefault="00DC15D6" w:rsidP="00DC15D6">
            <w:pPr>
              <w:jc w:val="center"/>
              <w:rPr>
                <w:bCs/>
                <w:sz w:val="22"/>
                <w:lang w:eastAsia="lv-LV"/>
              </w:rPr>
            </w:pPr>
          </w:p>
        </w:tc>
        <w:tc>
          <w:tcPr>
            <w:tcW w:w="1439" w:type="dxa"/>
            <w:shd w:val="clear" w:color="auto" w:fill="auto"/>
            <w:vAlign w:val="center"/>
          </w:tcPr>
          <w:p w14:paraId="37A3D664" w14:textId="77777777" w:rsidR="00DC15D6" w:rsidRPr="002F36D8" w:rsidRDefault="00DC15D6" w:rsidP="00DC15D6">
            <w:pPr>
              <w:jc w:val="center"/>
              <w:rPr>
                <w:bCs/>
                <w:sz w:val="22"/>
                <w:lang w:eastAsia="lv-LV"/>
              </w:rPr>
            </w:pPr>
          </w:p>
        </w:tc>
        <w:tc>
          <w:tcPr>
            <w:tcW w:w="1439" w:type="dxa"/>
            <w:shd w:val="clear" w:color="auto" w:fill="auto"/>
            <w:vAlign w:val="center"/>
          </w:tcPr>
          <w:p w14:paraId="23648209" w14:textId="77777777" w:rsidR="00DC15D6" w:rsidRPr="002F36D8" w:rsidRDefault="00DC15D6" w:rsidP="00DC15D6">
            <w:pPr>
              <w:jc w:val="center"/>
              <w:rPr>
                <w:bCs/>
                <w:sz w:val="22"/>
                <w:lang w:eastAsia="lv-LV"/>
              </w:rPr>
            </w:pPr>
          </w:p>
        </w:tc>
      </w:tr>
      <w:tr w:rsidR="003E0F50" w:rsidRPr="00506968" w14:paraId="3D720065" w14:textId="77777777" w:rsidTr="00D60E69">
        <w:tc>
          <w:tcPr>
            <w:tcW w:w="1808" w:type="dxa"/>
          </w:tcPr>
          <w:p w14:paraId="05B58819" w14:textId="77777777" w:rsidR="003E0F50" w:rsidRPr="00506968" w:rsidRDefault="003E0F50" w:rsidP="001E5481">
            <w:pPr>
              <w:rPr>
                <w:bCs/>
                <w:sz w:val="26"/>
                <w:szCs w:val="26"/>
                <w:lang w:eastAsia="lv-LV"/>
              </w:rPr>
            </w:pPr>
            <w:r w:rsidRPr="00506968">
              <w:rPr>
                <w:bCs/>
                <w:sz w:val="26"/>
                <w:szCs w:val="26"/>
                <w:lang w:eastAsia="lv-LV"/>
              </w:rPr>
              <w:t>1.2. valsts speciālais budžets</w:t>
            </w:r>
          </w:p>
        </w:tc>
        <w:tc>
          <w:tcPr>
            <w:tcW w:w="1423" w:type="dxa"/>
            <w:shd w:val="clear" w:color="auto" w:fill="auto"/>
            <w:vAlign w:val="center"/>
          </w:tcPr>
          <w:p w14:paraId="2032E75F" w14:textId="77777777" w:rsidR="003E0F50" w:rsidRPr="002F36D8" w:rsidRDefault="003E0F50" w:rsidP="00DC15D6">
            <w:pPr>
              <w:jc w:val="center"/>
              <w:rPr>
                <w:bCs/>
                <w:sz w:val="22"/>
                <w:lang w:eastAsia="lv-LV"/>
              </w:rPr>
            </w:pPr>
            <w:r w:rsidRPr="002F36D8">
              <w:rPr>
                <w:bCs/>
                <w:sz w:val="22"/>
                <w:lang w:eastAsia="lv-LV"/>
              </w:rPr>
              <w:t>0</w:t>
            </w:r>
          </w:p>
        </w:tc>
        <w:tc>
          <w:tcPr>
            <w:tcW w:w="1513" w:type="dxa"/>
            <w:shd w:val="clear" w:color="auto" w:fill="auto"/>
            <w:vAlign w:val="center"/>
          </w:tcPr>
          <w:p w14:paraId="5BE2FB81" w14:textId="77777777" w:rsidR="003E0F50" w:rsidRPr="002F36D8" w:rsidRDefault="003E0F50" w:rsidP="00DC15D6">
            <w:pPr>
              <w:jc w:val="center"/>
              <w:rPr>
                <w:bCs/>
                <w:sz w:val="22"/>
                <w:lang w:eastAsia="lv-LV"/>
              </w:rPr>
            </w:pPr>
            <w:r w:rsidRPr="002F36D8">
              <w:rPr>
                <w:bCs/>
                <w:sz w:val="22"/>
                <w:lang w:eastAsia="lv-LV"/>
              </w:rPr>
              <w:t>0</w:t>
            </w:r>
          </w:p>
        </w:tc>
        <w:tc>
          <w:tcPr>
            <w:tcW w:w="1439" w:type="dxa"/>
            <w:shd w:val="clear" w:color="auto" w:fill="auto"/>
            <w:vAlign w:val="center"/>
          </w:tcPr>
          <w:p w14:paraId="2DD77575" w14:textId="77777777" w:rsidR="003E0F50" w:rsidRPr="002F36D8" w:rsidRDefault="003E0F50" w:rsidP="00DC15D6">
            <w:pPr>
              <w:jc w:val="center"/>
              <w:rPr>
                <w:bCs/>
                <w:sz w:val="22"/>
                <w:lang w:eastAsia="lv-LV"/>
              </w:rPr>
            </w:pPr>
            <w:r w:rsidRPr="002F36D8">
              <w:rPr>
                <w:bCs/>
                <w:sz w:val="22"/>
                <w:lang w:eastAsia="lv-LV"/>
              </w:rPr>
              <w:t>0</w:t>
            </w:r>
          </w:p>
        </w:tc>
        <w:tc>
          <w:tcPr>
            <w:tcW w:w="1439" w:type="dxa"/>
            <w:shd w:val="clear" w:color="auto" w:fill="auto"/>
            <w:vAlign w:val="center"/>
          </w:tcPr>
          <w:p w14:paraId="3DC1CB11" w14:textId="77777777" w:rsidR="003E0F50" w:rsidRPr="002F36D8" w:rsidRDefault="003E0F50" w:rsidP="00DC15D6">
            <w:pPr>
              <w:jc w:val="center"/>
              <w:rPr>
                <w:bCs/>
                <w:sz w:val="22"/>
                <w:lang w:eastAsia="lv-LV"/>
              </w:rPr>
            </w:pPr>
            <w:r w:rsidRPr="002F36D8">
              <w:rPr>
                <w:bCs/>
                <w:sz w:val="22"/>
                <w:lang w:eastAsia="lv-LV"/>
              </w:rPr>
              <w:t>0</w:t>
            </w:r>
          </w:p>
        </w:tc>
        <w:tc>
          <w:tcPr>
            <w:tcW w:w="1439" w:type="dxa"/>
            <w:shd w:val="clear" w:color="auto" w:fill="auto"/>
            <w:vAlign w:val="center"/>
          </w:tcPr>
          <w:p w14:paraId="4E98228B" w14:textId="77777777" w:rsidR="003E0F50" w:rsidRPr="002F36D8" w:rsidRDefault="003E0F50" w:rsidP="00DC15D6">
            <w:pPr>
              <w:jc w:val="center"/>
              <w:rPr>
                <w:bCs/>
                <w:sz w:val="22"/>
                <w:lang w:eastAsia="lv-LV"/>
              </w:rPr>
            </w:pPr>
            <w:r w:rsidRPr="002F36D8">
              <w:rPr>
                <w:bCs/>
                <w:sz w:val="22"/>
                <w:lang w:eastAsia="lv-LV"/>
              </w:rPr>
              <w:t>0</w:t>
            </w:r>
          </w:p>
        </w:tc>
      </w:tr>
      <w:tr w:rsidR="003E0F50" w:rsidRPr="00506968" w14:paraId="10984AD5" w14:textId="77777777" w:rsidTr="00D60E69">
        <w:tc>
          <w:tcPr>
            <w:tcW w:w="1808" w:type="dxa"/>
          </w:tcPr>
          <w:p w14:paraId="5985EA9F" w14:textId="77777777" w:rsidR="003E0F50" w:rsidRPr="00506968" w:rsidRDefault="003E0F50" w:rsidP="001E5481">
            <w:pPr>
              <w:rPr>
                <w:bCs/>
                <w:sz w:val="26"/>
                <w:szCs w:val="26"/>
                <w:lang w:eastAsia="lv-LV"/>
              </w:rPr>
            </w:pPr>
            <w:r w:rsidRPr="00506968">
              <w:rPr>
                <w:bCs/>
                <w:sz w:val="26"/>
                <w:szCs w:val="26"/>
                <w:lang w:eastAsia="lv-LV"/>
              </w:rPr>
              <w:t>1.3. pašvaldību budžets</w:t>
            </w:r>
          </w:p>
        </w:tc>
        <w:tc>
          <w:tcPr>
            <w:tcW w:w="1423" w:type="dxa"/>
            <w:shd w:val="clear" w:color="auto" w:fill="auto"/>
            <w:vAlign w:val="center"/>
          </w:tcPr>
          <w:p w14:paraId="0186BDFE" w14:textId="77777777" w:rsidR="003E0F50" w:rsidRPr="002F36D8" w:rsidRDefault="003E0F50" w:rsidP="00DC15D6">
            <w:pPr>
              <w:jc w:val="center"/>
              <w:rPr>
                <w:bCs/>
                <w:sz w:val="22"/>
                <w:lang w:eastAsia="lv-LV"/>
              </w:rPr>
            </w:pPr>
            <w:r w:rsidRPr="002F36D8">
              <w:rPr>
                <w:bCs/>
                <w:sz w:val="22"/>
                <w:lang w:eastAsia="lv-LV"/>
              </w:rPr>
              <w:t>0</w:t>
            </w:r>
          </w:p>
        </w:tc>
        <w:tc>
          <w:tcPr>
            <w:tcW w:w="1513" w:type="dxa"/>
            <w:shd w:val="clear" w:color="auto" w:fill="auto"/>
            <w:vAlign w:val="center"/>
          </w:tcPr>
          <w:p w14:paraId="29335FCA" w14:textId="77777777" w:rsidR="003E0F50" w:rsidRPr="002F36D8" w:rsidRDefault="003E0F50" w:rsidP="00DC15D6">
            <w:pPr>
              <w:jc w:val="center"/>
              <w:rPr>
                <w:bCs/>
                <w:sz w:val="22"/>
                <w:lang w:eastAsia="lv-LV"/>
              </w:rPr>
            </w:pPr>
            <w:r w:rsidRPr="002F36D8">
              <w:rPr>
                <w:bCs/>
                <w:sz w:val="22"/>
                <w:lang w:eastAsia="lv-LV"/>
              </w:rPr>
              <w:t>0</w:t>
            </w:r>
          </w:p>
        </w:tc>
        <w:tc>
          <w:tcPr>
            <w:tcW w:w="1439" w:type="dxa"/>
            <w:shd w:val="clear" w:color="auto" w:fill="auto"/>
            <w:vAlign w:val="center"/>
          </w:tcPr>
          <w:p w14:paraId="32EE89CC" w14:textId="77777777" w:rsidR="003E0F50" w:rsidRPr="002F36D8" w:rsidRDefault="003E0F50" w:rsidP="00DC15D6">
            <w:pPr>
              <w:jc w:val="center"/>
              <w:rPr>
                <w:bCs/>
                <w:sz w:val="22"/>
                <w:lang w:eastAsia="lv-LV"/>
              </w:rPr>
            </w:pPr>
            <w:r w:rsidRPr="002F36D8">
              <w:rPr>
                <w:bCs/>
                <w:sz w:val="22"/>
                <w:lang w:eastAsia="lv-LV"/>
              </w:rPr>
              <w:t>0</w:t>
            </w:r>
          </w:p>
        </w:tc>
        <w:tc>
          <w:tcPr>
            <w:tcW w:w="1439" w:type="dxa"/>
            <w:shd w:val="clear" w:color="auto" w:fill="auto"/>
            <w:vAlign w:val="center"/>
          </w:tcPr>
          <w:p w14:paraId="04292C0B" w14:textId="77777777" w:rsidR="003E0F50" w:rsidRPr="002F36D8" w:rsidRDefault="003E0F50" w:rsidP="00DC15D6">
            <w:pPr>
              <w:jc w:val="center"/>
              <w:rPr>
                <w:bCs/>
                <w:sz w:val="22"/>
                <w:lang w:eastAsia="lv-LV"/>
              </w:rPr>
            </w:pPr>
            <w:r w:rsidRPr="002F36D8">
              <w:rPr>
                <w:bCs/>
                <w:sz w:val="22"/>
                <w:lang w:eastAsia="lv-LV"/>
              </w:rPr>
              <w:t>0</w:t>
            </w:r>
          </w:p>
        </w:tc>
        <w:tc>
          <w:tcPr>
            <w:tcW w:w="1439" w:type="dxa"/>
            <w:shd w:val="clear" w:color="auto" w:fill="auto"/>
            <w:vAlign w:val="center"/>
          </w:tcPr>
          <w:p w14:paraId="3A8B646C" w14:textId="77777777" w:rsidR="003E0F50" w:rsidRPr="002F36D8" w:rsidRDefault="003E0F50" w:rsidP="00DC15D6">
            <w:pPr>
              <w:jc w:val="center"/>
              <w:rPr>
                <w:bCs/>
                <w:sz w:val="22"/>
                <w:lang w:eastAsia="lv-LV"/>
              </w:rPr>
            </w:pPr>
            <w:r w:rsidRPr="002F36D8">
              <w:rPr>
                <w:bCs/>
                <w:sz w:val="22"/>
                <w:lang w:eastAsia="lv-LV"/>
              </w:rPr>
              <w:t>0</w:t>
            </w:r>
          </w:p>
        </w:tc>
      </w:tr>
      <w:tr w:rsidR="00D60E69" w:rsidRPr="00506968" w14:paraId="6CB5521C" w14:textId="77777777" w:rsidTr="00D60E69">
        <w:tc>
          <w:tcPr>
            <w:tcW w:w="1808" w:type="dxa"/>
          </w:tcPr>
          <w:p w14:paraId="3D7B8307" w14:textId="77777777" w:rsidR="00D60E69" w:rsidRPr="00506968" w:rsidRDefault="00D60E69" w:rsidP="00D60E69">
            <w:pPr>
              <w:rPr>
                <w:bCs/>
                <w:sz w:val="26"/>
                <w:szCs w:val="26"/>
                <w:lang w:eastAsia="lv-LV"/>
              </w:rPr>
            </w:pPr>
            <w:r w:rsidRPr="00506968">
              <w:rPr>
                <w:bCs/>
                <w:sz w:val="26"/>
                <w:szCs w:val="26"/>
                <w:lang w:eastAsia="lv-LV"/>
              </w:rPr>
              <w:t>2. Budžeta izdevumi:</w:t>
            </w:r>
          </w:p>
        </w:tc>
        <w:tc>
          <w:tcPr>
            <w:tcW w:w="1423" w:type="dxa"/>
            <w:shd w:val="clear" w:color="auto" w:fill="auto"/>
          </w:tcPr>
          <w:p w14:paraId="465E7F7B" w14:textId="77777777" w:rsidR="00D60E69" w:rsidRPr="00D60E69" w:rsidRDefault="00D60E69" w:rsidP="00D60E69">
            <w:pPr>
              <w:jc w:val="center"/>
              <w:rPr>
                <w:bCs/>
                <w:sz w:val="24"/>
                <w:lang w:eastAsia="lv-LV"/>
              </w:rPr>
            </w:pPr>
            <w:r w:rsidRPr="00D60E69">
              <w:rPr>
                <w:sz w:val="24"/>
              </w:rPr>
              <w:t>0</w:t>
            </w:r>
          </w:p>
        </w:tc>
        <w:tc>
          <w:tcPr>
            <w:tcW w:w="1513" w:type="dxa"/>
            <w:shd w:val="clear" w:color="auto" w:fill="auto"/>
          </w:tcPr>
          <w:p w14:paraId="324D66A7" w14:textId="77777777" w:rsidR="00D60E69" w:rsidRPr="00D60E69" w:rsidRDefault="00D60E69" w:rsidP="00D60E69">
            <w:pPr>
              <w:jc w:val="center"/>
              <w:rPr>
                <w:bCs/>
                <w:sz w:val="24"/>
                <w:lang w:eastAsia="lv-LV"/>
              </w:rPr>
            </w:pPr>
            <w:r w:rsidRPr="00D60E69">
              <w:rPr>
                <w:sz w:val="24"/>
              </w:rPr>
              <w:t>0</w:t>
            </w:r>
          </w:p>
        </w:tc>
        <w:tc>
          <w:tcPr>
            <w:tcW w:w="1439" w:type="dxa"/>
            <w:shd w:val="clear" w:color="auto" w:fill="auto"/>
          </w:tcPr>
          <w:p w14:paraId="5E67EDC2" w14:textId="77777777" w:rsidR="00D60E69" w:rsidRPr="00D60E69" w:rsidRDefault="00D60E69" w:rsidP="00D60E69">
            <w:pPr>
              <w:jc w:val="center"/>
              <w:rPr>
                <w:bCs/>
                <w:sz w:val="24"/>
                <w:lang w:eastAsia="lv-LV"/>
              </w:rPr>
            </w:pPr>
            <w:r w:rsidRPr="00D60E69">
              <w:rPr>
                <w:sz w:val="24"/>
              </w:rPr>
              <w:t>0</w:t>
            </w:r>
          </w:p>
        </w:tc>
        <w:tc>
          <w:tcPr>
            <w:tcW w:w="1439" w:type="dxa"/>
            <w:shd w:val="clear" w:color="auto" w:fill="auto"/>
          </w:tcPr>
          <w:p w14:paraId="54190431" w14:textId="77777777" w:rsidR="00D60E69" w:rsidRPr="00D60E69" w:rsidRDefault="00D60E69" w:rsidP="00D60E69">
            <w:pPr>
              <w:jc w:val="center"/>
              <w:rPr>
                <w:bCs/>
                <w:sz w:val="24"/>
                <w:lang w:eastAsia="lv-LV"/>
              </w:rPr>
            </w:pPr>
            <w:r w:rsidRPr="00D60E69">
              <w:rPr>
                <w:sz w:val="24"/>
              </w:rPr>
              <w:t>0</w:t>
            </w:r>
          </w:p>
        </w:tc>
        <w:tc>
          <w:tcPr>
            <w:tcW w:w="1439" w:type="dxa"/>
            <w:shd w:val="clear" w:color="auto" w:fill="auto"/>
          </w:tcPr>
          <w:p w14:paraId="5EC2A809" w14:textId="77777777" w:rsidR="00D60E69" w:rsidRPr="00D60E69" w:rsidRDefault="00D60E69" w:rsidP="00D60E69">
            <w:pPr>
              <w:jc w:val="center"/>
              <w:rPr>
                <w:bCs/>
                <w:sz w:val="24"/>
                <w:lang w:eastAsia="lv-LV"/>
              </w:rPr>
            </w:pPr>
            <w:r w:rsidRPr="00D60E69">
              <w:rPr>
                <w:sz w:val="24"/>
              </w:rPr>
              <w:t>0</w:t>
            </w:r>
          </w:p>
        </w:tc>
      </w:tr>
      <w:tr w:rsidR="00D60E69" w:rsidRPr="00506968" w14:paraId="7CC27B3F" w14:textId="77777777" w:rsidTr="00D60E69">
        <w:tc>
          <w:tcPr>
            <w:tcW w:w="1808" w:type="dxa"/>
          </w:tcPr>
          <w:p w14:paraId="031BEB25" w14:textId="77777777" w:rsidR="00D60E69" w:rsidRPr="00506968" w:rsidRDefault="00D60E69" w:rsidP="00D60E69">
            <w:pPr>
              <w:rPr>
                <w:bCs/>
                <w:sz w:val="26"/>
                <w:szCs w:val="26"/>
                <w:lang w:eastAsia="lv-LV"/>
              </w:rPr>
            </w:pPr>
            <w:r w:rsidRPr="00506968">
              <w:rPr>
                <w:bCs/>
                <w:sz w:val="26"/>
                <w:szCs w:val="26"/>
                <w:lang w:eastAsia="lv-LV"/>
              </w:rPr>
              <w:t>2.1. valsts pamatbudžets</w:t>
            </w:r>
          </w:p>
        </w:tc>
        <w:tc>
          <w:tcPr>
            <w:tcW w:w="1423" w:type="dxa"/>
            <w:shd w:val="clear" w:color="auto" w:fill="auto"/>
          </w:tcPr>
          <w:p w14:paraId="61189E5D" w14:textId="77777777" w:rsidR="00D60E69" w:rsidRPr="00D60E69" w:rsidRDefault="00D60E69" w:rsidP="00D60E69">
            <w:pPr>
              <w:jc w:val="center"/>
              <w:rPr>
                <w:bCs/>
                <w:sz w:val="24"/>
                <w:lang w:eastAsia="lv-LV"/>
              </w:rPr>
            </w:pPr>
            <w:r w:rsidRPr="00D60E69">
              <w:rPr>
                <w:sz w:val="24"/>
              </w:rPr>
              <w:t>0</w:t>
            </w:r>
          </w:p>
        </w:tc>
        <w:tc>
          <w:tcPr>
            <w:tcW w:w="1513" w:type="dxa"/>
            <w:shd w:val="clear" w:color="auto" w:fill="auto"/>
          </w:tcPr>
          <w:p w14:paraId="08805146" w14:textId="77777777" w:rsidR="00D60E69" w:rsidRPr="00D60E69" w:rsidRDefault="00D60E69" w:rsidP="00D60E69">
            <w:pPr>
              <w:jc w:val="center"/>
              <w:rPr>
                <w:bCs/>
                <w:sz w:val="24"/>
                <w:lang w:eastAsia="lv-LV"/>
              </w:rPr>
            </w:pPr>
            <w:r w:rsidRPr="00D60E69">
              <w:rPr>
                <w:sz w:val="24"/>
              </w:rPr>
              <w:t>0</w:t>
            </w:r>
          </w:p>
        </w:tc>
        <w:tc>
          <w:tcPr>
            <w:tcW w:w="1439" w:type="dxa"/>
            <w:shd w:val="clear" w:color="auto" w:fill="auto"/>
          </w:tcPr>
          <w:p w14:paraId="3DBA9BBC" w14:textId="77777777" w:rsidR="00D60E69" w:rsidRPr="00D60E69" w:rsidRDefault="00D60E69" w:rsidP="00D60E69">
            <w:pPr>
              <w:jc w:val="center"/>
              <w:rPr>
                <w:bCs/>
                <w:sz w:val="24"/>
                <w:lang w:eastAsia="lv-LV"/>
              </w:rPr>
            </w:pPr>
            <w:r w:rsidRPr="00D60E69">
              <w:rPr>
                <w:sz w:val="24"/>
              </w:rPr>
              <w:t>0</w:t>
            </w:r>
          </w:p>
        </w:tc>
        <w:tc>
          <w:tcPr>
            <w:tcW w:w="1439" w:type="dxa"/>
            <w:shd w:val="clear" w:color="auto" w:fill="auto"/>
          </w:tcPr>
          <w:p w14:paraId="3AF542B4" w14:textId="77777777" w:rsidR="00D60E69" w:rsidRPr="00D60E69" w:rsidRDefault="00D60E69" w:rsidP="00D60E69">
            <w:pPr>
              <w:jc w:val="center"/>
              <w:rPr>
                <w:bCs/>
                <w:sz w:val="24"/>
                <w:lang w:eastAsia="lv-LV"/>
              </w:rPr>
            </w:pPr>
            <w:r w:rsidRPr="00D60E69">
              <w:rPr>
                <w:sz w:val="24"/>
              </w:rPr>
              <w:t>0</w:t>
            </w:r>
          </w:p>
        </w:tc>
        <w:tc>
          <w:tcPr>
            <w:tcW w:w="1439" w:type="dxa"/>
            <w:shd w:val="clear" w:color="auto" w:fill="auto"/>
          </w:tcPr>
          <w:p w14:paraId="6E0CD133" w14:textId="77777777" w:rsidR="00D60E69" w:rsidRPr="00D60E69" w:rsidRDefault="00D60E69" w:rsidP="00D60E69">
            <w:pPr>
              <w:jc w:val="center"/>
              <w:rPr>
                <w:bCs/>
                <w:sz w:val="24"/>
                <w:lang w:eastAsia="lv-LV"/>
              </w:rPr>
            </w:pPr>
            <w:r w:rsidRPr="00D60E69">
              <w:rPr>
                <w:sz w:val="24"/>
              </w:rPr>
              <w:t>0</w:t>
            </w:r>
          </w:p>
        </w:tc>
      </w:tr>
      <w:tr w:rsidR="003E0F50" w:rsidRPr="00506968" w14:paraId="3E7B34F3" w14:textId="77777777" w:rsidTr="00D60E69">
        <w:tc>
          <w:tcPr>
            <w:tcW w:w="1808" w:type="dxa"/>
          </w:tcPr>
          <w:p w14:paraId="4BFF2B7A" w14:textId="77777777" w:rsidR="003E0F50" w:rsidRPr="00506968" w:rsidRDefault="003E0F50" w:rsidP="001E5481">
            <w:pPr>
              <w:rPr>
                <w:bCs/>
                <w:sz w:val="26"/>
                <w:szCs w:val="26"/>
                <w:lang w:eastAsia="lv-LV"/>
              </w:rPr>
            </w:pPr>
            <w:r w:rsidRPr="00506968">
              <w:rPr>
                <w:bCs/>
                <w:sz w:val="26"/>
                <w:szCs w:val="26"/>
                <w:lang w:eastAsia="lv-LV"/>
              </w:rPr>
              <w:t>2.2. valsts speciālais budžets</w:t>
            </w:r>
          </w:p>
        </w:tc>
        <w:tc>
          <w:tcPr>
            <w:tcW w:w="1423" w:type="dxa"/>
            <w:shd w:val="clear" w:color="auto" w:fill="auto"/>
            <w:vAlign w:val="center"/>
          </w:tcPr>
          <w:p w14:paraId="1733D073" w14:textId="77777777" w:rsidR="003E0F50" w:rsidRPr="002F36D8" w:rsidRDefault="003E0F50" w:rsidP="00F0471E">
            <w:pPr>
              <w:jc w:val="center"/>
              <w:rPr>
                <w:bCs/>
                <w:sz w:val="26"/>
                <w:szCs w:val="26"/>
                <w:lang w:eastAsia="lv-LV"/>
              </w:rPr>
            </w:pPr>
            <w:r w:rsidRPr="002F36D8">
              <w:rPr>
                <w:bCs/>
                <w:sz w:val="26"/>
                <w:szCs w:val="26"/>
                <w:lang w:eastAsia="lv-LV"/>
              </w:rPr>
              <w:t>0</w:t>
            </w:r>
          </w:p>
        </w:tc>
        <w:tc>
          <w:tcPr>
            <w:tcW w:w="1513" w:type="dxa"/>
            <w:shd w:val="clear" w:color="auto" w:fill="auto"/>
            <w:vAlign w:val="center"/>
          </w:tcPr>
          <w:p w14:paraId="39D0792F" w14:textId="77777777" w:rsidR="003E0F50" w:rsidRPr="002F36D8" w:rsidRDefault="003E0F50" w:rsidP="00F0471E">
            <w:pPr>
              <w:jc w:val="center"/>
              <w:rPr>
                <w:bCs/>
                <w:sz w:val="26"/>
                <w:szCs w:val="26"/>
                <w:lang w:eastAsia="lv-LV"/>
              </w:rPr>
            </w:pPr>
            <w:r w:rsidRPr="002F36D8">
              <w:rPr>
                <w:bCs/>
                <w:sz w:val="26"/>
                <w:szCs w:val="26"/>
                <w:lang w:eastAsia="lv-LV"/>
              </w:rPr>
              <w:t>0</w:t>
            </w:r>
          </w:p>
        </w:tc>
        <w:tc>
          <w:tcPr>
            <w:tcW w:w="1439" w:type="dxa"/>
            <w:shd w:val="clear" w:color="auto" w:fill="auto"/>
            <w:vAlign w:val="center"/>
          </w:tcPr>
          <w:p w14:paraId="0DC5DCC4" w14:textId="77777777" w:rsidR="003E0F50" w:rsidRPr="002F36D8" w:rsidRDefault="003E0F50" w:rsidP="003E0F50">
            <w:pPr>
              <w:jc w:val="center"/>
              <w:rPr>
                <w:bCs/>
                <w:sz w:val="26"/>
                <w:szCs w:val="26"/>
                <w:lang w:eastAsia="lv-LV"/>
              </w:rPr>
            </w:pPr>
            <w:r w:rsidRPr="002F36D8">
              <w:rPr>
                <w:bCs/>
                <w:sz w:val="26"/>
                <w:szCs w:val="26"/>
                <w:lang w:eastAsia="lv-LV"/>
              </w:rPr>
              <w:t>0</w:t>
            </w:r>
          </w:p>
        </w:tc>
        <w:tc>
          <w:tcPr>
            <w:tcW w:w="1439" w:type="dxa"/>
            <w:shd w:val="clear" w:color="auto" w:fill="auto"/>
            <w:vAlign w:val="center"/>
          </w:tcPr>
          <w:p w14:paraId="7AB2F2C3" w14:textId="77777777" w:rsidR="003E0F50" w:rsidRPr="002F36D8" w:rsidRDefault="003E0F50" w:rsidP="003E0F50">
            <w:pPr>
              <w:jc w:val="center"/>
              <w:rPr>
                <w:bCs/>
                <w:sz w:val="26"/>
                <w:szCs w:val="26"/>
                <w:lang w:eastAsia="lv-LV"/>
              </w:rPr>
            </w:pPr>
            <w:r w:rsidRPr="002F36D8">
              <w:rPr>
                <w:bCs/>
                <w:sz w:val="26"/>
                <w:szCs w:val="26"/>
                <w:lang w:eastAsia="lv-LV"/>
              </w:rPr>
              <w:t>0</w:t>
            </w:r>
          </w:p>
        </w:tc>
        <w:tc>
          <w:tcPr>
            <w:tcW w:w="1439" w:type="dxa"/>
            <w:shd w:val="clear" w:color="auto" w:fill="auto"/>
            <w:vAlign w:val="center"/>
          </w:tcPr>
          <w:p w14:paraId="3E181F72" w14:textId="77777777" w:rsidR="003E0F50" w:rsidRPr="002F36D8" w:rsidRDefault="003E0F50" w:rsidP="003E0F50">
            <w:pPr>
              <w:jc w:val="center"/>
              <w:rPr>
                <w:bCs/>
                <w:sz w:val="26"/>
                <w:szCs w:val="26"/>
                <w:lang w:eastAsia="lv-LV"/>
              </w:rPr>
            </w:pPr>
            <w:r w:rsidRPr="002F36D8">
              <w:rPr>
                <w:bCs/>
                <w:sz w:val="26"/>
                <w:szCs w:val="26"/>
                <w:lang w:eastAsia="lv-LV"/>
              </w:rPr>
              <w:t>0</w:t>
            </w:r>
          </w:p>
        </w:tc>
      </w:tr>
      <w:tr w:rsidR="003E0F50" w:rsidRPr="00506968" w14:paraId="1641ACF9" w14:textId="77777777" w:rsidTr="00D60E69">
        <w:tc>
          <w:tcPr>
            <w:tcW w:w="1808" w:type="dxa"/>
          </w:tcPr>
          <w:p w14:paraId="17AB34A2" w14:textId="77777777" w:rsidR="003E0F50" w:rsidRPr="00506968" w:rsidRDefault="003E0F50" w:rsidP="001E5481">
            <w:pPr>
              <w:rPr>
                <w:bCs/>
                <w:sz w:val="26"/>
                <w:szCs w:val="26"/>
                <w:lang w:eastAsia="lv-LV"/>
              </w:rPr>
            </w:pPr>
            <w:r w:rsidRPr="00506968">
              <w:rPr>
                <w:bCs/>
                <w:sz w:val="26"/>
                <w:szCs w:val="26"/>
                <w:lang w:eastAsia="lv-LV"/>
              </w:rPr>
              <w:t xml:space="preserve">2.3. pašvaldību budžets </w:t>
            </w:r>
          </w:p>
        </w:tc>
        <w:tc>
          <w:tcPr>
            <w:tcW w:w="1423" w:type="dxa"/>
            <w:shd w:val="clear" w:color="auto" w:fill="auto"/>
            <w:vAlign w:val="center"/>
          </w:tcPr>
          <w:p w14:paraId="1E0EE2FA" w14:textId="77777777" w:rsidR="003E0F50" w:rsidRPr="002F36D8" w:rsidRDefault="003E0F50" w:rsidP="00F0471E">
            <w:pPr>
              <w:jc w:val="center"/>
              <w:rPr>
                <w:bCs/>
                <w:sz w:val="26"/>
                <w:szCs w:val="26"/>
                <w:lang w:eastAsia="lv-LV"/>
              </w:rPr>
            </w:pPr>
            <w:r w:rsidRPr="002F36D8">
              <w:rPr>
                <w:bCs/>
                <w:sz w:val="26"/>
                <w:szCs w:val="26"/>
                <w:lang w:eastAsia="lv-LV"/>
              </w:rPr>
              <w:t>0</w:t>
            </w:r>
          </w:p>
        </w:tc>
        <w:tc>
          <w:tcPr>
            <w:tcW w:w="1513" w:type="dxa"/>
            <w:shd w:val="clear" w:color="auto" w:fill="auto"/>
            <w:vAlign w:val="center"/>
          </w:tcPr>
          <w:p w14:paraId="3C26462B" w14:textId="77777777" w:rsidR="003E0F50" w:rsidRPr="002F36D8" w:rsidRDefault="003E0F50" w:rsidP="00F0471E">
            <w:pPr>
              <w:jc w:val="center"/>
              <w:rPr>
                <w:bCs/>
                <w:sz w:val="26"/>
                <w:szCs w:val="26"/>
                <w:lang w:eastAsia="lv-LV"/>
              </w:rPr>
            </w:pPr>
            <w:r w:rsidRPr="002F36D8">
              <w:rPr>
                <w:bCs/>
                <w:sz w:val="26"/>
                <w:szCs w:val="26"/>
                <w:lang w:eastAsia="lv-LV"/>
              </w:rPr>
              <w:t>0</w:t>
            </w:r>
          </w:p>
        </w:tc>
        <w:tc>
          <w:tcPr>
            <w:tcW w:w="1439" w:type="dxa"/>
            <w:shd w:val="clear" w:color="auto" w:fill="auto"/>
            <w:vAlign w:val="center"/>
          </w:tcPr>
          <w:p w14:paraId="235EC60D" w14:textId="77777777" w:rsidR="003E0F50" w:rsidRPr="002F36D8" w:rsidRDefault="003E0F50" w:rsidP="003E0F50">
            <w:pPr>
              <w:jc w:val="center"/>
              <w:rPr>
                <w:bCs/>
                <w:sz w:val="26"/>
                <w:szCs w:val="26"/>
                <w:lang w:eastAsia="lv-LV"/>
              </w:rPr>
            </w:pPr>
            <w:r w:rsidRPr="002F36D8">
              <w:rPr>
                <w:bCs/>
                <w:sz w:val="26"/>
                <w:szCs w:val="26"/>
                <w:lang w:eastAsia="lv-LV"/>
              </w:rPr>
              <w:t>0</w:t>
            </w:r>
          </w:p>
        </w:tc>
        <w:tc>
          <w:tcPr>
            <w:tcW w:w="1439" w:type="dxa"/>
            <w:shd w:val="clear" w:color="auto" w:fill="auto"/>
            <w:vAlign w:val="center"/>
          </w:tcPr>
          <w:p w14:paraId="05E09FD1" w14:textId="77777777" w:rsidR="003E0F50" w:rsidRPr="002F36D8" w:rsidRDefault="003E0F50" w:rsidP="003E0F50">
            <w:pPr>
              <w:jc w:val="center"/>
              <w:rPr>
                <w:bCs/>
                <w:sz w:val="26"/>
                <w:szCs w:val="26"/>
                <w:lang w:eastAsia="lv-LV"/>
              </w:rPr>
            </w:pPr>
            <w:r w:rsidRPr="002F36D8">
              <w:rPr>
                <w:bCs/>
                <w:sz w:val="26"/>
                <w:szCs w:val="26"/>
                <w:lang w:eastAsia="lv-LV"/>
              </w:rPr>
              <w:t>0</w:t>
            </w:r>
          </w:p>
        </w:tc>
        <w:tc>
          <w:tcPr>
            <w:tcW w:w="1439" w:type="dxa"/>
            <w:shd w:val="clear" w:color="auto" w:fill="auto"/>
            <w:vAlign w:val="center"/>
          </w:tcPr>
          <w:p w14:paraId="155FC628" w14:textId="77777777" w:rsidR="003E0F50" w:rsidRPr="002F36D8" w:rsidRDefault="003E0F50" w:rsidP="003E0F50">
            <w:pPr>
              <w:jc w:val="center"/>
              <w:rPr>
                <w:bCs/>
                <w:sz w:val="26"/>
                <w:szCs w:val="26"/>
                <w:lang w:eastAsia="lv-LV"/>
              </w:rPr>
            </w:pPr>
            <w:r w:rsidRPr="002F36D8">
              <w:rPr>
                <w:bCs/>
                <w:sz w:val="26"/>
                <w:szCs w:val="26"/>
                <w:lang w:eastAsia="lv-LV"/>
              </w:rPr>
              <w:t>0</w:t>
            </w:r>
          </w:p>
        </w:tc>
      </w:tr>
      <w:tr w:rsidR="003E0F50" w:rsidRPr="00506968" w14:paraId="078C7602" w14:textId="77777777" w:rsidTr="00D60E69">
        <w:tc>
          <w:tcPr>
            <w:tcW w:w="1808" w:type="dxa"/>
          </w:tcPr>
          <w:p w14:paraId="70958806" w14:textId="77777777" w:rsidR="003E0F50" w:rsidRPr="00506968" w:rsidRDefault="003E0F50" w:rsidP="001E5481">
            <w:pPr>
              <w:rPr>
                <w:bCs/>
                <w:sz w:val="26"/>
                <w:szCs w:val="26"/>
                <w:lang w:eastAsia="lv-LV"/>
              </w:rPr>
            </w:pPr>
            <w:r w:rsidRPr="00506968">
              <w:rPr>
                <w:bCs/>
                <w:sz w:val="26"/>
                <w:szCs w:val="26"/>
                <w:lang w:eastAsia="lv-LV"/>
              </w:rPr>
              <w:t>3. Finansiālā ietekme:</w:t>
            </w:r>
          </w:p>
        </w:tc>
        <w:tc>
          <w:tcPr>
            <w:tcW w:w="1423" w:type="dxa"/>
            <w:shd w:val="clear" w:color="auto" w:fill="auto"/>
            <w:vAlign w:val="center"/>
          </w:tcPr>
          <w:p w14:paraId="33903788" w14:textId="77777777" w:rsidR="003E0F50" w:rsidRPr="002F36D8" w:rsidRDefault="003E0F50" w:rsidP="00F0471E">
            <w:pPr>
              <w:jc w:val="center"/>
              <w:rPr>
                <w:bCs/>
                <w:sz w:val="26"/>
                <w:szCs w:val="26"/>
                <w:lang w:eastAsia="lv-LV"/>
              </w:rPr>
            </w:pPr>
            <w:r w:rsidRPr="002F36D8">
              <w:rPr>
                <w:bCs/>
                <w:sz w:val="26"/>
                <w:szCs w:val="26"/>
                <w:lang w:eastAsia="lv-LV"/>
              </w:rPr>
              <w:t>0</w:t>
            </w:r>
          </w:p>
        </w:tc>
        <w:tc>
          <w:tcPr>
            <w:tcW w:w="1513" w:type="dxa"/>
            <w:shd w:val="clear" w:color="auto" w:fill="auto"/>
            <w:vAlign w:val="center"/>
          </w:tcPr>
          <w:p w14:paraId="3EAF1EDE" w14:textId="77777777" w:rsidR="003E0F50" w:rsidRPr="002F36D8" w:rsidRDefault="003E0F50" w:rsidP="00F0471E">
            <w:pPr>
              <w:jc w:val="center"/>
              <w:rPr>
                <w:bCs/>
                <w:sz w:val="26"/>
                <w:szCs w:val="26"/>
                <w:lang w:eastAsia="lv-LV"/>
              </w:rPr>
            </w:pPr>
            <w:r w:rsidRPr="002F36D8">
              <w:rPr>
                <w:bCs/>
                <w:sz w:val="26"/>
                <w:szCs w:val="26"/>
                <w:lang w:eastAsia="lv-LV"/>
              </w:rPr>
              <w:t>0</w:t>
            </w:r>
          </w:p>
        </w:tc>
        <w:tc>
          <w:tcPr>
            <w:tcW w:w="1439" w:type="dxa"/>
            <w:shd w:val="clear" w:color="auto" w:fill="auto"/>
            <w:vAlign w:val="center"/>
          </w:tcPr>
          <w:p w14:paraId="5F4008E8" w14:textId="77777777" w:rsidR="003E0F50" w:rsidRPr="002F36D8" w:rsidRDefault="003E0F50" w:rsidP="003E0F50">
            <w:pPr>
              <w:jc w:val="center"/>
              <w:rPr>
                <w:bCs/>
                <w:sz w:val="26"/>
                <w:szCs w:val="26"/>
                <w:lang w:eastAsia="lv-LV"/>
              </w:rPr>
            </w:pPr>
            <w:r w:rsidRPr="002F36D8">
              <w:rPr>
                <w:bCs/>
                <w:sz w:val="26"/>
                <w:szCs w:val="26"/>
                <w:lang w:eastAsia="lv-LV"/>
              </w:rPr>
              <w:t>0</w:t>
            </w:r>
          </w:p>
        </w:tc>
        <w:tc>
          <w:tcPr>
            <w:tcW w:w="1439" w:type="dxa"/>
            <w:shd w:val="clear" w:color="auto" w:fill="auto"/>
            <w:vAlign w:val="center"/>
          </w:tcPr>
          <w:p w14:paraId="36A29974" w14:textId="77777777" w:rsidR="003E0F50" w:rsidRPr="002F36D8" w:rsidRDefault="003E0F50" w:rsidP="003E0F50">
            <w:pPr>
              <w:jc w:val="center"/>
              <w:rPr>
                <w:bCs/>
                <w:sz w:val="26"/>
                <w:szCs w:val="26"/>
                <w:lang w:eastAsia="lv-LV"/>
              </w:rPr>
            </w:pPr>
            <w:r w:rsidRPr="002F36D8">
              <w:rPr>
                <w:bCs/>
                <w:sz w:val="26"/>
                <w:szCs w:val="26"/>
                <w:lang w:eastAsia="lv-LV"/>
              </w:rPr>
              <w:t>0</w:t>
            </w:r>
          </w:p>
        </w:tc>
        <w:tc>
          <w:tcPr>
            <w:tcW w:w="1439" w:type="dxa"/>
            <w:shd w:val="clear" w:color="auto" w:fill="auto"/>
            <w:vAlign w:val="center"/>
          </w:tcPr>
          <w:p w14:paraId="16E5C392" w14:textId="77777777" w:rsidR="003E0F50" w:rsidRPr="002F36D8" w:rsidRDefault="003E0F50" w:rsidP="003E0F50">
            <w:pPr>
              <w:jc w:val="center"/>
              <w:rPr>
                <w:bCs/>
                <w:sz w:val="26"/>
                <w:szCs w:val="26"/>
                <w:lang w:eastAsia="lv-LV"/>
              </w:rPr>
            </w:pPr>
            <w:r w:rsidRPr="002F36D8">
              <w:rPr>
                <w:bCs/>
                <w:sz w:val="26"/>
                <w:szCs w:val="26"/>
                <w:lang w:eastAsia="lv-LV"/>
              </w:rPr>
              <w:t>0</w:t>
            </w:r>
          </w:p>
        </w:tc>
      </w:tr>
      <w:tr w:rsidR="003E0F50" w:rsidRPr="00506968" w14:paraId="403B0C36" w14:textId="77777777" w:rsidTr="00D60E69">
        <w:tc>
          <w:tcPr>
            <w:tcW w:w="1808" w:type="dxa"/>
          </w:tcPr>
          <w:p w14:paraId="3297E685" w14:textId="77777777" w:rsidR="003E0F50" w:rsidRPr="00506968" w:rsidRDefault="003E0F50" w:rsidP="001E5481">
            <w:pPr>
              <w:rPr>
                <w:bCs/>
                <w:sz w:val="26"/>
                <w:szCs w:val="26"/>
                <w:lang w:eastAsia="lv-LV"/>
              </w:rPr>
            </w:pPr>
            <w:r w:rsidRPr="00506968">
              <w:rPr>
                <w:bCs/>
                <w:sz w:val="26"/>
                <w:szCs w:val="26"/>
                <w:lang w:eastAsia="lv-LV"/>
              </w:rPr>
              <w:t>3.1. valsts pamatbudžets</w:t>
            </w:r>
          </w:p>
        </w:tc>
        <w:tc>
          <w:tcPr>
            <w:tcW w:w="1423" w:type="dxa"/>
            <w:shd w:val="clear" w:color="auto" w:fill="auto"/>
            <w:vAlign w:val="center"/>
          </w:tcPr>
          <w:p w14:paraId="08735436" w14:textId="77777777" w:rsidR="003E0F50" w:rsidRPr="002F36D8" w:rsidRDefault="003E0F50" w:rsidP="00F0471E">
            <w:pPr>
              <w:jc w:val="center"/>
              <w:rPr>
                <w:bCs/>
                <w:sz w:val="26"/>
                <w:szCs w:val="26"/>
                <w:lang w:eastAsia="lv-LV"/>
              </w:rPr>
            </w:pPr>
            <w:r w:rsidRPr="002F36D8">
              <w:rPr>
                <w:bCs/>
                <w:sz w:val="26"/>
                <w:szCs w:val="26"/>
                <w:lang w:eastAsia="lv-LV"/>
              </w:rPr>
              <w:t>0</w:t>
            </w:r>
          </w:p>
        </w:tc>
        <w:tc>
          <w:tcPr>
            <w:tcW w:w="1513" w:type="dxa"/>
            <w:shd w:val="clear" w:color="auto" w:fill="auto"/>
            <w:vAlign w:val="center"/>
          </w:tcPr>
          <w:p w14:paraId="4B725191" w14:textId="77777777" w:rsidR="003E0F50" w:rsidRPr="002F36D8" w:rsidRDefault="003E0F50" w:rsidP="00F0471E">
            <w:pPr>
              <w:jc w:val="center"/>
              <w:rPr>
                <w:bCs/>
                <w:sz w:val="26"/>
                <w:szCs w:val="26"/>
                <w:lang w:eastAsia="lv-LV"/>
              </w:rPr>
            </w:pPr>
            <w:r w:rsidRPr="002F36D8">
              <w:rPr>
                <w:bCs/>
                <w:sz w:val="26"/>
                <w:szCs w:val="26"/>
                <w:lang w:eastAsia="lv-LV"/>
              </w:rPr>
              <w:t>0</w:t>
            </w:r>
          </w:p>
        </w:tc>
        <w:tc>
          <w:tcPr>
            <w:tcW w:w="1439" w:type="dxa"/>
            <w:shd w:val="clear" w:color="auto" w:fill="auto"/>
            <w:vAlign w:val="center"/>
          </w:tcPr>
          <w:p w14:paraId="7BAFF91F" w14:textId="77777777" w:rsidR="003E0F50" w:rsidRPr="002F36D8" w:rsidRDefault="003E0F50" w:rsidP="003E0F50">
            <w:pPr>
              <w:jc w:val="center"/>
              <w:rPr>
                <w:bCs/>
                <w:sz w:val="26"/>
                <w:szCs w:val="26"/>
                <w:lang w:eastAsia="lv-LV"/>
              </w:rPr>
            </w:pPr>
            <w:r w:rsidRPr="002F36D8">
              <w:rPr>
                <w:bCs/>
                <w:sz w:val="26"/>
                <w:szCs w:val="26"/>
                <w:lang w:eastAsia="lv-LV"/>
              </w:rPr>
              <w:t>0</w:t>
            </w:r>
          </w:p>
        </w:tc>
        <w:tc>
          <w:tcPr>
            <w:tcW w:w="1439" w:type="dxa"/>
            <w:shd w:val="clear" w:color="auto" w:fill="auto"/>
            <w:vAlign w:val="center"/>
          </w:tcPr>
          <w:p w14:paraId="28F5051C" w14:textId="77777777" w:rsidR="003E0F50" w:rsidRPr="002F36D8" w:rsidRDefault="003E0F50" w:rsidP="003E0F50">
            <w:pPr>
              <w:jc w:val="center"/>
              <w:rPr>
                <w:bCs/>
                <w:sz w:val="26"/>
                <w:szCs w:val="26"/>
                <w:lang w:eastAsia="lv-LV"/>
              </w:rPr>
            </w:pPr>
            <w:r w:rsidRPr="002F36D8">
              <w:rPr>
                <w:bCs/>
                <w:sz w:val="26"/>
                <w:szCs w:val="26"/>
                <w:lang w:eastAsia="lv-LV"/>
              </w:rPr>
              <w:t>0</w:t>
            </w:r>
          </w:p>
        </w:tc>
        <w:tc>
          <w:tcPr>
            <w:tcW w:w="1439" w:type="dxa"/>
            <w:shd w:val="clear" w:color="auto" w:fill="auto"/>
            <w:vAlign w:val="center"/>
          </w:tcPr>
          <w:p w14:paraId="5AD1DDE9" w14:textId="77777777" w:rsidR="003E0F50" w:rsidRPr="002F36D8" w:rsidRDefault="003E0F50" w:rsidP="003E0F50">
            <w:pPr>
              <w:jc w:val="center"/>
              <w:rPr>
                <w:bCs/>
                <w:sz w:val="26"/>
                <w:szCs w:val="26"/>
                <w:lang w:eastAsia="lv-LV"/>
              </w:rPr>
            </w:pPr>
            <w:r w:rsidRPr="002F36D8">
              <w:rPr>
                <w:bCs/>
                <w:sz w:val="26"/>
                <w:szCs w:val="26"/>
                <w:lang w:eastAsia="lv-LV"/>
              </w:rPr>
              <w:t>0</w:t>
            </w:r>
          </w:p>
        </w:tc>
      </w:tr>
      <w:tr w:rsidR="003E0F50" w:rsidRPr="00506968" w14:paraId="5276C489" w14:textId="77777777" w:rsidTr="00D60E69">
        <w:tc>
          <w:tcPr>
            <w:tcW w:w="1808" w:type="dxa"/>
          </w:tcPr>
          <w:p w14:paraId="345041EB" w14:textId="77777777" w:rsidR="003E0F50" w:rsidRPr="00506968" w:rsidRDefault="003E0F50" w:rsidP="001E5481">
            <w:pPr>
              <w:rPr>
                <w:bCs/>
                <w:sz w:val="26"/>
                <w:szCs w:val="26"/>
                <w:lang w:eastAsia="lv-LV"/>
              </w:rPr>
            </w:pPr>
            <w:r w:rsidRPr="00506968">
              <w:rPr>
                <w:bCs/>
                <w:sz w:val="26"/>
                <w:szCs w:val="26"/>
                <w:lang w:eastAsia="lv-LV"/>
              </w:rPr>
              <w:t>3.2. speciālais budžets</w:t>
            </w:r>
          </w:p>
        </w:tc>
        <w:tc>
          <w:tcPr>
            <w:tcW w:w="1423" w:type="dxa"/>
            <w:shd w:val="clear" w:color="auto" w:fill="auto"/>
            <w:vAlign w:val="center"/>
          </w:tcPr>
          <w:p w14:paraId="05FDA719" w14:textId="77777777" w:rsidR="003E0F50" w:rsidRPr="002F36D8" w:rsidRDefault="003E0F50" w:rsidP="00F0471E">
            <w:pPr>
              <w:jc w:val="center"/>
              <w:rPr>
                <w:bCs/>
                <w:sz w:val="26"/>
                <w:szCs w:val="26"/>
                <w:lang w:eastAsia="lv-LV"/>
              </w:rPr>
            </w:pPr>
            <w:r w:rsidRPr="002F36D8">
              <w:rPr>
                <w:bCs/>
                <w:sz w:val="26"/>
                <w:szCs w:val="26"/>
                <w:lang w:eastAsia="lv-LV"/>
              </w:rPr>
              <w:t>0</w:t>
            </w:r>
          </w:p>
        </w:tc>
        <w:tc>
          <w:tcPr>
            <w:tcW w:w="1513" w:type="dxa"/>
            <w:shd w:val="clear" w:color="auto" w:fill="auto"/>
            <w:vAlign w:val="center"/>
          </w:tcPr>
          <w:p w14:paraId="6F000B93" w14:textId="77777777" w:rsidR="003E0F50" w:rsidRPr="002F36D8" w:rsidRDefault="003E0F50" w:rsidP="00F0471E">
            <w:pPr>
              <w:jc w:val="center"/>
              <w:rPr>
                <w:bCs/>
                <w:sz w:val="26"/>
                <w:szCs w:val="26"/>
                <w:lang w:eastAsia="lv-LV"/>
              </w:rPr>
            </w:pPr>
            <w:r w:rsidRPr="002F36D8">
              <w:rPr>
                <w:bCs/>
                <w:sz w:val="26"/>
                <w:szCs w:val="26"/>
                <w:lang w:eastAsia="lv-LV"/>
              </w:rPr>
              <w:t>0</w:t>
            </w:r>
          </w:p>
        </w:tc>
        <w:tc>
          <w:tcPr>
            <w:tcW w:w="1439" w:type="dxa"/>
            <w:shd w:val="clear" w:color="auto" w:fill="auto"/>
            <w:vAlign w:val="center"/>
          </w:tcPr>
          <w:p w14:paraId="6FC8E7A8" w14:textId="77777777" w:rsidR="003E0F50" w:rsidRPr="002F36D8" w:rsidRDefault="003E0F50" w:rsidP="00F0471E">
            <w:pPr>
              <w:jc w:val="center"/>
              <w:rPr>
                <w:bCs/>
                <w:sz w:val="26"/>
                <w:szCs w:val="26"/>
                <w:lang w:eastAsia="lv-LV"/>
              </w:rPr>
            </w:pPr>
            <w:r w:rsidRPr="002F36D8">
              <w:rPr>
                <w:bCs/>
                <w:sz w:val="26"/>
                <w:szCs w:val="26"/>
                <w:lang w:eastAsia="lv-LV"/>
              </w:rPr>
              <w:t>0</w:t>
            </w:r>
          </w:p>
        </w:tc>
        <w:tc>
          <w:tcPr>
            <w:tcW w:w="1439" w:type="dxa"/>
            <w:shd w:val="clear" w:color="auto" w:fill="auto"/>
            <w:vAlign w:val="center"/>
          </w:tcPr>
          <w:p w14:paraId="096C0F8C" w14:textId="77777777" w:rsidR="003E0F50" w:rsidRPr="002F36D8" w:rsidRDefault="003E0F50" w:rsidP="00027CCB">
            <w:pPr>
              <w:jc w:val="center"/>
              <w:rPr>
                <w:bCs/>
                <w:sz w:val="26"/>
                <w:szCs w:val="26"/>
                <w:lang w:eastAsia="lv-LV"/>
              </w:rPr>
            </w:pPr>
            <w:r w:rsidRPr="002F36D8">
              <w:rPr>
                <w:bCs/>
                <w:sz w:val="26"/>
                <w:szCs w:val="26"/>
                <w:lang w:eastAsia="lv-LV"/>
              </w:rPr>
              <w:t>0</w:t>
            </w:r>
          </w:p>
        </w:tc>
        <w:tc>
          <w:tcPr>
            <w:tcW w:w="1439" w:type="dxa"/>
            <w:shd w:val="clear" w:color="auto" w:fill="auto"/>
            <w:vAlign w:val="center"/>
          </w:tcPr>
          <w:p w14:paraId="119D168C" w14:textId="77777777" w:rsidR="003E0F50" w:rsidRPr="002F36D8" w:rsidRDefault="003E0F50" w:rsidP="00027CCB">
            <w:pPr>
              <w:jc w:val="center"/>
              <w:rPr>
                <w:bCs/>
                <w:sz w:val="26"/>
                <w:szCs w:val="26"/>
                <w:lang w:eastAsia="lv-LV"/>
              </w:rPr>
            </w:pPr>
            <w:r w:rsidRPr="002F36D8">
              <w:rPr>
                <w:bCs/>
                <w:sz w:val="26"/>
                <w:szCs w:val="26"/>
                <w:lang w:eastAsia="lv-LV"/>
              </w:rPr>
              <w:t>0</w:t>
            </w:r>
          </w:p>
        </w:tc>
      </w:tr>
      <w:tr w:rsidR="003E0F50" w:rsidRPr="00506968" w14:paraId="62A2089F" w14:textId="77777777" w:rsidTr="00D60E69">
        <w:tc>
          <w:tcPr>
            <w:tcW w:w="1808" w:type="dxa"/>
          </w:tcPr>
          <w:p w14:paraId="315EA725" w14:textId="77777777" w:rsidR="003E0F50" w:rsidRPr="00506968" w:rsidRDefault="003E0F50" w:rsidP="001E5481">
            <w:pPr>
              <w:rPr>
                <w:bCs/>
                <w:sz w:val="26"/>
                <w:szCs w:val="26"/>
                <w:lang w:eastAsia="lv-LV"/>
              </w:rPr>
            </w:pPr>
            <w:r w:rsidRPr="00506968">
              <w:rPr>
                <w:bCs/>
                <w:sz w:val="26"/>
                <w:szCs w:val="26"/>
                <w:lang w:eastAsia="lv-LV"/>
              </w:rPr>
              <w:t xml:space="preserve">3.3. pašvaldību budžets </w:t>
            </w:r>
          </w:p>
        </w:tc>
        <w:tc>
          <w:tcPr>
            <w:tcW w:w="1423" w:type="dxa"/>
            <w:shd w:val="clear" w:color="auto" w:fill="auto"/>
            <w:vAlign w:val="center"/>
          </w:tcPr>
          <w:p w14:paraId="173EF516" w14:textId="77777777" w:rsidR="003E0F50" w:rsidRPr="002F36D8" w:rsidRDefault="003E0F50" w:rsidP="00F0471E">
            <w:pPr>
              <w:jc w:val="center"/>
              <w:rPr>
                <w:bCs/>
                <w:sz w:val="26"/>
                <w:szCs w:val="26"/>
                <w:lang w:eastAsia="lv-LV"/>
              </w:rPr>
            </w:pPr>
            <w:r w:rsidRPr="002F36D8">
              <w:rPr>
                <w:bCs/>
                <w:sz w:val="26"/>
                <w:szCs w:val="26"/>
                <w:lang w:eastAsia="lv-LV"/>
              </w:rPr>
              <w:t>0</w:t>
            </w:r>
          </w:p>
        </w:tc>
        <w:tc>
          <w:tcPr>
            <w:tcW w:w="1513" w:type="dxa"/>
            <w:shd w:val="clear" w:color="auto" w:fill="auto"/>
            <w:vAlign w:val="center"/>
          </w:tcPr>
          <w:p w14:paraId="654CFAC5" w14:textId="77777777" w:rsidR="003E0F50" w:rsidRPr="002F36D8" w:rsidRDefault="003E0F50" w:rsidP="00F0471E">
            <w:pPr>
              <w:jc w:val="center"/>
              <w:rPr>
                <w:bCs/>
                <w:sz w:val="26"/>
                <w:szCs w:val="26"/>
                <w:lang w:eastAsia="lv-LV"/>
              </w:rPr>
            </w:pPr>
            <w:r w:rsidRPr="002F36D8">
              <w:rPr>
                <w:bCs/>
                <w:sz w:val="26"/>
                <w:szCs w:val="26"/>
                <w:lang w:eastAsia="lv-LV"/>
              </w:rPr>
              <w:t>0</w:t>
            </w:r>
          </w:p>
        </w:tc>
        <w:tc>
          <w:tcPr>
            <w:tcW w:w="1439" w:type="dxa"/>
            <w:shd w:val="clear" w:color="auto" w:fill="auto"/>
            <w:vAlign w:val="center"/>
          </w:tcPr>
          <w:p w14:paraId="553D5718" w14:textId="77777777" w:rsidR="003E0F50" w:rsidRPr="002F36D8" w:rsidRDefault="003E0F50" w:rsidP="00F0471E">
            <w:pPr>
              <w:jc w:val="center"/>
              <w:rPr>
                <w:bCs/>
                <w:sz w:val="26"/>
                <w:szCs w:val="26"/>
                <w:lang w:eastAsia="lv-LV"/>
              </w:rPr>
            </w:pPr>
            <w:r w:rsidRPr="002F36D8">
              <w:rPr>
                <w:bCs/>
                <w:sz w:val="26"/>
                <w:szCs w:val="26"/>
                <w:lang w:eastAsia="lv-LV"/>
              </w:rPr>
              <w:t>0</w:t>
            </w:r>
          </w:p>
        </w:tc>
        <w:tc>
          <w:tcPr>
            <w:tcW w:w="1439" w:type="dxa"/>
            <w:shd w:val="clear" w:color="auto" w:fill="auto"/>
            <w:vAlign w:val="center"/>
          </w:tcPr>
          <w:p w14:paraId="2D431367" w14:textId="77777777" w:rsidR="003E0F50" w:rsidRPr="002F36D8" w:rsidRDefault="003E0F50" w:rsidP="00027CCB">
            <w:pPr>
              <w:jc w:val="center"/>
              <w:rPr>
                <w:bCs/>
                <w:sz w:val="26"/>
                <w:szCs w:val="26"/>
                <w:lang w:eastAsia="lv-LV"/>
              </w:rPr>
            </w:pPr>
            <w:r w:rsidRPr="002F36D8">
              <w:rPr>
                <w:bCs/>
                <w:sz w:val="26"/>
                <w:szCs w:val="26"/>
                <w:lang w:eastAsia="lv-LV"/>
              </w:rPr>
              <w:t>0</w:t>
            </w:r>
          </w:p>
        </w:tc>
        <w:tc>
          <w:tcPr>
            <w:tcW w:w="1439" w:type="dxa"/>
            <w:shd w:val="clear" w:color="auto" w:fill="auto"/>
            <w:vAlign w:val="center"/>
          </w:tcPr>
          <w:p w14:paraId="014C2E8A" w14:textId="77777777" w:rsidR="003E0F50" w:rsidRPr="002F36D8" w:rsidRDefault="003E0F50" w:rsidP="00027CCB">
            <w:pPr>
              <w:jc w:val="center"/>
              <w:rPr>
                <w:bCs/>
                <w:sz w:val="26"/>
                <w:szCs w:val="26"/>
                <w:lang w:eastAsia="lv-LV"/>
              </w:rPr>
            </w:pPr>
            <w:r w:rsidRPr="002F36D8">
              <w:rPr>
                <w:bCs/>
                <w:sz w:val="26"/>
                <w:szCs w:val="26"/>
                <w:lang w:eastAsia="lv-LV"/>
              </w:rPr>
              <w:t>0</w:t>
            </w:r>
          </w:p>
        </w:tc>
      </w:tr>
      <w:tr w:rsidR="003E0F50" w:rsidRPr="00506968" w14:paraId="71F7E3F2" w14:textId="77777777" w:rsidTr="00D60E69">
        <w:tc>
          <w:tcPr>
            <w:tcW w:w="1808" w:type="dxa"/>
          </w:tcPr>
          <w:p w14:paraId="7D31A735" w14:textId="77777777" w:rsidR="003E0F50" w:rsidRPr="00506968" w:rsidRDefault="003E0F50" w:rsidP="001E5481">
            <w:pPr>
              <w:rPr>
                <w:bCs/>
                <w:sz w:val="26"/>
                <w:szCs w:val="26"/>
                <w:lang w:eastAsia="lv-LV"/>
              </w:rPr>
            </w:pPr>
            <w:r w:rsidRPr="00506968">
              <w:rPr>
                <w:bCs/>
                <w:sz w:val="26"/>
                <w:szCs w:val="26"/>
                <w:lang w:eastAsia="lv-LV"/>
              </w:rPr>
              <w:t>4. Finanšu līdzekļi papildu izdevumu finansēšanai (kompensējošu izdevumu samazinājumu norāda ar "+" zīmi)</w:t>
            </w:r>
          </w:p>
        </w:tc>
        <w:tc>
          <w:tcPr>
            <w:tcW w:w="1423" w:type="dxa"/>
            <w:shd w:val="clear" w:color="auto" w:fill="auto"/>
            <w:vAlign w:val="center"/>
          </w:tcPr>
          <w:p w14:paraId="74E893B0" w14:textId="77777777" w:rsidR="003E0F50" w:rsidRPr="002F36D8" w:rsidRDefault="003E0F50" w:rsidP="00F0471E">
            <w:pPr>
              <w:jc w:val="center"/>
              <w:rPr>
                <w:sz w:val="26"/>
                <w:szCs w:val="26"/>
                <w:lang w:eastAsia="lv-LV"/>
              </w:rPr>
            </w:pPr>
            <w:r w:rsidRPr="002F36D8">
              <w:rPr>
                <w:sz w:val="26"/>
                <w:szCs w:val="26"/>
                <w:lang w:eastAsia="lv-LV"/>
              </w:rPr>
              <w:t>x</w:t>
            </w:r>
          </w:p>
        </w:tc>
        <w:tc>
          <w:tcPr>
            <w:tcW w:w="1513" w:type="dxa"/>
            <w:shd w:val="clear" w:color="auto" w:fill="auto"/>
            <w:vAlign w:val="center"/>
          </w:tcPr>
          <w:p w14:paraId="1976B576" w14:textId="77777777" w:rsidR="003E0F50" w:rsidRPr="002F36D8" w:rsidRDefault="003E0F50" w:rsidP="00F0471E">
            <w:pPr>
              <w:jc w:val="center"/>
              <w:rPr>
                <w:sz w:val="26"/>
                <w:szCs w:val="26"/>
                <w:lang w:eastAsia="lv-LV"/>
              </w:rPr>
            </w:pPr>
            <w:r w:rsidRPr="002F36D8">
              <w:rPr>
                <w:sz w:val="26"/>
                <w:szCs w:val="26"/>
                <w:lang w:eastAsia="lv-LV"/>
              </w:rPr>
              <w:t>0</w:t>
            </w:r>
          </w:p>
        </w:tc>
        <w:tc>
          <w:tcPr>
            <w:tcW w:w="1439" w:type="dxa"/>
            <w:shd w:val="clear" w:color="auto" w:fill="auto"/>
            <w:vAlign w:val="center"/>
          </w:tcPr>
          <w:p w14:paraId="7A1C2058" w14:textId="77777777" w:rsidR="003E0F50" w:rsidRPr="002F36D8" w:rsidRDefault="003E0F50" w:rsidP="00F0471E">
            <w:pPr>
              <w:jc w:val="center"/>
              <w:rPr>
                <w:sz w:val="26"/>
                <w:szCs w:val="26"/>
                <w:lang w:eastAsia="lv-LV"/>
              </w:rPr>
            </w:pPr>
            <w:r w:rsidRPr="002F36D8">
              <w:rPr>
                <w:sz w:val="26"/>
                <w:szCs w:val="26"/>
                <w:lang w:eastAsia="lv-LV"/>
              </w:rPr>
              <w:t>0</w:t>
            </w:r>
          </w:p>
        </w:tc>
        <w:tc>
          <w:tcPr>
            <w:tcW w:w="1439" w:type="dxa"/>
            <w:shd w:val="clear" w:color="auto" w:fill="auto"/>
            <w:vAlign w:val="center"/>
          </w:tcPr>
          <w:p w14:paraId="2411BDD1" w14:textId="77777777" w:rsidR="003E0F50" w:rsidRPr="002F36D8" w:rsidRDefault="003E0F50" w:rsidP="00027CCB">
            <w:pPr>
              <w:jc w:val="center"/>
              <w:rPr>
                <w:sz w:val="26"/>
                <w:szCs w:val="26"/>
                <w:lang w:eastAsia="lv-LV"/>
              </w:rPr>
            </w:pPr>
            <w:r w:rsidRPr="002F36D8">
              <w:rPr>
                <w:sz w:val="26"/>
                <w:szCs w:val="26"/>
                <w:lang w:eastAsia="lv-LV"/>
              </w:rPr>
              <w:t>0</w:t>
            </w:r>
          </w:p>
        </w:tc>
        <w:tc>
          <w:tcPr>
            <w:tcW w:w="1439" w:type="dxa"/>
            <w:shd w:val="clear" w:color="auto" w:fill="auto"/>
            <w:vAlign w:val="center"/>
          </w:tcPr>
          <w:p w14:paraId="57ABB97D" w14:textId="77777777" w:rsidR="003E0F50" w:rsidRPr="002F36D8" w:rsidRDefault="003E0F50" w:rsidP="00027CCB">
            <w:pPr>
              <w:jc w:val="center"/>
              <w:rPr>
                <w:sz w:val="26"/>
                <w:szCs w:val="26"/>
                <w:lang w:eastAsia="lv-LV"/>
              </w:rPr>
            </w:pPr>
            <w:r w:rsidRPr="002F36D8">
              <w:rPr>
                <w:sz w:val="26"/>
                <w:szCs w:val="26"/>
                <w:lang w:eastAsia="lv-LV"/>
              </w:rPr>
              <w:t>0</w:t>
            </w:r>
          </w:p>
        </w:tc>
      </w:tr>
      <w:tr w:rsidR="003E0F50" w:rsidRPr="00506968" w14:paraId="6514782F" w14:textId="77777777" w:rsidTr="00D60E69">
        <w:tc>
          <w:tcPr>
            <w:tcW w:w="1808" w:type="dxa"/>
          </w:tcPr>
          <w:p w14:paraId="4DF0BE90" w14:textId="77777777" w:rsidR="003E0F50" w:rsidRPr="00506968" w:rsidRDefault="003E0F50" w:rsidP="001E5481">
            <w:pPr>
              <w:rPr>
                <w:bCs/>
                <w:sz w:val="26"/>
                <w:szCs w:val="26"/>
                <w:lang w:eastAsia="lv-LV"/>
              </w:rPr>
            </w:pPr>
            <w:r w:rsidRPr="00506968">
              <w:rPr>
                <w:bCs/>
                <w:sz w:val="26"/>
                <w:szCs w:val="26"/>
                <w:lang w:eastAsia="lv-LV"/>
              </w:rPr>
              <w:t>5. Precizēta finansiālā ietekme:</w:t>
            </w:r>
          </w:p>
        </w:tc>
        <w:tc>
          <w:tcPr>
            <w:tcW w:w="1423" w:type="dxa"/>
            <w:vMerge w:val="restart"/>
            <w:shd w:val="clear" w:color="auto" w:fill="auto"/>
            <w:vAlign w:val="center"/>
          </w:tcPr>
          <w:p w14:paraId="27CB79B3" w14:textId="77777777" w:rsidR="003E0F50" w:rsidRPr="002F36D8" w:rsidRDefault="003E0F50" w:rsidP="00F0471E">
            <w:pPr>
              <w:jc w:val="center"/>
              <w:rPr>
                <w:sz w:val="26"/>
                <w:szCs w:val="26"/>
                <w:lang w:eastAsia="lv-LV"/>
              </w:rPr>
            </w:pPr>
            <w:r w:rsidRPr="002F36D8">
              <w:rPr>
                <w:sz w:val="26"/>
                <w:szCs w:val="26"/>
                <w:lang w:eastAsia="lv-LV"/>
              </w:rPr>
              <w:t>x</w:t>
            </w:r>
          </w:p>
        </w:tc>
        <w:tc>
          <w:tcPr>
            <w:tcW w:w="1513" w:type="dxa"/>
            <w:shd w:val="clear" w:color="auto" w:fill="auto"/>
            <w:vAlign w:val="center"/>
          </w:tcPr>
          <w:p w14:paraId="44088445" w14:textId="77777777" w:rsidR="003E0F50" w:rsidRPr="002F36D8" w:rsidRDefault="003E0F50" w:rsidP="00F0471E">
            <w:pPr>
              <w:jc w:val="center"/>
              <w:rPr>
                <w:bCs/>
                <w:sz w:val="26"/>
                <w:szCs w:val="26"/>
                <w:lang w:eastAsia="lv-LV"/>
              </w:rPr>
            </w:pPr>
            <w:r w:rsidRPr="002F36D8">
              <w:rPr>
                <w:bCs/>
                <w:sz w:val="26"/>
                <w:szCs w:val="26"/>
                <w:lang w:eastAsia="lv-LV"/>
              </w:rPr>
              <w:t>0</w:t>
            </w:r>
          </w:p>
        </w:tc>
        <w:tc>
          <w:tcPr>
            <w:tcW w:w="1439" w:type="dxa"/>
            <w:shd w:val="clear" w:color="auto" w:fill="auto"/>
            <w:vAlign w:val="center"/>
          </w:tcPr>
          <w:p w14:paraId="15C72668" w14:textId="77777777" w:rsidR="003E0F50" w:rsidRPr="002F36D8" w:rsidRDefault="003E0F50" w:rsidP="003E0F50">
            <w:pPr>
              <w:jc w:val="center"/>
              <w:rPr>
                <w:bCs/>
                <w:sz w:val="26"/>
                <w:szCs w:val="26"/>
                <w:lang w:eastAsia="lv-LV"/>
              </w:rPr>
            </w:pPr>
            <w:r w:rsidRPr="002F36D8">
              <w:rPr>
                <w:bCs/>
                <w:sz w:val="26"/>
                <w:szCs w:val="26"/>
                <w:lang w:eastAsia="lv-LV"/>
              </w:rPr>
              <w:t>0</w:t>
            </w:r>
          </w:p>
        </w:tc>
        <w:tc>
          <w:tcPr>
            <w:tcW w:w="1439" w:type="dxa"/>
            <w:shd w:val="clear" w:color="auto" w:fill="auto"/>
            <w:vAlign w:val="center"/>
          </w:tcPr>
          <w:p w14:paraId="1419275F" w14:textId="77777777" w:rsidR="003E0F50" w:rsidRPr="002F36D8" w:rsidRDefault="003E0F50" w:rsidP="003E0F50">
            <w:pPr>
              <w:jc w:val="center"/>
              <w:rPr>
                <w:bCs/>
                <w:sz w:val="26"/>
                <w:szCs w:val="26"/>
                <w:lang w:eastAsia="lv-LV"/>
              </w:rPr>
            </w:pPr>
            <w:r w:rsidRPr="002F36D8">
              <w:rPr>
                <w:bCs/>
                <w:sz w:val="26"/>
                <w:szCs w:val="26"/>
                <w:lang w:eastAsia="lv-LV"/>
              </w:rPr>
              <w:t>0</w:t>
            </w:r>
          </w:p>
        </w:tc>
        <w:tc>
          <w:tcPr>
            <w:tcW w:w="1439" w:type="dxa"/>
            <w:shd w:val="clear" w:color="auto" w:fill="auto"/>
            <w:vAlign w:val="center"/>
          </w:tcPr>
          <w:p w14:paraId="240814D8" w14:textId="77777777" w:rsidR="003E0F50" w:rsidRPr="002F36D8" w:rsidRDefault="003E0F50" w:rsidP="003E0F50">
            <w:pPr>
              <w:jc w:val="center"/>
              <w:rPr>
                <w:bCs/>
                <w:sz w:val="26"/>
                <w:szCs w:val="26"/>
                <w:lang w:eastAsia="lv-LV"/>
              </w:rPr>
            </w:pPr>
            <w:r w:rsidRPr="002F36D8">
              <w:rPr>
                <w:bCs/>
                <w:sz w:val="26"/>
                <w:szCs w:val="26"/>
                <w:lang w:eastAsia="lv-LV"/>
              </w:rPr>
              <w:t>0</w:t>
            </w:r>
          </w:p>
        </w:tc>
      </w:tr>
      <w:tr w:rsidR="003E0F50" w:rsidRPr="00506968" w14:paraId="2868EA65" w14:textId="77777777" w:rsidTr="00D60E69">
        <w:tc>
          <w:tcPr>
            <w:tcW w:w="1808" w:type="dxa"/>
          </w:tcPr>
          <w:p w14:paraId="5D539B7C" w14:textId="77777777" w:rsidR="003E0F50" w:rsidRPr="00506968" w:rsidRDefault="003E0F50" w:rsidP="001E5481">
            <w:pPr>
              <w:rPr>
                <w:bCs/>
                <w:sz w:val="26"/>
                <w:szCs w:val="26"/>
                <w:lang w:eastAsia="lv-LV"/>
              </w:rPr>
            </w:pPr>
            <w:r w:rsidRPr="00506968">
              <w:rPr>
                <w:bCs/>
                <w:sz w:val="26"/>
                <w:szCs w:val="26"/>
                <w:lang w:eastAsia="lv-LV"/>
              </w:rPr>
              <w:t>5.1. valsts pamatbudžets</w:t>
            </w:r>
          </w:p>
        </w:tc>
        <w:tc>
          <w:tcPr>
            <w:tcW w:w="1423" w:type="dxa"/>
            <w:vMerge/>
            <w:shd w:val="clear" w:color="auto" w:fill="auto"/>
            <w:vAlign w:val="center"/>
          </w:tcPr>
          <w:p w14:paraId="6B80B9EA" w14:textId="77777777" w:rsidR="003E0F50" w:rsidRPr="002F36D8" w:rsidRDefault="003E0F50" w:rsidP="00F0471E">
            <w:pPr>
              <w:jc w:val="center"/>
              <w:rPr>
                <w:bCs/>
                <w:sz w:val="26"/>
                <w:szCs w:val="26"/>
                <w:lang w:eastAsia="lv-LV"/>
              </w:rPr>
            </w:pPr>
          </w:p>
        </w:tc>
        <w:tc>
          <w:tcPr>
            <w:tcW w:w="1513" w:type="dxa"/>
            <w:shd w:val="clear" w:color="auto" w:fill="auto"/>
            <w:vAlign w:val="center"/>
          </w:tcPr>
          <w:p w14:paraId="446925FE" w14:textId="77777777" w:rsidR="003E0F50" w:rsidRPr="002F36D8" w:rsidRDefault="003E0F50" w:rsidP="00F0471E">
            <w:pPr>
              <w:jc w:val="center"/>
              <w:rPr>
                <w:bCs/>
                <w:sz w:val="26"/>
                <w:szCs w:val="26"/>
                <w:lang w:eastAsia="lv-LV"/>
              </w:rPr>
            </w:pPr>
            <w:r w:rsidRPr="002F36D8">
              <w:rPr>
                <w:bCs/>
                <w:sz w:val="26"/>
                <w:szCs w:val="26"/>
                <w:lang w:eastAsia="lv-LV"/>
              </w:rPr>
              <w:t>0</w:t>
            </w:r>
          </w:p>
        </w:tc>
        <w:tc>
          <w:tcPr>
            <w:tcW w:w="1439" w:type="dxa"/>
            <w:shd w:val="clear" w:color="auto" w:fill="auto"/>
            <w:vAlign w:val="center"/>
          </w:tcPr>
          <w:p w14:paraId="10E34EFA" w14:textId="77777777" w:rsidR="003E0F50" w:rsidRPr="002F36D8" w:rsidRDefault="003E0F50" w:rsidP="003E0F50">
            <w:pPr>
              <w:jc w:val="center"/>
              <w:rPr>
                <w:bCs/>
                <w:sz w:val="26"/>
                <w:szCs w:val="26"/>
                <w:lang w:eastAsia="lv-LV"/>
              </w:rPr>
            </w:pPr>
            <w:r w:rsidRPr="002F36D8">
              <w:rPr>
                <w:bCs/>
                <w:sz w:val="26"/>
                <w:szCs w:val="26"/>
                <w:lang w:eastAsia="lv-LV"/>
              </w:rPr>
              <w:t>0</w:t>
            </w:r>
          </w:p>
        </w:tc>
        <w:tc>
          <w:tcPr>
            <w:tcW w:w="1439" w:type="dxa"/>
            <w:shd w:val="clear" w:color="auto" w:fill="auto"/>
            <w:vAlign w:val="center"/>
          </w:tcPr>
          <w:p w14:paraId="7B598E28" w14:textId="77777777" w:rsidR="003E0F50" w:rsidRPr="002F36D8" w:rsidRDefault="003E0F50" w:rsidP="003E0F50">
            <w:pPr>
              <w:jc w:val="center"/>
              <w:rPr>
                <w:bCs/>
                <w:sz w:val="26"/>
                <w:szCs w:val="26"/>
                <w:lang w:eastAsia="lv-LV"/>
              </w:rPr>
            </w:pPr>
            <w:r w:rsidRPr="002F36D8">
              <w:rPr>
                <w:bCs/>
                <w:sz w:val="26"/>
                <w:szCs w:val="26"/>
                <w:lang w:eastAsia="lv-LV"/>
              </w:rPr>
              <w:t>0</w:t>
            </w:r>
          </w:p>
        </w:tc>
        <w:tc>
          <w:tcPr>
            <w:tcW w:w="1439" w:type="dxa"/>
            <w:shd w:val="clear" w:color="auto" w:fill="auto"/>
            <w:vAlign w:val="center"/>
          </w:tcPr>
          <w:p w14:paraId="35AF7D5B" w14:textId="77777777" w:rsidR="003E0F50" w:rsidRPr="002F36D8" w:rsidRDefault="003E0F50" w:rsidP="003E0F50">
            <w:pPr>
              <w:jc w:val="center"/>
              <w:rPr>
                <w:bCs/>
                <w:sz w:val="26"/>
                <w:szCs w:val="26"/>
                <w:lang w:eastAsia="lv-LV"/>
              </w:rPr>
            </w:pPr>
            <w:r w:rsidRPr="002F36D8">
              <w:rPr>
                <w:bCs/>
                <w:sz w:val="26"/>
                <w:szCs w:val="26"/>
                <w:lang w:eastAsia="lv-LV"/>
              </w:rPr>
              <w:t>0</w:t>
            </w:r>
          </w:p>
        </w:tc>
      </w:tr>
      <w:tr w:rsidR="003E0F50" w:rsidRPr="00506968" w14:paraId="6A298ABB" w14:textId="77777777" w:rsidTr="00D60E69">
        <w:tc>
          <w:tcPr>
            <w:tcW w:w="1808" w:type="dxa"/>
          </w:tcPr>
          <w:p w14:paraId="5BF4F277" w14:textId="77777777" w:rsidR="003E0F50" w:rsidRPr="00506968" w:rsidRDefault="003E0F50" w:rsidP="001E5481">
            <w:pPr>
              <w:rPr>
                <w:bCs/>
                <w:sz w:val="26"/>
                <w:szCs w:val="26"/>
                <w:lang w:eastAsia="lv-LV"/>
              </w:rPr>
            </w:pPr>
            <w:r w:rsidRPr="00506968">
              <w:rPr>
                <w:bCs/>
                <w:sz w:val="26"/>
                <w:szCs w:val="26"/>
                <w:lang w:eastAsia="lv-LV"/>
              </w:rPr>
              <w:t>5.2. speciālais budžets</w:t>
            </w:r>
          </w:p>
        </w:tc>
        <w:tc>
          <w:tcPr>
            <w:tcW w:w="1423" w:type="dxa"/>
            <w:vMerge/>
            <w:shd w:val="clear" w:color="auto" w:fill="auto"/>
            <w:vAlign w:val="center"/>
          </w:tcPr>
          <w:p w14:paraId="5F06ADE6" w14:textId="77777777" w:rsidR="003E0F50" w:rsidRPr="002F36D8" w:rsidRDefault="003E0F50" w:rsidP="00F0471E">
            <w:pPr>
              <w:jc w:val="center"/>
              <w:rPr>
                <w:bCs/>
                <w:sz w:val="26"/>
                <w:szCs w:val="26"/>
                <w:lang w:eastAsia="lv-LV"/>
              </w:rPr>
            </w:pPr>
          </w:p>
        </w:tc>
        <w:tc>
          <w:tcPr>
            <w:tcW w:w="1513" w:type="dxa"/>
            <w:shd w:val="clear" w:color="auto" w:fill="auto"/>
            <w:vAlign w:val="center"/>
          </w:tcPr>
          <w:p w14:paraId="1E4A3543" w14:textId="77777777" w:rsidR="003E0F50" w:rsidRPr="002F36D8" w:rsidRDefault="003E0F50" w:rsidP="00F0471E">
            <w:pPr>
              <w:jc w:val="center"/>
              <w:rPr>
                <w:bCs/>
                <w:sz w:val="26"/>
                <w:szCs w:val="26"/>
                <w:lang w:eastAsia="lv-LV"/>
              </w:rPr>
            </w:pPr>
            <w:r w:rsidRPr="002F36D8">
              <w:rPr>
                <w:bCs/>
                <w:sz w:val="26"/>
                <w:szCs w:val="26"/>
                <w:lang w:eastAsia="lv-LV"/>
              </w:rPr>
              <w:t>0</w:t>
            </w:r>
          </w:p>
        </w:tc>
        <w:tc>
          <w:tcPr>
            <w:tcW w:w="1439" w:type="dxa"/>
            <w:shd w:val="clear" w:color="auto" w:fill="auto"/>
            <w:vAlign w:val="center"/>
          </w:tcPr>
          <w:p w14:paraId="1FEA039D" w14:textId="77777777" w:rsidR="003E0F50" w:rsidRPr="002F36D8" w:rsidRDefault="003E0F50" w:rsidP="00F0471E">
            <w:pPr>
              <w:jc w:val="center"/>
              <w:rPr>
                <w:bCs/>
                <w:sz w:val="26"/>
                <w:szCs w:val="26"/>
                <w:lang w:eastAsia="lv-LV"/>
              </w:rPr>
            </w:pPr>
            <w:r w:rsidRPr="002F36D8">
              <w:rPr>
                <w:bCs/>
                <w:sz w:val="26"/>
                <w:szCs w:val="26"/>
                <w:lang w:eastAsia="lv-LV"/>
              </w:rPr>
              <w:t>0</w:t>
            </w:r>
          </w:p>
        </w:tc>
        <w:tc>
          <w:tcPr>
            <w:tcW w:w="1439" w:type="dxa"/>
            <w:shd w:val="clear" w:color="auto" w:fill="auto"/>
            <w:vAlign w:val="center"/>
          </w:tcPr>
          <w:p w14:paraId="6F996151" w14:textId="77777777" w:rsidR="003E0F50" w:rsidRPr="002F36D8" w:rsidRDefault="003E0F50" w:rsidP="00F0471E">
            <w:pPr>
              <w:jc w:val="center"/>
              <w:rPr>
                <w:bCs/>
                <w:sz w:val="26"/>
                <w:szCs w:val="26"/>
                <w:lang w:eastAsia="lv-LV"/>
              </w:rPr>
            </w:pPr>
            <w:r w:rsidRPr="002F36D8">
              <w:rPr>
                <w:bCs/>
                <w:sz w:val="26"/>
                <w:szCs w:val="26"/>
                <w:lang w:eastAsia="lv-LV"/>
              </w:rPr>
              <w:t>0</w:t>
            </w:r>
          </w:p>
        </w:tc>
        <w:tc>
          <w:tcPr>
            <w:tcW w:w="1439" w:type="dxa"/>
            <w:shd w:val="clear" w:color="auto" w:fill="auto"/>
            <w:vAlign w:val="center"/>
          </w:tcPr>
          <w:p w14:paraId="6A3764F9" w14:textId="77777777" w:rsidR="003E0F50" w:rsidRPr="002F36D8" w:rsidRDefault="003E0F50" w:rsidP="00F0471E">
            <w:pPr>
              <w:jc w:val="center"/>
              <w:rPr>
                <w:bCs/>
                <w:sz w:val="26"/>
                <w:szCs w:val="26"/>
                <w:lang w:eastAsia="lv-LV"/>
              </w:rPr>
            </w:pPr>
            <w:r w:rsidRPr="002F36D8">
              <w:rPr>
                <w:bCs/>
                <w:sz w:val="26"/>
                <w:szCs w:val="26"/>
                <w:lang w:eastAsia="lv-LV"/>
              </w:rPr>
              <w:t>0</w:t>
            </w:r>
          </w:p>
        </w:tc>
      </w:tr>
      <w:tr w:rsidR="003E0F50" w:rsidRPr="00506968" w14:paraId="5B7B1EE0" w14:textId="77777777" w:rsidTr="00D60E69">
        <w:tc>
          <w:tcPr>
            <w:tcW w:w="1808" w:type="dxa"/>
          </w:tcPr>
          <w:p w14:paraId="56BC25D0" w14:textId="77777777" w:rsidR="003E0F50" w:rsidRPr="00506968" w:rsidRDefault="003E0F50" w:rsidP="001E5481">
            <w:pPr>
              <w:rPr>
                <w:bCs/>
                <w:sz w:val="26"/>
                <w:szCs w:val="26"/>
                <w:lang w:eastAsia="lv-LV"/>
              </w:rPr>
            </w:pPr>
            <w:r w:rsidRPr="00506968">
              <w:rPr>
                <w:bCs/>
                <w:sz w:val="26"/>
                <w:szCs w:val="26"/>
                <w:lang w:eastAsia="lv-LV"/>
              </w:rPr>
              <w:t xml:space="preserve">5.3. pašvaldību budžets </w:t>
            </w:r>
          </w:p>
        </w:tc>
        <w:tc>
          <w:tcPr>
            <w:tcW w:w="1423" w:type="dxa"/>
            <w:vMerge/>
            <w:vAlign w:val="center"/>
          </w:tcPr>
          <w:p w14:paraId="0B037C66" w14:textId="77777777" w:rsidR="003E0F50" w:rsidRPr="00506968" w:rsidRDefault="003E0F50" w:rsidP="00F0471E">
            <w:pPr>
              <w:jc w:val="center"/>
              <w:rPr>
                <w:bCs/>
                <w:sz w:val="26"/>
                <w:szCs w:val="26"/>
                <w:lang w:eastAsia="lv-LV"/>
              </w:rPr>
            </w:pPr>
          </w:p>
        </w:tc>
        <w:tc>
          <w:tcPr>
            <w:tcW w:w="1513" w:type="dxa"/>
            <w:vAlign w:val="center"/>
          </w:tcPr>
          <w:p w14:paraId="1FC814BF" w14:textId="77777777" w:rsidR="003E0F50" w:rsidRPr="00506968" w:rsidRDefault="003E0F50" w:rsidP="00F0471E">
            <w:pPr>
              <w:jc w:val="center"/>
              <w:rPr>
                <w:bCs/>
                <w:sz w:val="26"/>
                <w:szCs w:val="26"/>
                <w:lang w:eastAsia="lv-LV"/>
              </w:rPr>
            </w:pPr>
            <w:r w:rsidRPr="00506968">
              <w:rPr>
                <w:bCs/>
                <w:sz w:val="26"/>
                <w:szCs w:val="26"/>
                <w:lang w:eastAsia="lv-LV"/>
              </w:rPr>
              <w:t>0</w:t>
            </w:r>
          </w:p>
        </w:tc>
        <w:tc>
          <w:tcPr>
            <w:tcW w:w="1439" w:type="dxa"/>
            <w:vAlign w:val="center"/>
          </w:tcPr>
          <w:p w14:paraId="59D0A5FF" w14:textId="77777777" w:rsidR="003E0F50" w:rsidRPr="00506968" w:rsidRDefault="003E0F50" w:rsidP="00F0471E">
            <w:pPr>
              <w:jc w:val="center"/>
              <w:rPr>
                <w:bCs/>
                <w:sz w:val="26"/>
                <w:szCs w:val="26"/>
                <w:lang w:eastAsia="lv-LV"/>
              </w:rPr>
            </w:pPr>
            <w:r w:rsidRPr="00506968">
              <w:rPr>
                <w:bCs/>
                <w:sz w:val="26"/>
                <w:szCs w:val="26"/>
                <w:lang w:eastAsia="lv-LV"/>
              </w:rPr>
              <w:t>0</w:t>
            </w:r>
          </w:p>
        </w:tc>
        <w:tc>
          <w:tcPr>
            <w:tcW w:w="1439" w:type="dxa"/>
            <w:vAlign w:val="center"/>
          </w:tcPr>
          <w:p w14:paraId="347D13D6" w14:textId="77777777" w:rsidR="003E0F50" w:rsidRPr="00506968" w:rsidRDefault="003E0F50" w:rsidP="00F0471E">
            <w:pPr>
              <w:jc w:val="center"/>
              <w:rPr>
                <w:bCs/>
                <w:sz w:val="26"/>
                <w:szCs w:val="26"/>
                <w:lang w:eastAsia="lv-LV"/>
              </w:rPr>
            </w:pPr>
            <w:r w:rsidRPr="00506968">
              <w:rPr>
                <w:bCs/>
                <w:sz w:val="26"/>
                <w:szCs w:val="26"/>
                <w:lang w:eastAsia="lv-LV"/>
              </w:rPr>
              <w:t>0</w:t>
            </w:r>
          </w:p>
        </w:tc>
        <w:tc>
          <w:tcPr>
            <w:tcW w:w="1439" w:type="dxa"/>
            <w:vAlign w:val="center"/>
          </w:tcPr>
          <w:p w14:paraId="3D6EB74F" w14:textId="77777777" w:rsidR="003E0F50" w:rsidRPr="00506968" w:rsidRDefault="003E0F50" w:rsidP="00F0471E">
            <w:pPr>
              <w:jc w:val="center"/>
              <w:rPr>
                <w:bCs/>
                <w:sz w:val="26"/>
                <w:szCs w:val="26"/>
                <w:lang w:eastAsia="lv-LV"/>
              </w:rPr>
            </w:pPr>
            <w:r w:rsidRPr="00506968">
              <w:rPr>
                <w:bCs/>
                <w:sz w:val="26"/>
                <w:szCs w:val="26"/>
                <w:lang w:eastAsia="lv-LV"/>
              </w:rPr>
              <w:t>0</w:t>
            </w:r>
          </w:p>
        </w:tc>
      </w:tr>
      <w:tr w:rsidR="003E0F50" w:rsidRPr="00506968" w14:paraId="24793314" w14:textId="77777777" w:rsidTr="00D60E69">
        <w:tc>
          <w:tcPr>
            <w:tcW w:w="1808" w:type="dxa"/>
          </w:tcPr>
          <w:p w14:paraId="1D5C54AA" w14:textId="77777777" w:rsidR="003E0F50" w:rsidRPr="00506968" w:rsidRDefault="003E0F50" w:rsidP="001E5481">
            <w:pPr>
              <w:rPr>
                <w:bCs/>
                <w:sz w:val="26"/>
                <w:szCs w:val="26"/>
                <w:lang w:eastAsia="lv-LV"/>
              </w:rPr>
            </w:pPr>
            <w:r w:rsidRPr="00506968">
              <w:rPr>
                <w:bCs/>
                <w:sz w:val="26"/>
                <w:szCs w:val="26"/>
                <w:lang w:eastAsia="lv-LV"/>
              </w:rPr>
              <w:t xml:space="preserve">6. Detalizēts ieņēmumu un izdevumu </w:t>
            </w:r>
            <w:r w:rsidRPr="00506968">
              <w:rPr>
                <w:bCs/>
                <w:sz w:val="26"/>
                <w:szCs w:val="26"/>
                <w:lang w:eastAsia="lv-LV"/>
              </w:rPr>
              <w:lastRenderedPageBreak/>
              <w:t>aprēķins (ja nepieciešams, detalizētu ieņēmumu un izdevumu aprēķinu var pievienot anotācijas pielikumā):</w:t>
            </w:r>
          </w:p>
        </w:tc>
        <w:tc>
          <w:tcPr>
            <w:tcW w:w="7253" w:type="dxa"/>
            <w:gridSpan w:val="5"/>
            <w:vMerge w:val="restart"/>
          </w:tcPr>
          <w:p w14:paraId="2B1C59E0" w14:textId="223C92D6" w:rsidR="00961DF0" w:rsidRPr="00961DF0" w:rsidRDefault="00FD26A1" w:rsidP="00961DF0">
            <w:pPr>
              <w:jc w:val="both"/>
              <w:rPr>
                <w:bCs/>
                <w:sz w:val="26"/>
                <w:szCs w:val="26"/>
                <w:lang w:eastAsia="lv-LV"/>
              </w:rPr>
            </w:pPr>
            <w:bookmarkStart w:id="0" w:name="RANGE!A2:K9"/>
            <w:bookmarkEnd w:id="0"/>
            <w:r>
              <w:rPr>
                <w:sz w:val="26"/>
                <w:szCs w:val="26"/>
                <w:lang w:eastAsia="lv-LV"/>
              </w:rPr>
              <w:lastRenderedPageBreak/>
              <w:t xml:space="preserve">       </w:t>
            </w:r>
          </w:p>
          <w:p w14:paraId="7A28B6B3" w14:textId="5A98986C" w:rsidR="00FD26A1" w:rsidRPr="00FD26A1" w:rsidRDefault="00FD26A1" w:rsidP="00FD26A1">
            <w:pPr>
              <w:jc w:val="both"/>
              <w:rPr>
                <w:sz w:val="26"/>
                <w:szCs w:val="26"/>
                <w:lang w:eastAsia="lv-LV"/>
              </w:rPr>
            </w:pPr>
          </w:p>
          <w:p w14:paraId="06F5F308" w14:textId="77777777" w:rsidR="003E0F50" w:rsidRPr="00506968" w:rsidRDefault="003E0F50" w:rsidP="00FD26A1">
            <w:pPr>
              <w:jc w:val="both"/>
              <w:rPr>
                <w:sz w:val="26"/>
                <w:szCs w:val="26"/>
                <w:lang w:eastAsia="lv-LV"/>
              </w:rPr>
            </w:pPr>
          </w:p>
        </w:tc>
      </w:tr>
      <w:tr w:rsidR="003E0F50" w:rsidRPr="00506968" w14:paraId="326D7DED" w14:textId="77777777" w:rsidTr="00D60E69">
        <w:tc>
          <w:tcPr>
            <w:tcW w:w="1808" w:type="dxa"/>
          </w:tcPr>
          <w:p w14:paraId="58A95072" w14:textId="77777777" w:rsidR="003E0F50" w:rsidRPr="00506968" w:rsidRDefault="003E0F50" w:rsidP="001E5481">
            <w:pPr>
              <w:rPr>
                <w:bCs/>
                <w:sz w:val="26"/>
                <w:szCs w:val="26"/>
                <w:lang w:eastAsia="lv-LV"/>
              </w:rPr>
            </w:pPr>
            <w:r w:rsidRPr="00506968">
              <w:rPr>
                <w:bCs/>
                <w:sz w:val="26"/>
                <w:szCs w:val="26"/>
                <w:lang w:eastAsia="lv-LV"/>
              </w:rPr>
              <w:t>6.1. detalizēts ieņēmumu aprēķins</w:t>
            </w:r>
          </w:p>
        </w:tc>
        <w:tc>
          <w:tcPr>
            <w:tcW w:w="7253" w:type="dxa"/>
            <w:gridSpan w:val="5"/>
            <w:vMerge/>
          </w:tcPr>
          <w:p w14:paraId="727FF882" w14:textId="77777777" w:rsidR="003E0F50" w:rsidRPr="00506968" w:rsidRDefault="003E0F50" w:rsidP="00CE62FF">
            <w:pPr>
              <w:rPr>
                <w:sz w:val="26"/>
                <w:szCs w:val="26"/>
                <w:lang w:eastAsia="lv-LV"/>
              </w:rPr>
            </w:pPr>
          </w:p>
        </w:tc>
      </w:tr>
      <w:tr w:rsidR="003E0F50" w:rsidRPr="00506968" w14:paraId="669B228D" w14:textId="77777777" w:rsidTr="00D60E69">
        <w:tc>
          <w:tcPr>
            <w:tcW w:w="1808" w:type="dxa"/>
          </w:tcPr>
          <w:p w14:paraId="2D84B9C0" w14:textId="77777777" w:rsidR="003E0F50" w:rsidRPr="00506968" w:rsidRDefault="003E0F50" w:rsidP="00F0471E">
            <w:pPr>
              <w:rPr>
                <w:bCs/>
                <w:sz w:val="26"/>
                <w:szCs w:val="26"/>
                <w:lang w:eastAsia="lv-LV"/>
              </w:rPr>
            </w:pPr>
            <w:r w:rsidRPr="00506968">
              <w:rPr>
                <w:bCs/>
                <w:sz w:val="26"/>
                <w:szCs w:val="26"/>
                <w:lang w:eastAsia="lv-LV"/>
              </w:rPr>
              <w:t>6.2. detalizēts izdevumu aprēķins</w:t>
            </w:r>
          </w:p>
        </w:tc>
        <w:tc>
          <w:tcPr>
            <w:tcW w:w="7253" w:type="dxa"/>
            <w:gridSpan w:val="5"/>
            <w:vMerge/>
          </w:tcPr>
          <w:p w14:paraId="57D6CD9F" w14:textId="77777777" w:rsidR="003E0F50" w:rsidRPr="00506968" w:rsidRDefault="003E0F50" w:rsidP="00CE62FF">
            <w:pPr>
              <w:rPr>
                <w:sz w:val="26"/>
                <w:szCs w:val="26"/>
                <w:lang w:eastAsia="lv-LV"/>
              </w:rPr>
            </w:pPr>
          </w:p>
        </w:tc>
      </w:tr>
      <w:tr w:rsidR="003E0F50" w:rsidRPr="00506968" w14:paraId="643261A8" w14:textId="77777777" w:rsidTr="00D60E69">
        <w:tc>
          <w:tcPr>
            <w:tcW w:w="1808" w:type="dxa"/>
          </w:tcPr>
          <w:p w14:paraId="68897A99" w14:textId="77777777" w:rsidR="003E0F50" w:rsidRPr="00506968" w:rsidRDefault="003E0F50" w:rsidP="001E5481">
            <w:pPr>
              <w:rPr>
                <w:bCs/>
                <w:sz w:val="26"/>
                <w:szCs w:val="26"/>
                <w:lang w:eastAsia="lv-LV"/>
              </w:rPr>
            </w:pPr>
            <w:r w:rsidRPr="00506968">
              <w:rPr>
                <w:bCs/>
                <w:sz w:val="26"/>
                <w:szCs w:val="26"/>
                <w:lang w:eastAsia="lv-LV"/>
              </w:rPr>
              <w:t>7. Cita informācija</w:t>
            </w:r>
          </w:p>
        </w:tc>
        <w:tc>
          <w:tcPr>
            <w:tcW w:w="7253" w:type="dxa"/>
            <w:gridSpan w:val="5"/>
          </w:tcPr>
          <w:p w14:paraId="7D3137B0" w14:textId="29848B46" w:rsidR="003E0F50" w:rsidRPr="00506968" w:rsidRDefault="00FD26A1" w:rsidP="00483002">
            <w:pPr>
              <w:jc w:val="both"/>
              <w:rPr>
                <w:color w:val="FF0000"/>
                <w:sz w:val="26"/>
                <w:szCs w:val="26"/>
                <w:lang w:eastAsia="lv-LV"/>
              </w:rPr>
            </w:pPr>
            <w:r w:rsidRPr="002C3D34">
              <w:rPr>
                <w:sz w:val="26"/>
                <w:szCs w:val="26"/>
                <w:lang w:eastAsia="lv-LV"/>
              </w:rPr>
              <w:t xml:space="preserve">      VID datu centra telpu </w:t>
            </w:r>
            <w:r w:rsidR="000665C5">
              <w:rPr>
                <w:sz w:val="26"/>
                <w:szCs w:val="26"/>
                <w:lang w:eastAsia="lv-LV"/>
              </w:rPr>
              <w:t>nomas maksas</w:t>
            </w:r>
            <w:r w:rsidRPr="002C3D34">
              <w:rPr>
                <w:sz w:val="26"/>
                <w:szCs w:val="26"/>
                <w:lang w:eastAsia="lv-LV"/>
              </w:rPr>
              <w:t xml:space="preserve"> </w:t>
            </w:r>
            <w:r w:rsidR="00483002">
              <w:rPr>
                <w:sz w:val="26"/>
                <w:szCs w:val="26"/>
                <w:lang w:eastAsia="lv-LV"/>
              </w:rPr>
              <w:t>finansējum</w:t>
            </w:r>
            <w:r w:rsidR="00C2178C">
              <w:rPr>
                <w:sz w:val="26"/>
                <w:szCs w:val="26"/>
                <w:lang w:eastAsia="lv-LV"/>
              </w:rPr>
              <w:t xml:space="preserve">s </w:t>
            </w:r>
            <w:r w:rsidRPr="002C3D34">
              <w:rPr>
                <w:sz w:val="26"/>
                <w:szCs w:val="26"/>
                <w:lang w:eastAsia="lv-LV"/>
              </w:rPr>
              <w:t xml:space="preserve">tiks </w:t>
            </w:r>
            <w:r w:rsidR="00483002">
              <w:rPr>
                <w:sz w:val="26"/>
                <w:szCs w:val="26"/>
                <w:lang w:eastAsia="lv-LV"/>
              </w:rPr>
              <w:t>izmantots</w:t>
            </w:r>
            <w:r w:rsidRPr="002C3D34">
              <w:rPr>
                <w:sz w:val="26"/>
                <w:szCs w:val="26"/>
                <w:lang w:eastAsia="lv-LV"/>
              </w:rPr>
              <w:t xml:space="preserve"> </w:t>
            </w:r>
            <w:r w:rsidRPr="000665C5">
              <w:rPr>
                <w:sz w:val="26"/>
                <w:szCs w:val="26"/>
                <w:lang w:eastAsia="lv-LV"/>
              </w:rPr>
              <w:t xml:space="preserve">uzlabota </w:t>
            </w:r>
            <w:r w:rsidRPr="002C3D34">
              <w:rPr>
                <w:sz w:val="26"/>
                <w:szCs w:val="26"/>
                <w:lang w:eastAsia="lv-LV"/>
              </w:rPr>
              <w:t>datu centra pakalpojuma</w:t>
            </w:r>
            <w:r w:rsidR="00483002">
              <w:rPr>
                <w:sz w:val="26"/>
                <w:szCs w:val="26"/>
                <w:lang w:eastAsia="lv-LV"/>
              </w:rPr>
              <w:t>, ko sniegs</w:t>
            </w:r>
            <w:r w:rsidRPr="002C3D34">
              <w:rPr>
                <w:sz w:val="26"/>
                <w:szCs w:val="26"/>
                <w:lang w:eastAsia="lv-LV"/>
              </w:rPr>
              <w:t xml:space="preserve"> VESPC</w:t>
            </w:r>
            <w:r w:rsidR="00483002">
              <w:rPr>
                <w:sz w:val="26"/>
                <w:szCs w:val="26"/>
                <w:lang w:eastAsia="lv-LV"/>
              </w:rPr>
              <w:t>,</w:t>
            </w:r>
            <w:r w:rsidRPr="002C3D34">
              <w:rPr>
                <w:sz w:val="26"/>
                <w:szCs w:val="26"/>
                <w:lang w:eastAsia="lv-LV"/>
              </w:rPr>
              <w:t xml:space="preserve"> </w:t>
            </w:r>
            <w:r w:rsidR="00483002">
              <w:rPr>
                <w:sz w:val="26"/>
                <w:szCs w:val="26"/>
                <w:lang w:eastAsia="lv-LV"/>
              </w:rPr>
              <w:t>apmaksai</w:t>
            </w:r>
            <w:r w:rsidRPr="002C3D34">
              <w:rPr>
                <w:sz w:val="26"/>
                <w:szCs w:val="26"/>
                <w:lang w:eastAsia="lv-LV"/>
              </w:rPr>
              <w:t>.</w:t>
            </w:r>
            <w:r w:rsidR="00483002" w:rsidRPr="00961DF0">
              <w:rPr>
                <w:sz w:val="26"/>
                <w:szCs w:val="26"/>
                <w:lang w:eastAsia="lv-LV"/>
              </w:rPr>
              <w:t xml:space="preserve"> Datu centra platības nomas izdevumi 2017.gada 4 mēnešiem (septembris-decembris) ir 176 142,75 </w:t>
            </w:r>
            <w:r w:rsidR="00483002" w:rsidRPr="00961DF0">
              <w:rPr>
                <w:i/>
                <w:sz w:val="26"/>
                <w:szCs w:val="26"/>
                <w:lang w:eastAsia="lv-LV"/>
              </w:rPr>
              <w:t>euro</w:t>
            </w:r>
            <w:r w:rsidR="00483002" w:rsidRPr="00961DF0">
              <w:rPr>
                <w:sz w:val="26"/>
                <w:szCs w:val="26"/>
                <w:lang w:eastAsia="lv-LV"/>
              </w:rPr>
              <w:t xml:space="preserve"> (aprēķins: datu centra nomas maksa mēnesī 36 393,13</w:t>
            </w:r>
            <w:r w:rsidR="00483002" w:rsidRPr="00961DF0">
              <w:rPr>
                <w:bCs/>
                <w:sz w:val="26"/>
                <w:szCs w:val="26"/>
                <w:lang w:eastAsia="lv-LV"/>
              </w:rPr>
              <w:t xml:space="preserve"> </w:t>
            </w:r>
            <w:r w:rsidR="00483002" w:rsidRPr="00961DF0">
              <w:rPr>
                <w:bCs/>
                <w:i/>
                <w:sz w:val="26"/>
                <w:szCs w:val="26"/>
                <w:lang w:eastAsia="lv-LV"/>
              </w:rPr>
              <w:t>euro</w:t>
            </w:r>
            <w:r w:rsidR="00483002" w:rsidRPr="00961DF0">
              <w:rPr>
                <w:sz w:val="26"/>
                <w:szCs w:val="26"/>
                <w:lang w:eastAsia="lv-LV"/>
              </w:rPr>
              <w:t xml:space="preserve"> x 4 mēneši x </w:t>
            </w:r>
            <w:r w:rsidR="00483002" w:rsidRPr="00961DF0">
              <w:rPr>
                <w:bCs/>
                <w:sz w:val="26"/>
                <w:szCs w:val="26"/>
                <w:lang w:eastAsia="lv-LV"/>
              </w:rPr>
              <w:t xml:space="preserve">1,21 (t.sk. PVN)), </w:t>
            </w:r>
            <w:r w:rsidR="00483002" w:rsidRPr="00961DF0">
              <w:rPr>
                <w:sz w:val="26"/>
                <w:szCs w:val="26"/>
                <w:lang w:eastAsia="lv-LV"/>
              </w:rPr>
              <w:t xml:space="preserve">2018.gadā un turpmāk ik gadu </w:t>
            </w:r>
            <w:r w:rsidR="00483002" w:rsidRPr="00961DF0">
              <w:rPr>
                <w:bCs/>
                <w:sz w:val="26"/>
                <w:szCs w:val="26"/>
                <w:lang w:eastAsia="lv-LV"/>
              </w:rPr>
              <w:t xml:space="preserve">528 428,25 </w:t>
            </w:r>
            <w:r w:rsidR="00483002" w:rsidRPr="00961DF0">
              <w:rPr>
                <w:bCs/>
                <w:i/>
                <w:sz w:val="26"/>
                <w:szCs w:val="26"/>
                <w:lang w:eastAsia="lv-LV"/>
              </w:rPr>
              <w:t>euro</w:t>
            </w:r>
            <w:r w:rsidR="00483002" w:rsidRPr="00961DF0">
              <w:rPr>
                <w:bCs/>
                <w:sz w:val="26"/>
                <w:szCs w:val="26"/>
                <w:lang w:eastAsia="lv-LV"/>
              </w:rPr>
              <w:t xml:space="preserve"> (aprēķins: </w:t>
            </w:r>
            <w:r w:rsidR="00483002" w:rsidRPr="00961DF0">
              <w:rPr>
                <w:sz w:val="26"/>
                <w:szCs w:val="26"/>
                <w:lang w:eastAsia="lv-LV"/>
              </w:rPr>
              <w:t>datu centra nomas maksa mēnesī 36 393,13</w:t>
            </w:r>
            <w:r w:rsidR="00483002" w:rsidRPr="00961DF0">
              <w:rPr>
                <w:bCs/>
                <w:sz w:val="26"/>
                <w:szCs w:val="26"/>
                <w:lang w:eastAsia="lv-LV"/>
              </w:rPr>
              <w:t xml:space="preserve"> </w:t>
            </w:r>
            <w:r w:rsidR="00483002" w:rsidRPr="00961DF0">
              <w:rPr>
                <w:bCs/>
                <w:i/>
                <w:sz w:val="26"/>
                <w:szCs w:val="26"/>
                <w:lang w:eastAsia="lv-LV"/>
              </w:rPr>
              <w:t>euro</w:t>
            </w:r>
            <w:r w:rsidR="00483002" w:rsidRPr="00961DF0">
              <w:rPr>
                <w:bCs/>
                <w:sz w:val="26"/>
                <w:szCs w:val="26"/>
                <w:lang w:eastAsia="lv-LV"/>
              </w:rPr>
              <w:t xml:space="preserve"> x 12 mēneši x 1,21 (t.sk. PVN)), bet 2044.gada 4 mēnešiem</w:t>
            </w:r>
            <w:r w:rsidR="00483002" w:rsidRPr="00961DF0">
              <w:rPr>
                <w:sz w:val="26"/>
                <w:szCs w:val="26"/>
                <w:lang w:eastAsia="lv-LV"/>
              </w:rPr>
              <w:t xml:space="preserve"> </w:t>
            </w:r>
            <w:r w:rsidR="00483002" w:rsidRPr="00961DF0">
              <w:rPr>
                <w:bCs/>
                <w:sz w:val="26"/>
                <w:szCs w:val="26"/>
                <w:lang w:eastAsia="lv-LV"/>
              </w:rPr>
              <w:t xml:space="preserve">176 142,75 </w:t>
            </w:r>
            <w:r w:rsidR="00483002" w:rsidRPr="00961DF0">
              <w:rPr>
                <w:bCs/>
                <w:i/>
                <w:sz w:val="26"/>
                <w:szCs w:val="26"/>
                <w:lang w:eastAsia="lv-LV"/>
              </w:rPr>
              <w:t>euro</w:t>
            </w:r>
            <w:r w:rsidR="00483002" w:rsidRPr="00961DF0">
              <w:rPr>
                <w:bCs/>
                <w:sz w:val="26"/>
                <w:szCs w:val="26"/>
                <w:lang w:eastAsia="lv-LV"/>
              </w:rPr>
              <w:t xml:space="preserve"> (aprēķins: </w:t>
            </w:r>
            <w:r w:rsidR="00483002" w:rsidRPr="00961DF0">
              <w:rPr>
                <w:sz w:val="26"/>
                <w:szCs w:val="26"/>
                <w:lang w:eastAsia="lv-LV"/>
              </w:rPr>
              <w:t>datu centra nomas maksa mēnesī 36 393,13</w:t>
            </w:r>
            <w:r w:rsidR="00483002" w:rsidRPr="00961DF0">
              <w:rPr>
                <w:bCs/>
                <w:sz w:val="26"/>
                <w:szCs w:val="26"/>
                <w:lang w:eastAsia="lv-LV"/>
              </w:rPr>
              <w:t xml:space="preserve"> </w:t>
            </w:r>
            <w:r w:rsidR="00483002" w:rsidRPr="00961DF0">
              <w:rPr>
                <w:bCs/>
                <w:i/>
                <w:sz w:val="26"/>
                <w:szCs w:val="26"/>
                <w:lang w:eastAsia="lv-LV"/>
              </w:rPr>
              <w:t>euro</w:t>
            </w:r>
            <w:r w:rsidR="00483002" w:rsidRPr="00961DF0">
              <w:rPr>
                <w:bCs/>
                <w:sz w:val="26"/>
                <w:szCs w:val="26"/>
                <w:lang w:eastAsia="lv-LV"/>
              </w:rPr>
              <w:t xml:space="preserve"> x 4 mēneši x 1,21 (t.sk. PVN)).</w:t>
            </w:r>
          </w:p>
        </w:tc>
      </w:tr>
    </w:tbl>
    <w:p w14:paraId="7BD95AA5" w14:textId="77777777" w:rsidR="00CE62FF" w:rsidRPr="00506968" w:rsidRDefault="00CE62FF" w:rsidP="00CE62FF">
      <w:pPr>
        <w:spacing w:after="0" w:line="240" w:lineRule="auto"/>
        <w:rPr>
          <w:sz w:val="26"/>
          <w:szCs w:val="26"/>
          <w:lang w:eastAsia="lv-LV"/>
        </w:rPr>
      </w:pPr>
    </w:p>
    <w:tbl>
      <w:tblPr>
        <w:tblStyle w:val="TableGrid"/>
        <w:tblW w:w="0" w:type="auto"/>
        <w:tblLook w:val="04A0" w:firstRow="1" w:lastRow="0" w:firstColumn="1" w:lastColumn="0" w:noHBand="0" w:noVBand="1"/>
      </w:tblPr>
      <w:tblGrid>
        <w:gridCol w:w="665"/>
        <w:gridCol w:w="4434"/>
        <w:gridCol w:w="3962"/>
      </w:tblGrid>
      <w:tr w:rsidR="00F0471E" w:rsidRPr="00506968" w14:paraId="6C8538DF" w14:textId="77777777" w:rsidTr="00F0471E">
        <w:tc>
          <w:tcPr>
            <w:tcW w:w="9287" w:type="dxa"/>
            <w:gridSpan w:val="3"/>
          </w:tcPr>
          <w:p w14:paraId="5C776C5E" w14:textId="77777777" w:rsidR="00F0471E" w:rsidRPr="00506968" w:rsidRDefault="00F0471E" w:rsidP="00F0471E">
            <w:pPr>
              <w:jc w:val="center"/>
              <w:rPr>
                <w:sz w:val="26"/>
                <w:szCs w:val="26"/>
                <w:lang w:eastAsia="lv-LV"/>
              </w:rPr>
            </w:pPr>
            <w:r w:rsidRPr="00506968">
              <w:rPr>
                <w:b/>
                <w:bCs/>
                <w:sz w:val="26"/>
                <w:szCs w:val="26"/>
                <w:lang w:eastAsia="lv-LV"/>
              </w:rPr>
              <w:t>VII. Tiesību akta projekta izpildes nodrošināšana un tās ietekme uz institūcijām</w:t>
            </w:r>
          </w:p>
        </w:tc>
      </w:tr>
      <w:tr w:rsidR="00F0471E" w:rsidRPr="00506968" w14:paraId="547D8A7F" w14:textId="77777777" w:rsidTr="00F0471E">
        <w:tc>
          <w:tcPr>
            <w:tcW w:w="675" w:type="dxa"/>
          </w:tcPr>
          <w:p w14:paraId="4DE3C456" w14:textId="77777777" w:rsidR="00F0471E" w:rsidRPr="00506968" w:rsidRDefault="00F0471E" w:rsidP="00E219AC">
            <w:pPr>
              <w:spacing w:before="100" w:beforeAutospacing="1" w:after="100" w:afterAutospacing="1"/>
              <w:jc w:val="both"/>
              <w:rPr>
                <w:sz w:val="26"/>
                <w:szCs w:val="26"/>
                <w:lang w:eastAsia="lv-LV"/>
              </w:rPr>
            </w:pPr>
            <w:r w:rsidRPr="00506968">
              <w:rPr>
                <w:sz w:val="26"/>
                <w:szCs w:val="26"/>
                <w:lang w:eastAsia="lv-LV"/>
              </w:rPr>
              <w:t>1.</w:t>
            </w:r>
          </w:p>
        </w:tc>
        <w:tc>
          <w:tcPr>
            <w:tcW w:w="4536" w:type="dxa"/>
          </w:tcPr>
          <w:p w14:paraId="35F004DD" w14:textId="77777777" w:rsidR="00F0471E" w:rsidRPr="00506968" w:rsidRDefault="00F0471E" w:rsidP="00E219AC">
            <w:pPr>
              <w:spacing w:before="100" w:beforeAutospacing="1" w:after="100" w:afterAutospacing="1"/>
              <w:jc w:val="both"/>
              <w:rPr>
                <w:sz w:val="26"/>
                <w:szCs w:val="26"/>
                <w:lang w:eastAsia="lv-LV"/>
              </w:rPr>
            </w:pPr>
            <w:r w:rsidRPr="00506968">
              <w:rPr>
                <w:sz w:val="26"/>
                <w:szCs w:val="26"/>
                <w:lang w:eastAsia="lv-LV"/>
              </w:rPr>
              <w:t>Projekta izpildē iesaistītās institūcijas</w:t>
            </w:r>
          </w:p>
        </w:tc>
        <w:tc>
          <w:tcPr>
            <w:tcW w:w="4076" w:type="dxa"/>
          </w:tcPr>
          <w:p w14:paraId="53F76228" w14:textId="77777777" w:rsidR="00F0471E" w:rsidRPr="00506968" w:rsidRDefault="00F0471E" w:rsidP="003B125A">
            <w:pPr>
              <w:jc w:val="both"/>
              <w:rPr>
                <w:sz w:val="26"/>
                <w:szCs w:val="26"/>
                <w:lang w:eastAsia="lv-LV"/>
              </w:rPr>
            </w:pPr>
            <w:r w:rsidRPr="00506968">
              <w:rPr>
                <w:sz w:val="26"/>
                <w:szCs w:val="26"/>
              </w:rPr>
              <w:t xml:space="preserve">FM (VID) </w:t>
            </w:r>
          </w:p>
        </w:tc>
      </w:tr>
      <w:tr w:rsidR="00F0471E" w:rsidRPr="00506968" w14:paraId="0FF52CB9" w14:textId="77777777" w:rsidTr="005C45E0">
        <w:tc>
          <w:tcPr>
            <w:tcW w:w="675" w:type="dxa"/>
          </w:tcPr>
          <w:p w14:paraId="6F370E8A" w14:textId="77777777" w:rsidR="00F0471E" w:rsidRPr="00506968" w:rsidRDefault="00F0471E" w:rsidP="00E219AC">
            <w:pPr>
              <w:spacing w:before="100" w:beforeAutospacing="1" w:after="100" w:afterAutospacing="1"/>
              <w:jc w:val="both"/>
              <w:rPr>
                <w:sz w:val="26"/>
                <w:szCs w:val="26"/>
                <w:lang w:eastAsia="lv-LV"/>
              </w:rPr>
            </w:pPr>
            <w:r w:rsidRPr="00506968">
              <w:rPr>
                <w:sz w:val="26"/>
                <w:szCs w:val="26"/>
                <w:lang w:eastAsia="lv-LV"/>
              </w:rPr>
              <w:t>2.</w:t>
            </w:r>
          </w:p>
        </w:tc>
        <w:tc>
          <w:tcPr>
            <w:tcW w:w="4536" w:type="dxa"/>
          </w:tcPr>
          <w:p w14:paraId="2E35AD42" w14:textId="77777777" w:rsidR="00F0471E" w:rsidRPr="00506968" w:rsidRDefault="00F0471E" w:rsidP="00E219AC">
            <w:pPr>
              <w:jc w:val="both"/>
              <w:rPr>
                <w:sz w:val="26"/>
                <w:szCs w:val="26"/>
                <w:lang w:eastAsia="lv-LV"/>
              </w:rPr>
            </w:pPr>
            <w:r w:rsidRPr="00506968">
              <w:rPr>
                <w:sz w:val="26"/>
                <w:szCs w:val="26"/>
                <w:lang w:eastAsia="lv-LV"/>
              </w:rPr>
              <w:t xml:space="preserve">Projekta izpildes ietekme uz pārvaldes funkcijām un institucionālo struktūru. </w:t>
            </w:r>
          </w:p>
          <w:p w14:paraId="5C4490D2" w14:textId="77777777" w:rsidR="00F0471E" w:rsidRPr="00506968" w:rsidRDefault="00F0471E" w:rsidP="00E219AC">
            <w:pPr>
              <w:jc w:val="both"/>
              <w:rPr>
                <w:sz w:val="26"/>
                <w:szCs w:val="26"/>
                <w:lang w:eastAsia="lv-LV"/>
              </w:rPr>
            </w:pPr>
            <w:r w:rsidRPr="00506968">
              <w:rPr>
                <w:sz w:val="26"/>
                <w:szCs w:val="26"/>
                <w:lang w:eastAsia="lv-LV"/>
              </w:rPr>
              <w:t>Jaunu institūciju izveide, esošu institūciju likvidācija vai reorganizācija, to ietekme uz institūcijas cilvēkresursiem</w:t>
            </w:r>
          </w:p>
        </w:tc>
        <w:tc>
          <w:tcPr>
            <w:tcW w:w="4076" w:type="dxa"/>
          </w:tcPr>
          <w:p w14:paraId="4D74ABF1" w14:textId="77777777" w:rsidR="00F0471E" w:rsidRPr="00506968" w:rsidRDefault="00F0471E" w:rsidP="00E219AC">
            <w:pPr>
              <w:spacing w:before="100" w:beforeAutospacing="1" w:after="100" w:afterAutospacing="1"/>
              <w:jc w:val="both"/>
              <w:rPr>
                <w:sz w:val="26"/>
                <w:szCs w:val="26"/>
                <w:lang w:eastAsia="lv-LV"/>
              </w:rPr>
            </w:pPr>
            <w:r w:rsidRPr="00506968">
              <w:rPr>
                <w:sz w:val="26"/>
                <w:szCs w:val="26"/>
                <w:lang w:eastAsia="lv-LV"/>
              </w:rPr>
              <w:t>Projekts šo jomu neskar.</w:t>
            </w:r>
          </w:p>
        </w:tc>
      </w:tr>
      <w:tr w:rsidR="00F0471E" w:rsidRPr="00506968" w14:paraId="5928864C" w14:textId="77777777" w:rsidTr="005C45E0">
        <w:tc>
          <w:tcPr>
            <w:tcW w:w="675" w:type="dxa"/>
          </w:tcPr>
          <w:p w14:paraId="4BC16576" w14:textId="77777777" w:rsidR="00F0471E" w:rsidRPr="00506968" w:rsidRDefault="00F0471E" w:rsidP="00E219AC">
            <w:pPr>
              <w:jc w:val="both"/>
              <w:rPr>
                <w:sz w:val="26"/>
                <w:szCs w:val="26"/>
                <w:lang w:eastAsia="lv-LV"/>
              </w:rPr>
            </w:pPr>
            <w:r w:rsidRPr="00506968">
              <w:rPr>
                <w:sz w:val="26"/>
                <w:szCs w:val="26"/>
                <w:lang w:eastAsia="lv-LV"/>
              </w:rPr>
              <w:t>3.</w:t>
            </w:r>
          </w:p>
        </w:tc>
        <w:tc>
          <w:tcPr>
            <w:tcW w:w="4536" w:type="dxa"/>
          </w:tcPr>
          <w:p w14:paraId="555E38CE" w14:textId="77777777" w:rsidR="00F0471E" w:rsidRPr="00506968" w:rsidRDefault="00F0471E" w:rsidP="00E219AC">
            <w:pPr>
              <w:jc w:val="both"/>
              <w:rPr>
                <w:sz w:val="26"/>
                <w:szCs w:val="26"/>
                <w:lang w:eastAsia="lv-LV"/>
              </w:rPr>
            </w:pPr>
            <w:r w:rsidRPr="00506968">
              <w:rPr>
                <w:sz w:val="26"/>
                <w:szCs w:val="26"/>
                <w:lang w:eastAsia="lv-LV"/>
              </w:rPr>
              <w:t>Cita informācija</w:t>
            </w:r>
          </w:p>
        </w:tc>
        <w:tc>
          <w:tcPr>
            <w:tcW w:w="4076" w:type="dxa"/>
          </w:tcPr>
          <w:p w14:paraId="1AB627FB" w14:textId="77777777" w:rsidR="00F0471E" w:rsidRPr="00506968" w:rsidRDefault="00F0471E" w:rsidP="00E219AC">
            <w:pPr>
              <w:jc w:val="both"/>
              <w:rPr>
                <w:sz w:val="26"/>
                <w:szCs w:val="26"/>
                <w:lang w:eastAsia="lv-LV"/>
              </w:rPr>
            </w:pPr>
            <w:r w:rsidRPr="00506968">
              <w:rPr>
                <w:sz w:val="26"/>
                <w:szCs w:val="26"/>
                <w:lang w:eastAsia="lv-LV"/>
              </w:rPr>
              <w:t>Nav.</w:t>
            </w:r>
          </w:p>
        </w:tc>
      </w:tr>
    </w:tbl>
    <w:p w14:paraId="02B501B5" w14:textId="77777777" w:rsidR="00FD26A1" w:rsidRDefault="00FD26A1" w:rsidP="00E219AC">
      <w:pPr>
        <w:tabs>
          <w:tab w:val="left" w:pos="2552"/>
        </w:tabs>
        <w:spacing w:after="0" w:line="240" w:lineRule="auto"/>
        <w:jc w:val="both"/>
        <w:rPr>
          <w:bCs/>
          <w:sz w:val="26"/>
          <w:szCs w:val="26"/>
          <w:lang w:eastAsia="lv-LV"/>
        </w:rPr>
      </w:pPr>
    </w:p>
    <w:p w14:paraId="750F2609" w14:textId="77777777" w:rsidR="001A1014" w:rsidRPr="00FD26A1" w:rsidRDefault="00163A32" w:rsidP="00E219AC">
      <w:pPr>
        <w:tabs>
          <w:tab w:val="left" w:pos="2552"/>
        </w:tabs>
        <w:spacing w:after="0" w:line="240" w:lineRule="auto"/>
        <w:jc w:val="both"/>
        <w:rPr>
          <w:bCs/>
          <w:szCs w:val="26"/>
          <w:lang w:eastAsia="lv-LV"/>
        </w:rPr>
      </w:pPr>
      <w:r w:rsidRPr="00FD26A1">
        <w:rPr>
          <w:bCs/>
          <w:szCs w:val="26"/>
          <w:lang w:eastAsia="lv-LV"/>
        </w:rPr>
        <w:t xml:space="preserve">Anotācijas </w:t>
      </w:r>
      <w:r w:rsidR="008C77E2" w:rsidRPr="00FD26A1">
        <w:rPr>
          <w:bCs/>
          <w:szCs w:val="26"/>
          <w:lang w:eastAsia="lv-LV"/>
        </w:rPr>
        <w:t xml:space="preserve">II, </w:t>
      </w:r>
      <w:r w:rsidR="00F00BC9" w:rsidRPr="00FD26A1">
        <w:rPr>
          <w:bCs/>
          <w:szCs w:val="26"/>
          <w:lang w:eastAsia="lv-LV"/>
        </w:rPr>
        <w:t xml:space="preserve">IV, V </w:t>
      </w:r>
      <w:r w:rsidRPr="00FD26A1">
        <w:rPr>
          <w:bCs/>
          <w:szCs w:val="26"/>
          <w:lang w:eastAsia="lv-LV"/>
        </w:rPr>
        <w:t>un V</w:t>
      </w:r>
      <w:r w:rsidR="00F00BC9" w:rsidRPr="00FD26A1">
        <w:rPr>
          <w:bCs/>
          <w:szCs w:val="26"/>
          <w:lang w:eastAsia="lv-LV"/>
        </w:rPr>
        <w:t>I</w:t>
      </w:r>
      <w:r w:rsidR="001A1014" w:rsidRPr="00FD26A1">
        <w:rPr>
          <w:bCs/>
          <w:szCs w:val="26"/>
          <w:lang w:eastAsia="lv-LV"/>
        </w:rPr>
        <w:t xml:space="preserve"> </w:t>
      </w:r>
      <w:r w:rsidRPr="00FD26A1">
        <w:rPr>
          <w:bCs/>
          <w:szCs w:val="26"/>
          <w:lang w:eastAsia="lv-LV"/>
        </w:rPr>
        <w:t>s</w:t>
      </w:r>
      <w:r w:rsidR="001A1014" w:rsidRPr="00FD26A1">
        <w:rPr>
          <w:bCs/>
          <w:szCs w:val="26"/>
          <w:lang w:eastAsia="lv-LV"/>
        </w:rPr>
        <w:t>adaļa –</w:t>
      </w:r>
      <w:r w:rsidR="00726CB2" w:rsidRPr="00FD26A1">
        <w:rPr>
          <w:bCs/>
          <w:szCs w:val="26"/>
          <w:lang w:eastAsia="lv-LV"/>
        </w:rPr>
        <w:t xml:space="preserve"> </w:t>
      </w:r>
      <w:r w:rsidR="001A1014" w:rsidRPr="00FD26A1">
        <w:rPr>
          <w:bCs/>
          <w:szCs w:val="26"/>
          <w:lang w:eastAsia="lv-LV"/>
        </w:rPr>
        <w:t>projekts šīs jomas neskar.</w:t>
      </w:r>
    </w:p>
    <w:p w14:paraId="286DF9CE" w14:textId="59A8F399" w:rsidR="00FD26A1" w:rsidRDefault="00FD26A1" w:rsidP="00FD26A1">
      <w:pPr>
        <w:spacing w:after="0"/>
        <w:rPr>
          <w:szCs w:val="26"/>
          <w:lang w:eastAsia="lv-LV"/>
        </w:rPr>
      </w:pPr>
    </w:p>
    <w:p w14:paraId="419629EC" w14:textId="77777777" w:rsidR="00D05976" w:rsidRPr="00FD26A1" w:rsidRDefault="00D05976" w:rsidP="00FD26A1">
      <w:pPr>
        <w:spacing w:after="0"/>
        <w:rPr>
          <w:szCs w:val="26"/>
          <w:lang w:eastAsia="lv-LV"/>
        </w:rPr>
      </w:pPr>
    </w:p>
    <w:p w14:paraId="62AEE4A0" w14:textId="458B819A" w:rsidR="00817DCA" w:rsidRDefault="00FD26A1" w:rsidP="005678AC">
      <w:pPr>
        <w:spacing w:after="0"/>
        <w:rPr>
          <w:sz w:val="24"/>
          <w:szCs w:val="24"/>
        </w:rPr>
      </w:pPr>
      <w:r w:rsidRPr="00FD26A1">
        <w:rPr>
          <w:szCs w:val="26"/>
          <w:lang w:eastAsia="lv-LV"/>
        </w:rPr>
        <w:t xml:space="preserve">Finanšu ministre </w:t>
      </w:r>
      <w:r w:rsidRPr="00FD26A1">
        <w:rPr>
          <w:szCs w:val="26"/>
          <w:lang w:eastAsia="lv-LV"/>
        </w:rPr>
        <w:tab/>
      </w:r>
      <w:r w:rsidRPr="00FD26A1">
        <w:rPr>
          <w:szCs w:val="26"/>
          <w:lang w:eastAsia="lv-LV"/>
        </w:rPr>
        <w:tab/>
      </w:r>
      <w:r w:rsidRPr="00FD26A1">
        <w:rPr>
          <w:szCs w:val="26"/>
          <w:lang w:eastAsia="lv-LV"/>
        </w:rPr>
        <w:tab/>
      </w:r>
      <w:r w:rsidRPr="00FD26A1">
        <w:rPr>
          <w:szCs w:val="26"/>
          <w:lang w:eastAsia="lv-LV"/>
        </w:rPr>
        <w:tab/>
      </w:r>
      <w:r w:rsidRPr="00FD26A1">
        <w:rPr>
          <w:szCs w:val="26"/>
          <w:lang w:eastAsia="lv-LV"/>
        </w:rPr>
        <w:tab/>
      </w:r>
      <w:r w:rsidRPr="00FD26A1">
        <w:rPr>
          <w:szCs w:val="26"/>
          <w:lang w:eastAsia="lv-LV"/>
        </w:rPr>
        <w:tab/>
      </w:r>
      <w:r w:rsidRPr="00FD26A1">
        <w:rPr>
          <w:szCs w:val="26"/>
          <w:lang w:eastAsia="lv-LV"/>
        </w:rPr>
        <w:tab/>
        <w:t>D.Reizniece-Ozola</w:t>
      </w:r>
    </w:p>
    <w:p w14:paraId="242768C0" w14:textId="77777777" w:rsidR="00817DCA" w:rsidRDefault="00817DCA" w:rsidP="00FD26A1">
      <w:pPr>
        <w:pStyle w:val="Header"/>
        <w:tabs>
          <w:tab w:val="clear" w:pos="4153"/>
          <w:tab w:val="clear" w:pos="8306"/>
        </w:tabs>
        <w:spacing w:after="0" w:line="240" w:lineRule="auto"/>
        <w:rPr>
          <w:sz w:val="24"/>
          <w:szCs w:val="24"/>
        </w:rPr>
      </w:pPr>
    </w:p>
    <w:p w14:paraId="44CB945D" w14:textId="77777777" w:rsidR="00817DCA" w:rsidRDefault="00817DCA" w:rsidP="00FD26A1">
      <w:pPr>
        <w:pStyle w:val="Header"/>
        <w:tabs>
          <w:tab w:val="clear" w:pos="4153"/>
          <w:tab w:val="clear" w:pos="8306"/>
        </w:tabs>
        <w:spacing w:after="0" w:line="240" w:lineRule="auto"/>
        <w:rPr>
          <w:sz w:val="24"/>
          <w:szCs w:val="24"/>
        </w:rPr>
      </w:pPr>
    </w:p>
    <w:p w14:paraId="4867A824" w14:textId="77777777" w:rsidR="00817DCA" w:rsidRDefault="00817DCA" w:rsidP="00FD26A1">
      <w:pPr>
        <w:pStyle w:val="Header"/>
        <w:tabs>
          <w:tab w:val="clear" w:pos="4153"/>
          <w:tab w:val="clear" w:pos="8306"/>
        </w:tabs>
        <w:spacing w:after="0" w:line="240" w:lineRule="auto"/>
        <w:rPr>
          <w:sz w:val="24"/>
          <w:szCs w:val="24"/>
        </w:rPr>
      </w:pPr>
    </w:p>
    <w:p w14:paraId="5EEE2AD8" w14:textId="213D5161" w:rsidR="00FD26A1" w:rsidRPr="00AD76D9" w:rsidRDefault="00131CCE" w:rsidP="00FD26A1">
      <w:pPr>
        <w:pStyle w:val="Header"/>
        <w:tabs>
          <w:tab w:val="clear" w:pos="4153"/>
          <w:tab w:val="clear" w:pos="8306"/>
        </w:tabs>
        <w:spacing w:after="0" w:line="240" w:lineRule="auto"/>
        <w:rPr>
          <w:sz w:val="20"/>
          <w:szCs w:val="20"/>
        </w:rPr>
      </w:pPr>
      <w:r w:rsidRPr="00AD76D9">
        <w:rPr>
          <w:sz w:val="20"/>
          <w:szCs w:val="20"/>
        </w:rPr>
        <w:t>Štendenberga</w:t>
      </w:r>
      <w:r w:rsidR="00FD26A1" w:rsidRPr="00AD76D9">
        <w:rPr>
          <w:sz w:val="20"/>
          <w:szCs w:val="20"/>
        </w:rPr>
        <w:t xml:space="preserve"> </w:t>
      </w:r>
      <w:r w:rsidR="00AB2CBE" w:rsidRPr="00AD76D9">
        <w:rPr>
          <w:sz w:val="20"/>
          <w:szCs w:val="20"/>
        </w:rPr>
        <w:t>67</w:t>
      </w:r>
      <w:r w:rsidR="00B3557F" w:rsidRPr="00AD76D9">
        <w:rPr>
          <w:sz w:val="20"/>
          <w:szCs w:val="20"/>
        </w:rPr>
        <w:t>1202</w:t>
      </w:r>
      <w:r w:rsidRPr="00AD76D9">
        <w:rPr>
          <w:sz w:val="20"/>
          <w:szCs w:val="20"/>
        </w:rPr>
        <w:t>43</w:t>
      </w:r>
    </w:p>
    <w:p w14:paraId="71EE9B6C" w14:textId="7A9E8756" w:rsidR="002E66A7" w:rsidRPr="00FD26A1" w:rsidRDefault="00932625" w:rsidP="00FD26A1">
      <w:pPr>
        <w:pStyle w:val="Header"/>
        <w:tabs>
          <w:tab w:val="clear" w:pos="4153"/>
          <w:tab w:val="clear" w:pos="8306"/>
        </w:tabs>
        <w:spacing w:after="0" w:line="240" w:lineRule="auto"/>
        <w:rPr>
          <w:sz w:val="24"/>
          <w:szCs w:val="24"/>
        </w:rPr>
      </w:pPr>
      <w:hyperlink r:id="rId8" w:history="1">
        <w:r w:rsidR="00131CCE" w:rsidRPr="00AD76D9">
          <w:rPr>
            <w:rStyle w:val="Hyperlink"/>
            <w:sz w:val="20"/>
            <w:szCs w:val="20"/>
          </w:rPr>
          <w:t>Sanita.Stendenberga@vid.gov.lv</w:t>
        </w:r>
      </w:hyperlink>
      <w:bookmarkStart w:id="1" w:name="_GoBack"/>
      <w:bookmarkEnd w:id="1"/>
    </w:p>
    <w:sectPr w:rsidR="002E66A7" w:rsidRPr="00FD26A1" w:rsidSect="00023FBE">
      <w:headerReference w:type="even" r:id="rId9"/>
      <w:headerReference w:type="default" r:id="rId10"/>
      <w:footerReference w:type="default" r:id="rId11"/>
      <w:footerReference w:type="first" r:id="rId12"/>
      <w:pgSz w:w="11906" w:h="16838"/>
      <w:pgMar w:top="1276" w:right="1134" w:bottom="851" w:left="1701" w:header="709" w:footer="4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B8198" w14:textId="77777777" w:rsidR="00932625" w:rsidRDefault="00932625" w:rsidP="00F02ADC">
      <w:pPr>
        <w:spacing w:after="0" w:line="240" w:lineRule="auto"/>
      </w:pPr>
      <w:r>
        <w:separator/>
      </w:r>
    </w:p>
  </w:endnote>
  <w:endnote w:type="continuationSeparator" w:id="0">
    <w:p w14:paraId="57D895D4" w14:textId="77777777" w:rsidR="00932625" w:rsidRDefault="00932625" w:rsidP="00F02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00F08" w14:textId="77777777" w:rsidR="005678AC" w:rsidRDefault="005678AC" w:rsidP="005678AC">
    <w:pPr>
      <w:pStyle w:val="Footer"/>
      <w:rPr>
        <w:noProof/>
        <w:sz w:val="20"/>
        <w:szCs w:val="20"/>
      </w:rPr>
    </w:pPr>
  </w:p>
  <w:p w14:paraId="72525A46" w14:textId="5CAB31B9" w:rsidR="00DC15D6" w:rsidRPr="005678AC" w:rsidRDefault="005678AC" w:rsidP="005678AC">
    <w:pPr>
      <w:pStyle w:val="Footer"/>
    </w:pPr>
    <w:r w:rsidRPr="005678AC">
      <w:rPr>
        <w:noProof/>
        <w:sz w:val="20"/>
        <w:szCs w:val="20"/>
      </w:rPr>
      <w:t>FMAnot_</w:t>
    </w:r>
    <w:r w:rsidR="0084578C">
      <w:rPr>
        <w:noProof/>
        <w:sz w:val="20"/>
        <w:szCs w:val="20"/>
      </w:rPr>
      <w:t>27</w:t>
    </w:r>
    <w:r w:rsidRPr="005678AC">
      <w:rPr>
        <w:noProof/>
        <w:sz w:val="20"/>
        <w:szCs w:val="20"/>
      </w:rPr>
      <w:t>062017_VIDsaistibas_prec;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A7C94" w14:textId="3C78836B" w:rsidR="00DC15D6" w:rsidRPr="001E5481" w:rsidRDefault="00113915" w:rsidP="007B54AB">
    <w:pPr>
      <w:pStyle w:val="Footer"/>
      <w:spacing w:after="0" w:line="240" w:lineRule="auto"/>
      <w:jc w:val="both"/>
      <w:rPr>
        <w:sz w:val="16"/>
        <w:szCs w:val="16"/>
      </w:rPr>
    </w:pPr>
    <w:r w:rsidRPr="00421BF6">
      <w:rPr>
        <w:sz w:val="20"/>
        <w:szCs w:val="20"/>
      </w:rPr>
      <w:fldChar w:fldCharType="begin"/>
    </w:r>
    <w:r w:rsidRPr="00421BF6">
      <w:rPr>
        <w:sz w:val="20"/>
        <w:szCs w:val="20"/>
      </w:rPr>
      <w:instrText xml:space="preserve"> FILENAME   \* MERGEFORMAT </w:instrText>
    </w:r>
    <w:r w:rsidRPr="00421BF6">
      <w:rPr>
        <w:sz w:val="20"/>
        <w:szCs w:val="20"/>
      </w:rPr>
      <w:fldChar w:fldCharType="separate"/>
    </w:r>
    <w:r w:rsidR="004B2982">
      <w:rPr>
        <w:noProof/>
        <w:sz w:val="20"/>
        <w:szCs w:val="20"/>
      </w:rPr>
      <w:t>FMAnot_</w:t>
    </w:r>
    <w:r w:rsidR="0084578C">
      <w:rPr>
        <w:noProof/>
        <w:sz w:val="20"/>
        <w:szCs w:val="20"/>
      </w:rPr>
      <w:t>27</w:t>
    </w:r>
    <w:r w:rsidR="004B2982">
      <w:rPr>
        <w:noProof/>
        <w:sz w:val="20"/>
        <w:szCs w:val="20"/>
      </w:rPr>
      <w:t xml:space="preserve">062017_VIDsaistibas_prec </w:t>
    </w:r>
    <w:r w:rsidRPr="00421BF6">
      <w:rPr>
        <w:noProof/>
        <w:sz w:val="20"/>
        <w:szCs w:val="20"/>
      </w:rPr>
      <w:fldChar w:fldCharType="end"/>
    </w:r>
    <w:r w:rsidR="00DC15D6" w:rsidRPr="001E5481">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CF642" w14:textId="77777777" w:rsidR="00932625" w:rsidRDefault="00932625" w:rsidP="00F02ADC">
      <w:pPr>
        <w:spacing w:after="0" w:line="240" w:lineRule="auto"/>
      </w:pPr>
      <w:r>
        <w:separator/>
      </w:r>
    </w:p>
  </w:footnote>
  <w:footnote w:type="continuationSeparator" w:id="0">
    <w:p w14:paraId="33FD782D" w14:textId="77777777" w:rsidR="00932625" w:rsidRDefault="00932625" w:rsidP="00F02A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CFD50" w14:textId="77777777" w:rsidR="00DC15D6" w:rsidRDefault="00DC15D6" w:rsidP="007B54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BE9F88" w14:textId="77777777" w:rsidR="00DC15D6" w:rsidRDefault="00DC15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D137B" w14:textId="1573E8CF" w:rsidR="00DC15D6" w:rsidRPr="00E219AC" w:rsidRDefault="00DC15D6" w:rsidP="007B54AB">
    <w:pPr>
      <w:pStyle w:val="Header"/>
      <w:framePr w:wrap="around" w:vAnchor="text" w:hAnchor="margin" w:xAlign="center" w:y="1"/>
      <w:rPr>
        <w:rStyle w:val="PageNumber"/>
        <w:sz w:val="24"/>
        <w:szCs w:val="24"/>
      </w:rPr>
    </w:pPr>
    <w:r w:rsidRPr="00E219AC">
      <w:rPr>
        <w:rStyle w:val="PageNumber"/>
        <w:sz w:val="24"/>
        <w:szCs w:val="24"/>
      </w:rPr>
      <w:fldChar w:fldCharType="begin"/>
    </w:r>
    <w:r w:rsidRPr="00E219AC">
      <w:rPr>
        <w:rStyle w:val="PageNumber"/>
        <w:sz w:val="24"/>
        <w:szCs w:val="24"/>
      </w:rPr>
      <w:instrText xml:space="preserve">PAGE  </w:instrText>
    </w:r>
    <w:r w:rsidRPr="00E219AC">
      <w:rPr>
        <w:rStyle w:val="PageNumber"/>
        <w:sz w:val="24"/>
        <w:szCs w:val="24"/>
      </w:rPr>
      <w:fldChar w:fldCharType="separate"/>
    </w:r>
    <w:r w:rsidR="00AD76D9">
      <w:rPr>
        <w:rStyle w:val="PageNumber"/>
        <w:noProof/>
        <w:sz w:val="24"/>
        <w:szCs w:val="24"/>
      </w:rPr>
      <w:t>6</w:t>
    </w:r>
    <w:r w:rsidRPr="00E219AC">
      <w:rPr>
        <w:rStyle w:val="PageNumber"/>
        <w:sz w:val="24"/>
        <w:szCs w:val="24"/>
      </w:rPr>
      <w:fldChar w:fldCharType="end"/>
    </w:r>
  </w:p>
  <w:p w14:paraId="04711B85" w14:textId="77777777" w:rsidR="00DC15D6" w:rsidRDefault="00DC15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E2E1B"/>
    <w:multiLevelType w:val="hybridMultilevel"/>
    <w:tmpl w:val="F5EE670A"/>
    <w:lvl w:ilvl="0" w:tplc="29DE8D02">
      <w:start w:val="2"/>
      <w:numFmt w:val="bullet"/>
      <w:lvlText w:val="–"/>
      <w:lvlJc w:val="left"/>
      <w:pPr>
        <w:ind w:left="445" w:hanging="360"/>
      </w:pPr>
      <w:rPr>
        <w:rFonts w:ascii="Times New Roman" w:eastAsia="Calibri" w:hAnsi="Times New Roman" w:cs="Times New Roman" w:hint="default"/>
      </w:rPr>
    </w:lvl>
    <w:lvl w:ilvl="1" w:tplc="04260003" w:tentative="1">
      <w:start w:val="1"/>
      <w:numFmt w:val="bullet"/>
      <w:lvlText w:val="o"/>
      <w:lvlJc w:val="left"/>
      <w:pPr>
        <w:ind w:left="1165" w:hanging="360"/>
      </w:pPr>
      <w:rPr>
        <w:rFonts w:ascii="Courier New" w:hAnsi="Courier New" w:cs="Courier New" w:hint="default"/>
      </w:rPr>
    </w:lvl>
    <w:lvl w:ilvl="2" w:tplc="04260005" w:tentative="1">
      <w:start w:val="1"/>
      <w:numFmt w:val="bullet"/>
      <w:lvlText w:val=""/>
      <w:lvlJc w:val="left"/>
      <w:pPr>
        <w:ind w:left="1885" w:hanging="360"/>
      </w:pPr>
      <w:rPr>
        <w:rFonts w:ascii="Wingdings" w:hAnsi="Wingdings" w:hint="default"/>
      </w:rPr>
    </w:lvl>
    <w:lvl w:ilvl="3" w:tplc="04260001" w:tentative="1">
      <w:start w:val="1"/>
      <w:numFmt w:val="bullet"/>
      <w:lvlText w:val=""/>
      <w:lvlJc w:val="left"/>
      <w:pPr>
        <w:ind w:left="2605" w:hanging="360"/>
      </w:pPr>
      <w:rPr>
        <w:rFonts w:ascii="Symbol" w:hAnsi="Symbol" w:hint="default"/>
      </w:rPr>
    </w:lvl>
    <w:lvl w:ilvl="4" w:tplc="04260003" w:tentative="1">
      <w:start w:val="1"/>
      <w:numFmt w:val="bullet"/>
      <w:lvlText w:val="o"/>
      <w:lvlJc w:val="left"/>
      <w:pPr>
        <w:ind w:left="3325" w:hanging="360"/>
      </w:pPr>
      <w:rPr>
        <w:rFonts w:ascii="Courier New" w:hAnsi="Courier New" w:cs="Courier New" w:hint="default"/>
      </w:rPr>
    </w:lvl>
    <w:lvl w:ilvl="5" w:tplc="04260005" w:tentative="1">
      <w:start w:val="1"/>
      <w:numFmt w:val="bullet"/>
      <w:lvlText w:val=""/>
      <w:lvlJc w:val="left"/>
      <w:pPr>
        <w:ind w:left="4045" w:hanging="360"/>
      </w:pPr>
      <w:rPr>
        <w:rFonts w:ascii="Wingdings" w:hAnsi="Wingdings" w:hint="default"/>
      </w:rPr>
    </w:lvl>
    <w:lvl w:ilvl="6" w:tplc="04260001" w:tentative="1">
      <w:start w:val="1"/>
      <w:numFmt w:val="bullet"/>
      <w:lvlText w:val=""/>
      <w:lvlJc w:val="left"/>
      <w:pPr>
        <w:ind w:left="4765" w:hanging="360"/>
      </w:pPr>
      <w:rPr>
        <w:rFonts w:ascii="Symbol" w:hAnsi="Symbol" w:hint="default"/>
      </w:rPr>
    </w:lvl>
    <w:lvl w:ilvl="7" w:tplc="04260003" w:tentative="1">
      <w:start w:val="1"/>
      <w:numFmt w:val="bullet"/>
      <w:lvlText w:val="o"/>
      <w:lvlJc w:val="left"/>
      <w:pPr>
        <w:ind w:left="5485" w:hanging="360"/>
      </w:pPr>
      <w:rPr>
        <w:rFonts w:ascii="Courier New" w:hAnsi="Courier New" w:cs="Courier New" w:hint="default"/>
      </w:rPr>
    </w:lvl>
    <w:lvl w:ilvl="8" w:tplc="04260005" w:tentative="1">
      <w:start w:val="1"/>
      <w:numFmt w:val="bullet"/>
      <w:lvlText w:val=""/>
      <w:lvlJc w:val="left"/>
      <w:pPr>
        <w:ind w:left="6205" w:hanging="360"/>
      </w:pPr>
      <w:rPr>
        <w:rFonts w:ascii="Wingdings" w:hAnsi="Wingdings" w:hint="default"/>
      </w:rPr>
    </w:lvl>
  </w:abstractNum>
  <w:abstractNum w:abstractNumId="1" w15:restartNumberingAfterBreak="0">
    <w:nsid w:val="12957ECA"/>
    <w:multiLevelType w:val="hybridMultilevel"/>
    <w:tmpl w:val="68F4BF3E"/>
    <w:lvl w:ilvl="0" w:tplc="65920840">
      <w:start w:val="1"/>
      <w:numFmt w:val="decimal"/>
      <w:lvlText w:val="%1."/>
      <w:lvlJc w:val="left"/>
      <w:pPr>
        <w:ind w:left="420" w:hanging="360"/>
      </w:pPr>
      <w:rPr>
        <w:rFonts w:ascii="Times New Roman" w:eastAsia="Times New Roman" w:hAnsi="Times New Roman" w:cs="Times New Roman"/>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 w15:restartNumberingAfterBreak="0">
    <w:nsid w:val="16C24CA7"/>
    <w:multiLevelType w:val="hybridMultilevel"/>
    <w:tmpl w:val="5DDAD77A"/>
    <w:lvl w:ilvl="0" w:tplc="09F2E5EE">
      <w:start w:val="2014"/>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 w15:restartNumberingAfterBreak="0">
    <w:nsid w:val="1CA46B10"/>
    <w:multiLevelType w:val="hybridMultilevel"/>
    <w:tmpl w:val="983E13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D1B5C3E"/>
    <w:multiLevelType w:val="hybridMultilevel"/>
    <w:tmpl w:val="24CC24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8767388"/>
    <w:multiLevelType w:val="hybridMultilevel"/>
    <w:tmpl w:val="7B5E58F8"/>
    <w:lvl w:ilvl="0" w:tplc="78283382">
      <w:start w:val="1"/>
      <w:numFmt w:val="decimal"/>
      <w:lvlText w:val="%1."/>
      <w:lvlJc w:val="left"/>
      <w:pPr>
        <w:ind w:left="1440" w:hanging="360"/>
      </w:pPr>
    </w:lvl>
    <w:lvl w:ilvl="1" w:tplc="71B8FD50" w:tentative="1">
      <w:start w:val="1"/>
      <w:numFmt w:val="lowerLetter"/>
      <w:lvlText w:val="%2."/>
      <w:lvlJc w:val="left"/>
      <w:pPr>
        <w:ind w:left="2160" w:hanging="360"/>
      </w:pPr>
    </w:lvl>
    <w:lvl w:ilvl="2" w:tplc="8AAEAB78" w:tentative="1">
      <w:start w:val="1"/>
      <w:numFmt w:val="lowerRoman"/>
      <w:lvlText w:val="%3."/>
      <w:lvlJc w:val="right"/>
      <w:pPr>
        <w:ind w:left="2880" w:hanging="180"/>
      </w:pPr>
    </w:lvl>
    <w:lvl w:ilvl="3" w:tplc="9316224E" w:tentative="1">
      <w:start w:val="1"/>
      <w:numFmt w:val="decimal"/>
      <w:lvlText w:val="%4."/>
      <w:lvlJc w:val="left"/>
      <w:pPr>
        <w:ind w:left="3600" w:hanging="360"/>
      </w:pPr>
    </w:lvl>
    <w:lvl w:ilvl="4" w:tplc="88C09F1A" w:tentative="1">
      <w:start w:val="1"/>
      <w:numFmt w:val="lowerLetter"/>
      <w:lvlText w:val="%5."/>
      <w:lvlJc w:val="left"/>
      <w:pPr>
        <w:ind w:left="4320" w:hanging="360"/>
      </w:pPr>
    </w:lvl>
    <w:lvl w:ilvl="5" w:tplc="45867676" w:tentative="1">
      <w:start w:val="1"/>
      <w:numFmt w:val="lowerRoman"/>
      <w:lvlText w:val="%6."/>
      <w:lvlJc w:val="right"/>
      <w:pPr>
        <w:ind w:left="5040" w:hanging="180"/>
      </w:pPr>
    </w:lvl>
    <w:lvl w:ilvl="6" w:tplc="26307744" w:tentative="1">
      <w:start w:val="1"/>
      <w:numFmt w:val="decimal"/>
      <w:lvlText w:val="%7."/>
      <w:lvlJc w:val="left"/>
      <w:pPr>
        <w:ind w:left="5760" w:hanging="360"/>
      </w:pPr>
    </w:lvl>
    <w:lvl w:ilvl="7" w:tplc="0ACEFFFA" w:tentative="1">
      <w:start w:val="1"/>
      <w:numFmt w:val="lowerLetter"/>
      <w:lvlText w:val="%8."/>
      <w:lvlJc w:val="left"/>
      <w:pPr>
        <w:ind w:left="6480" w:hanging="360"/>
      </w:pPr>
    </w:lvl>
    <w:lvl w:ilvl="8" w:tplc="D3B0B55C" w:tentative="1">
      <w:start w:val="1"/>
      <w:numFmt w:val="lowerRoman"/>
      <w:lvlText w:val="%9."/>
      <w:lvlJc w:val="right"/>
      <w:pPr>
        <w:ind w:left="7200" w:hanging="180"/>
      </w:pPr>
    </w:lvl>
  </w:abstractNum>
  <w:abstractNum w:abstractNumId="6" w15:restartNumberingAfterBreak="0">
    <w:nsid w:val="3D871541"/>
    <w:multiLevelType w:val="hybridMultilevel"/>
    <w:tmpl w:val="AD4A7D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3BE2338"/>
    <w:multiLevelType w:val="hybridMultilevel"/>
    <w:tmpl w:val="64F8EA80"/>
    <w:lvl w:ilvl="0" w:tplc="4F0CFA78">
      <w:start w:val="1"/>
      <w:numFmt w:val="bullet"/>
      <w:lvlText w:val="-"/>
      <w:lvlJc w:val="left"/>
      <w:pPr>
        <w:ind w:left="1023" w:hanging="360"/>
      </w:pPr>
      <w:rPr>
        <w:rFonts w:ascii="Times New Roman" w:eastAsia="Times New Roman" w:hAnsi="Times New Roman" w:cs="Times New Roman" w:hint="default"/>
      </w:rPr>
    </w:lvl>
    <w:lvl w:ilvl="1" w:tplc="04260003" w:tentative="1">
      <w:start w:val="1"/>
      <w:numFmt w:val="bullet"/>
      <w:lvlText w:val="o"/>
      <w:lvlJc w:val="left"/>
      <w:pPr>
        <w:ind w:left="1743" w:hanging="360"/>
      </w:pPr>
      <w:rPr>
        <w:rFonts w:ascii="Courier New" w:hAnsi="Courier New" w:cs="Courier New" w:hint="default"/>
      </w:rPr>
    </w:lvl>
    <w:lvl w:ilvl="2" w:tplc="04260005" w:tentative="1">
      <w:start w:val="1"/>
      <w:numFmt w:val="bullet"/>
      <w:lvlText w:val=""/>
      <w:lvlJc w:val="left"/>
      <w:pPr>
        <w:ind w:left="2463" w:hanging="360"/>
      </w:pPr>
      <w:rPr>
        <w:rFonts w:ascii="Wingdings" w:hAnsi="Wingdings" w:hint="default"/>
      </w:rPr>
    </w:lvl>
    <w:lvl w:ilvl="3" w:tplc="04260001" w:tentative="1">
      <w:start w:val="1"/>
      <w:numFmt w:val="bullet"/>
      <w:lvlText w:val=""/>
      <w:lvlJc w:val="left"/>
      <w:pPr>
        <w:ind w:left="3183" w:hanging="360"/>
      </w:pPr>
      <w:rPr>
        <w:rFonts w:ascii="Symbol" w:hAnsi="Symbol" w:hint="default"/>
      </w:rPr>
    </w:lvl>
    <w:lvl w:ilvl="4" w:tplc="04260003" w:tentative="1">
      <w:start w:val="1"/>
      <w:numFmt w:val="bullet"/>
      <w:lvlText w:val="o"/>
      <w:lvlJc w:val="left"/>
      <w:pPr>
        <w:ind w:left="3903" w:hanging="360"/>
      </w:pPr>
      <w:rPr>
        <w:rFonts w:ascii="Courier New" w:hAnsi="Courier New" w:cs="Courier New" w:hint="default"/>
      </w:rPr>
    </w:lvl>
    <w:lvl w:ilvl="5" w:tplc="04260005" w:tentative="1">
      <w:start w:val="1"/>
      <w:numFmt w:val="bullet"/>
      <w:lvlText w:val=""/>
      <w:lvlJc w:val="left"/>
      <w:pPr>
        <w:ind w:left="4623" w:hanging="360"/>
      </w:pPr>
      <w:rPr>
        <w:rFonts w:ascii="Wingdings" w:hAnsi="Wingdings" w:hint="default"/>
      </w:rPr>
    </w:lvl>
    <w:lvl w:ilvl="6" w:tplc="04260001" w:tentative="1">
      <w:start w:val="1"/>
      <w:numFmt w:val="bullet"/>
      <w:lvlText w:val=""/>
      <w:lvlJc w:val="left"/>
      <w:pPr>
        <w:ind w:left="5343" w:hanging="360"/>
      </w:pPr>
      <w:rPr>
        <w:rFonts w:ascii="Symbol" w:hAnsi="Symbol" w:hint="default"/>
      </w:rPr>
    </w:lvl>
    <w:lvl w:ilvl="7" w:tplc="04260003" w:tentative="1">
      <w:start w:val="1"/>
      <w:numFmt w:val="bullet"/>
      <w:lvlText w:val="o"/>
      <w:lvlJc w:val="left"/>
      <w:pPr>
        <w:ind w:left="6063" w:hanging="360"/>
      </w:pPr>
      <w:rPr>
        <w:rFonts w:ascii="Courier New" w:hAnsi="Courier New" w:cs="Courier New" w:hint="default"/>
      </w:rPr>
    </w:lvl>
    <w:lvl w:ilvl="8" w:tplc="04260005" w:tentative="1">
      <w:start w:val="1"/>
      <w:numFmt w:val="bullet"/>
      <w:lvlText w:val=""/>
      <w:lvlJc w:val="left"/>
      <w:pPr>
        <w:ind w:left="6783" w:hanging="360"/>
      </w:pPr>
      <w:rPr>
        <w:rFonts w:ascii="Wingdings" w:hAnsi="Wingdings" w:hint="default"/>
      </w:rPr>
    </w:lvl>
  </w:abstractNum>
  <w:abstractNum w:abstractNumId="8" w15:restartNumberingAfterBreak="0">
    <w:nsid w:val="479A1421"/>
    <w:multiLevelType w:val="hybridMultilevel"/>
    <w:tmpl w:val="156E5CDA"/>
    <w:lvl w:ilvl="0" w:tplc="B574AD72">
      <w:start w:val="1"/>
      <w:numFmt w:val="decimal"/>
      <w:lvlText w:val="%1)"/>
      <w:lvlJc w:val="left"/>
      <w:pPr>
        <w:ind w:left="833" w:hanging="360"/>
      </w:pPr>
      <w:rPr>
        <w:rFonts w:ascii="Times New Roman" w:eastAsia="Times New Roman" w:hAnsi="Times New Roman" w:cs="Times New Roman"/>
        <w:sz w:val="24"/>
        <w:szCs w:val="24"/>
      </w:rPr>
    </w:lvl>
    <w:lvl w:ilvl="1" w:tplc="04260003" w:tentative="1">
      <w:start w:val="1"/>
      <w:numFmt w:val="bullet"/>
      <w:lvlText w:val="o"/>
      <w:lvlJc w:val="left"/>
      <w:pPr>
        <w:ind w:left="1553" w:hanging="360"/>
      </w:pPr>
      <w:rPr>
        <w:rFonts w:ascii="Courier New" w:hAnsi="Courier New" w:hint="default"/>
      </w:rPr>
    </w:lvl>
    <w:lvl w:ilvl="2" w:tplc="04260005" w:tentative="1">
      <w:start w:val="1"/>
      <w:numFmt w:val="bullet"/>
      <w:lvlText w:val=""/>
      <w:lvlJc w:val="left"/>
      <w:pPr>
        <w:ind w:left="2273" w:hanging="360"/>
      </w:pPr>
      <w:rPr>
        <w:rFonts w:ascii="Wingdings" w:hAnsi="Wingdings" w:hint="default"/>
      </w:rPr>
    </w:lvl>
    <w:lvl w:ilvl="3" w:tplc="04260001" w:tentative="1">
      <w:start w:val="1"/>
      <w:numFmt w:val="bullet"/>
      <w:lvlText w:val=""/>
      <w:lvlJc w:val="left"/>
      <w:pPr>
        <w:ind w:left="2993" w:hanging="360"/>
      </w:pPr>
      <w:rPr>
        <w:rFonts w:ascii="Symbol" w:hAnsi="Symbol" w:hint="default"/>
      </w:rPr>
    </w:lvl>
    <w:lvl w:ilvl="4" w:tplc="04260003" w:tentative="1">
      <w:start w:val="1"/>
      <w:numFmt w:val="bullet"/>
      <w:lvlText w:val="o"/>
      <w:lvlJc w:val="left"/>
      <w:pPr>
        <w:ind w:left="3713" w:hanging="360"/>
      </w:pPr>
      <w:rPr>
        <w:rFonts w:ascii="Courier New" w:hAnsi="Courier New" w:hint="default"/>
      </w:rPr>
    </w:lvl>
    <w:lvl w:ilvl="5" w:tplc="04260005" w:tentative="1">
      <w:start w:val="1"/>
      <w:numFmt w:val="bullet"/>
      <w:lvlText w:val=""/>
      <w:lvlJc w:val="left"/>
      <w:pPr>
        <w:ind w:left="4433" w:hanging="360"/>
      </w:pPr>
      <w:rPr>
        <w:rFonts w:ascii="Wingdings" w:hAnsi="Wingdings" w:hint="default"/>
      </w:rPr>
    </w:lvl>
    <w:lvl w:ilvl="6" w:tplc="04260001" w:tentative="1">
      <w:start w:val="1"/>
      <w:numFmt w:val="bullet"/>
      <w:lvlText w:val=""/>
      <w:lvlJc w:val="left"/>
      <w:pPr>
        <w:ind w:left="5153" w:hanging="360"/>
      </w:pPr>
      <w:rPr>
        <w:rFonts w:ascii="Symbol" w:hAnsi="Symbol" w:hint="default"/>
      </w:rPr>
    </w:lvl>
    <w:lvl w:ilvl="7" w:tplc="04260003" w:tentative="1">
      <w:start w:val="1"/>
      <w:numFmt w:val="bullet"/>
      <w:lvlText w:val="o"/>
      <w:lvlJc w:val="left"/>
      <w:pPr>
        <w:ind w:left="5873" w:hanging="360"/>
      </w:pPr>
      <w:rPr>
        <w:rFonts w:ascii="Courier New" w:hAnsi="Courier New" w:hint="default"/>
      </w:rPr>
    </w:lvl>
    <w:lvl w:ilvl="8" w:tplc="04260005" w:tentative="1">
      <w:start w:val="1"/>
      <w:numFmt w:val="bullet"/>
      <w:lvlText w:val=""/>
      <w:lvlJc w:val="left"/>
      <w:pPr>
        <w:ind w:left="6593" w:hanging="360"/>
      </w:pPr>
      <w:rPr>
        <w:rFonts w:ascii="Wingdings" w:hAnsi="Wingdings" w:hint="default"/>
      </w:rPr>
    </w:lvl>
  </w:abstractNum>
  <w:abstractNum w:abstractNumId="9" w15:restartNumberingAfterBreak="0">
    <w:nsid w:val="5CFB55EB"/>
    <w:multiLevelType w:val="hybridMultilevel"/>
    <w:tmpl w:val="1108D6FA"/>
    <w:lvl w:ilvl="0" w:tplc="6930DC82">
      <w:start w:val="1"/>
      <w:numFmt w:val="decimal"/>
      <w:lvlText w:val="%1."/>
      <w:lvlJc w:val="left"/>
      <w:pPr>
        <w:ind w:left="1042" w:hanging="360"/>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10" w15:restartNumberingAfterBreak="0">
    <w:nsid w:val="6EF62125"/>
    <w:multiLevelType w:val="hybridMultilevel"/>
    <w:tmpl w:val="77BE3FBA"/>
    <w:lvl w:ilvl="0" w:tplc="4ACCC7FA">
      <w:start w:val="1"/>
      <w:numFmt w:val="bullet"/>
      <w:lvlText w:val=""/>
      <w:lvlJc w:val="left"/>
      <w:pPr>
        <w:ind w:left="1258" w:hanging="360"/>
      </w:pPr>
      <w:rPr>
        <w:rFonts w:ascii="Symbol" w:hAnsi="Symbol" w:hint="default"/>
      </w:rPr>
    </w:lvl>
    <w:lvl w:ilvl="1" w:tplc="04260003" w:tentative="1">
      <w:start w:val="1"/>
      <w:numFmt w:val="bullet"/>
      <w:lvlText w:val="o"/>
      <w:lvlJc w:val="left"/>
      <w:pPr>
        <w:ind w:left="1615" w:hanging="360"/>
      </w:pPr>
      <w:rPr>
        <w:rFonts w:ascii="Courier New" w:hAnsi="Courier New" w:cs="Courier New" w:hint="default"/>
      </w:rPr>
    </w:lvl>
    <w:lvl w:ilvl="2" w:tplc="04260005" w:tentative="1">
      <w:start w:val="1"/>
      <w:numFmt w:val="bullet"/>
      <w:lvlText w:val=""/>
      <w:lvlJc w:val="left"/>
      <w:pPr>
        <w:ind w:left="2335" w:hanging="360"/>
      </w:pPr>
      <w:rPr>
        <w:rFonts w:ascii="Wingdings" w:hAnsi="Wingdings" w:hint="default"/>
      </w:rPr>
    </w:lvl>
    <w:lvl w:ilvl="3" w:tplc="04260001" w:tentative="1">
      <w:start w:val="1"/>
      <w:numFmt w:val="bullet"/>
      <w:lvlText w:val=""/>
      <w:lvlJc w:val="left"/>
      <w:pPr>
        <w:ind w:left="3055" w:hanging="360"/>
      </w:pPr>
      <w:rPr>
        <w:rFonts w:ascii="Symbol" w:hAnsi="Symbol" w:hint="default"/>
      </w:rPr>
    </w:lvl>
    <w:lvl w:ilvl="4" w:tplc="04260003" w:tentative="1">
      <w:start w:val="1"/>
      <w:numFmt w:val="bullet"/>
      <w:lvlText w:val="o"/>
      <w:lvlJc w:val="left"/>
      <w:pPr>
        <w:ind w:left="3775" w:hanging="360"/>
      </w:pPr>
      <w:rPr>
        <w:rFonts w:ascii="Courier New" w:hAnsi="Courier New" w:cs="Courier New" w:hint="default"/>
      </w:rPr>
    </w:lvl>
    <w:lvl w:ilvl="5" w:tplc="04260005" w:tentative="1">
      <w:start w:val="1"/>
      <w:numFmt w:val="bullet"/>
      <w:lvlText w:val=""/>
      <w:lvlJc w:val="left"/>
      <w:pPr>
        <w:ind w:left="4495" w:hanging="360"/>
      </w:pPr>
      <w:rPr>
        <w:rFonts w:ascii="Wingdings" w:hAnsi="Wingdings" w:hint="default"/>
      </w:rPr>
    </w:lvl>
    <w:lvl w:ilvl="6" w:tplc="04260001" w:tentative="1">
      <w:start w:val="1"/>
      <w:numFmt w:val="bullet"/>
      <w:lvlText w:val=""/>
      <w:lvlJc w:val="left"/>
      <w:pPr>
        <w:ind w:left="5215" w:hanging="360"/>
      </w:pPr>
      <w:rPr>
        <w:rFonts w:ascii="Symbol" w:hAnsi="Symbol" w:hint="default"/>
      </w:rPr>
    </w:lvl>
    <w:lvl w:ilvl="7" w:tplc="04260003" w:tentative="1">
      <w:start w:val="1"/>
      <w:numFmt w:val="bullet"/>
      <w:lvlText w:val="o"/>
      <w:lvlJc w:val="left"/>
      <w:pPr>
        <w:ind w:left="5935" w:hanging="360"/>
      </w:pPr>
      <w:rPr>
        <w:rFonts w:ascii="Courier New" w:hAnsi="Courier New" w:cs="Courier New" w:hint="default"/>
      </w:rPr>
    </w:lvl>
    <w:lvl w:ilvl="8" w:tplc="04260005" w:tentative="1">
      <w:start w:val="1"/>
      <w:numFmt w:val="bullet"/>
      <w:lvlText w:val=""/>
      <w:lvlJc w:val="left"/>
      <w:pPr>
        <w:ind w:left="6655" w:hanging="360"/>
      </w:pPr>
      <w:rPr>
        <w:rFonts w:ascii="Wingdings" w:hAnsi="Wingdings" w:hint="default"/>
      </w:rPr>
    </w:lvl>
  </w:abstractNum>
  <w:abstractNum w:abstractNumId="11" w15:restartNumberingAfterBreak="0">
    <w:nsid w:val="6F5B455E"/>
    <w:multiLevelType w:val="multilevel"/>
    <w:tmpl w:val="9A1A443E"/>
    <w:lvl w:ilvl="0">
      <w:start w:val="1"/>
      <w:numFmt w:val="decimal"/>
      <w:lvlText w:val="%1."/>
      <w:lvlJc w:val="left"/>
      <w:pPr>
        <w:ind w:left="502" w:hanging="360"/>
      </w:pPr>
      <w:rPr>
        <w:rFonts w:cs="Times New Roman" w:hint="default"/>
        <w:color w:val="auto"/>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2" w15:restartNumberingAfterBreak="0">
    <w:nsid w:val="70B1797C"/>
    <w:multiLevelType w:val="hybridMultilevel"/>
    <w:tmpl w:val="A20E76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4511FEA"/>
    <w:multiLevelType w:val="multilevel"/>
    <w:tmpl w:val="50982E2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796F5EAC"/>
    <w:multiLevelType w:val="hybridMultilevel"/>
    <w:tmpl w:val="1EEEDBDE"/>
    <w:lvl w:ilvl="0" w:tplc="75082FD6">
      <w:start w:val="1"/>
      <w:numFmt w:val="decimal"/>
      <w:lvlText w:val="%1."/>
      <w:lvlJc w:val="left"/>
      <w:pPr>
        <w:ind w:left="421" w:hanging="360"/>
      </w:pPr>
      <w:rPr>
        <w:rFonts w:ascii="Times New Roman" w:eastAsia="Calibri" w:hAnsi="Times New Roman" w:cs="Times New Roman"/>
      </w:rPr>
    </w:lvl>
    <w:lvl w:ilvl="1" w:tplc="04260019" w:tentative="1">
      <w:start w:val="1"/>
      <w:numFmt w:val="lowerLetter"/>
      <w:lvlText w:val="%2."/>
      <w:lvlJc w:val="left"/>
      <w:pPr>
        <w:ind w:left="1141" w:hanging="360"/>
      </w:pPr>
    </w:lvl>
    <w:lvl w:ilvl="2" w:tplc="0426001B" w:tentative="1">
      <w:start w:val="1"/>
      <w:numFmt w:val="lowerRoman"/>
      <w:lvlText w:val="%3."/>
      <w:lvlJc w:val="right"/>
      <w:pPr>
        <w:ind w:left="1861" w:hanging="180"/>
      </w:pPr>
    </w:lvl>
    <w:lvl w:ilvl="3" w:tplc="0426000F" w:tentative="1">
      <w:start w:val="1"/>
      <w:numFmt w:val="decimal"/>
      <w:lvlText w:val="%4."/>
      <w:lvlJc w:val="left"/>
      <w:pPr>
        <w:ind w:left="2581" w:hanging="360"/>
      </w:pPr>
    </w:lvl>
    <w:lvl w:ilvl="4" w:tplc="04260019" w:tentative="1">
      <w:start w:val="1"/>
      <w:numFmt w:val="lowerLetter"/>
      <w:lvlText w:val="%5."/>
      <w:lvlJc w:val="left"/>
      <w:pPr>
        <w:ind w:left="3301" w:hanging="360"/>
      </w:pPr>
    </w:lvl>
    <w:lvl w:ilvl="5" w:tplc="0426001B" w:tentative="1">
      <w:start w:val="1"/>
      <w:numFmt w:val="lowerRoman"/>
      <w:lvlText w:val="%6."/>
      <w:lvlJc w:val="right"/>
      <w:pPr>
        <w:ind w:left="4021" w:hanging="180"/>
      </w:pPr>
    </w:lvl>
    <w:lvl w:ilvl="6" w:tplc="0426000F" w:tentative="1">
      <w:start w:val="1"/>
      <w:numFmt w:val="decimal"/>
      <w:lvlText w:val="%7."/>
      <w:lvlJc w:val="left"/>
      <w:pPr>
        <w:ind w:left="4741" w:hanging="360"/>
      </w:pPr>
    </w:lvl>
    <w:lvl w:ilvl="7" w:tplc="04260019" w:tentative="1">
      <w:start w:val="1"/>
      <w:numFmt w:val="lowerLetter"/>
      <w:lvlText w:val="%8."/>
      <w:lvlJc w:val="left"/>
      <w:pPr>
        <w:ind w:left="5461" w:hanging="360"/>
      </w:pPr>
    </w:lvl>
    <w:lvl w:ilvl="8" w:tplc="0426001B" w:tentative="1">
      <w:start w:val="1"/>
      <w:numFmt w:val="lowerRoman"/>
      <w:lvlText w:val="%9."/>
      <w:lvlJc w:val="right"/>
      <w:pPr>
        <w:ind w:left="6181" w:hanging="180"/>
      </w:pPr>
    </w:lvl>
  </w:abstractNum>
  <w:abstractNum w:abstractNumId="15" w15:restartNumberingAfterBreak="0">
    <w:nsid w:val="7CF87ACF"/>
    <w:multiLevelType w:val="hybridMultilevel"/>
    <w:tmpl w:val="5360DEE0"/>
    <w:lvl w:ilvl="0" w:tplc="C268C0AE">
      <w:start w:val="1"/>
      <w:numFmt w:val="bullet"/>
      <w:lvlText w:val="-"/>
      <w:lvlJc w:val="left"/>
      <w:pPr>
        <w:ind w:left="1258" w:hanging="360"/>
      </w:pPr>
      <w:rPr>
        <w:rFonts w:ascii="Times New Roman" w:eastAsia="Times New Roman" w:hAnsi="Times New Roman" w:cs="Times New Roman" w:hint="default"/>
      </w:rPr>
    </w:lvl>
    <w:lvl w:ilvl="1" w:tplc="04260003" w:tentative="1">
      <w:start w:val="1"/>
      <w:numFmt w:val="bullet"/>
      <w:lvlText w:val="o"/>
      <w:lvlJc w:val="left"/>
      <w:pPr>
        <w:ind w:left="1615" w:hanging="360"/>
      </w:pPr>
      <w:rPr>
        <w:rFonts w:ascii="Courier New" w:hAnsi="Courier New" w:cs="Courier New" w:hint="default"/>
      </w:rPr>
    </w:lvl>
    <w:lvl w:ilvl="2" w:tplc="04260005" w:tentative="1">
      <w:start w:val="1"/>
      <w:numFmt w:val="bullet"/>
      <w:lvlText w:val=""/>
      <w:lvlJc w:val="left"/>
      <w:pPr>
        <w:ind w:left="2335" w:hanging="360"/>
      </w:pPr>
      <w:rPr>
        <w:rFonts w:ascii="Wingdings" w:hAnsi="Wingdings" w:hint="default"/>
      </w:rPr>
    </w:lvl>
    <w:lvl w:ilvl="3" w:tplc="04260001" w:tentative="1">
      <w:start w:val="1"/>
      <w:numFmt w:val="bullet"/>
      <w:lvlText w:val=""/>
      <w:lvlJc w:val="left"/>
      <w:pPr>
        <w:ind w:left="3055" w:hanging="360"/>
      </w:pPr>
      <w:rPr>
        <w:rFonts w:ascii="Symbol" w:hAnsi="Symbol" w:hint="default"/>
      </w:rPr>
    </w:lvl>
    <w:lvl w:ilvl="4" w:tplc="04260003" w:tentative="1">
      <w:start w:val="1"/>
      <w:numFmt w:val="bullet"/>
      <w:lvlText w:val="o"/>
      <w:lvlJc w:val="left"/>
      <w:pPr>
        <w:ind w:left="3775" w:hanging="360"/>
      </w:pPr>
      <w:rPr>
        <w:rFonts w:ascii="Courier New" w:hAnsi="Courier New" w:cs="Courier New" w:hint="default"/>
      </w:rPr>
    </w:lvl>
    <w:lvl w:ilvl="5" w:tplc="04260005" w:tentative="1">
      <w:start w:val="1"/>
      <w:numFmt w:val="bullet"/>
      <w:lvlText w:val=""/>
      <w:lvlJc w:val="left"/>
      <w:pPr>
        <w:ind w:left="4495" w:hanging="360"/>
      </w:pPr>
      <w:rPr>
        <w:rFonts w:ascii="Wingdings" w:hAnsi="Wingdings" w:hint="default"/>
      </w:rPr>
    </w:lvl>
    <w:lvl w:ilvl="6" w:tplc="04260001" w:tentative="1">
      <w:start w:val="1"/>
      <w:numFmt w:val="bullet"/>
      <w:lvlText w:val=""/>
      <w:lvlJc w:val="left"/>
      <w:pPr>
        <w:ind w:left="5215" w:hanging="360"/>
      </w:pPr>
      <w:rPr>
        <w:rFonts w:ascii="Symbol" w:hAnsi="Symbol" w:hint="default"/>
      </w:rPr>
    </w:lvl>
    <w:lvl w:ilvl="7" w:tplc="04260003" w:tentative="1">
      <w:start w:val="1"/>
      <w:numFmt w:val="bullet"/>
      <w:lvlText w:val="o"/>
      <w:lvlJc w:val="left"/>
      <w:pPr>
        <w:ind w:left="5935" w:hanging="360"/>
      </w:pPr>
      <w:rPr>
        <w:rFonts w:ascii="Courier New" w:hAnsi="Courier New" w:cs="Courier New" w:hint="default"/>
      </w:rPr>
    </w:lvl>
    <w:lvl w:ilvl="8" w:tplc="04260005" w:tentative="1">
      <w:start w:val="1"/>
      <w:numFmt w:val="bullet"/>
      <w:lvlText w:val=""/>
      <w:lvlJc w:val="left"/>
      <w:pPr>
        <w:ind w:left="6655" w:hanging="360"/>
      </w:pPr>
      <w:rPr>
        <w:rFonts w:ascii="Wingdings" w:hAnsi="Wingdings" w:hint="default"/>
      </w:rPr>
    </w:lvl>
  </w:abstractNum>
  <w:abstractNum w:abstractNumId="16" w15:restartNumberingAfterBreak="0">
    <w:nsid w:val="7D69712F"/>
    <w:multiLevelType w:val="hybridMultilevel"/>
    <w:tmpl w:val="9F8E8D10"/>
    <w:lvl w:ilvl="0" w:tplc="7F24E6D8">
      <w:start w:val="1"/>
      <w:numFmt w:val="decimal"/>
      <w:lvlText w:val="%1)"/>
      <w:lvlJc w:val="left"/>
      <w:pPr>
        <w:ind w:left="456" w:hanging="360"/>
      </w:pPr>
      <w:rPr>
        <w:rFonts w:hint="default"/>
      </w:rPr>
    </w:lvl>
    <w:lvl w:ilvl="1" w:tplc="04260019" w:tentative="1">
      <w:start w:val="1"/>
      <w:numFmt w:val="lowerLetter"/>
      <w:lvlText w:val="%2."/>
      <w:lvlJc w:val="left"/>
      <w:pPr>
        <w:ind w:left="1176" w:hanging="360"/>
      </w:pPr>
    </w:lvl>
    <w:lvl w:ilvl="2" w:tplc="0426001B" w:tentative="1">
      <w:start w:val="1"/>
      <w:numFmt w:val="lowerRoman"/>
      <w:lvlText w:val="%3."/>
      <w:lvlJc w:val="right"/>
      <w:pPr>
        <w:ind w:left="1896" w:hanging="180"/>
      </w:pPr>
    </w:lvl>
    <w:lvl w:ilvl="3" w:tplc="0426000F" w:tentative="1">
      <w:start w:val="1"/>
      <w:numFmt w:val="decimal"/>
      <w:lvlText w:val="%4."/>
      <w:lvlJc w:val="left"/>
      <w:pPr>
        <w:ind w:left="2616" w:hanging="360"/>
      </w:pPr>
    </w:lvl>
    <w:lvl w:ilvl="4" w:tplc="04260019" w:tentative="1">
      <w:start w:val="1"/>
      <w:numFmt w:val="lowerLetter"/>
      <w:lvlText w:val="%5."/>
      <w:lvlJc w:val="left"/>
      <w:pPr>
        <w:ind w:left="3336" w:hanging="360"/>
      </w:pPr>
    </w:lvl>
    <w:lvl w:ilvl="5" w:tplc="0426001B" w:tentative="1">
      <w:start w:val="1"/>
      <w:numFmt w:val="lowerRoman"/>
      <w:lvlText w:val="%6."/>
      <w:lvlJc w:val="right"/>
      <w:pPr>
        <w:ind w:left="4056" w:hanging="180"/>
      </w:pPr>
    </w:lvl>
    <w:lvl w:ilvl="6" w:tplc="0426000F" w:tentative="1">
      <w:start w:val="1"/>
      <w:numFmt w:val="decimal"/>
      <w:lvlText w:val="%7."/>
      <w:lvlJc w:val="left"/>
      <w:pPr>
        <w:ind w:left="4776" w:hanging="360"/>
      </w:pPr>
    </w:lvl>
    <w:lvl w:ilvl="7" w:tplc="04260019" w:tentative="1">
      <w:start w:val="1"/>
      <w:numFmt w:val="lowerLetter"/>
      <w:lvlText w:val="%8."/>
      <w:lvlJc w:val="left"/>
      <w:pPr>
        <w:ind w:left="5496" w:hanging="360"/>
      </w:pPr>
    </w:lvl>
    <w:lvl w:ilvl="8" w:tplc="0426001B" w:tentative="1">
      <w:start w:val="1"/>
      <w:numFmt w:val="lowerRoman"/>
      <w:lvlText w:val="%9."/>
      <w:lvlJc w:val="right"/>
      <w:pPr>
        <w:ind w:left="6216" w:hanging="180"/>
      </w:pPr>
    </w:lvl>
  </w:abstractNum>
  <w:abstractNum w:abstractNumId="17" w15:restartNumberingAfterBreak="0">
    <w:nsid w:val="7EC05A7A"/>
    <w:multiLevelType w:val="hybridMultilevel"/>
    <w:tmpl w:val="790AE692"/>
    <w:lvl w:ilvl="0" w:tplc="C268C0AE">
      <w:start w:val="1"/>
      <w:numFmt w:val="bullet"/>
      <w:lvlText w:val="-"/>
      <w:lvlJc w:val="left"/>
      <w:pPr>
        <w:ind w:left="1083" w:hanging="360"/>
      </w:pPr>
      <w:rPr>
        <w:rFonts w:ascii="Times New Roman" w:eastAsia="Times New Roman" w:hAnsi="Times New Roman" w:cs="Times New Roman" w:hint="default"/>
      </w:rPr>
    </w:lvl>
    <w:lvl w:ilvl="1" w:tplc="04260003" w:tentative="1">
      <w:start w:val="1"/>
      <w:numFmt w:val="bullet"/>
      <w:lvlText w:val="o"/>
      <w:lvlJc w:val="left"/>
      <w:pPr>
        <w:ind w:left="1803" w:hanging="360"/>
      </w:pPr>
      <w:rPr>
        <w:rFonts w:ascii="Courier New" w:hAnsi="Courier New" w:cs="Courier New" w:hint="default"/>
      </w:rPr>
    </w:lvl>
    <w:lvl w:ilvl="2" w:tplc="04260005" w:tentative="1">
      <w:start w:val="1"/>
      <w:numFmt w:val="bullet"/>
      <w:lvlText w:val=""/>
      <w:lvlJc w:val="left"/>
      <w:pPr>
        <w:ind w:left="2523" w:hanging="360"/>
      </w:pPr>
      <w:rPr>
        <w:rFonts w:ascii="Wingdings" w:hAnsi="Wingdings" w:hint="default"/>
      </w:rPr>
    </w:lvl>
    <w:lvl w:ilvl="3" w:tplc="04260001" w:tentative="1">
      <w:start w:val="1"/>
      <w:numFmt w:val="bullet"/>
      <w:lvlText w:val=""/>
      <w:lvlJc w:val="left"/>
      <w:pPr>
        <w:ind w:left="3243" w:hanging="360"/>
      </w:pPr>
      <w:rPr>
        <w:rFonts w:ascii="Symbol" w:hAnsi="Symbol" w:hint="default"/>
      </w:rPr>
    </w:lvl>
    <w:lvl w:ilvl="4" w:tplc="04260003" w:tentative="1">
      <w:start w:val="1"/>
      <w:numFmt w:val="bullet"/>
      <w:lvlText w:val="o"/>
      <w:lvlJc w:val="left"/>
      <w:pPr>
        <w:ind w:left="3963" w:hanging="360"/>
      </w:pPr>
      <w:rPr>
        <w:rFonts w:ascii="Courier New" w:hAnsi="Courier New" w:cs="Courier New" w:hint="default"/>
      </w:rPr>
    </w:lvl>
    <w:lvl w:ilvl="5" w:tplc="04260005" w:tentative="1">
      <w:start w:val="1"/>
      <w:numFmt w:val="bullet"/>
      <w:lvlText w:val=""/>
      <w:lvlJc w:val="left"/>
      <w:pPr>
        <w:ind w:left="4683" w:hanging="360"/>
      </w:pPr>
      <w:rPr>
        <w:rFonts w:ascii="Wingdings" w:hAnsi="Wingdings" w:hint="default"/>
      </w:rPr>
    </w:lvl>
    <w:lvl w:ilvl="6" w:tplc="04260001" w:tentative="1">
      <w:start w:val="1"/>
      <w:numFmt w:val="bullet"/>
      <w:lvlText w:val=""/>
      <w:lvlJc w:val="left"/>
      <w:pPr>
        <w:ind w:left="5403" w:hanging="360"/>
      </w:pPr>
      <w:rPr>
        <w:rFonts w:ascii="Symbol" w:hAnsi="Symbol" w:hint="default"/>
      </w:rPr>
    </w:lvl>
    <w:lvl w:ilvl="7" w:tplc="04260003" w:tentative="1">
      <w:start w:val="1"/>
      <w:numFmt w:val="bullet"/>
      <w:lvlText w:val="o"/>
      <w:lvlJc w:val="left"/>
      <w:pPr>
        <w:ind w:left="6123" w:hanging="360"/>
      </w:pPr>
      <w:rPr>
        <w:rFonts w:ascii="Courier New" w:hAnsi="Courier New" w:cs="Courier New" w:hint="default"/>
      </w:rPr>
    </w:lvl>
    <w:lvl w:ilvl="8" w:tplc="04260005" w:tentative="1">
      <w:start w:val="1"/>
      <w:numFmt w:val="bullet"/>
      <w:lvlText w:val=""/>
      <w:lvlJc w:val="left"/>
      <w:pPr>
        <w:ind w:left="6843" w:hanging="360"/>
      </w:pPr>
      <w:rPr>
        <w:rFonts w:ascii="Wingdings" w:hAnsi="Wingdings" w:hint="default"/>
      </w:rPr>
    </w:lvl>
  </w:abstractNum>
  <w:num w:numId="1">
    <w:abstractNumId w:val="6"/>
  </w:num>
  <w:num w:numId="2">
    <w:abstractNumId w:val="3"/>
  </w:num>
  <w:num w:numId="3">
    <w:abstractNumId w:val="9"/>
  </w:num>
  <w:num w:numId="4">
    <w:abstractNumId w:val="7"/>
  </w:num>
  <w:num w:numId="5">
    <w:abstractNumId w:val="8"/>
  </w:num>
  <w:num w:numId="6">
    <w:abstractNumId w:val="13"/>
  </w:num>
  <w:num w:numId="7">
    <w:abstractNumId w:val="16"/>
  </w:num>
  <w:num w:numId="8">
    <w:abstractNumId w:val="1"/>
  </w:num>
  <w:num w:numId="9">
    <w:abstractNumId w:val="17"/>
  </w:num>
  <w:num w:numId="10">
    <w:abstractNumId w:val="14"/>
  </w:num>
  <w:num w:numId="11">
    <w:abstractNumId w:val="15"/>
  </w:num>
  <w:num w:numId="12">
    <w:abstractNumId w:val="10"/>
  </w:num>
  <w:num w:numId="13">
    <w:abstractNumId w:val="2"/>
  </w:num>
  <w:num w:numId="14">
    <w:abstractNumId w:val="11"/>
  </w:num>
  <w:num w:numId="15">
    <w:abstractNumId w:val="0"/>
  </w:num>
  <w:num w:numId="16">
    <w:abstractNumId w:val="4"/>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B5D"/>
    <w:rsid w:val="00000FF6"/>
    <w:rsid w:val="00002909"/>
    <w:rsid w:val="000101CB"/>
    <w:rsid w:val="00011172"/>
    <w:rsid w:val="00016922"/>
    <w:rsid w:val="00023FBE"/>
    <w:rsid w:val="00027CCB"/>
    <w:rsid w:val="00035256"/>
    <w:rsid w:val="000445A0"/>
    <w:rsid w:val="00057315"/>
    <w:rsid w:val="00064A4D"/>
    <w:rsid w:val="00065D37"/>
    <w:rsid w:val="00065E77"/>
    <w:rsid w:val="000665C5"/>
    <w:rsid w:val="000779C7"/>
    <w:rsid w:val="00081811"/>
    <w:rsid w:val="00082D03"/>
    <w:rsid w:val="000839E1"/>
    <w:rsid w:val="0008444E"/>
    <w:rsid w:val="00086AF4"/>
    <w:rsid w:val="0009387E"/>
    <w:rsid w:val="000942F1"/>
    <w:rsid w:val="00094ECB"/>
    <w:rsid w:val="000A3A2C"/>
    <w:rsid w:val="000A3A7E"/>
    <w:rsid w:val="000A5FA4"/>
    <w:rsid w:val="000A679D"/>
    <w:rsid w:val="000A6F90"/>
    <w:rsid w:val="000A7DB7"/>
    <w:rsid w:val="000B383F"/>
    <w:rsid w:val="000C1BD6"/>
    <w:rsid w:val="000C51F4"/>
    <w:rsid w:val="000D5DA9"/>
    <w:rsid w:val="000D71D6"/>
    <w:rsid w:val="000E3D08"/>
    <w:rsid w:val="000F18C0"/>
    <w:rsid w:val="000F71A9"/>
    <w:rsid w:val="001026DE"/>
    <w:rsid w:val="00104291"/>
    <w:rsid w:val="00104A43"/>
    <w:rsid w:val="00105BCD"/>
    <w:rsid w:val="00113915"/>
    <w:rsid w:val="001222A0"/>
    <w:rsid w:val="00122715"/>
    <w:rsid w:val="00126CB4"/>
    <w:rsid w:val="00131064"/>
    <w:rsid w:val="00131410"/>
    <w:rsid w:val="00131CCE"/>
    <w:rsid w:val="00135C2D"/>
    <w:rsid w:val="00144E31"/>
    <w:rsid w:val="00145FAA"/>
    <w:rsid w:val="001563F8"/>
    <w:rsid w:val="00162FA0"/>
    <w:rsid w:val="00163893"/>
    <w:rsid w:val="00163A32"/>
    <w:rsid w:val="001667F4"/>
    <w:rsid w:val="0016741F"/>
    <w:rsid w:val="00171830"/>
    <w:rsid w:val="001718D0"/>
    <w:rsid w:val="00171B4A"/>
    <w:rsid w:val="0017210B"/>
    <w:rsid w:val="001731ED"/>
    <w:rsid w:val="00182AAF"/>
    <w:rsid w:val="001846E0"/>
    <w:rsid w:val="00184759"/>
    <w:rsid w:val="001867B5"/>
    <w:rsid w:val="00187F06"/>
    <w:rsid w:val="00193A32"/>
    <w:rsid w:val="001955B8"/>
    <w:rsid w:val="00195932"/>
    <w:rsid w:val="00196D29"/>
    <w:rsid w:val="001A078B"/>
    <w:rsid w:val="001A1014"/>
    <w:rsid w:val="001A2E2E"/>
    <w:rsid w:val="001A6645"/>
    <w:rsid w:val="001B113F"/>
    <w:rsid w:val="001B2B30"/>
    <w:rsid w:val="001B79C6"/>
    <w:rsid w:val="001C666A"/>
    <w:rsid w:val="001D0C42"/>
    <w:rsid w:val="001D0DC1"/>
    <w:rsid w:val="001D2E53"/>
    <w:rsid w:val="001D3BF7"/>
    <w:rsid w:val="001E3F53"/>
    <w:rsid w:val="001E5481"/>
    <w:rsid w:val="001E5942"/>
    <w:rsid w:val="001E6508"/>
    <w:rsid w:val="001E7802"/>
    <w:rsid w:val="001F45CA"/>
    <w:rsid w:val="001F75F6"/>
    <w:rsid w:val="00200DE8"/>
    <w:rsid w:val="0020791A"/>
    <w:rsid w:val="00210E04"/>
    <w:rsid w:val="0021168F"/>
    <w:rsid w:val="00221395"/>
    <w:rsid w:val="002249EE"/>
    <w:rsid w:val="00226BA5"/>
    <w:rsid w:val="00232565"/>
    <w:rsid w:val="0024020B"/>
    <w:rsid w:val="0024025A"/>
    <w:rsid w:val="00243DDB"/>
    <w:rsid w:val="00244731"/>
    <w:rsid w:val="00245878"/>
    <w:rsid w:val="002508E7"/>
    <w:rsid w:val="00252A2D"/>
    <w:rsid w:val="00252B5C"/>
    <w:rsid w:val="00252D30"/>
    <w:rsid w:val="00252E3B"/>
    <w:rsid w:val="00260ADA"/>
    <w:rsid w:val="00262B98"/>
    <w:rsid w:val="00262CDB"/>
    <w:rsid w:val="00265A1A"/>
    <w:rsid w:val="00270121"/>
    <w:rsid w:val="00275BB7"/>
    <w:rsid w:val="00281B5D"/>
    <w:rsid w:val="0029243E"/>
    <w:rsid w:val="00295C5E"/>
    <w:rsid w:val="0029710A"/>
    <w:rsid w:val="00297F0E"/>
    <w:rsid w:val="002A03C2"/>
    <w:rsid w:val="002B3308"/>
    <w:rsid w:val="002C29B4"/>
    <w:rsid w:val="002C3984"/>
    <w:rsid w:val="002C3D34"/>
    <w:rsid w:val="002C50D9"/>
    <w:rsid w:val="002D2321"/>
    <w:rsid w:val="002D3247"/>
    <w:rsid w:val="002D32A1"/>
    <w:rsid w:val="002D3B30"/>
    <w:rsid w:val="002D7517"/>
    <w:rsid w:val="002E26C0"/>
    <w:rsid w:val="002E5946"/>
    <w:rsid w:val="002E66A7"/>
    <w:rsid w:val="002F05DC"/>
    <w:rsid w:val="002F36D8"/>
    <w:rsid w:val="00300F61"/>
    <w:rsid w:val="00304620"/>
    <w:rsid w:val="00311206"/>
    <w:rsid w:val="00312E33"/>
    <w:rsid w:val="003169CD"/>
    <w:rsid w:val="00320053"/>
    <w:rsid w:val="00326F96"/>
    <w:rsid w:val="00331CD3"/>
    <w:rsid w:val="00334849"/>
    <w:rsid w:val="0033591E"/>
    <w:rsid w:val="0034006A"/>
    <w:rsid w:val="00342CAE"/>
    <w:rsid w:val="00344E67"/>
    <w:rsid w:val="00347802"/>
    <w:rsid w:val="00347E59"/>
    <w:rsid w:val="0035118F"/>
    <w:rsid w:val="003516F0"/>
    <w:rsid w:val="00354D07"/>
    <w:rsid w:val="00356F4D"/>
    <w:rsid w:val="0036001C"/>
    <w:rsid w:val="00364499"/>
    <w:rsid w:val="0037147C"/>
    <w:rsid w:val="00371D22"/>
    <w:rsid w:val="00372D07"/>
    <w:rsid w:val="003740F3"/>
    <w:rsid w:val="0037667B"/>
    <w:rsid w:val="00380085"/>
    <w:rsid w:val="00381EA4"/>
    <w:rsid w:val="00385395"/>
    <w:rsid w:val="0038783B"/>
    <w:rsid w:val="00390D9D"/>
    <w:rsid w:val="00394B78"/>
    <w:rsid w:val="003956FF"/>
    <w:rsid w:val="003B125A"/>
    <w:rsid w:val="003B30EA"/>
    <w:rsid w:val="003B5B34"/>
    <w:rsid w:val="003C150D"/>
    <w:rsid w:val="003C1AF8"/>
    <w:rsid w:val="003C4E44"/>
    <w:rsid w:val="003C614D"/>
    <w:rsid w:val="003D1F88"/>
    <w:rsid w:val="003D2FF7"/>
    <w:rsid w:val="003E0F50"/>
    <w:rsid w:val="003E2ED5"/>
    <w:rsid w:val="003E4AB3"/>
    <w:rsid w:val="0040027C"/>
    <w:rsid w:val="0040314B"/>
    <w:rsid w:val="00415CC0"/>
    <w:rsid w:val="00417A4E"/>
    <w:rsid w:val="00421BF6"/>
    <w:rsid w:val="00424C93"/>
    <w:rsid w:val="00424EE4"/>
    <w:rsid w:val="00426DCA"/>
    <w:rsid w:val="00431F27"/>
    <w:rsid w:val="00443679"/>
    <w:rsid w:val="00445841"/>
    <w:rsid w:val="00447F09"/>
    <w:rsid w:val="00457918"/>
    <w:rsid w:val="00460160"/>
    <w:rsid w:val="004618C6"/>
    <w:rsid w:val="00465A34"/>
    <w:rsid w:val="00465DE9"/>
    <w:rsid w:val="00480512"/>
    <w:rsid w:val="00483002"/>
    <w:rsid w:val="00484B04"/>
    <w:rsid w:val="00486437"/>
    <w:rsid w:val="004954D5"/>
    <w:rsid w:val="00495EAA"/>
    <w:rsid w:val="00496EA8"/>
    <w:rsid w:val="00497459"/>
    <w:rsid w:val="004A06EC"/>
    <w:rsid w:val="004A0F64"/>
    <w:rsid w:val="004A1D4B"/>
    <w:rsid w:val="004A2F0B"/>
    <w:rsid w:val="004B0002"/>
    <w:rsid w:val="004B125A"/>
    <w:rsid w:val="004B2982"/>
    <w:rsid w:val="004B2A55"/>
    <w:rsid w:val="004B64FB"/>
    <w:rsid w:val="004B7BE0"/>
    <w:rsid w:val="004C11B2"/>
    <w:rsid w:val="004C5E6C"/>
    <w:rsid w:val="004C6470"/>
    <w:rsid w:val="004D134E"/>
    <w:rsid w:val="004D1DBF"/>
    <w:rsid w:val="004D515B"/>
    <w:rsid w:val="004D5C7D"/>
    <w:rsid w:val="004D7287"/>
    <w:rsid w:val="004E2ABD"/>
    <w:rsid w:val="004F008B"/>
    <w:rsid w:val="004F14F7"/>
    <w:rsid w:val="004F151F"/>
    <w:rsid w:val="005001A3"/>
    <w:rsid w:val="00501007"/>
    <w:rsid w:val="0050378A"/>
    <w:rsid w:val="00506968"/>
    <w:rsid w:val="00506B1C"/>
    <w:rsid w:val="00510166"/>
    <w:rsid w:val="005116B4"/>
    <w:rsid w:val="00513EC8"/>
    <w:rsid w:val="00514861"/>
    <w:rsid w:val="00520E11"/>
    <w:rsid w:val="005224F6"/>
    <w:rsid w:val="005273BD"/>
    <w:rsid w:val="00527AE2"/>
    <w:rsid w:val="0053676F"/>
    <w:rsid w:val="00537C2D"/>
    <w:rsid w:val="00541AFA"/>
    <w:rsid w:val="00543104"/>
    <w:rsid w:val="00554071"/>
    <w:rsid w:val="00561E0B"/>
    <w:rsid w:val="005678AC"/>
    <w:rsid w:val="005811BA"/>
    <w:rsid w:val="00581E1B"/>
    <w:rsid w:val="00582015"/>
    <w:rsid w:val="00583C67"/>
    <w:rsid w:val="00584AE1"/>
    <w:rsid w:val="005922EC"/>
    <w:rsid w:val="0059552B"/>
    <w:rsid w:val="005A0374"/>
    <w:rsid w:val="005A2246"/>
    <w:rsid w:val="005A4BA3"/>
    <w:rsid w:val="005B1C54"/>
    <w:rsid w:val="005B2EF9"/>
    <w:rsid w:val="005C1CC2"/>
    <w:rsid w:val="005C2284"/>
    <w:rsid w:val="005C45E0"/>
    <w:rsid w:val="005D0EFA"/>
    <w:rsid w:val="005D2A74"/>
    <w:rsid w:val="005D4E9A"/>
    <w:rsid w:val="005D7E04"/>
    <w:rsid w:val="005E03FF"/>
    <w:rsid w:val="005E7EDB"/>
    <w:rsid w:val="005F38F9"/>
    <w:rsid w:val="00610D68"/>
    <w:rsid w:val="00611A31"/>
    <w:rsid w:val="00621460"/>
    <w:rsid w:val="00626C0F"/>
    <w:rsid w:val="00632687"/>
    <w:rsid w:val="00642144"/>
    <w:rsid w:val="00643258"/>
    <w:rsid w:val="00645EEA"/>
    <w:rsid w:val="00646C67"/>
    <w:rsid w:val="00651EC3"/>
    <w:rsid w:val="00654FB6"/>
    <w:rsid w:val="00661E7D"/>
    <w:rsid w:val="0066370A"/>
    <w:rsid w:val="00663D7F"/>
    <w:rsid w:val="0066424D"/>
    <w:rsid w:val="00665687"/>
    <w:rsid w:val="00667CA1"/>
    <w:rsid w:val="00670E91"/>
    <w:rsid w:val="006729EB"/>
    <w:rsid w:val="006751D4"/>
    <w:rsid w:val="00680433"/>
    <w:rsid w:val="00683310"/>
    <w:rsid w:val="00684280"/>
    <w:rsid w:val="0068568B"/>
    <w:rsid w:val="00687369"/>
    <w:rsid w:val="0069436D"/>
    <w:rsid w:val="006A0E97"/>
    <w:rsid w:val="006A1637"/>
    <w:rsid w:val="006A4801"/>
    <w:rsid w:val="006B1774"/>
    <w:rsid w:val="006B19B8"/>
    <w:rsid w:val="006B1D4D"/>
    <w:rsid w:val="006B2B7F"/>
    <w:rsid w:val="006B6521"/>
    <w:rsid w:val="006C162A"/>
    <w:rsid w:val="006C49B3"/>
    <w:rsid w:val="006C528B"/>
    <w:rsid w:val="006C66AD"/>
    <w:rsid w:val="006C7751"/>
    <w:rsid w:val="006D0403"/>
    <w:rsid w:val="006D2EB4"/>
    <w:rsid w:val="006D38DD"/>
    <w:rsid w:val="006D57A2"/>
    <w:rsid w:val="006D5AB9"/>
    <w:rsid w:val="006E01EF"/>
    <w:rsid w:val="006E2362"/>
    <w:rsid w:val="006E247E"/>
    <w:rsid w:val="006E6260"/>
    <w:rsid w:val="006E6936"/>
    <w:rsid w:val="006F0536"/>
    <w:rsid w:val="006F6392"/>
    <w:rsid w:val="006F6F4C"/>
    <w:rsid w:val="006F76DC"/>
    <w:rsid w:val="006F7D7A"/>
    <w:rsid w:val="0070123C"/>
    <w:rsid w:val="00702A80"/>
    <w:rsid w:val="007037FC"/>
    <w:rsid w:val="007044FE"/>
    <w:rsid w:val="00704DCB"/>
    <w:rsid w:val="007054CB"/>
    <w:rsid w:val="007135FE"/>
    <w:rsid w:val="00714873"/>
    <w:rsid w:val="007161FE"/>
    <w:rsid w:val="00720273"/>
    <w:rsid w:val="00721338"/>
    <w:rsid w:val="00722633"/>
    <w:rsid w:val="00725364"/>
    <w:rsid w:val="00726CB2"/>
    <w:rsid w:val="00731368"/>
    <w:rsid w:val="00737E5C"/>
    <w:rsid w:val="007432F0"/>
    <w:rsid w:val="00746DA4"/>
    <w:rsid w:val="00747E98"/>
    <w:rsid w:val="00755693"/>
    <w:rsid w:val="00771431"/>
    <w:rsid w:val="00772169"/>
    <w:rsid w:val="0077392A"/>
    <w:rsid w:val="00774EE2"/>
    <w:rsid w:val="0077702B"/>
    <w:rsid w:val="00777756"/>
    <w:rsid w:val="00777AC6"/>
    <w:rsid w:val="00786231"/>
    <w:rsid w:val="0079465A"/>
    <w:rsid w:val="007A3FC5"/>
    <w:rsid w:val="007A4DD2"/>
    <w:rsid w:val="007A7421"/>
    <w:rsid w:val="007B1A21"/>
    <w:rsid w:val="007B36F9"/>
    <w:rsid w:val="007B54AB"/>
    <w:rsid w:val="007C459D"/>
    <w:rsid w:val="007C47AE"/>
    <w:rsid w:val="007C66BD"/>
    <w:rsid w:val="007D2E25"/>
    <w:rsid w:val="007D727E"/>
    <w:rsid w:val="007F1032"/>
    <w:rsid w:val="007F3308"/>
    <w:rsid w:val="007F563B"/>
    <w:rsid w:val="00803623"/>
    <w:rsid w:val="00803B10"/>
    <w:rsid w:val="0080557B"/>
    <w:rsid w:val="00805DA3"/>
    <w:rsid w:val="00813569"/>
    <w:rsid w:val="00815A67"/>
    <w:rsid w:val="00817DCA"/>
    <w:rsid w:val="008212C9"/>
    <w:rsid w:val="008217DD"/>
    <w:rsid w:val="00821E65"/>
    <w:rsid w:val="00822EB3"/>
    <w:rsid w:val="00826436"/>
    <w:rsid w:val="00827884"/>
    <w:rsid w:val="00831510"/>
    <w:rsid w:val="00831C44"/>
    <w:rsid w:val="0083389E"/>
    <w:rsid w:val="00833D2C"/>
    <w:rsid w:val="00834507"/>
    <w:rsid w:val="00841A98"/>
    <w:rsid w:val="00842F57"/>
    <w:rsid w:val="00843631"/>
    <w:rsid w:val="00844927"/>
    <w:rsid w:val="0084578C"/>
    <w:rsid w:val="00847F23"/>
    <w:rsid w:val="00851660"/>
    <w:rsid w:val="0085224F"/>
    <w:rsid w:val="0085440A"/>
    <w:rsid w:val="00856ACC"/>
    <w:rsid w:val="008574CF"/>
    <w:rsid w:val="00865094"/>
    <w:rsid w:val="00884361"/>
    <w:rsid w:val="008852F0"/>
    <w:rsid w:val="008A26A6"/>
    <w:rsid w:val="008A383F"/>
    <w:rsid w:val="008A77A8"/>
    <w:rsid w:val="008B076D"/>
    <w:rsid w:val="008B1F6E"/>
    <w:rsid w:val="008B28BB"/>
    <w:rsid w:val="008B519C"/>
    <w:rsid w:val="008B6837"/>
    <w:rsid w:val="008C10A9"/>
    <w:rsid w:val="008C1EB7"/>
    <w:rsid w:val="008C4B9D"/>
    <w:rsid w:val="008C57BD"/>
    <w:rsid w:val="008C77E2"/>
    <w:rsid w:val="008D1651"/>
    <w:rsid w:val="008D4302"/>
    <w:rsid w:val="008E29BA"/>
    <w:rsid w:val="008E404A"/>
    <w:rsid w:val="009006F1"/>
    <w:rsid w:val="00903474"/>
    <w:rsid w:val="00903740"/>
    <w:rsid w:val="00904499"/>
    <w:rsid w:val="00913E40"/>
    <w:rsid w:val="0091711B"/>
    <w:rsid w:val="0092269A"/>
    <w:rsid w:val="00923E86"/>
    <w:rsid w:val="00926CC5"/>
    <w:rsid w:val="00930370"/>
    <w:rsid w:val="00930D19"/>
    <w:rsid w:val="00932625"/>
    <w:rsid w:val="0093267F"/>
    <w:rsid w:val="0093427B"/>
    <w:rsid w:val="009345C4"/>
    <w:rsid w:val="009618DE"/>
    <w:rsid w:val="00961DF0"/>
    <w:rsid w:val="0096224E"/>
    <w:rsid w:val="00972582"/>
    <w:rsid w:val="009729AF"/>
    <w:rsid w:val="00973690"/>
    <w:rsid w:val="00975F96"/>
    <w:rsid w:val="00981EC3"/>
    <w:rsid w:val="00984BEF"/>
    <w:rsid w:val="00991A89"/>
    <w:rsid w:val="00993DFF"/>
    <w:rsid w:val="009A1B6C"/>
    <w:rsid w:val="009B23C3"/>
    <w:rsid w:val="009B6CDD"/>
    <w:rsid w:val="009C0C35"/>
    <w:rsid w:val="009C1CDE"/>
    <w:rsid w:val="009C41CD"/>
    <w:rsid w:val="009C5235"/>
    <w:rsid w:val="009C729F"/>
    <w:rsid w:val="009C78F1"/>
    <w:rsid w:val="009D7856"/>
    <w:rsid w:val="009D7EF9"/>
    <w:rsid w:val="009E2F2E"/>
    <w:rsid w:val="009F0118"/>
    <w:rsid w:val="009F031D"/>
    <w:rsid w:val="009F040F"/>
    <w:rsid w:val="009F1DF4"/>
    <w:rsid w:val="00A000A7"/>
    <w:rsid w:val="00A00CAC"/>
    <w:rsid w:val="00A1299A"/>
    <w:rsid w:val="00A152F4"/>
    <w:rsid w:val="00A278E7"/>
    <w:rsid w:val="00A32564"/>
    <w:rsid w:val="00A327FD"/>
    <w:rsid w:val="00A33AB5"/>
    <w:rsid w:val="00A45ED7"/>
    <w:rsid w:val="00A50278"/>
    <w:rsid w:val="00A50D17"/>
    <w:rsid w:val="00A5285A"/>
    <w:rsid w:val="00A529C8"/>
    <w:rsid w:val="00A54E47"/>
    <w:rsid w:val="00A60750"/>
    <w:rsid w:val="00A64C41"/>
    <w:rsid w:val="00A744C5"/>
    <w:rsid w:val="00A80770"/>
    <w:rsid w:val="00A83285"/>
    <w:rsid w:val="00A862D9"/>
    <w:rsid w:val="00A87CEC"/>
    <w:rsid w:val="00A94744"/>
    <w:rsid w:val="00A96E2B"/>
    <w:rsid w:val="00AA1A55"/>
    <w:rsid w:val="00AA60BB"/>
    <w:rsid w:val="00AB225B"/>
    <w:rsid w:val="00AB2CBE"/>
    <w:rsid w:val="00AB4EDE"/>
    <w:rsid w:val="00AC7581"/>
    <w:rsid w:val="00AD1929"/>
    <w:rsid w:val="00AD76D9"/>
    <w:rsid w:val="00AE6FAB"/>
    <w:rsid w:val="00AF31E5"/>
    <w:rsid w:val="00B00116"/>
    <w:rsid w:val="00B05613"/>
    <w:rsid w:val="00B07BC2"/>
    <w:rsid w:val="00B14896"/>
    <w:rsid w:val="00B14CE5"/>
    <w:rsid w:val="00B201C2"/>
    <w:rsid w:val="00B2084D"/>
    <w:rsid w:val="00B24205"/>
    <w:rsid w:val="00B24E72"/>
    <w:rsid w:val="00B27772"/>
    <w:rsid w:val="00B3557F"/>
    <w:rsid w:val="00B35B25"/>
    <w:rsid w:val="00B36A4E"/>
    <w:rsid w:val="00B42B98"/>
    <w:rsid w:val="00B43C8D"/>
    <w:rsid w:val="00B43DA9"/>
    <w:rsid w:val="00B5130C"/>
    <w:rsid w:val="00B52D87"/>
    <w:rsid w:val="00B54631"/>
    <w:rsid w:val="00B54682"/>
    <w:rsid w:val="00B5570E"/>
    <w:rsid w:val="00B565C3"/>
    <w:rsid w:val="00B57491"/>
    <w:rsid w:val="00B60AA0"/>
    <w:rsid w:val="00B61B9F"/>
    <w:rsid w:val="00B6536A"/>
    <w:rsid w:val="00B6697E"/>
    <w:rsid w:val="00B679D9"/>
    <w:rsid w:val="00B76A2F"/>
    <w:rsid w:val="00B823F4"/>
    <w:rsid w:val="00B84A68"/>
    <w:rsid w:val="00B910D0"/>
    <w:rsid w:val="00B91923"/>
    <w:rsid w:val="00B93D9A"/>
    <w:rsid w:val="00BA086F"/>
    <w:rsid w:val="00BA325D"/>
    <w:rsid w:val="00BA4F16"/>
    <w:rsid w:val="00BB69DA"/>
    <w:rsid w:val="00BC5560"/>
    <w:rsid w:val="00BD1214"/>
    <w:rsid w:val="00BD37E8"/>
    <w:rsid w:val="00BD648A"/>
    <w:rsid w:val="00BE2F72"/>
    <w:rsid w:val="00BE473A"/>
    <w:rsid w:val="00BF1496"/>
    <w:rsid w:val="00BF282B"/>
    <w:rsid w:val="00C00EBD"/>
    <w:rsid w:val="00C049E1"/>
    <w:rsid w:val="00C13915"/>
    <w:rsid w:val="00C14571"/>
    <w:rsid w:val="00C14874"/>
    <w:rsid w:val="00C15DE0"/>
    <w:rsid w:val="00C2178C"/>
    <w:rsid w:val="00C21D92"/>
    <w:rsid w:val="00C25073"/>
    <w:rsid w:val="00C26F7F"/>
    <w:rsid w:val="00C2706F"/>
    <w:rsid w:val="00C2716F"/>
    <w:rsid w:val="00C32434"/>
    <w:rsid w:val="00C3334F"/>
    <w:rsid w:val="00C3434A"/>
    <w:rsid w:val="00C3503F"/>
    <w:rsid w:val="00C3585B"/>
    <w:rsid w:val="00C3735D"/>
    <w:rsid w:val="00C4119A"/>
    <w:rsid w:val="00C41B69"/>
    <w:rsid w:val="00C4339F"/>
    <w:rsid w:val="00C44794"/>
    <w:rsid w:val="00C47030"/>
    <w:rsid w:val="00C50BC5"/>
    <w:rsid w:val="00C55CD3"/>
    <w:rsid w:val="00C57598"/>
    <w:rsid w:val="00C63AA2"/>
    <w:rsid w:val="00C66431"/>
    <w:rsid w:val="00C667A8"/>
    <w:rsid w:val="00C715A8"/>
    <w:rsid w:val="00C75EBD"/>
    <w:rsid w:val="00C77B56"/>
    <w:rsid w:val="00C80BE1"/>
    <w:rsid w:val="00C83987"/>
    <w:rsid w:val="00C859D0"/>
    <w:rsid w:val="00C86793"/>
    <w:rsid w:val="00C91383"/>
    <w:rsid w:val="00C96503"/>
    <w:rsid w:val="00C967CC"/>
    <w:rsid w:val="00CB4C14"/>
    <w:rsid w:val="00CC2B33"/>
    <w:rsid w:val="00CD13DC"/>
    <w:rsid w:val="00CD2950"/>
    <w:rsid w:val="00CD3E6B"/>
    <w:rsid w:val="00CD4F94"/>
    <w:rsid w:val="00CE0CD4"/>
    <w:rsid w:val="00CE12F9"/>
    <w:rsid w:val="00CE31A7"/>
    <w:rsid w:val="00CE62FF"/>
    <w:rsid w:val="00CF19D7"/>
    <w:rsid w:val="00CF4543"/>
    <w:rsid w:val="00D04AF7"/>
    <w:rsid w:val="00D05403"/>
    <w:rsid w:val="00D05976"/>
    <w:rsid w:val="00D138AF"/>
    <w:rsid w:val="00D15585"/>
    <w:rsid w:val="00D17CD2"/>
    <w:rsid w:val="00D20570"/>
    <w:rsid w:val="00D23C2E"/>
    <w:rsid w:val="00D30FE8"/>
    <w:rsid w:val="00D31F15"/>
    <w:rsid w:val="00D33176"/>
    <w:rsid w:val="00D340AB"/>
    <w:rsid w:val="00D361C1"/>
    <w:rsid w:val="00D36601"/>
    <w:rsid w:val="00D37EA8"/>
    <w:rsid w:val="00D445D6"/>
    <w:rsid w:val="00D4461C"/>
    <w:rsid w:val="00D44F86"/>
    <w:rsid w:val="00D50D46"/>
    <w:rsid w:val="00D544E3"/>
    <w:rsid w:val="00D560DD"/>
    <w:rsid w:val="00D568CC"/>
    <w:rsid w:val="00D60E69"/>
    <w:rsid w:val="00D6158C"/>
    <w:rsid w:val="00D64DAB"/>
    <w:rsid w:val="00D6512B"/>
    <w:rsid w:val="00D65441"/>
    <w:rsid w:val="00D70F73"/>
    <w:rsid w:val="00D73335"/>
    <w:rsid w:val="00D82BEF"/>
    <w:rsid w:val="00D8492E"/>
    <w:rsid w:val="00D8743A"/>
    <w:rsid w:val="00D9221F"/>
    <w:rsid w:val="00D9304F"/>
    <w:rsid w:val="00DA2D8C"/>
    <w:rsid w:val="00DA3B8E"/>
    <w:rsid w:val="00DA4467"/>
    <w:rsid w:val="00DA4BE1"/>
    <w:rsid w:val="00DB109D"/>
    <w:rsid w:val="00DB1288"/>
    <w:rsid w:val="00DB1A35"/>
    <w:rsid w:val="00DB30FF"/>
    <w:rsid w:val="00DB5299"/>
    <w:rsid w:val="00DB7A5E"/>
    <w:rsid w:val="00DC15D6"/>
    <w:rsid w:val="00DC1F15"/>
    <w:rsid w:val="00DD0A70"/>
    <w:rsid w:val="00DD289B"/>
    <w:rsid w:val="00DD3315"/>
    <w:rsid w:val="00DD5090"/>
    <w:rsid w:val="00DD5756"/>
    <w:rsid w:val="00DF1C16"/>
    <w:rsid w:val="00DF459F"/>
    <w:rsid w:val="00DF5103"/>
    <w:rsid w:val="00E046C2"/>
    <w:rsid w:val="00E05386"/>
    <w:rsid w:val="00E0595C"/>
    <w:rsid w:val="00E10775"/>
    <w:rsid w:val="00E139E7"/>
    <w:rsid w:val="00E219AC"/>
    <w:rsid w:val="00E25302"/>
    <w:rsid w:val="00E2725C"/>
    <w:rsid w:val="00E27634"/>
    <w:rsid w:val="00E27805"/>
    <w:rsid w:val="00E37B09"/>
    <w:rsid w:val="00E37C3B"/>
    <w:rsid w:val="00E43E13"/>
    <w:rsid w:val="00E501DD"/>
    <w:rsid w:val="00E512B1"/>
    <w:rsid w:val="00E5418C"/>
    <w:rsid w:val="00E55CF6"/>
    <w:rsid w:val="00E57503"/>
    <w:rsid w:val="00E60203"/>
    <w:rsid w:val="00E6201D"/>
    <w:rsid w:val="00E6566E"/>
    <w:rsid w:val="00E81190"/>
    <w:rsid w:val="00E827C9"/>
    <w:rsid w:val="00E82D4C"/>
    <w:rsid w:val="00E867BE"/>
    <w:rsid w:val="00E91F1C"/>
    <w:rsid w:val="00E96B65"/>
    <w:rsid w:val="00E97226"/>
    <w:rsid w:val="00EA4B5C"/>
    <w:rsid w:val="00EB0367"/>
    <w:rsid w:val="00EB2638"/>
    <w:rsid w:val="00EB52ED"/>
    <w:rsid w:val="00EB60F4"/>
    <w:rsid w:val="00ED1419"/>
    <w:rsid w:val="00ED60FE"/>
    <w:rsid w:val="00ED71EA"/>
    <w:rsid w:val="00EE48FC"/>
    <w:rsid w:val="00EF3B6F"/>
    <w:rsid w:val="00EF4C4F"/>
    <w:rsid w:val="00EF73F6"/>
    <w:rsid w:val="00F00BC9"/>
    <w:rsid w:val="00F01118"/>
    <w:rsid w:val="00F02ADC"/>
    <w:rsid w:val="00F04699"/>
    <w:rsid w:val="00F0471E"/>
    <w:rsid w:val="00F1017A"/>
    <w:rsid w:val="00F1294D"/>
    <w:rsid w:val="00F17EEF"/>
    <w:rsid w:val="00F21CE6"/>
    <w:rsid w:val="00F21DA2"/>
    <w:rsid w:val="00F22DAE"/>
    <w:rsid w:val="00F25315"/>
    <w:rsid w:val="00F25A0B"/>
    <w:rsid w:val="00F36E11"/>
    <w:rsid w:val="00F40578"/>
    <w:rsid w:val="00F41036"/>
    <w:rsid w:val="00F419F7"/>
    <w:rsid w:val="00F44324"/>
    <w:rsid w:val="00F46B84"/>
    <w:rsid w:val="00F55185"/>
    <w:rsid w:val="00F5688E"/>
    <w:rsid w:val="00F612FA"/>
    <w:rsid w:val="00F6343B"/>
    <w:rsid w:val="00F67F56"/>
    <w:rsid w:val="00F7100C"/>
    <w:rsid w:val="00F72B8D"/>
    <w:rsid w:val="00F87E3A"/>
    <w:rsid w:val="00F915D9"/>
    <w:rsid w:val="00F93C7C"/>
    <w:rsid w:val="00FA019F"/>
    <w:rsid w:val="00FA175A"/>
    <w:rsid w:val="00FA3D58"/>
    <w:rsid w:val="00FA784E"/>
    <w:rsid w:val="00FA7DA0"/>
    <w:rsid w:val="00FB49D0"/>
    <w:rsid w:val="00FC3EA0"/>
    <w:rsid w:val="00FC685A"/>
    <w:rsid w:val="00FD04D8"/>
    <w:rsid w:val="00FD26A1"/>
    <w:rsid w:val="00FD6DBB"/>
    <w:rsid w:val="00FE5F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A31D5"/>
  <w15:docId w15:val="{F1EBD0B9-3382-40E6-B23D-86C28FA4F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DF0"/>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281B5D"/>
    <w:pPr>
      <w:spacing w:before="100" w:after="100" w:line="240" w:lineRule="auto"/>
      <w:jc w:val="center"/>
    </w:pPr>
    <w:rPr>
      <w:sz w:val="24"/>
      <w:szCs w:val="24"/>
      <w:lang w:eastAsia="lv-LV"/>
    </w:rPr>
  </w:style>
  <w:style w:type="paragraph" w:styleId="BodyText">
    <w:name w:val="Body Text"/>
    <w:basedOn w:val="Normal"/>
    <w:link w:val="BodyTextChar"/>
    <w:uiPriority w:val="99"/>
    <w:rsid w:val="00281B5D"/>
    <w:pPr>
      <w:spacing w:after="120" w:line="240" w:lineRule="auto"/>
    </w:pPr>
    <w:rPr>
      <w:sz w:val="24"/>
      <w:szCs w:val="24"/>
      <w:lang w:eastAsia="lv-LV"/>
    </w:rPr>
  </w:style>
  <w:style w:type="character" w:customStyle="1" w:styleId="BodyTextChar">
    <w:name w:val="Body Text Char"/>
    <w:basedOn w:val="DefaultParagraphFont"/>
    <w:link w:val="BodyText"/>
    <w:uiPriority w:val="99"/>
    <w:rsid w:val="00281B5D"/>
    <w:rPr>
      <w:rFonts w:ascii="Times New Roman" w:eastAsia="Times New Roman" w:hAnsi="Times New Roman" w:cs="Times New Roman"/>
      <w:sz w:val="24"/>
      <w:szCs w:val="24"/>
      <w:lang w:eastAsia="lv-LV"/>
    </w:rPr>
  </w:style>
  <w:style w:type="character" w:styleId="Hyperlink">
    <w:name w:val="Hyperlink"/>
    <w:rsid w:val="00281B5D"/>
    <w:rPr>
      <w:color w:val="0000FF"/>
      <w:u w:val="single"/>
    </w:rPr>
  </w:style>
  <w:style w:type="paragraph" w:styleId="Header">
    <w:name w:val="header"/>
    <w:basedOn w:val="Normal"/>
    <w:link w:val="HeaderChar"/>
    <w:uiPriority w:val="99"/>
    <w:rsid w:val="00281B5D"/>
    <w:pPr>
      <w:tabs>
        <w:tab w:val="center" w:pos="4153"/>
        <w:tab w:val="right" w:pos="8306"/>
      </w:tabs>
    </w:pPr>
  </w:style>
  <w:style w:type="character" w:customStyle="1" w:styleId="HeaderChar">
    <w:name w:val="Header Char"/>
    <w:basedOn w:val="DefaultParagraphFont"/>
    <w:link w:val="Header"/>
    <w:uiPriority w:val="99"/>
    <w:rsid w:val="00281B5D"/>
    <w:rPr>
      <w:rFonts w:ascii="Times New Roman" w:eastAsia="Times New Roman" w:hAnsi="Times New Roman" w:cs="Times New Roman"/>
      <w:sz w:val="28"/>
    </w:rPr>
  </w:style>
  <w:style w:type="character" w:styleId="PageNumber">
    <w:name w:val="page number"/>
    <w:basedOn w:val="DefaultParagraphFont"/>
    <w:rsid w:val="00281B5D"/>
  </w:style>
  <w:style w:type="paragraph" w:styleId="Footer">
    <w:name w:val="footer"/>
    <w:basedOn w:val="Normal"/>
    <w:link w:val="FooterChar"/>
    <w:rsid w:val="00281B5D"/>
    <w:pPr>
      <w:tabs>
        <w:tab w:val="center" w:pos="4153"/>
        <w:tab w:val="right" w:pos="8306"/>
      </w:tabs>
    </w:pPr>
  </w:style>
  <w:style w:type="character" w:customStyle="1" w:styleId="FooterChar">
    <w:name w:val="Footer Char"/>
    <w:basedOn w:val="DefaultParagraphFont"/>
    <w:link w:val="Footer"/>
    <w:rsid w:val="00281B5D"/>
    <w:rPr>
      <w:rFonts w:ascii="Times New Roman" w:eastAsia="Times New Roman" w:hAnsi="Times New Roman" w:cs="Times New Roman"/>
      <w:sz w:val="28"/>
    </w:rPr>
  </w:style>
  <w:style w:type="paragraph" w:styleId="BalloonText">
    <w:name w:val="Balloon Text"/>
    <w:basedOn w:val="Normal"/>
    <w:link w:val="BalloonTextChar"/>
    <w:uiPriority w:val="99"/>
    <w:semiHidden/>
    <w:unhideWhenUsed/>
    <w:rsid w:val="00D54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4E3"/>
    <w:rPr>
      <w:rFonts w:ascii="Tahoma" w:eastAsia="Times New Roman" w:hAnsi="Tahoma" w:cs="Tahoma"/>
      <w:sz w:val="16"/>
      <w:szCs w:val="16"/>
    </w:rPr>
  </w:style>
  <w:style w:type="paragraph" w:styleId="ListParagraph">
    <w:name w:val="List Paragraph"/>
    <w:basedOn w:val="Normal"/>
    <w:uiPriority w:val="99"/>
    <w:qFormat/>
    <w:rsid w:val="008D1651"/>
    <w:pPr>
      <w:ind w:left="720"/>
      <w:contextualSpacing/>
    </w:pPr>
  </w:style>
  <w:style w:type="paragraph" w:styleId="BodyTextIndent3">
    <w:name w:val="Body Text Indent 3"/>
    <w:basedOn w:val="Normal"/>
    <w:link w:val="BodyTextIndent3Char"/>
    <w:semiHidden/>
    <w:unhideWhenUsed/>
    <w:rsid w:val="005001A3"/>
    <w:pPr>
      <w:spacing w:after="120"/>
      <w:ind w:left="283"/>
    </w:pPr>
    <w:rPr>
      <w:sz w:val="16"/>
      <w:szCs w:val="16"/>
    </w:rPr>
  </w:style>
  <w:style w:type="character" w:customStyle="1" w:styleId="BodyTextIndent3Char">
    <w:name w:val="Body Text Indent 3 Char"/>
    <w:basedOn w:val="DefaultParagraphFont"/>
    <w:link w:val="BodyTextIndent3"/>
    <w:semiHidden/>
    <w:rsid w:val="005001A3"/>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semiHidden/>
    <w:unhideWhenUsed/>
    <w:rsid w:val="0096224E"/>
    <w:pPr>
      <w:spacing w:after="120" w:line="480" w:lineRule="auto"/>
      <w:ind w:left="283"/>
    </w:pPr>
  </w:style>
  <w:style w:type="character" w:customStyle="1" w:styleId="BodyTextIndent2Char">
    <w:name w:val="Body Text Indent 2 Char"/>
    <w:basedOn w:val="DefaultParagraphFont"/>
    <w:link w:val="BodyTextIndent2"/>
    <w:uiPriority w:val="99"/>
    <w:semiHidden/>
    <w:rsid w:val="0096224E"/>
    <w:rPr>
      <w:rFonts w:ascii="Times New Roman" w:eastAsia="Times New Roman" w:hAnsi="Times New Roman" w:cs="Times New Roman"/>
      <w:sz w:val="28"/>
    </w:rPr>
  </w:style>
  <w:style w:type="paragraph" w:customStyle="1" w:styleId="naiskr">
    <w:name w:val="naiskr"/>
    <w:basedOn w:val="Normal"/>
    <w:uiPriority w:val="99"/>
    <w:rsid w:val="00B42B98"/>
    <w:pPr>
      <w:spacing w:before="100" w:beforeAutospacing="1" w:after="100" w:afterAutospacing="1" w:line="240" w:lineRule="auto"/>
    </w:pPr>
    <w:rPr>
      <w:sz w:val="24"/>
      <w:szCs w:val="24"/>
      <w:lang w:eastAsia="lv-LV"/>
    </w:rPr>
  </w:style>
  <w:style w:type="paragraph" w:customStyle="1" w:styleId="naisf">
    <w:name w:val="naisf"/>
    <w:basedOn w:val="Normal"/>
    <w:uiPriority w:val="99"/>
    <w:rsid w:val="007135FE"/>
    <w:pPr>
      <w:spacing w:after="0" w:line="240" w:lineRule="auto"/>
    </w:pPr>
    <w:rPr>
      <w:sz w:val="24"/>
      <w:szCs w:val="24"/>
      <w:lang w:eastAsia="lv-LV"/>
    </w:rPr>
  </w:style>
  <w:style w:type="paragraph" w:styleId="CommentText">
    <w:name w:val="annotation text"/>
    <w:basedOn w:val="Normal"/>
    <w:link w:val="CommentTextChar"/>
    <w:uiPriority w:val="99"/>
    <w:semiHidden/>
    <w:rsid w:val="00126CB4"/>
    <w:pPr>
      <w:spacing w:after="0" w:line="240" w:lineRule="auto"/>
    </w:pPr>
    <w:rPr>
      <w:sz w:val="20"/>
      <w:szCs w:val="20"/>
      <w:lang w:eastAsia="lv-LV"/>
    </w:rPr>
  </w:style>
  <w:style w:type="character" w:customStyle="1" w:styleId="CommentTextChar">
    <w:name w:val="Comment Text Char"/>
    <w:basedOn w:val="DefaultParagraphFont"/>
    <w:link w:val="CommentText"/>
    <w:uiPriority w:val="99"/>
    <w:semiHidden/>
    <w:rsid w:val="00126CB4"/>
    <w:rPr>
      <w:rFonts w:ascii="Times New Roman" w:eastAsia="Times New Roman" w:hAnsi="Times New Roman" w:cs="Times New Roman"/>
      <w:sz w:val="20"/>
      <w:szCs w:val="20"/>
      <w:lang w:eastAsia="lv-LV"/>
    </w:rPr>
  </w:style>
  <w:style w:type="table" w:styleId="TableGrid">
    <w:name w:val="Table Grid"/>
    <w:basedOn w:val="TableNormal"/>
    <w:uiPriority w:val="59"/>
    <w:rsid w:val="008C5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0471E"/>
    <w:pPr>
      <w:snapToGrid w:val="0"/>
      <w:spacing w:after="0" w:line="240" w:lineRule="auto"/>
    </w:pPr>
    <w:rPr>
      <w:rFonts w:ascii="Courier New" w:hAnsi="Courier New"/>
      <w:szCs w:val="20"/>
    </w:rPr>
  </w:style>
  <w:style w:type="character" w:customStyle="1" w:styleId="PlainTextChar">
    <w:name w:val="Plain Text Char"/>
    <w:basedOn w:val="DefaultParagraphFont"/>
    <w:link w:val="PlainText"/>
    <w:uiPriority w:val="99"/>
    <w:rsid w:val="00F0471E"/>
    <w:rPr>
      <w:rFonts w:ascii="Courier New" w:eastAsia="Times New Roman" w:hAnsi="Courier New" w:cs="Times New Roman"/>
      <w:sz w:val="28"/>
      <w:szCs w:val="20"/>
    </w:rPr>
  </w:style>
  <w:style w:type="paragraph" w:styleId="CommentSubject">
    <w:name w:val="annotation subject"/>
    <w:basedOn w:val="CommentText"/>
    <w:next w:val="CommentText"/>
    <w:link w:val="CommentSubjectChar"/>
    <w:uiPriority w:val="99"/>
    <w:semiHidden/>
    <w:unhideWhenUsed/>
    <w:rsid w:val="00A94744"/>
    <w:rPr>
      <w:b/>
      <w:bCs/>
    </w:rPr>
  </w:style>
  <w:style w:type="character" w:customStyle="1" w:styleId="CommentSubjectChar">
    <w:name w:val="Comment Subject Char"/>
    <w:basedOn w:val="CommentTextChar"/>
    <w:link w:val="CommentSubject"/>
    <w:uiPriority w:val="99"/>
    <w:semiHidden/>
    <w:rsid w:val="00A94744"/>
    <w:rPr>
      <w:rFonts w:ascii="Times New Roman" w:eastAsia="Times New Roman" w:hAnsi="Times New Roman" w:cs="Times New Roman"/>
      <w:b/>
      <w:bCs/>
      <w:sz w:val="20"/>
      <w:szCs w:val="20"/>
      <w:lang w:eastAsia="lv-LV"/>
    </w:rPr>
  </w:style>
  <w:style w:type="paragraph" w:styleId="BodyTextIndent">
    <w:name w:val="Body Text Indent"/>
    <w:basedOn w:val="Normal"/>
    <w:link w:val="BodyTextIndentChar"/>
    <w:uiPriority w:val="99"/>
    <w:rsid w:val="00B24205"/>
    <w:pPr>
      <w:spacing w:after="120" w:line="240" w:lineRule="auto"/>
      <w:ind w:left="283"/>
    </w:pPr>
    <w:rPr>
      <w:sz w:val="24"/>
      <w:szCs w:val="24"/>
      <w:lang w:eastAsia="lv-LV"/>
    </w:rPr>
  </w:style>
  <w:style w:type="character" w:customStyle="1" w:styleId="BodyTextIndentChar">
    <w:name w:val="Body Text Indent Char"/>
    <w:basedOn w:val="DefaultParagraphFont"/>
    <w:link w:val="BodyTextIndent"/>
    <w:uiPriority w:val="99"/>
    <w:rsid w:val="00B24205"/>
    <w:rPr>
      <w:rFonts w:ascii="Times New Roman" w:eastAsia="Times New Roman" w:hAnsi="Times New Roman" w:cs="Times New Roman"/>
      <w:sz w:val="24"/>
      <w:szCs w:val="24"/>
      <w:lang w:eastAsia="lv-LV"/>
    </w:rPr>
  </w:style>
  <w:style w:type="character" w:customStyle="1" w:styleId="st">
    <w:name w:val="st"/>
    <w:basedOn w:val="DefaultParagraphFont"/>
    <w:rsid w:val="00FD04D8"/>
  </w:style>
  <w:style w:type="character" w:styleId="CommentReference">
    <w:name w:val="annotation reference"/>
    <w:basedOn w:val="DefaultParagraphFont"/>
    <w:uiPriority w:val="99"/>
    <w:semiHidden/>
    <w:unhideWhenUsed/>
    <w:rsid w:val="0051016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016818">
      <w:bodyDiv w:val="1"/>
      <w:marLeft w:val="0"/>
      <w:marRight w:val="0"/>
      <w:marTop w:val="0"/>
      <w:marBottom w:val="0"/>
      <w:divBdr>
        <w:top w:val="none" w:sz="0" w:space="0" w:color="auto"/>
        <w:left w:val="none" w:sz="0" w:space="0" w:color="auto"/>
        <w:bottom w:val="none" w:sz="0" w:space="0" w:color="auto"/>
        <w:right w:val="none" w:sz="0" w:space="0" w:color="auto"/>
      </w:divBdr>
    </w:div>
    <w:div w:id="579681295">
      <w:bodyDiv w:val="1"/>
      <w:marLeft w:val="0"/>
      <w:marRight w:val="0"/>
      <w:marTop w:val="0"/>
      <w:marBottom w:val="0"/>
      <w:divBdr>
        <w:top w:val="none" w:sz="0" w:space="0" w:color="auto"/>
        <w:left w:val="none" w:sz="0" w:space="0" w:color="auto"/>
        <w:bottom w:val="none" w:sz="0" w:space="0" w:color="auto"/>
        <w:right w:val="none" w:sz="0" w:space="0" w:color="auto"/>
      </w:divBdr>
    </w:div>
    <w:div w:id="1183667392">
      <w:bodyDiv w:val="1"/>
      <w:marLeft w:val="0"/>
      <w:marRight w:val="0"/>
      <w:marTop w:val="0"/>
      <w:marBottom w:val="0"/>
      <w:divBdr>
        <w:top w:val="none" w:sz="0" w:space="0" w:color="auto"/>
        <w:left w:val="none" w:sz="0" w:space="0" w:color="auto"/>
        <w:bottom w:val="none" w:sz="0" w:space="0" w:color="auto"/>
        <w:right w:val="none" w:sz="0" w:space="0" w:color="auto"/>
      </w:divBdr>
      <w:divsChild>
        <w:div w:id="1367943830">
          <w:marLeft w:val="0"/>
          <w:marRight w:val="0"/>
          <w:marTop w:val="0"/>
          <w:marBottom w:val="0"/>
          <w:divBdr>
            <w:top w:val="none" w:sz="0" w:space="0" w:color="auto"/>
            <w:left w:val="none" w:sz="0" w:space="0" w:color="auto"/>
            <w:bottom w:val="none" w:sz="0" w:space="0" w:color="auto"/>
            <w:right w:val="none" w:sz="0" w:space="0" w:color="auto"/>
          </w:divBdr>
          <w:divsChild>
            <w:div w:id="119496669">
              <w:marLeft w:val="0"/>
              <w:marRight w:val="0"/>
              <w:marTop w:val="100"/>
              <w:marBottom w:val="100"/>
              <w:divBdr>
                <w:top w:val="none" w:sz="0" w:space="0" w:color="auto"/>
                <w:left w:val="none" w:sz="0" w:space="0" w:color="auto"/>
                <w:bottom w:val="none" w:sz="0" w:space="0" w:color="auto"/>
                <w:right w:val="none" w:sz="0" w:space="0" w:color="auto"/>
              </w:divBdr>
              <w:divsChild>
                <w:div w:id="371737228">
                  <w:marLeft w:val="0"/>
                  <w:marRight w:val="0"/>
                  <w:marTop w:val="0"/>
                  <w:marBottom w:val="0"/>
                  <w:divBdr>
                    <w:top w:val="none" w:sz="0" w:space="0" w:color="auto"/>
                    <w:left w:val="none" w:sz="0" w:space="0" w:color="auto"/>
                    <w:bottom w:val="none" w:sz="0" w:space="0" w:color="auto"/>
                    <w:right w:val="none" w:sz="0" w:space="0" w:color="auto"/>
                  </w:divBdr>
                  <w:divsChild>
                    <w:div w:id="349338873">
                      <w:marLeft w:val="0"/>
                      <w:marRight w:val="0"/>
                      <w:marTop w:val="0"/>
                      <w:marBottom w:val="0"/>
                      <w:divBdr>
                        <w:top w:val="none" w:sz="0" w:space="0" w:color="auto"/>
                        <w:left w:val="none" w:sz="0" w:space="0" w:color="auto"/>
                        <w:bottom w:val="none" w:sz="0" w:space="0" w:color="auto"/>
                        <w:right w:val="none" w:sz="0" w:space="0" w:color="auto"/>
                      </w:divBdr>
                      <w:divsChild>
                        <w:div w:id="205083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990333">
      <w:bodyDiv w:val="1"/>
      <w:marLeft w:val="0"/>
      <w:marRight w:val="0"/>
      <w:marTop w:val="0"/>
      <w:marBottom w:val="0"/>
      <w:divBdr>
        <w:top w:val="none" w:sz="0" w:space="0" w:color="auto"/>
        <w:left w:val="none" w:sz="0" w:space="0" w:color="auto"/>
        <w:bottom w:val="none" w:sz="0" w:space="0" w:color="auto"/>
        <w:right w:val="none" w:sz="0" w:space="0" w:color="auto"/>
      </w:divBdr>
    </w:div>
    <w:div w:id="204617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ita.Stendenberga@vid.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23935-929A-42FF-B682-96497C9CA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7167</Words>
  <Characters>4086</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projekts „„Par Valsts ieņēmumu dienesta administratīvās ēkas Talejas ielā 1, Rīgā, telpu nomas maksas ilgtermiņa saistību precizēšanu”</vt:lpstr>
      <vt:lpstr>Ministru kabineta rīkojuma projekts „Par finansējuma piešķiršanu Finanšu ministrijai Valsts ieņēmumu dienesta administratīvās ēkas Talejas ielā 1, Rīgā, telpu nomas maksas izdevumu segšanai”</vt:lpstr>
    </vt:vector>
  </TitlesOfParts>
  <Company>Valsts ieņēmumu dienests</Company>
  <LinksUpToDate>false</LinksUpToDate>
  <CharactersWithSpaces>11231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Valsts ieņēmumu dienesta administratīvās ēkas Talejas ielā 1, Rīgā, telpu nomas maksas ilgtermiņa saistību precizēšanu”</dc:title>
  <dc:subject>Anotācija</dc:subject>
  <dc:creator>Sanita Štendenberga</dc:creator>
  <dc:description>Sanita.Stendenberga@vid.gov.lv, tālr.67120243</dc:description>
  <cp:lastModifiedBy>Dana Aleksandrova</cp:lastModifiedBy>
  <cp:revision>5</cp:revision>
  <cp:lastPrinted>2017-06-16T10:47:00Z</cp:lastPrinted>
  <dcterms:created xsi:type="dcterms:W3CDTF">2017-06-27T10:03:00Z</dcterms:created>
  <dcterms:modified xsi:type="dcterms:W3CDTF">2017-06-27T10:53:00Z</dcterms:modified>
</cp:coreProperties>
</file>