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99" w:rsidRPr="00D71586" w:rsidRDefault="00635299" w:rsidP="00782283">
      <w:pPr>
        <w:jc w:val="center"/>
        <w:rPr>
          <w:sz w:val="20"/>
        </w:rPr>
      </w:pPr>
    </w:p>
    <w:p w:rsidR="00782283" w:rsidRPr="00D71586" w:rsidRDefault="00782283" w:rsidP="00782283">
      <w:pPr>
        <w:jc w:val="center"/>
        <w:rPr>
          <w:sz w:val="20"/>
        </w:rPr>
      </w:pPr>
      <w:r w:rsidRPr="00D71586">
        <w:rPr>
          <w:sz w:val="20"/>
        </w:rPr>
        <w:t>Rīgā</w:t>
      </w:r>
    </w:p>
    <w:p w:rsidR="00782283" w:rsidRPr="00D71586" w:rsidRDefault="00782283"/>
    <w:tbl>
      <w:tblPr>
        <w:tblW w:w="0" w:type="auto"/>
        <w:tblLook w:val="0000" w:firstRow="0" w:lastRow="0" w:firstColumn="0" w:lastColumn="0" w:noHBand="0" w:noVBand="0"/>
      </w:tblPr>
      <w:tblGrid>
        <w:gridCol w:w="450"/>
        <w:gridCol w:w="1767"/>
        <w:gridCol w:w="700"/>
        <w:gridCol w:w="2637"/>
        <w:gridCol w:w="3802"/>
      </w:tblGrid>
      <w:tr w:rsidR="00BD1918" w:rsidRPr="00D71586" w:rsidTr="00B44CE5">
        <w:tc>
          <w:tcPr>
            <w:tcW w:w="450" w:type="dxa"/>
            <w:tcBorders>
              <w:top w:val="nil"/>
              <w:left w:val="nil"/>
              <w:bottom w:val="nil"/>
              <w:right w:val="nil"/>
            </w:tcBorders>
          </w:tcPr>
          <w:p w:rsidR="00BD1918" w:rsidRPr="00D71586" w:rsidRDefault="00BD1918" w:rsidP="00112FC2">
            <w:pPr>
              <w:tabs>
                <w:tab w:val="left" w:pos="360"/>
                <w:tab w:val="left" w:pos="3960"/>
              </w:tabs>
              <w:rPr>
                <w:sz w:val="20"/>
              </w:rPr>
            </w:pPr>
          </w:p>
        </w:tc>
        <w:tc>
          <w:tcPr>
            <w:tcW w:w="1785" w:type="dxa"/>
            <w:tcBorders>
              <w:top w:val="nil"/>
              <w:left w:val="nil"/>
              <w:bottom w:val="single" w:sz="4" w:space="0" w:color="auto"/>
              <w:right w:val="nil"/>
            </w:tcBorders>
          </w:tcPr>
          <w:p w:rsidR="00BD1918" w:rsidRPr="00D71586" w:rsidRDefault="00310D7D" w:rsidP="00112FC2">
            <w:pPr>
              <w:tabs>
                <w:tab w:val="left" w:pos="3960"/>
              </w:tabs>
              <w:rPr>
                <w:szCs w:val="24"/>
              </w:rPr>
            </w:pPr>
            <w:r>
              <w:rPr>
                <w:szCs w:val="24"/>
              </w:rPr>
              <w:t>05.06.2017</w:t>
            </w:r>
          </w:p>
        </w:tc>
        <w:tc>
          <w:tcPr>
            <w:tcW w:w="708" w:type="dxa"/>
            <w:tcBorders>
              <w:top w:val="nil"/>
              <w:left w:val="nil"/>
              <w:bottom w:val="nil"/>
              <w:right w:val="nil"/>
            </w:tcBorders>
          </w:tcPr>
          <w:p w:rsidR="00BD1918" w:rsidRPr="00D71586" w:rsidRDefault="00BD1918" w:rsidP="00112FC2">
            <w:pPr>
              <w:tabs>
                <w:tab w:val="left" w:pos="360"/>
                <w:tab w:val="left" w:pos="3960"/>
              </w:tabs>
              <w:jc w:val="center"/>
              <w:rPr>
                <w:sz w:val="20"/>
              </w:rPr>
            </w:pPr>
            <w:r w:rsidRPr="00D71586">
              <w:rPr>
                <w:sz w:val="20"/>
              </w:rPr>
              <w:t>Nr.</w:t>
            </w:r>
          </w:p>
        </w:tc>
        <w:tc>
          <w:tcPr>
            <w:tcW w:w="2694" w:type="dxa"/>
            <w:tcBorders>
              <w:top w:val="nil"/>
              <w:left w:val="nil"/>
              <w:bottom w:val="single" w:sz="4" w:space="0" w:color="auto"/>
              <w:right w:val="nil"/>
            </w:tcBorders>
          </w:tcPr>
          <w:p w:rsidR="00BD1918" w:rsidRPr="00D71586" w:rsidRDefault="00310D7D" w:rsidP="00310D7D">
            <w:pPr>
              <w:rPr>
                <w:szCs w:val="24"/>
              </w:rPr>
            </w:pPr>
            <w:r>
              <w:rPr>
                <w:szCs w:val="24"/>
              </w:rPr>
              <w:t>17-VK</w:t>
            </w:r>
            <w:r w:rsidR="00BD1918" w:rsidRPr="00D71586">
              <w:rPr>
                <w:szCs w:val="24"/>
              </w:rPr>
              <w:t>/</w:t>
            </w:r>
            <w:r>
              <w:rPr>
                <w:szCs w:val="24"/>
              </w:rPr>
              <w:t>4558</w:t>
            </w:r>
          </w:p>
        </w:tc>
        <w:tc>
          <w:tcPr>
            <w:tcW w:w="3935" w:type="dxa"/>
            <w:vMerge w:val="restart"/>
            <w:tcBorders>
              <w:top w:val="nil"/>
              <w:left w:val="nil"/>
              <w:right w:val="nil"/>
            </w:tcBorders>
          </w:tcPr>
          <w:p w:rsidR="00BD1918" w:rsidRPr="00D71586" w:rsidRDefault="00BD1918" w:rsidP="00BD1918">
            <w:pPr>
              <w:tabs>
                <w:tab w:val="left" w:pos="3960"/>
              </w:tabs>
              <w:jc w:val="center"/>
              <w:rPr>
                <w:szCs w:val="24"/>
              </w:rPr>
            </w:pPr>
          </w:p>
        </w:tc>
      </w:tr>
      <w:tr w:rsidR="00BD1918" w:rsidRPr="00D71586" w:rsidTr="00B44CE5">
        <w:trPr>
          <w:trHeight w:val="188"/>
        </w:trPr>
        <w:tc>
          <w:tcPr>
            <w:tcW w:w="450" w:type="dxa"/>
            <w:tcBorders>
              <w:top w:val="nil"/>
              <w:left w:val="nil"/>
              <w:bottom w:val="nil"/>
              <w:right w:val="nil"/>
            </w:tcBorders>
          </w:tcPr>
          <w:p w:rsidR="00BD1918" w:rsidRPr="00D71586" w:rsidRDefault="00BD1918" w:rsidP="00112FC2">
            <w:pPr>
              <w:tabs>
                <w:tab w:val="left" w:pos="360"/>
                <w:tab w:val="left" w:pos="3960"/>
              </w:tabs>
              <w:rPr>
                <w:sz w:val="20"/>
              </w:rPr>
            </w:pPr>
          </w:p>
        </w:tc>
        <w:tc>
          <w:tcPr>
            <w:tcW w:w="1785" w:type="dxa"/>
            <w:tcBorders>
              <w:top w:val="single" w:sz="4" w:space="0" w:color="auto"/>
              <w:left w:val="nil"/>
              <w:bottom w:val="nil"/>
              <w:right w:val="nil"/>
            </w:tcBorders>
          </w:tcPr>
          <w:p w:rsidR="00BD1918" w:rsidRPr="00D71586" w:rsidRDefault="00BD1918" w:rsidP="00112FC2">
            <w:pPr>
              <w:tabs>
                <w:tab w:val="left" w:pos="360"/>
                <w:tab w:val="left" w:pos="3960"/>
              </w:tabs>
              <w:rPr>
                <w:sz w:val="20"/>
              </w:rPr>
            </w:pPr>
          </w:p>
        </w:tc>
        <w:tc>
          <w:tcPr>
            <w:tcW w:w="708" w:type="dxa"/>
            <w:tcBorders>
              <w:top w:val="nil"/>
              <w:left w:val="nil"/>
              <w:bottom w:val="nil"/>
              <w:right w:val="nil"/>
            </w:tcBorders>
          </w:tcPr>
          <w:p w:rsidR="00BD1918" w:rsidRPr="00D71586" w:rsidRDefault="00BD1918" w:rsidP="00112FC2">
            <w:pPr>
              <w:tabs>
                <w:tab w:val="left" w:pos="360"/>
                <w:tab w:val="left" w:pos="3960"/>
              </w:tabs>
              <w:jc w:val="center"/>
              <w:rPr>
                <w:sz w:val="20"/>
              </w:rPr>
            </w:pPr>
          </w:p>
        </w:tc>
        <w:tc>
          <w:tcPr>
            <w:tcW w:w="2694" w:type="dxa"/>
            <w:tcBorders>
              <w:top w:val="single" w:sz="4" w:space="0" w:color="auto"/>
              <w:left w:val="nil"/>
              <w:bottom w:val="nil"/>
              <w:right w:val="nil"/>
            </w:tcBorders>
          </w:tcPr>
          <w:p w:rsidR="00BD1918" w:rsidRPr="00D71586" w:rsidRDefault="00BD1918" w:rsidP="00CE7326">
            <w:pPr>
              <w:tabs>
                <w:tab w:val="left" w:pos="3960"/>
              </w:tabs>
              <w:rPr>
                <w:sz w:val="20"/>
              </w:rPr>
            </w:pPr>
          </w:p>
        </w:tc>
        <w:tc>
          <w:tcPr>
            <w:tcW w:w="3935" w:type="dxa"/>
            <w:vMerge/>
            <w:tcBorders>
              <w:left w:val="nil"/>
              <w:right w:val="nil"/>
            </w:tcBorders>
          </w:tcPr>
          <w:p w:rsidR="00BD1918" w:rsidRPr="00D71586" w:rsidRDefault="00BD1918" w:rsidP="00BD1918">
            <w:pPr>
              <w:tabs>
                <w:tab w:val="left" w:pos="3960"/>
              </w:tabs>
              <w:jc w:val="center"/>
              <w:rPr>
                <w:sz w:val="20"/>
              </w:rPr>
            </w:pPr>
          </w:p>
        </w:tc>
      </w:tr>
      <w:tr w:rsidR="00BD1918" w:rsidRPr="00D71586" w:rsidTr="00B44CE5">
        <w:tc>
          <w:tcPr>
            <w:tcW w:w="450" w:type="dxa"/>
            <w:tcBorders>
              <w:top w:val="nil"/>
              <w:left w:val="nil"/>
              <w:bottom w:val="nil"/>
              <w:right w:val="nil"/>
            </w:tcBorders>
          </w:tcPr>
          <w:p w:rsidR="00BD1918" w:rsidRPr="00D71586" w:rsidRDefault="00BD1918" w:rsidP="00112FC2">
            <w:pPr>
              <w:tabs>
                <w:tab w:val="left" w:pos="360"/>
                <w:tab w:val="left" w:pos="3960"/>
              </w:tabs>
              <w:rPr>
                <w:sz w:val="20"/>
              </w:rPr>
            </w:pPr>
            <w:r w:rsidRPr="00D71586">
              <w:rPr>
                <w:sz w:val="20"/>
              </w:rPr>
              <w:t>Uz</w:t>
            </w:r>
          </w:p>
        </w:tc>
        <w:bookmarkStart w:id="0" w:name="san_dat"/>
        <w:tc>
          <w:tcPr>
            <w:tcW w:w="1785" w:type="dxa"/>
            <w:tcBorders>
              <w:top w:val="nil"/>
              <w:left w:val="nil"/>
              <w:bottom w:val="single" w:sz="4" w:space="0" w:color="auto"/>
              <w:right w:val="nil"/>
            </w:tcBorders>
          </w:tcPr>
          <w:p w:rsidR="00BD1918" w:rsidRPr="00D71586" w:rsidRDefault="00BD1918" w:rsidP="00112FC2">
            <w:pPr>
              <w:tabs>
                <w:tab w:val="left" w:pos="360"/>
                <w:tab w:val="left" w:pos="3960"/>
              </w:tabs>
              <w:rPr>
                <w:szCs w:val="24"/>
              </w:rPr>
            </w:pPr>
            <w:r w:rsidRPr="00D71586">
              <w:rPr>
                <w:szCs w:val="24"/>
              </w:rPr>
              <w:fldChar w:fldCharType="begin">
                <w:ffData>
                  <w:name w:val="san_dat"/>
                  <w:enabled/>
                  <w:calcOnExit w:val="0"/>
                  <w:textInput>
                    <w:default w:val="                      "/>
                  </w:textInput>
                </w:ffData>
              </w:fldChar>
            </w:r>
            <w:r w:rsidRPr="00D71586">
              <w:rPr>
                <w:szCs w:val="24"/>
              </w:rPr>
              <w:instrText xml:space="preserve"> FORMTEXT </w:instrText>
            </w:r>
            <w:r w:rsidRPr="00D71586">
              <w:rPr>
                <w:szCs w:val="24"/>
              </w:rPr>
            </w:r>
            <w:r w:rsidRPr="00D71586">
              <w:rPr>
                <w:szCs w:val="24"/>
              </w:rPr>
              <w:fldChar w:fldCharType="separate"/>
            </w:r>
            <w:r w:rsidR="00294084">
              <w:rPr>
                <w:noProof/>
                <w:szCs w:val="24"/>
              </w:rPr>
              <w:t xml:space="preserve">                      </w:t>
            </w:r>
            <w:r w:rsidRPr="00D71586">
              <w:rPr>
                <w:szCs w:val="24"/>
              </w:rPr>
              <w:fldChar w:fldCharType="end"/>
            </w:r>
            <w:bookmarkEnd w:id="0"/>
          </w:p>
        </w:tc>
        <w:tc>
          <w:tcPr>
            <w:tcW w:w="708" w:type="dxa"/>
            <w:tcBorders>
              <w:top w:val="nil"/>
              <w:left w:val="nil"/>
              <w:bottom w:val="nil"/>
              <w:right w:val="nil"/>
            </w:tcBorders>
          </w:tcPr>
          <w:p w:rsidR="00BD1918" w:rsidRPr="00D71586" w:rsidRDefault="00BD1918" w:rsidP="00112FC2">
            <w:pPr>
              <w:tabs>
                <w:tab w:val="left" w:pos="360"/>
                <w:tab w:val="left" w:pos="3960"/>
              </w:tabs>
              <w:jc w:val="center"/>
              <w:rPr>
                <w:sz w:val="20"/>
              </w:rPr>
            </w:pPr>
            <w:r w:rsidRPr="00D71586">
              <w:rPr>
                <w:sz w:val="20"/>
              </w:rPr>
              <w:t>Nr.</w:t>
            </w:r>
          </w:p>
        </w:tc>
        <w:bookmarkStart w:id="1" w:name="san_num"/>
        <w:tc>
          <w:tcPr>
            <w:tcW w:w="2694" w:type="dxa"/>
            <w:tcBorders>
              <w:top w:val="nil"/>
              <w:left w:val="nil"/>
              <w:bottom w:val="single" w:sz="4" w:space="0" w:color="auto"/>
              <w:right w:val="nil"/>
            </w:tcBorders>
          </w:tcPr>
          <w:p w:rsidR="00BD1918" w:rsidRPr="00D71586" w:rsidRDefault="00BD1918" w:rsidP="00CE7326">
            <w:pPr>
              <w:tabs>
                <w:tab w:val="left" w:pos="3960"/>
              </w:tabs>
              <w:rPr>
                <w:szCs w:val="24"/>
              </w:rPr>
            </w:pPr>
            <w:r w:rsidRPr="00D71586">
              <w:rPr>
                <w:szCs w:val="24"/>
              </w:rPr>
              <w:fldChar w:fldCharType="begin">
                <w:ffData>
                  <w:name w:val="san_num"/>
                  <w:enabled/>
                  <w:calcOnExit w:val="0"/>
                  <w:textInput>
                    <w:default w:val="                             "/>
                  </w:textInput>
                </w:ffData>
              </w:fldChar>
            </w:r>
            <w:r w:rsidRPr="00D71586">
              <w:rPr>
                <w:szCs w:val="24"/>
              </w:rPr>
              <w:instrText xml:space="preserve"> FORMTEXT </w:instrText>
            </w:r>
            <w:r w:rsidRPr="00D71586">
              <w:rPr>
                <w:szCs w:val="24"/>
              </w:rPr>
            </w:r>
            <w:r w:rsidRPr="00D71586">
              <w:rPr>
                <w:szCs w:val="24"/>
              </w:rPr>
              <w:fldChar w:fldCharType="separate"/>
            </w:r>
            <w:r w:rsidR="00294084">
              <w:rPr>
                <w:noProof/>
                <w:szCs w:val="24"/>
              </w:rPr>
              <w:t xml:space="preserve">                             </w:t>
            </w:r>
            <w:r w:rsidRPr="00D71586">
              <w:rPr>
                <w:szCs w:val="24"/>
              </w:rPr>
              <w:fldChar w:fldCharType="end"/>
            </w:r>
            <w:bookmarkEnd w:id="1"/>
          </w:p>
        </w:tc>
        <w:tc>
          <w:tcPr>
            <w:tcW w:w="3935" w:type="dxa"/>
            <w:vMerge/>
            <w:tcBorders>
              <w:left w:val="nil"/>
              <w:right w:val="nil"/>
            </w:tcBorders>
          </w:tcPr>
          <w:p w:rsidR="00BD1918" w:rsidRPr="00D71586" w:rsidRDefault="00BD1918" w:rsidP="00BD1918">
            <w:pPr>
              <w:tabs>
                <w:tab w:val="left" w:pos="3960"/>
              </w:tabs>
              <w:jc w:val="center"/>
              <w:rPr>
                <w:szCs w:val="24"/>
              </w:rPr>
            </w:pPr>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RPr="00D71586" w:rsidTr="000C0DD4">
        <w:trPr>
          <w:jc w:val="right"/>
        </w:trPr>
        <w:tc>
          <w:tcPr>
            <w:tcW w:w="4644" w:type="dxa"/>
          </w:tcPr>
          <w:p w:rsidR="00724631" w:rsidRDefault="00724631" w:rsidP="004A4162">
            <w:pPr>
              <w:jc w:val="right"/>
              <w:rPr>
                <w:b/>
                <w:bCs/>
                <w:szCs w:val="24"/>
                <w:lang w:eastAsia="lv-LV"/>
              </w:rPr>
            </w:pPr>
            <w:bookmarkStart w:id="2" w:name="org_nos"/>
          </w:p>
          <w:p w:rsidR="00F42181" w:rsidRDefault="00F42181" w:rsidP="004A4162">
            <w:pPr>
              <w:jc w:val="right"/>
              <w:rPr>
                <w:b/>
                <w:bCs/>
                <w:szCs w:val="24"/>
                <w:lang w:eastAsia="lv-LV"/>
              </w:rPr>
            </w:pPr>
          </w:p>
          <w:p w:rsidR="00F42181" w:rsidRDefault="00F42181" w:rsidP="004A4162">
            <w:pPr>
              <w:jc w:val="right"/>
              <w:rPr>
                <w:b/>
                <w:bCs/>
                <w:szCs w:val="24"/>
                <w:lang w:eastAsia="lv-LV"/>
              </w:rPr>
            </w:pPr>
            <w:r>
              <w:rPr>
                <w:b/>
                <w:bCs/>
                <w:szCs w:val="24"/>
                <w:lang w:eastAsia="lv-LV"/>
              </w:rPr>
              <w:t>Valsts kancelejai</w:t>
            </w:r>
          </w:p>
          <w:p w:rsidR="00974E3F" w:rsidRDefault="00974E3F" w:rsidP="004A4162">
            <w:pPr>
              <w:jc w:val="right"/>
              <w:rPr>
                <w:b/>
                <w:bCs/>
                <w:szCs w:val="24"/>
                <w:lang w:eastAsia="lv-LV"/>
              </w:rPr>
            </w:pPr>
            <w:r>
              <w:rPr>
                <w:b/>
                <w:bCs/>
                <w:szCs w:val="24"/>
                <w:lang w:eastAsia="lv-LV"/>
              </w:rPr>
              <w:t>Informācijai:</w:t>
            </w:r>
          </w:p>
          <w:p w:rsidR="00974E3F" w:rsidRPr="00D71586" w:rsidRDefault="00974E3F" w:rsidP="004A4162">
            <w:pPr>
              <w:jc w:val="right"/>
              <w:rPr>
                <w:b/>
                <w:bCs/>
                <w:szCs w:val="24"/>
                <w:lang w:eastAsia="lv-LV"/>
              </w:rPr>
            </w:pPr>
            <w:r>
              <w:rPr>
                <w:b/>
                <w:bCs/>
                <w:szCs w:val="24"/>
                <w:lang w:eastAsia="lv-LV"/>
              </w:rPr>
              <w:t>Ekonomikas ministrija</w:t>
            </w:r>
          </w:p>
        </w:tc>
      </w:tr>
      <w:bookmarkEnd w:id="2"/>
    </w:tbl>
    <w:p w:rsidR="001F53D9" w:rsidRPr="00D71586" w:rsidRDefault="001F53D9" w:rsidP="004F32A1">
      <w:pPr>
        <w:rPr>
          <w:spacing w:val="4"/>
          <w:sz w:val="20"/>
        </w:rPr>
      </w:pPr>
    </w:p>
    <w:tbl>
      <w:tblPr>
        <w:tblStyle w:val="TableGrid"/>
        <w:tblW w:w="0" w:type="auto"/>
        <w:tblLook w:val="04A0" w:firstRow="1" w:lastRow="0" w:firstColumn="1" w:lastColumn="0" w:noHBand="0" w:noVBand="1"/>
      </w:tblPr>
      <w:tblGrid>
        <w:gridCol w:w="4503"/>
      </w:tblGrid>
      <w:tr w:rsidR="000C0DD4" w:rsidRPr="00D71586" w:rsidTr="000C0DD4">
        <w:tc>
          <w:tcPr>
            <w:tcW w:w="4503" w:type="dxa"/>
            <w:tcBorders>
              <w:top w:val="nil"/>
              <w:left w:val="nil"/>
              <w:bottom w:val="nil"/>
              <w:right w:val="nil"/>
            </w:tcBorders>
          </w:tcPr>
          <w:p w:rsidR="00F42181" w:rsidRDefault="00F42181" w:rsidP="00C04DED">
            <w:pPr>
              <w:jc w:val="left"/>
              <w:rPr>
                <w:i/>
                <w:iCs/>
                <w:szCs w:val="24"/>
                <w:lang w:eastAsia="lv-LV"/>
              </w:rPr>
            </w:pPr>
          </w:p>
          <w:p w:rsidR="000C0DD4" w:rsidRPr="007606F1" w:rsidRDefault="007606F1" w:rsidP="00853E73">
            <w:pPr>
              <w:jc w:val="left"/>
              <w:rPr>
                <w:i/>
                <w:iCs/>
                <w:szCs w:val="24"/>
                <w:lang w:eastAsia="lv-LV"/>
              </w:rPr>
            </w:pPr>
            <w:bookmarkStart w:id="3" w:name="_GoBack"/>
            <w:r w:rsidRPr="007606F1">
              <w:rPr>
                <w:i/>
                <w:noProof/>
              </w:rPr>
              <w:t>Par Ministru kabineta protokollēmuma</w:t>
            </w:r>
            <w:r w:rsidR="00853E73">
              <w:rPr>
                <w:i/>
                <w:noProof/>
              </w:rPr>
              <w:t xml:space="preserve"> projektu</w:t>
            </w:r>
            <w:r w:rsidRPr="007606F1">
              <w:rPr>
                <w:i/>
                <w:noProof/>
              </w:rPr>
              <w:t xml:space="preserve"> “Par </w:t>
            </w:r>
            <w:r w:rsidR="00B029D7">
              <w:rPr>
                <w:i/>
                <w:noProof/>
              </w:rPr>
              <w:t>protokollēmumu</w:t>
            </w:r>
            <w:r w:rsidRPr="007606F1">
              <w:rPr>
                <w:i/>
                <w:noProof/>
              </w:rPr>
              <w:t xml:space="preserve"> “Par Ministru kabineta 2016.gada 6.</w:t>
            </w:r>
            <w:r w:rsidR="00AA1FB2">
              <w:rPr>
                <w:i/>
                <w:noProof/>
              </w:rPr>
              <w:t>septembra sēdes protokollēmuma</w:t>
            </w:r>
            <w:r w:rsidRPr="007606F1">
              <w:rPr>
                <w:i/>
                <w:noProof/>
              </w:rPr>
              <w:t xml:space="preserve"> (prot. Nr. 44 26.§) 5.punkta izpildi</w:t>
            </w:r>
            <w:r w:rsidR="00AA1FB2">
              <w:rPr>
                <w:i/>
                <w:noProof/>
              </w:rPr>
              <w:t>””</w:t>
            </w:r>
            <w:bookmarkEnd w:id="3"/>
          </w:p>
        </w:tc>
      </w:tr>
    </w:tbl>
    <w:p w:rsidR="00E04F00" w:rsidRPr="00D71586" w:rsidRDefault="00E04F00" w:rsidP="00C04DED">
      <w:pPr>
        <w:jc w:val="left"/>
        <w:rPr>
          <w:szCs w:val="24"/>
        </w:rPr>
      </w:pPr>
    </w:p>
    <w:p w:rsidR="00724631" w:rsidRPr="00D71586" w:rsidRDefault="00724631" w:rsidP="00724631">
      <w:pPr>
        <w:ind w:firstLine="720"/>
        <w:rPr>
          <w:szCs w:val="24"/>
        </w:rPr>
      </w:pPr>
      <w:r w:rsidRPr="00D71586">
        <w:rPr>
          <w:szCs w:val="24"/>
        </w:rPr>
        <w:t xml:space="preserve">Finanšu ministrija </w:t>
      </w:r>
      <w:r w:rsidR="00F42181">
        <w:rPr>
          <w:szCs w:val="24"/>
        </w:rPr>
        <w:t>iesniedz</w:t>
      </w:r>
      <w:r w:rsidR="00B029D7">
        <w:rPr>
          <w:szCs w:val="24"/>
        </w:rPr>
        <w:t xml:space="preserve"> </w:t>
      </w:r>
      <w:proofErr w:type="spellStart"/>
      <w:r w:rsidR="00B029D7">
        <w:rPr>
          <w:szCs w:val="24"/>
        </w:rPr>
        <w:t>protokollēmuma</w:t>
      </w:r>
      <w:proofErr w:type="spellEnd"/>
      <w:r w:rsidR="00904870">
        <w:rPr>
          <w:szCs w:val="24"/>
        </w:rPr>
        <w:t xml:space="preserve"> projektu</w:t>
      </w:r>
      <w:r w:rsidRPr="00D71586">
        <w:rPr>
          <w:szCs w:val="24"/>
        </w:rPr>
        <w:t xml:space="preserve"> „</w:t>
      </w:r>
      <w:r w:rsidR="00F42181" w:rsidRPr="00F42181">
        <w:rPr>
          <w:szCs w:val="24"/>
        </w:rPr>
        <w:t xml:space="preserve">Par Ministru kabineta 2016.gada 6.septembra sēdes </w:t>
      </w:r>
      <w:proofErr w:type="spellStart"/>
      <w:r w:rsidR="00F42181" w:rsidRPr="00F42181">
        <w:rPr>
          <w:szCs w:val="24"/>
        </w:rPr>
        <w:t>protokollēmuma</w:t>
      </w:r>
      <w:proofErr w:type="spellEnd"/>
      <w:r w:rsidR="00F42181" w:rsidRPr="00F42181">
        <w:rPr>
          <w:szCs w:val="24"/>
        </w:rPr>
        <w:t xml:space="preserve"> (prot. Nr. 44 26.§) 5.punkta izpildi</w:t>
      </w:r>
      <w:r w:rsidR="00AA1FB2">
        <w:rPr>
          <w:szCs w:val="24"/>
        </w:rPr>
        <w:t>”</w:t>
      </w:r>
      <w:r w:rsidRPr="00D71586">
        <w:rPr>
          <w:szCs w:val="24"/>
        </w:rPr>
        <w:t>.</w:t>
      </w:r>
    </w:p>
    <w:p w:rsidR="00724631" w:rsidRPr="00D71586" w:rsidRDefault="00724631" w:rsidP="00724631">
      <w:pPr>
        <w:ind w:right="154"/>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83"/>
        <w:gridCol w:w="5222"/>
      </w:tblGrid>
      <w:tr w:rsidR="00724631" w:rsidRPr="00D71586" w:rsidTr="00842ABC">
        <w:trPr>
          <w:trHeight w:val="604"/>
        </w:trPr>
        <w:tc>
          <w:tcPr>
            <w:tcW w:w="567" w:type="dxa"/>
            <w:tcBorders>
              <w:top w:val="single" w:sz="4" w:space="0" w:color="auto"/>
              <w:left w:val="single" w:sz="4" w:space="0" w:color="auto"/>
              <w:bottom w:val="single" w:sz="4" w:space="0" w:color="auto"/>
            </w:tcBorders>
          </w:tcPr>
          <w:p w:rsidR="00724631" w:rsidRPr="00D71586" w:rsidRDefault="00724631" w:rsidP="00724631">
            <w:pPr>
              <w:rPr>
                <w:szCs w:val="24"/>
                <w:lang w:eastAsia="lv-LV"/>
              </w:rPr>
            </w:pPr>
            <w:r w:rsidRPr="00D71586">
              <w:rPr>
                <w:szCs w:val="24"/>
                <w:lang w:eastAsia="lv-LV"/>
              </w:rPr>
              <w:t>1.</w:t>
            </w:r>
          </w:p>
        </w:tc>
        <w:tc>
          <w:tcPr>
            <w:tcW w:w="3283" w:type="dxa"/>
            <w:tcBorders>
              <w:top w:val="single" w:sz="4" w:space="0" w:color="auto"/>
              <w:bottom w:val="single" w:sz="4" w:space="0" w:color="auto"/>
            </w:tcBorders>
          </w:tcPr>
          <w:p w:rsidR="00724631" w:rsidRPr="00D71586" w:rsidRDefault="00724631" w:rsidP="00724631">
            <w:pPr>
              <w:rPr>
                <w:szCs w:val="24"/>
                <w:lang w:eastAsia="lv-LV"/>
              </w:rPr>
            </w:pPr>
            <w:r w:rsidRPr="00D71586">
              <w:rPr>
                <w:szCs w:val="24"/>
                <w:lang w:eastAsia="lv-LV"/>
              </w:rPr>
              <w:t>Iesniegšanas pamatojums</w:t>
            </w:r>
          </w:p>
        </w:tc>
        <w:tc>
          <w:tcPr>
            <w:tcW w:w="5222" w:type="dxa"/>
            <w:tcBorders>
              <w:top w:val="single" w:sz="4" w:space="0" w:color="auto"/>
              <w:bottom w:val="single" w:sz="4" w:space="0" w:color="auto"/>
              <w:right w:val="single" w:sz="4" w:space="0" w:color="auto"/>
            </w:tcBorders>
          </w:tcPr>
          <w:p w:rsidR="00724631" w:rsidRPr="00D71586" w:rsidRDefault="00F42181" w:rsidP="00F3235A">
            <w:pPr>
              <w:ind w:right="127"/>
              <w:rPr>
                <w:szCs w:val="24"/>
              </w:rPr>
            </w:pPr>
            <w:r>
              <w:rPr>
                <w:szCs w:val="24"/>
              </w:rPr>
              <w:t>Ministru kabineta 2016.gada 6.septembra</w:t>
            </w:r>
            <w:r w:rsidR="00F3235A">
              <w:rPr>
                <w:szCs w:val="24"/>
              </w:rPr>
              <w:t xml:space="preserve"> lēmuma</w:t>
            </w:r>
            <w:r>
              <w:rPr>
                <w:szCs w:val="24"/>
              </w:rPr>
              <w:t xml:space="preserve"> Nr.44</w:t>
            </w:r>
            <w:r w:rsidR="00F3235A" w:rsidRPr="004E2569">
              <w:rPr>
                <w:szCs w:val="24"/>
              </w:rPr>
              <w:t xml:space="preserve"> </w:t>
            </w:r>
            <w:r w:rsidRPr="00241B24">
              <w:rPr>
                <w:noProof/>
              </w:rPr>
              <w:t>26.§</w:t>
            </w:r>
            <w:r>
              <w:rPr>
                <w:szCs w:val="24"/>
              </w:rPr>
              <w:t xml:space="preserve"> 5.</w:t>
            </w:r>
            <w:r w:rsidR="00F3235A">
              <w:rPr>
                <w:szCs w:val="24"/>
              </w:rPr>
              <w:t xml:space="preserve">punkts nosaka Finanšu ministrijai </w:t>
            </w:r>
            <w:r w:rsidRPr="00A27E9A">
              <w:rPr>
                <w:szCs w:val="24"/>
              </w:rPr>
              <w:t>izstrādāt Ministru kabineta noteikumu projektu, lai noteiktu apjomu, kārtību, termiņus, saturu un formātu, kādā iesniedzama aktuālā informācija par maksu par Latvijas Republikas teritorijā patērētāju plaši izmantojamajiem pakalpojumie</w:t>
            </w:r>
            <w:r>
              <w:rPr>
                <w:szCs w:val="24"/>
              </w:rPr>
              <w:t>m.</w:t>
            </w:r>
          </w:p>
        </w:tc>
      </w:tr>
      <w:tr w:rsidR="00724631" w:rsidRPr="00D71586" w:rsidTr="00842ABC">
        <w:tc>
          <w:tcPr>
            <w:tcW w:w="567"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lang w:eastAsia="lv-LV"/>
              </w:rPr>
              <w:t>2.</w:t>
            </w:r>
          </w:p>
        </w:tc>
        <w:tc>
          <w:tcPr>
            <w:tcW w:w="3283"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lang w:eastAsia="lv-LV"/>
              </w:rPr>
              <w:t>Valsts sekretāru sanāksmes datums un numurs</w:t>
            </w:r>
          </w:p>
        </w:tc>
        <w:tc>
          <w:tcPr>
            <w:tcW w:w="5222" w:type="dxa"/>
            <w:tcBorders>
              <w:top w:val="single" w:sz="4" w:space="0" w:color="auto"/>
              <w:left w:val="single" w:sz="4" w:space="0" w:color="auto"/>
              <w:bottom w:val="single" w:sz="4" w:space="0" w:color="auto"/>
              <w:right w:val="single" w:sz="4" w:space="0" w:color="auto"/>
            </w:tcBorders>
          </w:tcPr>
          <w:p w:rsidR="00724631" w:rsidRPr="00D71586" w:rsidRDefault="00B029D7" w:rsidP="00724631">
            <w:pPr>
              <w:rPr>
                <w:szCs w:val="24"/>
                <w:lang w:bidi="en-US"/>
              </w:rPr>
            </w:pPr>
            <w:proofErr w:type="spellStart"/>
            <w:r>
              <w:rPr>
                <w:szCs w:val="24"/>
                <w:lang w:bidi="en-US"/>
              </w:rPr>
              <w:t>Protokollēmuma</w:t>
            </w:r>
            <w:proofErr w:type="spellEnd"/>
            <w:r>
              <w:rPr>
                <w:szCs w:val="24"/>
                <w:lang w:bidi="en-US"/>
              </w:rPr>
              <w:t xml:space="preserve"> projekts</w:t>
            </w:r>
            <w:r w:rsidR="00724631" w:rsidRPr="00D71586">
              <w:rPr>
                <w:szCs w:val="24"/>
                <w:lang w:bidi="en-US"/>
              </w:rPr>
              <w:t xml:space="preserve"> netika izsludināts VSS.</w:t>
            </w:r>
          </w:p>
        </w:tc>
      </w:tr>
      <w:tr w:rsidR="00724631" w:rsidRPr="00D71586" w:rsidTr="00842ABC">
        <w:tc>
          <w:tcPr>
            <w:tcW w:w="567"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lang w:eastAsia="lv-LV"/>
              </w:rPr>
              <w:t>3.</w:t>
            </w:r>
          </w:p>
        </w:tc>
        <w:tc>
          <w:tcPr>
            <w:tcW w:w="3283"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lang w:eastAsia="lv-LV"/>
              </w:rPr>
              <w:t>Informācija par saskaņojumiem</w:t>
            </w:r>
          </w:p>
        </w:tc>
        <w:tc>
          <w:tcPr>
            <w:tcW w:w="5222" w:type="dxa"/>
            <w:tcBorders>
              <w:top w:val="single" w:sz="4" w:space="0" w:color="auto"/>
              <w:left w:val="single" w:sz="4" w:space="0" w:color="auto"/>
              <w:bottom w:val="single" w:sz="4" w:space="0" w:color="auto"/>
              <w:right w:val="single" w:sz="4" w:space="0" w:color="auto"/>
            </w:tcBorders>
          </w:tcPr>
          <w:p w:rsidR="00724631" w:rsidRPr="00D71586" w:rsidRDefault="0037216F" w:rsidP="0037216F">
            <w:pPr>
              <w:rPr>
                <w:szCs w:val="24"/>
                <w:lang w:bidi="en-US"/>
              </w:rPr>
            </w:pPr>
            <w:r>
              <w:rPr>
                <w:szCs w:val="24"/>
                <w:lang w:bidi="en-US"/>
              </w:rPr>
              <w:t xml:space="preserve">2017.gada 2.martā tika rīkota starpinstitūciju sanāksme, kurā piedalījās </w:t>
            </w:r>
            <w:r w:rsidR="00504189">
              <w:rPr>
                <w:szCs w:val="24"/>
                <w:lang w:bidi="en-US"/>
              </w:rPr>
              <w:t xml:space="preserve">Finanšu ministrijas, </w:t>
            </w:r>
            <w:r>
              <w:rPr>
                <w:szCs w:val="24"/>
                <w:lang w:bidi="en-US"/>
              </w:rPr>
              <w:t>Ekonomikas ministrijas</w:t>
            </w:r>
            <w:r w:rsidR="00504189">
              <w:rPr>
                <w:szCs w:val="24"/>
                <w:lang w:bidi="en-US"/>
              </w:rPr>
              <w:t xml:space="preserve">, Patērētāju tiesību aizsardzības centra, Latvijas Komercbanku asociācijas un Finanšu un kapitāla tirgus komisijas pārstāvji. Sanāksmē tika diskutēts arī par </w:t>
            </w:r>
            <w:r w:rsidR="00504189">
              <w:rPr>
                <w:szCs w:val="24"/>
              </w:rPr>
              <w:t>Eiropas Komisijas Deleģētās</w:t>
            </w:r>
            <w:r w:rsidR="00504189" w:rsidRPr="00A27E9A">
              <w:rPr>
                <w:szCs w:val="24"/>
              </w:rPr>
              <w:t xml:space="preserve"> regula</w:t>
            </w:r>
            <w:r w:rsidR="00504189">
              <w:rPr>
                <w:szCs w:val="24"/>
              </w:rPr>
              <w:t xml:space="preserve">s </w:t>
            </w:r>
            <w:r w:rsidR="00504189" w:rsidRPr="00C202C5">
              <w:rPr>
                <w:szCs w:val="24"/>
              </w:rPr>
              <w:t xml:space="preserve">ar ko </w:t>
            </w:r>
            <w:r w:rsidR="00504189" w:rsidRPr="00E264C7">
              <w:rPr>
                <w:szCs w:val="24"/>
              </w:rPr>
              <w:t xml:space="preserve">papildina Eiropas Parlamenta un Padomes Direktīvu 2014/92/ES attiecībā uz regulatīvajiem tehniskajiem standartiem par Savienībā standartizētu terminoloģiju </w:t>
            </w:r>
            <w:r w:rsidR="00504189" w:rsidRPr="00A27E9A">
              <w:rPr>
                <w:szCs w:val="24"/>
              </w:rPr>
              <w:t>plaši izmantojamajiem pakalpojumie</w:t>
            </w:r>
            <w:r w:rsidR="00504189">
              <w:rPr>
                <w:szCs w:val="24"/>
              </w:rPr>
              <w:t>m</w:t>
            </w:r>
            <w:r w:rsidR="00504189" w:rsidRPr="00E264C7">
              <w:rPr>
                <w:szCs w:val="24"/>
              </w:rPr>
              <w:t xml:space="preserve">, kas saistīti ar </w:t>
            </w:r>
            <w:r w:rsidR="00504189" w:rsidRPr="00E264C7">
              <w:rPr>
                <w:szCs w:val="24"/>
              </w:rPr>
              <w:lastRenderedPageBreak/>
              <w:t>maksājumu kontu</w:t>
            </w:r>
            <w:r w:rsidR="00504189" w:rsidRPr="00C202C5">
              <w:rPr>
                <w:szCs w:val="24"/>
              </w:rPr>
              <w:t xml:space="preserve"> (turpmāk- deleģētā regula)</w:t>
            </w:r>
            <w:r w:rsidR="00504189">
              <w:rPr>
                <w:szCs w:val="24"/>
              </w:rPr>
              <w:t xml:space="preserve"> ietekmi uz dotā uzdevuma izpildi.</w:t>
            </w:r>
          </w:p>
        </w:tc>
      </w:tr>
      <w:tr w:rsidR="00724631" w:rsidRPr="00D71586" w:rsidTr="00842ABC">
        <w:tc>
          <w:tcPr>
            <w:tcW w:w="567"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lang w:eastAsia="lv-LV"/>
              </w:rPr>
              <w:lastRenderedPageBreak/>
              <w:t>4.</w:t>
            </w:r>
          </w:p>
        </w:tc>
        <w:tc>
          <w:tcPr>
            <w:tcW w:w="3283"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lang w:eastAsia="lv-LV"/>
              </w:rPr>
              <w:t>Institūcijas, no kurām noteiktajā termiņā nav saņemts atzinums (saskaņojums)</w:t>
            </w:r>
          </w:p>
        </w:tc>
        <w:tc>
          <w:tcPr>
            <w:tcW w:w="5222"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bidi="en-US"/>
              </w:rPr>
            </w:pPr>
            <w:r w:rsidRPr="00D71586">
              <w:rPr>
                <w:szCs w:val="24"/>
                <w:lang w:bidi="en-US"/>
              </w:rPr>
              <w:t>Nav attiecināms.</w:t>
            </w:r>
          </w:p>
          <w:p w:rsidR="00724631" w:rsidRPr="00D71586" w:rsidRDefault="00724631" w:rsidP="00724631">
            <w:pPr>
              <w:rPr>
                <w:i/>
                <w:szCs w:val="24"/>
              </w:rPr>
            </w:pPr>
          </w:p>
        </w:tc>
      </w:tr>
      <w:tr w:rsidR="00724631" w:rsidRPr="00D71586" w:rsidTr="00842ABC">
        <w:tc>
          <w:tcPr>
            <w:tcW w:w="567"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lang w:eastAsia="lv-LV"/>
              </w:rPr>
              <w:t>5.</w:t>
            </w:r>
          </w:p>
        </w:tc>
        <w:tc>
          <w:tcPr>
            <w:tcW w:w="3283"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lang w:eastAsia="lv-LV"/>
              </w:rPr>
              <w:t>Ziņas par saskaņojumu ar Eiropas Savienības institūcijām</w:t>
            </w:r>
          </w:p>
        </w:tc>
        <w:tc>
          <w:tcPr>
            <w:tcW w:w="5222"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rPr>
            </w:pPr>
            <w:r w:rsidRPr="00D71586">
              <w:rPr>
                <w:szCs w:val="24"/>
                <w:lang w:bidi="en-US"/>
              </w:rPr>
              <w:t xml:space="preserve">Nav attiecināms. </w:t>
            </w:r>
          </w:p>
        </w:tc>
      </w:tr>
      <w:tr w:rsidR="00724631" w:rsidRPr="00D71586" w:rsidTr="00842ABC">
        <w:tc>
          <w:tcPr>
            <w:tcW w:w="567"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lang w:eastAsia="lv-LV"/>
              </w:rPr>
              <w:t>6.</w:t>
            </w:r>
          </w:p>
        </w:tc>
        <w:tc>
          <w:tcPr>
            <w:tcW w:w="3283"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lang w:eastAsia="lv-LV"/>
              </w:rPr>
              <w:t>Politikas joma</w:t>
            </w:r>
          </w:p>
        </w:tc>
        <w:tc>
          <w:tcPr>
            <w:tcW w:w="5222"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bidi="en-US"/>
              </w:rPr>
            </w:pPr>
            <w:r w:rsidRPr="00D71586">
              <w:rPr>
                <w:szCs w:val="24"/>
                <w:lang w:bidi="en-US"/>
              </w:rPr>
              <w:t>Budžeta un finanšu politikas joma</w:t>
            </w:r>
            <w:r w:rsidR="005B6462">
              <w:rPr>
                <w:szCs w:val="24"/>
                <w:lang w:bidi="en-US"/>
              </w:rPr>
              <w:t>.</w:t>
            </w:r>
          </w:p>
        </w:tc>
      </w:tr>
      <w:tr w:rsidR="00724631" w:rsidRPr="00D71586" w:rsidTr="00842ABC">
        <w:tc>
          <w:tcPr>
            <w:tcW w:w="567"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lang w:eastAsia="lv-LV"/>
              </w:rPr>
              <w:t>7.</w:t>
            </w:r>
          </w:p>
        </w:tc>
        <w:tc>
          <w:tcPr>
            <w:tcW w:w="3283"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lang w:eastAsia="lv-LV"/>
              </w:rPr>
              <w:t>Projekta autors</w:t>
            </w:r>
          </w:p>
        </w:tc>
        <w:tc>
          <w:tcPr>
            <w:tcW w:w="5222" w:type="dxa"/>
            <w:tcBorders>
              <w:top w:val="single" w:sz="4" w:space="0" w:color="auto"/>
              <w:left w:val="single" w:sz="4" w:space="0" w:color="auto"/>
              <w:bottom w:val="single" w:sz="4" w:space="0" w:color="auto"/>
              <w:right w:val="single" w:sz="4" w:space="0" w:color="auto"/>
            </w:tcBorders>
          </w:tcPr>
          <w:p w:rsidR="00724631" w:rsidRPr="00D71586" w:rsidRDefault="00F42181" w:rsidP="00F3235A">
            <w:pPr>
              <w:rPr>
                <w:rFonts w:eastAsia="Calibri"/>
                <w:szCs w:val="24"/>
              </w:rPr>
            </w:pPr>
            <w:r>
              <w:rPr>
                <w:szCs w:val="24"/>
                <w:lang w:bidi="en-US"/>
              </w:rPr>
              <w:t>Finanšu ministrijas Finanšu tirgus politikas departamenta Finanšu sektora pārvaldības nodaļas juriskonsults Aivis Hammers.</w:t>
            </w:r>
          </w:p>
        </w:tc>
      </w:tr>
      <w:tr w:rsidR="00724631" w:rsidRPr="00D71586" w:rsidTr="00842ABC">
        <w:tc>
          <w:tcPr>
            <w:tcW w:w="567"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lang w:eastAsia="lv-LV"/>
              </w:rPr>
              <w:t>8.</w:t>
            </w:r>
          </w:p>
        </w:tc>
        <w:tc>
          <w:tcPr>
            <w:tcW w:w="3283"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lang w:eastAsia="lv-LV"/>
              </w:rPr>
              <w:t>Uzaicināmās personas</w:t>
            </w:r>
          </w:p>
        </w:tc>
        <w:tc>
          <w:tcPr>
            <w:tcW w:w="5222" w:type="dxa"/>
            <w:tcBorders>
              <w:top w:val="single" w:sz="4" w:space="0" w:color="auto"/>
              <w:left w:val="single" w:sz="4" w:space="0" w:color="auto"/>
              <w:bottom w:val="single" w:sz="4" w:space="0" w:color="auto"/>
              <w:right w:val="single" w:sz="4" w:space="0" w:color="auto"/>
            </w:tcBorders>
          </w:tcPr>
          <w:p w:rsidR="00724631" w:rsidRPr="00D71586" w:rsidRDefault="00724631" w:rsidP="00F3235A">
            <w:pPr>
              <w:rPr>
                <w:szCs w:val="24"/>
              </w:rPr>
            </w:pPr>
            <w:r w:rsidRPr="00D71586">
              <w:rPr>
                <w:szCs w:val="24"/>
              </w:rPr>
              <w:t>Finanšu tirgus politikas departamenta direktore Aija Zitcere.</w:t>
            </w:r>
          </w:p>
        </w:tc>
      </w:tr>
      <w:tr w:rsidR="00724631" w:rsidRPr="00D71586" w:rsidTr="00842ABC">
        <w:tc>
          <w:tcPr>
            <w:tcW w:w="567"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lang w:eastAsia="lv-LV"/>
              </w:rPr>
              <w:t>9.</w:t>
            </w:r>
          </w:p>
        </w:tc>
        <w:tc>
          <w:tcPr>
            <w:tcW w:w="3283"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rPr>
              <w:t>Projekta ierobežotas pieejamības statuss</w:t>
            </w:r>
          </w:p>
        </w:tc>
        <w:tc>
          <w:tcPr>
            <w:tcW w:w="5222" w:type="dxa"/>
            <w:tcBorders>
              <w:top w:val="single" w:sz="4" w:space="0" w:color="auto"/>
              <w:left w:val="single" w:sz="4" w:space="0" w:color="auto"/>
              <w:bottom w:val="single" w:sz="4" w:space="0" w:color="auto"/>
              <w:right w:val="single" w:sz="4" w:space="0" w:color="auto"/>
            </w:tcBorders>
          </w:tcPr>
          <w:p w:rsidR="00724631" w:rsidRPr="004A4162" w:rsidRDefault="00B029D7" w:rsidP="004D518C">
            <w:pPr>
              <w:ind w:right="-108"/>
              <w:rPr>
                <w:szCs w:val="26"/>
                <w:lang w:eastAsia="lv-LV"/>
              </w:rPr>
            </w:pPr>
            <w:proofErr w:type="spellStart"/>
            <w:r>
              <w:rPr>
                <w:szCs w:val="26"/>
                <w:lang w:eastAsia="lv-LV"/>
              </w:rPr>
              <w:t>Protokollēmuma</w:t>
            </w:r>
            <w:proofErr w:type="spellEnd"/>
            <w:r>
              <w:rPr>
                <w:szCs w:val="26"/>
                <w:lang w:eastAsia="lv-LV"/>
              </w:rPr>
              <w:t xml:space="preserve"> projektam</w:t>
            </w:r>
            <w:r w:rsidR="00904870">
              <w:rPr>
                <w:szCs w:val="26"/>
                <w:lang w:eastAsia="lv-LV"/>
              </w:rPr>
              <w:t xml:space="preserve"> </w:t>
            </w:r>
            <w:r w:rsidR="00F42181" w:rsidRPr="00F45F43">
              <w:rPr>
                <w:szCs w:val="24"/>
                <w:lang w:bidi="en-US"/>
              </w:rPr>
              <w:t>nav ierobežotas pieejamības statuss.</w:t>
            </w:r>
          </w:p>
        </w:tc>
      </w:tr>
      <w:tr w:rsidR="00724631" w:rsidRPr="00D71586" w:rsidTr="00842ABC">
        <w:tc>
          <w:tcPr>
            <w:tcW w:w="567"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lang w:eastAsia="lv-LV"/>
              </w:rPr>
            </w:pPr>
            <w:r w:rsidRPr="00D71586">
              <w:rPr>
                <w:szCs w:val="24"/>
                <w:lang w:eastAsia="lv-LV"/>
              </w:rPr>
              <w:t>10.</w:t>
            </w:r>
          </w:p>
        </w:tc>
        <w:tc>
          <w:tcPr>
            <w:tcW w:w="3283" w:type="dxa"/>
            <w:tcBorders>
              <w:top w:val="single" w:sz="4" w:space="0" w:color="auto"/>
              <w:left w:val="single" w:sz="4" w:space="0" w:color="auto"/>
              <w:bottom w:val="single" w:sz="4" w:space="0" w:color="auto"/>
              <w:right w:val="single" w:sz="4" w:space="0" w:color="auto"/>
            </w:tcBorders>
          </w:tcPr>
          <w:p w:rsidR="00724631" w:rsidRPr="00D71586" w:rsidRDefault="00724631" w:rsidP="00724631">
            <w:pPr>
              <w:rPr>
                <w:szCs w:val="24"/>
              </w:rPr>
            </w:pPr>
            <w:r w:rsidRPr="00D71586">
              <w:rPr>
                <w:szCs w:val="24"/>
              </w:rPr>
              <w:t>Cita nepieciešamā informācija</w:t>
            </w:r>
          </w:p>
        </w:tc>
        <w:tc>
          <w:tcPr>
            <w:tcW w:w="5222" w:type="dxa"/>
            <w:tcBorders>
              <w:top w:val="single" w:sz="4" w:space="0" w:color="auto"/>
              <w:left w:val="single" w:sz="4" w:space="0" w:color="auto"/>
              <w:bottom w:val="single" w:sz="4" w:space="0" w:color="auto"/>
              <w:right w:val="single" w:sz="4" w:space="0" w:color="auto"/>
            </w:tcBorders>
          </w:tcPr>
          <w:p w:rsidR="00974E3F" w:rsidRPr="002B7C4B" w:rsidRDefault="00974E3F" w:rsidP="00974E3F">
            <w:pPr>
              <w:ind w:firstLine="709"/>
              <w:rPr>
                <w:szCs w:val="24"/>
              </w:rPr>
            </w:pPr>
            <w:r w:rsidRPr="00A27E9A">
              <w:rPr>
                <w:szCs w:val="24"/>
              </w:rPr>
              <w:t>Ministru kabi</w:t>
            </w:r>
            <w:r w:rsidR="008B37EB">
              <w:rPr>
                <w:szCs w:val="24"/>
              </w:rPr>
              <w:t>neta 2016.gada 6.septembra sēdē</w:t>
            </w:r>
            <w:r w:rsidRPr="00A27E9A">
              <w:rPr>
                <w:szCs w:val="24"/>
              </w:rPr>
              <w:t xml:space="preserve"> Finanšu ministrijai sadarbībā ar Ekonomikas ministriju līdz 2016. gada 31. decembrim tika dots uzdevums izstrādāt Ministru kabineta noteikumu projektu, lai noteiktu apjomu, kārtību, termiņus, saturu un formātu, kādā iesniedzama aktuālā informācija par maksu par Latvijas Republikas teritorijā patērētāju plaši izmantojamajiem pakalpojumie</w:t>
            </w:r>
            <w:r>
              <w:rPr>
                <w:szCs w:val="24"/>
              </w:rPr>
              <w:t>m. 2017.gada 2.martā stājās spēkā</w:t>
            </w:r>
            <w:r w:rsidRPr="00A27E9A">
              <w:rPr>
                <w:szCs w:val="24"/>
              </w:rPr>
              <w:t xml:space="preserve"> grozījumi Maksājumu pakalpojumu</w:t>
            </w:r>
            <w:r>
              <w:rPr>
                <w:szCs w:val="24"/>
              </w:rPr>
              <w:t xml:space="preserve"> un elektroniskās naudas likumā, kur </w:t>
            </w:r>
            <w:r w:rsidRPr="00A27E9A">
              <w:rPr>
                <w:szCs w:val="24"/>
              </w:rPr>
              <w:t>46.</w:t>
            </w:r>
            <w:r w:rsidRPr="00504189">
              <w:rPr>
                <w:szCs w:val="24"/>
                <w:vertAlign w:val="superscript"/>
              </w:rPr>
              <w:t>1</w:t>
            </w:r>
            <w:r>
              <w:rPr>
                <w:szCs w:val="24"/>
              </w:rPr>
              <w:t xml:space="preserve"> pants paredz, ka </w:t>
            </w:r>
            <w:r w:rsidRPr="00A27E9A">
              <w:rPr>
                <w:szCs w:val="24"/>
              </w:rPr>
              <w:t xml:space="preserve"> </w:t>
            </w:r>
            <w:r>
              <w:rPr>
                <w:szCs w:val="24"/>
              </w:rPr>
              <w:t>m</w:t>
            </w:r>
            <w:r w:rsidRPr="0054786B">
              <w:rPr>
                <w:szCs w:val="24"/>
              </w:rPr>
              <w:t xml:space="preserve">aksājumu pakalpojumu sniedzējs, kas sniedz ar maksājumu kontu saistītus pakalpojumus, reizi gadā iesniedz Patērētāju tiesību aizsardzības centram aktuālo informāciju </w:t>
            </w:r>
            <w:r w:rsidRPr="002B7C4B">
              <w:rPr>
                <w:szCs w:val="24"/>
              </w:rPr>
              <w:t>par maksu, ko tas piemēro patērētāju biežāk izmantojamiem pakalpojumiem</w:t>
            </w:r>
            <w:r>
              <w:rPr>
                <w:szCs w:val="24"/>
              </w:rPr>
              <w:t>.</w:t>
            </w:r>
          </w:p>
          <w:p w:rsidR="00974E3F" w:rsidRDefault="00974E3F" w:rsidP="00974E3F">
            <w:pPr>
              <w:ind w:firstLine="709"/>
              <w:rPr>
                <w:szCs w:val="24"/>
              </w:rPr>
            </w:pPr>
            <w:r w:rsidRPr="00A27E9A">
              <w:rPr>
                <w:szCs w:val="24"/>
              </w:rPr>
              <w:t>Uz dotā uzdevuma izpildi attieca</w:t>
            </w:r>
            <w:r>
              <w:rPr>
                <w:szCs w:val="24"/>
              </w:rPr>
              <w:t xml:space="preserve">s </w:t>
            </w:r>
            <w:r w:rsidR="00504189">
              <w:rPr>
                <w:szCs w:val="24"/>
              </w:rPr>
              <w:t>Deleģētā regula, kuras</w:t>
            </w:r>
            <w:r>
              <w:rPr>
                <w:szCs w:val="24"/>
              </w:rPr>
              <w:t xml:space="preserve"> 1.pants paredz </w:t>
            </w:r>
            <w:r w:rsidRPr="00B40684">
              <w:rPr>
                <w:szCs w:val="24"/>
              </w:rPr>
              <w:t>standartizētu terminu un definīciju izmantošanu Eiropas Savienībā visbiežāk izmantojamajiem pakalpojumiem, kas saistīti ar maksājumu kontu, kā minēts</w:t>
            </w:r>
            <w:r>
              <w:rPr>
                <w:szCs w:val="24"/>
              </w:rPr>
              <w:t xml:space="preserve"> arī</w:t>
            </w:r>
            <w:r w:rsidRPr="00B40684">
              <w:rPr>
                <w:szCs w:val="24"/>
              </w:rPr>
              <w:t xml:space="preserve"> Direktīvas 2014/92/ES 3. panta pirmās daļas (4) punktā</w:t>
            </w:r>
            <w:r>
              <w:rPr>
                <w:szCs w:val="24"/>
              </w:rPr>
              <w:t xml:space="preserve">. Deleģētā regula sevī ietver arī terminus un definīcijas </w:t>
            </w:r>
            <w:r w:rsidRPr="00B40684">
              <w:rPr>
                <w:szCs w:val="24"/>
              </w:rPr>
              <w:t>Eiropas Savienībā visbiežāk izmantojamajiem pakalpojumiem</w:t>
            </w:r>
            <w:r>
              <w:rPr>
                <w:szCs w:val="24"/>
              </w:rPr>
              <w:t>. Ministru kabineta noteikumu projektā plānots izmantot</w:t>
            </w:r>
            <w:r w:rsidRPr="00B653FA">
              <w:rPr>
                <w:szCs w:val="24"/>
              </w:rPr>
              <w:t xml:space="preserve"> regulas terminoloģiju un definīcijas</w:t>
            </w:r>
            <w:r>
              <w:rPr>
                <w:szCs w:val="24"/>
              </w:rPr>
              <w:t xml:space="preserve">, tādēļ </w:t>
            </w:r>
            <w:r w:rsidRPr="00B653FA">
              <w:rPr>
                <w:szCs w:val="24"/>
              </w:rPr>
              <w:t>M</w:t>
            </w:r>
            <w:r>
              <w:rPr>
                <w:szCs w:val="24"/>
              </w:rPr>
              <w:t xml:space="preserve">inistru </w:t>
            </w:r>
            <w:r w:rsidRPr="00B653FA">
              <w:rPr>
                <w:szCs w:val="24"/>
              </w:rPr>
              <w:t>K</w:t>
            </w:r>
            <w:r>
              <w:rPr>
                <w:szCs w:val="24"/>
              </w:rPr>
              <w:t>abineta</w:t>
            </w:r>
            <w:r w:rsidRPr="00B653FA">
              <w:rPr>
                <w:szCs w:val="24"/>
              </w:rPr>
              <w:t xml:space="preserve"> noteikumus </w:t>
            </w:r>
            <w:r>
              <w:rPr>
                <w:szCs w:val="24"/>
              </w:rPr>
              <w:t>nav iespējams izdot pirms deleģētās regulas publicēšanas.</w:t>
            </w:r>
          </w:p>
          <w:p w:rsidR="00724631" w:rsidRPr="008B37EB" w:rsidRDefault="00974E3F" w:rsidP="00974E3F">
            <w:pPr>
              <w:spacing w:line="276" w:lineRule="auto"/>
              <w:ind w:firstLine="709"/>
              <w:rPr>
                <w:szCs w:val="24"/>
              </w:rPr>
            </w:pPr>
            <w:r>
              <w:rPr>
                <w:szCs w:val="24"/>
              </w:rPr>
              <w:t xml:space="preserve">Deleģētā regula 2017.gada 5.maijā ir apstiprināta </w:t>
            </w:r>
            <w:r w:rsidRPr="008B37EB">
              <w:rPr>
                <w:szCs w:val="24"/>
              </w:rPr>
              <w:t>European Banking Authority Board of Supervisors</w:t>
            </w:r>
            <w:r w:rsidRPr="00A27E9A">
              <w:rPr>
                <w:szCs w:val="24"/>
              </w:rPr>
              <w:t xml:space="preserve"> sanāksmē </w:t>
            </w:r>
            <w:r>
              <w:rPr>
                <w:szCs w:val="24"/>
              </w:rPr>
              <w:t>un šobrīd ir nosūtīta</w:t>
            </w:r>
            <w:r w:rsidRPr="00A27E9A">
              <w:rPr>
                <w:szCs w:val="24"/>
              </w:rPr>
              <w:t xml:space="preserve"> Eiropas Komisijai apstiprināšanai un pieņemšanai. Ja Eiropas Komisij</w:t>
            </w:r>
            <w:r>
              <w:rPr>
                <w:szCs w:val="24"/>
              </w:rPr>
              <w:t>ai nebūs būtisku labojumu, tad</w:t>
            </w:r>
            <w:r w:rsidRPr="00A27E9A">
              <w:rPr>
                <w:szCs w:val="24"/>
              </w:rPr>
              <w:t xml:space="preserve"> mēneša laikā </w:t>
            </w:r>
            <w:r>
              <w:rPr>
                <w:szCs w:val="24"/>
              </w:rPr>
              <w:t xml:space="preserve">deleģētā </w:t>
            </w:r>
            <w:r w:rsidRPr="00A27E9A">
              <w:rPr>
                <w:szCs w:val="24"/>
              </w:rPr>
              <w:t>regula varētu būt apstiprināta.</w:t>
            </w:r>
          </w:p>
        </w:tc>
      </w:tr>
    </w:tbl>
    <w:p w:rsidR="00724631" w:rsidRPr="00D71586" w:rsidRDefault="00724631" w:rsidP="00724631">
      <w:pPr>
        <w:rPr>
          <w:szCs w:val="24"/>
        </w:rPr>
      </w:pPr>
    </w:p>
    <w:p w:rsidR="008B174B" w:rsidRDefault="008B174B" w:rsidP="00724631">
      <w:pPr>
        <w:rPr>
          <w:szCs w:val="24"/>
        </w:rPr>
      </w:pPr>
    </w:p>
    <w:p w:rsidR="008B174B" w:rsidRDefault="008B174B" w:rsidP="00724631">
      <w:pPr>
        <w:rPr>
          <w:szCs w:val="24"/>
        </w:rPr>
      </w:pPr>
    </w:p>
    <w:p w:rsidR="008B174B" w:rsidRDefault="008B174B" w:rsidP="00724631">
      <w:pPr>
        <w:rPr>
          <w:szCs w:val="24"/>
        </w:rPr>
      </w:pPr>
    </w:p>
    <w:p w:rsidR="008B174B" w:rsidRDefault="008B174B" w:rsidP="00724631">
      <w:pPr>
        <w:rPr>
          <w:szCs w:val="24"/>
        </w:rPr>
      </w:pPr>
    </w:p>
    <w:p w:rsidR="00724631" w:rsidRDefault="00724631" w:rsidP="00724631">
      <w:pPr>
        <w:rPr>
          <w:szCs w:val="24"/>
        </w:rPr>
      </w:pPr>
      <w:r w:rsidRPr="00D71586">
        <w:rPr>
          <w:szCs w:val="24"/>
        </w:rPr>
        <w:t>Pielikumā:</w:t>
      </w:r>
    </w:p>
    <w:p w:rsidR="008B174B" w:rsidRPr="00D71586" w:rsidRDefault="008B174B" w:rsidP="00724631">
      <w:pPr>
        <w:rPr>
          <w:szCs w:val="24"/>
        </w:rPr>
      </w:pPr>
    </w:p>
    <w:p w:rsidR="00724631" w:rsidRPr="00D71586" w:rsidRDefault="00724631" w:rsidP="00F3235A">
      <w:pPr>
        <w:numPr>
          <w:ilvl w:val="0"/>
          <w:numId w:val="1"/>
        </w:numPr>
        <w:jc w:val="left"/>
        <w:rPr>
          <w:szCs w:val="24"/>
        </w:rPr>
      </w:pPr>
      <w:r w:rsidRPr="00D71586">
        <w:rPr>
          <w:szCs w:val="24"/>
        </w:rPr>
        <w:t xml:space="preserve">Ministru kabineta sēdes </w:t>
      </w:r>
      <w:proofErr w:type="spellStart"/>
      <w:r w:rsidRPr="00D71586">
        <w:rPr>
          <w:szCs w:val="24"/>
        </w:rPr>
        <w:t>protokollēmuma</w:t>
      </w:r>
      <w:proofErr w:type="spellEnd"/>
      <w:r w:rsidRPr="00D71586">
        <w:rPr>
          <w:szCs w:val="24"/>
        </w:rPr>
        <w:t xml:space="preserve"> projekts </w:t>
      </w:r>
      <w:r w:rsidR="00A2506F">
        <w:rPr>
          <w:szCs w:val="24"/>
        </w:rPr>
        <w:t>“</w:t>
      </w:r>
      <w:r w:rsidR="00F3235A" w:rsidRPr="00F3235A">
        <w:rPr>
          <w:szCs w:val="24"/>
        </w:rPr>
        <w:t xml:space="preserve">Par </w:t>
      </w:r>
      <w:proofErr w:type="spellStart"/>
      <w:r w:rsidR="00B029D7">
        <w:rPr>
          <w:szCs w:val="24"/>
        </w:rPr>
        <w:t>protokollēmuma</w:t>
      </w:r>
      <w:proofErr w:type="spellEnd"/>
      <w:r w:rsidR="00B029D7">
        <w:rPr>
          <w:szCs w:val="24"/>
        </w:rPr>
        <w:t xml:space="preserve"> projektu</w:t>
      </w:r>
      <w:r w:rsidR="00F3235A" w:rsidRPr="00F3235A">
        <w:rPr>
          <w:szCs w:val="24"/>
        </w:rPr>
        <w:t xml:space="preserve"> “</w:t>
      </w:r>
      <w:r w:rsidR="00B1059E">
        <w:rPr>
          <w:szCs w:val="24"/>
        </w:rPr>
        <w:t>P</w:t>
      </w:r>
      <w:r w:rsidR="00B1059E" w:rsidRPr="00B1059E">
        <w:rPr>
          <w:szCs w:val="24"/>
        </w:rPr>
        <w:t xml:space="preserve">ar Ministru kabineta 2016.gada 6.septembra sēdes </w:t>
      </w:r>
      <w:proofErr w:type="spellStart"/>
      <w:r w:rsidR="00B1059E" w:rsidRPr="00B1059E">
        <w:rPr>
          <w:szCs w:val="24"/>
        </w:rPr>
        <w:t>protokollēmuma</w:t>
      </w:r>
      <w:proofErr w:type="spellEnd"/>
      <w:r w:rsidR="00A2506F">
        <w:rPr>
          <w:szCs w:val="24"/>
        </w:rPr>
        <w:t>””</w:t>
      </w:r>
      <w:r w:rsidR="00B1059E" w:rsidRPr="00B1059E">
        <w:rPr>
          <w:szCs w:val="24"/>
        </w:rPr>
        <w:t xml:space="preserve"> (prot. Nr. 44 26.§) 5.punkta izpildi</w:t>
      </w:r>
      <w:r w:rsidR="00904870">
        <w:rPr>
          <w:szCs w:val="24"/>
        </w:rPr>
        <w:t xml:space="preserve"> </w:t>
      </w:r>
      <w:r w:rsidRPr="00D71586">
        <w:rPr>
          <w:szCs w:val="24"/>
        </w:rPr>
        <w:t>(</w:t>
      </w:r>
      <w:r w:rsidR="00B1059E">
        <w:rPr>
          <w:szCs w:val="24"/>
        </w:rPr>
        <w:t>FMProt_310517_MKMPENL</w:t>
      </w:r>
      <w:r w:rsidR="00F3235A" w:rsidRPr="00F3235A">
        <w:rPr>
          <w:szCs w:val="24"/>
        </w:rPr>
        <w:t>.doc</w:t>
      </w:r>
      <w:r w:rsidR="00B1059E">
        <w:rPr>
          <w:szCs w:val="24"/>
        </w:rPr>
        <w:t>) uz 1 lpp.</w:t>
      </w:r>
    </w:p>
    <w:p w:rsidR="005557EF" w:rsidRPr="00D71586" w:rsidRDefault="005557EF" w:rsidP="007F3771">
      <w:pPr>
        <w:rPr>
          <w:szCs w:val="24"/>
        </w:rPr>
      </w:pPr>
    </w:p>
    <w:p w:rsidR="00182D84" w:rsidRDefault="00182D84" w:rsidP="00182D84">
      <w:pPr>
        <w:rPr>
          <w:szCs w:val="24"/>
        </w:rPr>
      </w:pPr>
    </w:p>
    <w:p w:rsidR="00F3235A" w:rsidRDefault="00F3235A" w:rsidP="007F3771">
      <w:pPr>
        <w:rPr>
          <w:szCs w:val="24"/>
        </w:rPr>
      </w:pPr>
    </w:p>
    <w:p w:rsidR="002249D8" w:rsidRPr="00261E82" w:rsidRDefault="002249D8" w:rsidP="002249D8">
      <w:pPr>
        <w:spacing w:after="120" w:line="276" w:lineRule="auto"/>
        <w:rPr>
          <w:szCs w:val="24"/>
        </w:rPr>
      </w:pPr>
      <w:r w:rsidRPr="00261E82">
        <w:rPr>
          <w:szCs w:val="24"/>
        </w:rPr>
        <w:t>Finanšu ministre</w:t>
      </w:r>
      <w:r>
        <w:rPr>
          <w:szCs w:val="24"/>
        </w:rPr>
        <w:t xml:space="preserve">                                                                                                  </w:t>
      </w:r>
      <w:proofErr w:type="spellStart"/>
      <w:r>
        <w:rPr>
          <w:szCs w:val="24"/>
        </w:rPr>
        <w:t>D.Reizeniece</w:t>
      </w:r>
      <w:proofErr w:type="spellEnd"/>
      <w:r>
        <w:rPr>
          <w:szCs w:val="24"/>
        </w:rPr>
        <w:t>-Ozola</w:t>
      </w:r>
    </w:p>
    <w:p w:rsidR="002249D8" w:rsidRDefault="002249D8" w:rsidP="007F3771">
      <w:pPr>
        <w:rPr>
          <w:szCs w:val="24"/>
        </w:rPr>
      </w:pPr>
    </w:p>
    <w:p w:rsidR="00F3235A" w:rsidRDefault="00F3235A" w:rsidP="007F3771">
      <w:pPr>
        <w:rPr>
          <w:szCs w:val="24"/>
        </w:rPr>
      </w:pPr>
    </w:p>
    <w:p w:rsidR="00F3235A" w:rsidRDefault="00F3235A" w:rsidP="007F3771">
      <w:pPr>
        <w:rPr>
          <w:szCs w:val="24"/>
        </w:rPr>
      </w:pPr>
    </w:p>
    <w:p w:rsidR="00F3235A" w:rsidRDefault="00F3235A" w:rsidP="007F3771">
      <w:pPr>
        <w:rPr>
          <w:szCs w:val="24"/>
        </w:rPr>
      </w:pPr>
    </w:p>
    <w:p w:rsidR="00F3235A" w:rsidRPr="00D71586" w:rsidRDefault="00F3235A" w:rsidP="007F3771">
      <w:pPr>
        <w:rPr>
          <w:szCs w:val="24"/>
        </w:rPr>
      </w:pPr>
    </w:p>
    <w:p w:rsidR="00826D51" w:rsidRPr="00D71586" w:rsidRDefault="00826D51" w:rsidP="007F3771">
      <w:pPr>
        <w:rPr>
          <w:sz w:val="20"/>
        </w:rPr>
      </w:pPr>
    </w:p>
    <w:p w:rsidR="00267204" w:rsidRDefault="00267204" w:rsidP="00F3235A">
      <w:pPr>
        <w:autoSpaceDE w:val="0"/>
        <w:autoSpaceDN w:val="0"/>
        <w:adjustRightInd w:val="0"/>
        <w:rPr>
          <w:sz w:val="20"/>
          <w:szCs w:val="24"/>
        </w:rPr>
      </w:pPr>
    </w:p>
    <w:p w:rsidR="00267204" w:rsidRDefault="00267204" w:rsidP="00F3235A">
      <w:pPr>
        <w:autoSpaceDE w:val="0"/>
        <w:autoSpaceDN w:val="0"/>
        <w:adjustRightInd w:val="0"/>
        <w:rPr>
          <w:sz w:val="20"/>
          <w:szCs w:val="24"/>
        </w:rPr>
      </w:pPr>
    </w:p>
    <w:p w:rsidR="00267204" w:rsidRDefault="00267204" w:rsidP="00F3235A">
      <w:pPr>
        <w:autoSpaceDE w:val="0"/>
        <w:autoSpaceDN w:val="0"/>
        <w:adjustRightInd w:val="0"/>
        <w:rPr>
          <w:sz w:val="20"/>
          <w:szCs w:val="24"/>
        </w:rPr>
      </w:pPr>
    </w:p>
    <w:p w:rsidR="00F3235A" w:rsidRPr="001850DC" w:rsidRDefault="00F42181" w:rsidP="00F3235A">
      <w:pPr>
        <w:autoSpaceDE w:val="0"/>
        <w:autoSpaceDN w:val="0"/>
        <w:adjustRightInd w:val="0"/>
        <w:rPr>
          <w:sz w:val="20"/>
          <w:szCs w:val="24"/>
        </w:rPr>
      </w:pPr>
      <w:r>
        <w:rPr>
          <w:sz w:val="20"/>
          <w:szCs w:val="24"/>
        </w:rPr>
        <w:t>Aivis Hammers, 67095441</w:t>
      </w:r>
    </w:p>
    <w:p w:rsidR="00267204" w:rsidRPr="001850DC" w:rsidRDefault="00150E35" w:rsidP="00267204">
      <w:pPr>
        <w:autoSpaceDE w:val="0"/>
        <w:autoSpaceDN w:val="0"/>
        <w:adjustRightInd w:val="0"/>
        <w:rPr>
          <w:sz w:val="20"/>
          <w:szCs w:val="24"/>
        </w:rPr>
      </w:pPr>
      <w:hyperlink r:id="rId8" w:history="1">
        <w:r w:rsidR="00F42181" w:rsidRPr="007D0157">
          <w:rPr>
            <w:rStyle w:val="Hyperlink"/>
            <w:sz w:val="20"/>
            <w:szCs w:val="24"/>
          </w:rPr>
          <w:t>aivis.hammers@fm.gov.lv</w:t>
        </w:r>
      </w:hyperlink>
      <w:r w:rsidR="00267204">
        <w:rPr>
          <w:sz w:val="20"/>
          <w:szCs w:val="24"/>
        </w:rPr>
        <w:t xml:space="preserve"> </w:t>
      </w:r>
    </w:p>
    <w:p w:rsidR="000C0DD4" w:rsidRPr="00D71586" w:rsidRDefault="000C0DD4" w:rsidP="00F3235A">
      <w:pPr>
        <w:rPr>
          <w:sz w:val="20"/>
        </w:rPr>
      </w:pPr>
    </w:p>
    <w:sectPr w:rsidR="000C0DD4" w:rsidRPr="00D71586" w:rsidSect="00112FC2">
      <w:headerReference w:type="even" r:id="rId9"/>
      <w:headerReference w:type="default" r:id="rId10"/>
      <w:footerReference w:type="default" r:id="rId11"/>
      <w:headerReference w:type="first" r:id="rId12"/>
      <w:footerReference w:type="first" r:id="rId13"/>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E35" w:rsidRDefault="00150E35">
      <w:r>
        <w:separator/>
      </w:r>
    </w:p>
  </w:endnote>
  <w:endnote w:type="continuationSeparator" w:id="0">
    <w:p w:rsidR="00150E35" w:rsidRDefault="0015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2951"/>
      <w:docPartObj>
        <w:docPartGallery w:val="Page Numbers (Bottom of Page)"/>
        <w:docPartUnique/>
      </w:docPartObj>
    </w:sdtPr>
    <w:sdtEndPr>
      <w:rPr>
        <w:sz w:val="20"/>
      </w:rPr>
    </w:sdtEndPr>
    <w:sdtContent>
      <w:p w:rsidR="00CE7326" w:rsidRPr="00F3235A" w:rsidRDefault="00CE7326" w:rsidP="00606D93">
        <w:pPr>
          <w:pStyle w:val="Header"/>
          <w:tabs>
            <w:tab w:val="clear" w:pos="4153"/>
            <w:tab w:val="center" w:pos="4536"/>
          </w:tabs>
          <w:jc w:val="center"/>
          <w:rPr>
            <w:sz w:val="24"/>
            <w:szCs w:val="24"/>
          </w:rPr>
        </w:pPr>
      </w:p>
      <w:p w:rsidR="00CE7326" w:rsidRDefault="00CE7326">
        <w:pPr>
          <w:pStyle w:val="Footer"/>
          <w:jc w:val="center"/>
        </w:pPr>
      </w:p>
      <w:p w:rsidR="00CE7326" w:rsidRPr="002E3A0B" w:rsidRDefault="00CE7326">
        <w:pPr>
          <w:pStyle w:val="Footer"/>
          <w:jc w:val="center"/>
          <w:rPr>
            <w:sz w:val="20"/>
          </w:rPr>
        </w:pPr>
        <w:r w:rsidRPr="002E3A0B">
          <w:rPr>
            <w:sz w:val="20"/>
          </w:rPr>
          <w:fldChar w:fldCharType="begin"/>
        </w:r>
        <w:r w:rsidRPr="002E3A0B">
          <w:rPr>
            <w:sz w:val="20"/>
          </w:rPr>
          <w:instrText xml:space="preserve"> PAGE   \* MERGEFORMAT </w:instrText>
        </w:r>
        <w:r w:rsidRPr="002E3A0B">
          <w:rPr>
            <w:sz w:val="20"/>
          </w:rPr>
          <w:fldChar w:fldCharType="separate"/>
        </w:r>
        <w:r w:rsidR="00924641">
          <w:rPr>
            <w:noProof/>
            <w:sz w:val="20"/>
          </w:rPr>
          <w:t>3</w:t>
        </w:r>
        <w:r w:rsidRPr="002E3A0B">
          <w:rPr>
            <w:sz w:val="20"/>
          </w:rPr>
          <w:fldChar w:fldCharType="end"/>
        </w:r>
      </w:p>
    </w:sdtContent>
  </w:sdt>
  <w:p w:rsidR="00CE7326" w:rsidRDefault="00180C2D" w:rsidP="00F42181">
    <w:pPr>
      <w:pStyle w:val="Footer"/>
    </w:pPr>
    <w:fldSimple w:instr=" FILENAME   \* MERGEFORMAT ">
      <w:r w:rsidR="00AA1FB2">
        <w:rPr>
          <w:noProof/>
        </w:rPr>
        <w:t>FMPav_310517_MKMPENL.docx</w:t>
      </w:r>
    </w:fldSimple>
    <w:r w:rsidR="00F4218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62" w:rsidRDefault="004A4162" w:rsidP="004A4162">
    <w:pPr>
      <w:pStyle w:val="Footer"/>
      <w:jc w:val="center"/>
      <w:rPr>
        <w:sz w:val="24"/>
        <w:szCs w:val="24"/>
      </w:rPr>
    </w:pPr>
  </w:p>
  <w:p w:rsidR="004A4162" w:rsidRPr="002E3A0B" w:rsidRDefault="004A4162" w:rsidP="004A4162">
    <w:pPr>
      <w:pStyle w:val="Footer"/>
      <w:jc w:val="center"/>
      <w:rPr>
        <w:sz w:val="20"/>
      </w:rPr>
    </w:pPr>
    <w:r w:rsidRPr="002E3A0B">
      <w:rPr>
        <w:sz w:val="20"/>
      </w:rPr>
      <w:fldChar w:fldCharType="begin"/>
    </w:r>
    <w:r w:rsidRPr="002E3A0B">
      <w:rPr>
        <w:sz w:val="20"/>
      </w:rPr>
      <w:instrText xml:space="preserve"> PAGE   \* MERGEFORMAT </w:instrText>
    </w:r>
    <w:r w:rsidRPr="002E3A0B">
      <w:rPr>
        <w:sz w:val="20"/>
      </w:rPr>
      <w:fldChar w:fldCharType="separate"/>
    </w:r>
    <w:r w:rsidR="00924641">
      <w:rPr>
        <w:noProof/>
        <w:sz w:val="20"/>
      </w:rPr>
      <w:t>1</w:t>
    </w:r>
    <w:r w:rsidRPr="002E3A0B">
      <w:rPr>
        <w:sz w:val="20"/>
      </w:rPr>
      <w:fldChar w:fldCharType="end"/>
    </w:r>
  </w:p>
  <w:p w:rsidR="00CE7326" w:rsidRDefault="006F5043" w:rsidP="004A4162">
    <w:pPr>
      <w:pStyle w:val="Footer"/>
    </w:pPr>
    <w:r>
      <w:rPr>
        <w:noProof/>
      </w:rPr>
      <w:t>FMPav_310517_MKMPENL.docx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E35" w:rsidRDefault="00150E35">
      <w:r>
        <w:separator/>
      </w:r>
    </w:p>
  </w:footnote>
  <w:footnote w:type="continuationSeparator" w:id="0">
    <w:p w:rsidR="00150E35" w:rsidRDefault="0015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26" w:rsidRDefault="00CE73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084">
      <w:rPr>
        <w:rStyle w:val="PageNumber"/>
        <w:noProof/>
      </w:rPr>
      <w:t>3</w:t>
    </w:r>
    <w:r>
      <w:rPr>
        <w:rStyle w:val="PageNumber"/>
      </w:rPr>
      <w:fldChar w:fldCharType="end"/>
    </w:r>
  </w:p>
  <w:p w:rsidR="00CE7326" w:rsidRDefault="00CE7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26" w:rsidRPr="00B70CA1" w:rsidRDefault="00CE7326" w:rsidP="00B70CA1">
    <w:pPr>
      <w:pStyle w:val="Header"/>
      <w:tabs>
        <w:tab w:val="clear" w:pos="4153"/>
        <w:tab w:val="clear" w:pos="8306"/>
        <w:tab w:val="center" w:pos="4536"/>
      </w:tabs>
      <w:rPr>
        <w:b/>
        <w:sz w:val="24"/>
        <w:szCs w:val="24"/>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26" w:rsidRDefault="00CE7326" w:rsidP="00112FC2">
    <w:pPr>
      <w:pStyle w:val="Header"/>
      <w:tabs>
        <w:tab w:val="clear" w:pos="4153"/>
        <w:tab w:val="clear" w:pos="8306"/>
      </w:tabs>
    </w:pPr>
  </w:p>
  <w:p w:rsidR="00CE7326" w:rsidRDefault="00CE7326" w:rsidP="00112FC2">
    <w:pPr>
      <w:pStyle w:val="Header"/>
      <w:tabs>
        <w:tab w:val="clear" w:pos="4153"/>
        <w:tab w:val="clear" w:pos="8306"/>
      </w:tabs>
    </w:pPr>
    <w:r w:rsidRPr="002C22B9">
      <w:rPr>
        <w:noProof/>
        <w:lang w:eastAsia="lv-LV"/>
      </w:rPr>
      <w:drawing>
        <wp:anchor distT="0" distB="0" distL="114300" distR="114300" simplePos="0" relativeHeight="251659264" behindDoc="1" locked="0" layoutInCell="1" allowOverlap="1">
          <wp:simplePos x="0" y="0"/>
          <wp:positionH relativeFrom="margin">
            <wp:posOffset>28575</wp:posOffset>
          </wp:positionH>
          <wp:positionV relativeFrom="page">
            <wp:posOffset>685800</wp:posOffset>
          </wp:positionV>
          <wp:extent cx="5914390" cy="106553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530"/>
                  </a:xfrm>
                  <a:prstGeom prst="rect">
                    <a:avLst/>
                  </a:prstGeom>
                  <a:noFill/>
                  <a:ln>
                    <a:noFill/>
                  </a:ln>
                  <a:extLst>
                    <a:ext uri="{53640926-AAD7-44D8-BBD7-CCE9431645EC}">
                      <a14:shadowObscured xmlns:a14="http://schemas.microsoft.com/office/drawing/2010/main"/>
                    </a:ext>
                  </a:extLst>
                </pic:spPr>
              </pic:pic>
            </a:graphicData>
          </a:graphic>
        </wp:anchor>
      </w:drawing>
    </w:r>
  </w:p>
  <w:p w:rsidR="00CE7326" w:rsidRDefault="00CE7326" w:rsidP="00112FC2">
    <w:pPr>
      <w:pStyle w:val="Header"/>
      <w:tabs>
        <w:tab w:val="clear" w:pos="4153"/>
        <w:tab w:val="clear" w:pos="8306"/>
      </w:tabs>
    </w:pPr>
  </w:p>
  <w:p w:rsidR="00CE7326" w:rsidRDefault="00CE7326" w:rsidP="00112FC2">
    <w:pPr>
      <w:pStyle w:val="Header"/>
      <w:tabs>
        <w:tab w:val="clear" w:pos="4153"/>
        <w:tab w:val="clear" w:pos="8306"/>
      </w:tabs>
    </w:pPr>
  </w:p>
  <w:p w:rsidR="00CE7326" w:rsidRDefault="00CE7326" w:rsidP="00112FC2">
    <w:pPr>
      <w:pStyle w:val="Header"/>
      <w:tabs>
        <w:tab w:val="clear" w:pos="4153"/>
        <w:tab w:val="clear" w:pos="8306"/>
      </w:tabs>
    </w:pPr>
  </w:p>
  <w:p w:rsidR="00CE7326" w:rsidRDefault="00CE7326" w:rsidP="00112FC2">
    <w:pPr>
      <w:pStyle w:val="Header"/>
      <w:tabs>
        <w:tab w:val="clear" w:pos="4153"/>
        <w:tab w:val="clear" w:pos="8306"/>
      </w:tabs>
    </w:pPr>
  </w:p>
  <w:p w:rsidR="00CE7326" w:rsidRDefault="00CE7326" w:rsidP="00112FC2">
    <w:pPr>
      <w:pStyle w:val="Header"/>
      <w:tabs>
        <w:tab w:val="clear" w:pos="4153"/>
        <w:tab w:val="clear" w:pos="8306"/>
      </w:tabs>
    </w:pPr>
  </w:p>
  <w:p w:rsidR="00CE7326" w:rsidRDefault="00CE7326" w:rsidP="00112FC2">
    <w:pPr>
      <w:pStyle w:val="Header"/>
      <w:tabs>
        <w:tab w:val="clear" w:pos="4153"/>
        <w:tab w:val="clear" w:pos="8306"/>
      </w:tabs>
    </w:pPr>
  </w:p>
  <w:p w:rsidR="00CE7326" w:rsidRDefault="00CE7326" w:rsidP="00112FC2">
    <w:pPr>
      <w:pStyle w:val="Header"/>
      <w:tabs>
        <w:tab w:val="clear" w:pos="4153"/>
        <w:tab w:val="clear" w:pos="8306"/>
      </w:tabs>
    </w:pPr>
  </w:p>
  <w:p w:rsidR="00CE7326" w:rsidRDefault="00CE7326" w:rsidP="00112FC2">
    <w:pPr>
      <w:pStyle w:val="Header"/>
      <w:tabs>
        <w:tab w:val="clear" w:pos="4153"/>
        <w:tab w:val="clear" w:pos="8306"/>
      </w:tabs>
    </w:pPr>
  </w:p>
  <w:p w:rsidR="00CE7326" w:rsidRDefault="00B70CA1" w:rsidP="00112FC2">
    <w:pPr>
      <w:pStyle w:val="Header"/>
      <w:tabs>
        <w:tab w:val="clear" w:pos="4153"/>
        <w:tab w:val="clear" w:pos="8306"/>
      </w:tabs>
    </w:pPr>
    <w:r>
      <w:rPr>
        <w:noProof/>
        <w:lang w:eastAsia="lv-LV"/>
      </w:rPr>
      <mc:AlternateContent>
        <mc:Choice Requires="wpg">
          <w:drawing>
            <wp:anchor distT="0" distB="0" distL="114300" distR="114300" simplePos="0" relativeHeight="251660288" behindDoc="1" locked="0" layoutInCell="1" allowOverlap="1">
              <wp:simplePos x="0" y="0"/>
              <wp:positionH relativeFrom="margin">
                <wp:posOffset>17145</wp:posOffset>
              </wp:positionH>
              <wp:positionV relativeFrom="page">
                <wp:posOffset>1884045</wp:posOffset>
              </wp:positionV>
              <wp:extent cx="5937250" cy="45085"/>
              <wp:effectExtent l="0" t="0" r="2540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1"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365404B" id="Group 10" o:spid="_x0000_s1026" style="position:absolute;margin-left:1.35pt;margin-top:148.35pt;width:467.5pt;height:3.55pt;z-index:-251656192;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" path="m,l6926,e" filled="f" strokecolor="#231f20" strokeweight=".25pt">
                <v:path arrowok="t" o:connecttype="custom" o:connectlocs="0,0;6926,0" o:connectangles="0,0"/>
              </v:shape>
              <w10:wrap anchorx="margin" anchory="page"/>
            </v:group>
          </w:pict>
        </mc:Fallback>
      </mc:AlternateContent>
    </w:r>
  </w:p>
  <w:p w:rsidR="00CE7326" w:rsidRDefault="00B70CA1" w:rsidP="00112FC2">
    <w:pPr>
      <w:pStyle w:val="Header"/>
      <w:tabs>
        <w:tab w:val="clear" w:pos="4153"/>
        <w:tab w:val="clear" w:pos="8306"/>
      </w:tabs>
    </w:pP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1047750</wp:posOffset>
              </wp:positionH>
              <wp:positionV relativeFrom="page">
                <wp:posOffset>1992630</wp:posOffset>
              </wp:positionV>
              <wp:extent cx="5943600" cy="3143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326" w:rsidRDefault="00CE7326" w:rsidP="00112FC2">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2" o:spid="_x0000_s1026" type="#_x0000_t202" style="position:absolute;left:0;text-align:left;margin-left:82.5pt;margin-top:156.9pt;width:468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" filled="f" stroked="f">
              <v:textbox inset="0,0,0,0">
                <w:txbxContent>
                  <w:p w:rsidR="00CE7326" w:rsidRDefault="00CE7326" w:rsidP="00112FC2">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p>
  <w:p w:rsidR="00CE7326" w:rsidRDefault="00CE7326" w:rsidP="00112FC2">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3022AE"/>
    <w:multiLevelType w:val="hybridMultilevel"/>
    <w:tmpl w:val="E77E4EAE"/>
    <w:lvl w:ilvl="0" w:tplc="7F58D6D2">
      <w:start w:val="1"/>
      <w:numFmt w:val="decimal"/>
      <w:lvlText w:val="%1."/>
      <w:lvlJc w:val="left"/>
      <w:pPr>
        <w:tabs>
          <w:tab w:val="num" w:pos="390"/>
        </w:tabs>
        <w:ind w:left="390" w:hanging="39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2005E"/>
    <w:rsid w:val="00025906"/>
    <w:rsid w:val="00043FEA"/>
    <w:rsid w:val="00051BDB"/>
    <w:rsid w:val="00054277"/>
    <w:rsid w:val="00054A07"/>
    <w:rsid w:val="0006173E"/>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D7916"/>
    <w:rsid w:val="000E05A4"/>
    <w:rsid w:val="000E7902"/>
    <w:rsid w:val="00101EF2"/>
    <w:rsid w:val="00102247"/>
    <w:rsid w:val="001042A3"/>
    <w:rsid w:val="00112FC2"/>
    <w:rsid w:val="00114955"/>
    <w:rsid w:val="00123153"/>
    <w:rsid w:val="00130802"/>
    <w:rsid w:val="001421E1"/>
    <w:rsid w:val="001428D4"/>
    <w:rsid w:val="001459C6"/>
    <w:rsid w:val="00146475"/>
    <w:rsid w:val="00146FE3"/>
    <w:rsid w:val="00150E35"/>
    <w:rsid w:val="0015384D"/>
    <w:rsid w:val="00156874"/>
    <w:rsid w:val="00160F55"/>
    <w:rsid w:val="0017402C"/>
    <w:rsid w:val="00176F63"/>
    <w:rsid w:val="00180C2D"/>
    <w:rsid w:val="00182D84"/>
    <w:rsid w:val="00184AB5"/>
    <w:rsid w:val="001943EE"/>
    <w:rsid w:val="001D78A7"/>
    <w:rsid w:val="001F53D9"/>
    <w:rsid w:val="00203705"/>
    <w:rsid w:val="00205519"/>
    <w:rsid w:val="0021300E"/>
    <w:rsid w:val="00220CEE"/>
    <w:rsid w:val="00224396"/>
    <w:rsid w:val="002249D8"/>
    <w:rsid w:val="00227D91"/>
    <w:rsid w:val="0023013F"/>
    <w:rsid w:val="00235349"/>
    <w:rsid w:val="00244390"/>
    <w:rsid w:val="00260557"/>
    <w:rsid w:val="00261352"/>
    <w:rsid w:val="002644F0"/>
    <w:rsid w:val="00266CF2"/>
    <w:rsid w:val="00267204"/>
    <w:rsid w:val="00267E3D"/>
    <w:rsid w:val="00292E11"/>
    <w:rsid w:val="00294084"/>
    <w:rsid w:val="0029448D"/>
    <w:rsid w:val="002A20A3"/>
    <w:rsid w:val="002B2AB9"/>
    <w:rsid w:val="002B2B9A"/>
    <w:rsid w:val="002C120D"/>
    <w:rsid w:val="002C3BA7"/>
    <w:rsid w:val="002D0DAE"/>
    <w:rsid w:val="002D2EFD"/>
    <w:rsid w:val="002D6CB4"/>
    <w:rsid w:val="002E06CD"/>
    <w:rsid w:val="002E0D0D"/>
    <w:rsid w:val="002E288C"/>
    <w:rsid w:val="002E3A0B"/>
    <w:rsid w:val="002F5D59"/>
    <w:rsid w:val="003026CE"/>
    <w:rsid w:val="00302D28"/>
    <w:rsid w:val="00304112"/>
    <w:rsid w:val="003043C9"/>
    <w:rsid w:val="00310D7D"/>
    <w:rsid w:val="00314B6D"/>
    <w:rsid w:val="0031519D"/>
    <w:rsid w:val="00325CE2"/>
    <w:rsid w:val="00330C2A"/>
    <w:rsid w:val="00332AF9"/>
    <w:rsid w:val="00341839"/>
    <w:rsid w:val="00347283"/>
    <w:rsid w:val="0037216F"/>
    <w:rsid w:val="00374C0D"/>
    <w:rsid w:val="00380855"/>
    <w:rsid w:val="00383D87"/>
    <w:rsid w:val="00386F28"/>
    <w:rsid w:val="00392EBE"/>
    <w:rsid w:val="00393EB9"/>
    <w:rsid w:val="00396BF4"/>
    <w:rsid w:val="003A324A"/>
    <w:rsid w:val="003B329B"/>
    <w:rsid w:val="003B4764"/>
    <w:rsid w:val="003D09AE"/>
    <w:rsid w:val="003D179D"/>
    <w:rsid w:val="003D693C"/>
    <w:rsid w:val="003F2252"/>
    <w:rsid w:val="003F2673"/>
    <w:rsid w:val="003F4635"/>
    <w:rsid w:val="003F79A5"/>
    <w:rsid w:val="004059A7"/>
    <w:rsid w:val="004133FA"/>
    <w:rsid w:val="004218E7"/>
    <w:rsid w:val="004241B4"/>
    <w:rsid w:val="00434A02"/>
    <w:rsid w:val="0043643E"/>
    <w:rsid w:val="004478B9"/>
    <w:rsid w:val="00474D18"/>
    <w:rsid w:val="00483407"/>
    <w:rsid w:val="004A4162"/>
    <w:rsid w:val="004D518C"/>
    <w:rsid w:val="004E23D3"/>
    <w:rsid w:val="004E2880"/>
    <w:rsid w:val="004E45F2"/>
    <w:rsid w:val="004E4C3B"/>
    <w:rsid w:val="004F221F"/>
    <w:rsid w:val="004F32A1"/>
    <w:rsid w:val="004F671B"/>
    <w:rsid w:val="004F7DFD"/>
    <w:rsid w:val="00504189"/>
    <w:rsid w:val="005053F3"/>
    <w:rsid w:val="00513B65"/>
    <w:rsid w:val="00526E86"/>
    <w:rsid w:val="0053353D"/>
    <w:rsid w:val="00546FDE"/>
    <w:rsid w:val="00550841"/>
    <w:rsid w:val="00550BA5"/>
    <w:rsid w:val="005557EF"/>
    <w:rsid w:val="00557B49"/>
    <w:rsid w:val="0056044A"/>
    <w:rsid w:val="00566495"/>
    <w:rsid w:val="00566B07"/>
    <w:rsid w:val="00575496"/>
    <w:rsid w:val="00577B36"/>
    <w:rsid w:val="005809DD"/>
    <w:rsid w:val="00583887"/>
    <w:rsid w:val="00583F38"/>
    <w:rsid w:val="005846CE"/>
    <w:rsid w:val="00584ED6"/>
    <w:rsid w:val="005910E7"/>
    <w:rsid w:val="0059242B"/>
    <w:rsid w:val="005A0BBB"/>
    <w:rsid w:val="005A3786"/>
    <w:rsid w:val="005B625A"/>
    <w:rsid w:val="005B6462"/>
    <w:rsid w:val="005D7171"/>
    <w:rsid w:val="005E3D1E"/>
    <w:rsid w:val="005F3139"/>
    <w:rsid w:val="00606D93"/>
    <w:rsid w:val="00613984"/>
    <w:rsid w:val="00615936"/>
    <w:rsid w:val="00622CFD"/>
    <w:rsid w:val="006240D2"/>
    <w:rsid w:val="00635299"/>
    <w:rsid w:val="00636996"/>
    <w:rsid w:val="00642EE6"/>
    <w:rsid w:val="00643F3C"/>
    <w:rsid w:val="006610B8"/>
    <w:rsid w:val="00667635"/>
    <w:rsid w:val="006779BC"/>
    <w:rsid w:val="00683E8B"/>
    <w:rsid w:val="006905E0"/>
    <w:rsid w:val="00697AB8"/>
    <w:rsid w:val="006A05F7"/>
    <w:rsid w:val="006A3594"/>
    <w:rsid w:val="006A707B"/>
    <w:rsid w:val="006B33CB"/>
    <w:rsid w:val="006B42A2"/>
    <w:rsid w:val="006D24EC"/>
    <w:rsid w:val="006D6710"/>
    <w:rsid w:val="006E45DD"/>
    <w:rsid w:val="006E689E"/>
    <w:rsid w:val="006E6DBE"/>
    <w:rsid w:val="006F48E7"/>
    <w:rsid w:val="006F5043"/>
    <w:rsid w:val="00701105"/>
    <w:rsid w:val="0070258A"/>
    <w:rsid w:val="00706C69"/>
    <w:rsid w:val="0070718E"/>
    <w:rsid w:val="0071276C"/>
    <w:rsid w:val="00724631"/>
    <w:rsid w:val="00730E2D"/>
    <w:rsid w:val="00733696"/>
    <w:rsid w:val="00733C31"/>
    <w:rsid w:val="007523B6"/>
    <w:rsid w:val="007606F1"/>
    <w:rsid w:val="00765592"/>
    <w:rsid w:val="00780A28"/>
    <w:rsid w:val="00782283"/>
    <w:rsid w:val="007827C5"/>
    <w:rsid w:val="007830A4"/>
    <w:rsid w:val="00792DE6"/>
    <w:rsid w:val="007A5BA9"/>
    <w:rsid w:val="007A73EC"/>
    <w:rsid w:val="007B1D01"/>
    <w:rsid w:val="007B32A0"/>
    <w:rsid w:val="007B5E05"/>
    <w:rsid w:val="007C5B7E"/>
    <w:rsid w:val="007E021E"/>
    <w:rsid w:val="007E7EA0"/>
    <w:rsid w:val="007F3771"/>
    <w:rsid w:val="007F6888"/>
    <w:rsid w:val="00812E64"/>
    <w:rsid w:val="0081409B"/>
    <w:rsid w:val="008237C6"/>
    <w:rsid w:val="00826D51"/>
    <w:rsid w:val="008360BD"/>
    <w:rsid w:val="00837277"/>
    <w:rsid w:val="00853E73"/>
    <w:rsid w:val="0086567E"/>
    <w:rsid w:val="00866595"/>
    <w:rsid w:val="00875EF1"/>
    <w:rsid w:val="00884446"/>
    <w:rsid w:val="00886C8A"/>
    <w:rsid w:val="008A5EC1"/>
    <w:rsid w:val="008B174B"/>
    <w:rsid w:val="008B37EB"/>
    <w:rsid w:val="008C508E"/>
    <w:rsid w:val="008C65E9"/>
    <w:rsid w:val="008D22AE"/>
    <w:rsid w:val="008E4EA4"/>
    <w:rsid w:val="008E4FE5"/>
    <w:rsid w:val="008F1369"/>
    <w:rsid w:val="008F15DF"/>
    <w:rsid w:val="008F2376"/>
    <w:rsid w:val="00903B9C"/>
    <w:rsid w:val="00904870"/>
    <w:rsid w:val="00911470"/>
    <w:rsid w:val="00920076"/>
    <w:rsid w:val="009212D8"/>
    <w:rsid w:val="00924641"/>
    <w:rsid w:val="009255CD"/>
    <w:rsid w:val="009328EF"/>
    <w:rsid w:val="00936772"/>
    <w:rsid w:val="00963ACC"/>
    <w:rsid w:val="00970F5B"/>
    <w:rsid w:val="00973529"/>
    <w:rsid w:val="00974E3F"/>
    <w:rsid w:val="009819D5"/>
    <w:rsid w:val="0098433C"/>
    <w:rsid w:val="00991F75"/>
    <w:rsid w:val="00996DC8"/>
    <w:rsid w:val="009B2296"/>
    <w:rsid w:val="009B7929"/>
    <w:rsid w:val="009C643F"/>
    <w:rsid w:val="009D7E43"/>
    <w:rsid w:val="009E200C"/>
    <w:rsid w:val="009F3293"/>
    <w:rsid w:val="00A03231"/>
    <w:rsid w:val="00A17946"/>
    <w:rsid w:val="00A21D44"/>
    <w:rsid w:val="00A2506F"/>
    <w:rsid w:val="00A30AED"/>
    <w:rsid w:val="00A318B0"/>
    <w:rsid w:val="00A4004D"/>
    <w:rsid w:val="00A4760B"/>
    <w:rsid w:val="00A54546"/>
    <w:rsid w:val="00A71B08"/>
    <w:rsid w:val="00A87DFA"/>
    <w:rsid w:val="00A94030"/>
    <w:rsid w:val="00AA1FB2"/>
    <w:rsid w:val="00AA21A4"/>
    <w:rsid w:val="00AA74E7"/>
    <w:rsid w:val="00AB2288"/>
    <w:rsid w:val="00AB278E"/>
    <w:rsid w:val="00AC60C1"/>
    <w:rsid w:val="00AD576B"/>
    <w:rsid w:val="00AE2200"/>
    <w:rsid w:val="00AF21C7"/>
    <w:rsid w:val="00B029D7"/>
    <w:rsid w:val="00B1059E"/>
    <w:rsid w:val="00B11328"/>
    <w:rsid w:val="00B26E48"/>
    <w:rsid w:val="00B30E51"/>
    <w:rsid w:val="00B44CE5"/>
    <w:rsid w:val="00B45C16"/>
    <w:rsid w:val="00B70CA1"/>
    <w:rsid w:val="00B9570C"/>
    <w:rsid w:val="00BB4400"/>
    <w:rsid w:val="00BD1918"/>
    <w:rsid w:val="00BD1F35"/>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E7326"/>
    <w:rsid w:val="00CF7CC2"/>
    <w:rsid w:val="00D0332A"/>
    <w:rsid w:val="00D06A60"/>
    <w:rsid w:val="00D1142D"/>
    <w:rsid w:val="00D149A6"/>
    <w:rsid w:val="00D3049B"/>
    <w:rsid w:val="00D31B68"/>
    <w:rsid w:val="00D4070C"/>
    <w:rsid w:val="00D462B6"/>
    <w:rsid w:val="00D51CC7"/>
    <w:rsid w:val="00D57801"/>
    <w:rsid w:val="00D65123"/>
    <w:rsid w:val="00D70A7C"/>
    <w:rsid w:val="00D71586"/>
    <w:rsid w:val="00D73652"/>
    <w:rsid w:val="00D873B0"/>
    <w:rsid w:val="00DA0379"/>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074AA"/>
    <w:rsid w:val="00E13483"/>
    <w:rsid w:val="00E15F9B"/>
    <w:rsid w:val="00E25982"/>
    <w:rsid w:val="00E3743F"/>
    <w:rsid w:val="00E44ADB"/>
    <w:rsid w:val="00E60F87"/>
    <w:rsid w:val="00E71316"/>
    <w:rsid w:val="00E95294"/>
    <w:rsid w:val="00EA6A6A"/>
    <w:rsid w:val="00EA7310"/>
    <w:rsid w:val="00EB1825"/>
    <w:rsid w:val="00EB2C30"/>
    <w:rsid w:val="00EC6EF5"/>
    <w:rsid w:val="00EE1908"/>
    <w:rsid w:val="00EF2339"/>
    <w:rsid w:val="00F06A13"/>
    <w:rsid w:val="00F220D5"/>
    <w:rsid w:val="00F3235A"/>
    <w:rsid w:val="00F32CD2"/>
    <w:rsid w:val="00F33DBE"/>
    <w:rsid w:val="00F33E54"/>
    <w:rsid w:val="00F35615"/>
    <w:rsid w:val="00F365B1"/>
    <w:rsid w:val="00F37820"/>
    <w:rsid w:val="00F42181"/>
    <w:rsid w:val="00F462A6"/>
    <w:rsid w:val="00F62E54"/>
    <w:rsid w:val="00F84ADE"/>
    <w:rsid w:val="00F949B7"/>
    <w:rsid w:val="00F952BC"/>
    <w:rsid w:val="00FB1DB2"/>
    <w:rsid w:val="00FB225E"/>
    <w:rsid w:val="00FE1B52"/>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2D6F13-A0F1-4D55-BDC5-DB146A7B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is.hammers@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B3572-8DA7-486C-9BB3-9FD03B7B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2743</Words>
  <Characters>1565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Par informatīvo ziņojumu “Par ieguldījuma nosacījumiem pēc sarunu noslēguma par Latvijas dalību SINO-CEE Fund”</vt:lpstr>
    </vt:vector>
  </TitlesOfParts>
  <Company>Finanšu ministrija</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protokollēmuma projektu “Par protokollēmumu “Par Ministru kabineta 2016.gada 6.septembra sēdes protokollēmuma (prot. Nr. 44 26.§) 5.punkta izpildi””</dc:title>
  <dc:subject>pavadvestule</dc:subject>
  <dc:creator>Aivis Hammers</dc:creator>
  <dc:description>Aivis Hammers, 67095441
aivis.hammers@fm.gov.lv </dc:description>
  <cp:lastModifiedBy>Gunta Puidīte</cp:lastModifiedBy>
  <cp:revision>29</cp:revision>
  <cp:lastPrinted>2017-06-02T08:10:00Z</cp:lastPrinted>
  <dcterms:created xsi:type="dcterms:W3CDTF">2017-05-30T08:48:00Z</dcterms:created>
  <dcterms:modified xsi:type="dcterms:W3CDTF">2017-06-05T13:35:00Z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