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r w:rsidRPr="004D06FF">
        <w:rPr>
          <w:bCs/>
        </w:rPr>
        <w:t>Ministru kabineta rīkojuma</w:t>
      </w:r>
    </w:p>
    <w:p w:rsidR="00380275" w:rsidRDefault="00952B6E" w:rsidP="00380275">
      <w:pPr>
        <w:pStyle w:val="Heading3"/>
        <w:spacing w:before="0" w:beforeAutospacing="0" w:after="0" w:afterAutospacing="0"/>
        <w:ind w:left="-142" w:right="-143"/>
        <w:jc w:val="center"/>
        <w:rPr>
          <w:color w:val="000000"/>
          <w:sz w:val="24"/>
          <w:szCs w:val="24"/>
        </w:rPr>
      </w:pPr>
      <w:r w:rsidRPr="00952B6E">
        <w:rPr>
          <w:color w:val="000000"/>
          <w:sz w:val="24"/>
          <w:szCs w:val="24"/>
        </w:rPr>
        <w:t>“</w:t>
      </w:r>
      <w:r w:rsidR="00A264EC" w:rsidRPr="00A264EC">
        <w:rPr>
          <w:color w:val="000000"/>
          <w:sz w:val="24"/>
          <w:szCs w:val="24"/>
        </w:rPr>
        <w:t xml:space="preserve">Par Valsts </w:t>
      </w:r>
      <w:r w:rsidR="001B6794">
        <w:rPr>
          <w:color w:val="000000"/>
          <w:sz w:val="24"/>
          <w:szCs w:val="24"/>
        </w:rPr>
        <w:t>robežsardzes</w:t>
      </w:r>
      <w:r w:rsidR="00A264EC" w:rsidRPr="00A264EC">
        <w:rPr>
          <w:color w:val="000000"/>
          <w:sz w:val="24"/>
          <w:szCs w:val="24"/>
        </w:rPr>
        <w:t xml:space="preserve"> amatpersonas ar speciālo dienesta pakāpi dalīb</w:t>
      </w:r>
      <w:r w:rsidR="00EE4E0E">
        <w:rPr>
          <w:color w:val="000000"/>
          <w:sz w:val="24"/>
          <w:szCs w:val="24"/>
        </w:rPr>
        <w:t>as laika pagarināšanu</w:t>
      </w:r>
      <w:r w:rsidR="00680E96">
        <w:rPr>
          <w:color w:val="000000"/>
          <w:sz w:val="24"/>
          <w:szCs w:val="24"/>
        </w:rPr>
        <w:t xml:space="preserve"> </w:t>
      </w:r>
      <w:r w:rsidR="00A264EC" w:rsidRPr="00A264EC">
        <w:rPr>
          <w:color w:val="000000"/>
          <w:sz w:val="24"/>
          <w:szCs w:val="24"/>
        </w:rPr>
        <w:t xml:space="preserve">Eiropas Savienības novērošanas misijā Gruzijā </w:t>
      </w:r>
      <w:r w:rsidR="00A264EC" w:rsidRPr="00A264EC">
        <w:rPr>
          <w:i/>
          <w:color w:val="000000"/>
          <w:sz w:val="24"/>
          <w:szCs w:val="24"/>
        </w:rPr>
        <w:t>(EUMM Georgia)</w:t>
      </w:r>
      <w:r w:rsidR="00A264EC" w:rsidRPr="00A264EC">
        <w:rPr>
          <w:color w:val="000000"/>
          <w:sz w:val="24"/>
          <w:szCs w:val="24"/>
        </w:rPr>
        <w:t xml:space="preserve"> un finanšu līdzekļu piešķiršanu no valsts budžeta programmas “Līdzekļi neparedzētiem gadījumiem”</w:t>
      </w:r>
      <w:r w:rsidRPr="00952B6E">
        <w:rPr>
          <w:color w:val="000000"/>
          <w:sz w:val="24"/>
          <w:szCs w:val="24"/>
        </w:rPr>
        <w:t>”</w:t>
      </w:r>
    </w:p>
    <w:p w:rsidR="008C5649" w:rsidRPr="00952B6E" w:rsidRDefault="00B71EB9" w:rsidP="00380275">
      <w:pPr>
        <w:pStyle w:val="Heading3"/>
        <w:spacing w:before="0" w:beforeAutospacing="0"/>
        <w:jc w:val="center"/>
        <w:rPr>
          <w:sz w:val="24"/>
          <w:szCs w:val="24"/>
        </w:rPr>
      </w:pPr>
      <w:r w:rsidRPr="00952B6E">
        <w:rPr>
          <w:sz w:val="24"/>
          <w:szCs w:val="24"/>
        </w:rPr>
        <w:t xml:space="preserve"> </w:t>
      </w:r>
      <w:r w:rsidR="00852042" w:rsidRPr="00952B6E">
        <w:rPr>
          <w:b w:val="0"/>
          <w:sz w:val="24"/>
          <w:szCs w:val="24"/>
        </w:rPr>
        <w:t>sākotnējā</w:t>
      </w:r>
      <w:r w:rsidR="002D3306" w:rsidRPr="00952B6E">
        <w:rPr>
          <w:b w:val="0"/>
          <w:sz w:val="24"/>
          <w:szCs w:val="24"/>
        </w:rPr>
        <w:t>s</w:t>
      </w:r>
      <w:r w:rsidR="00852042" w:rsidRPr="00952B6E">
        <w:rPr>
          <w:b w:val="0"/>
          <w:sz w:val="24"/>
          <w:szCs w:val="24"/>
        </w:rPr>
        <w:t xml:space="preserve"> ietekmes novērtējuma </w:t>
      </w:r>
      <w:smartTag w:uri="schemas-tilde-lv/tildestengine" w:element="veidnes">
        <w:smartTagPr>
          <w:attr w:name="id" w:val="-1"/>
          <w:attr w:name="baseform" w:val="ziņojums"/>
          <w:attr w:name="text" w:val="ziņojums"/>
        </w:smartTagPr>
        <w:r w:rsidR="00852042" w:rsidRPr="00952B6E">
          <w:rPr>
            <w:b w:val="0"/>
            <w:sz w:val="24"/>
            <w:szCs w:val="24"/>
          </w:rPr>
          <w:t>ziņojums</w:t>
        </w:r>
      </w:smartTag>
      <w:r w:rsidR="00852042" w:rsidRPr="00952B6E">
        <w:rPr>
          <w:b w:val="0"/>
          <w:sz w:val="24"/>
          <w:szCs w:val="24"/>
        </w:rPr>
        <w:t xml:space="preserve"> (anotācija)</w:t>
      </w:r>
    </w:p>
    <w:tbl>
      <w:tblPr>
        <w:tblpPr w:leftFromText="180" w:rightFromText="180" w:vertAnchor="text" w:horzAnchor="margin" w:tblpXSpec="center" w:tblpY="149"/>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35"/>
        <w:gridCol w:w="6991"/>
      </w:tblGrid>
      <w:tr w:rsidR="00852042" w:rsidRPr="004D06FF" w:rsidTr="005C13FA">
        <w:tc>
          <w:tcPr>
            <w:tcW w:w="1024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E64BB5">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835"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010AA">
            <w:pPr>
              <w:jc w:val="center"/>
            </w:pP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E11B4B">
            <w:pPr>
              <w:jc w:val="right"/>
            </w:pPr>
          </w:p>
          <w:p w:rsidR="00262E2B" w:rsidRPr="00EF56BC" w:rsidRDefault="00262E2B" w:rsidP="0089519A">
            <w:pPr>
              <w:jc w:val="center"/>
            </w:pPr>
          </w:p>
        </w:tc>
        <w:tc>
          <w:tcPr>
            <w:tcW w:w="6991"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w:t>
            </w:r>
            <w:r w:rsidR="0014102F" w:rsidRPr="0014102F">
              <w:t xml:space="preserve">2016. gada 3. maija </w:t>
            </w:r>
            <w:r w:rsidR="0089519A">
              <w:t>rīkojuma Nr.</w:t>
            </w:r>
            <w:r w:rsidR="003E3FD0">
              <w:t xml:space="preserve"> 275</w:t>
            </w:r>
            <w:r w:rsidR="0089519A">
              <w:t xml:space="preserve"> </w:t>
            </w:r>
            <w:r w:rsidR="003E3FD0">
              <w:t>“</w:t>
            </w:r>
            <w:r w:rsidR="0089519A">
              <w:t xml:space="preserve">Par Valdības rīcības plānu Deklarācijas par </w:t>
            </w:r>
            <w:r w:rsidR="003E3FD0">
              <w:t>Māra</w:t>
            </w:r>
            <w:r w:rsidR="0089519A">
              <w:t xml:space="preserve"> </w:t>
            </w:r>
            <w:r w:rsidR="003E3FD0">
              <w:t>Kučinska</w:t>
            </w:r>
            <w:r w:rsidR="0089519A">
              <w:t xml:space="preserve"> vadītā Ministru kabineta iecerēto darbību īstenošanai” apstiprinātā Valdības rīcības plāna </w:t>
            </w:r>
            <w:r w:rsidR="003E3FD0">
              <w:t>59</w:t>
            </w:r>
            <w:r w:rsidR="0089519A">
              <w:t>.</w:t>
            </w:r>
            <w:r w:rsidR="003E3FD0">
              <w:t>1</w:t>
            </w:r>
            <w:r w:rsidR="0089519A">
              <w:t>.</w:t>
            </w:r>
            <w:r w:rsidR="003E3FD0">
              <w:t xml:space="preserve"> </w:t>
            </w:r>
            <w:r w:rsidR="0089519A">
              <w:t>apakšpunktu: “</w:t>
            </w:r>
            <w:r w:rsidR="003E3FD0"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rsidR="002A1F05">
              <w:t>,</w:t>
            </w:r>
            <w:r w:rsidR="003E3FD0" w:rsidRPr="003E3FD0">
              <w:t xml:space="preserve"> t.sk. ES-NATO un ES-ASV sadarbības stiprināšanu; dalībvalstu un partneru noturības veicināšanu pret jaunajiem drošības izaicin</w:t>
            </w:r>
            <w:r w:rsidR="003E3FD0">
              <w:t xml:space="preserve">ājumiem, tostarp </w:t>
            </w:r>
            <w:proofErr w:type="spellStart"/>
            <w:r w:rsidR="003E3FD0">
              <w:t>hibrīddraudiem</w:t>
            </w:r>
            <w:proofErr w:type="spellEnd"/>
            <w:r w:rsidR="0089519A">
              <w:t>”;</w:t>
            </w:r>
          </w:p>
          <w:p w:rsidR="00406E7D" w:rsidRDefault="0089519A" w:rsidP="0089519A">
            <w:pPr>
              <w:pStyle w:val="naiskr"/>
              <w:spacing w:before="0" w:after="0"/>
              <w:ind w:left="436" w:hanging="284"/>
              <w:jc w:val="both"/>
            </w:pPr>
            <w:r>
              <w:t>2.</w:t>
            </w:r>
            <w:r>
              <w:tab/>
            </w:r>
            <w:r w:rsidR="00A418C9">
              <w:rPr>
                <w:rFonts w:eastAsia="Calibri"/>
                <w:lang w:eastAsia="en-US"/>
              </w:rPr>
              <w:t>Ministru kabineta</w:t>
            </w:r>
            <w:r w:rsidR="00BE5C78" w:rsidRPr="00BE5C78">
              <w:rPr>
                <w:rFonts w:eastAsia="Calibri"/>
                <w:lang w:eastAsia="en-US"/>
              </w:rPr>
              <w:t xml:space="preserve"> </w:t>
            </w:r>
            <w:r>
              <w:t>201</w:t>
            </w:r>
            <w:r w:rsidR="00A418C9">
              <w:t>7</w:t>
            </w:r>
            <w:r>
              <w:t>.</w:t>
            </w:r>
            <w:r w:rsidR="003E3FD0">
              <w:t xml:space="preserve"> </w:t>
            </w:r>
            <w:r>
              <w:t xml:space="preserve">gada </w:t>
            </w:r>
            <w:r w:rsidR="00BE5C78">
              <w:t>2</w:t>
            </w:r>
            <w:r w:rsidR="00A418C9">
              <w:t>1</w:t>
            </w:r>
            <w:r>
              <w:t>.</w:t>
            </w:r>
            <w:r w:rsidR="003E3FD0">
              <w:t xml:space="preserve"> </w:t>
            </w:r>
            <w:r w:rsidR="00A418C9">
              <w:t>februāra</w:t>
            </w:r>
            <w:r w:rsidR="008741CA">
              <w:t xml:space="preserve"> </w:t>
            </w:r>
            <w:r w:rsidR="00D708C6" w:rsidRPr="00D708C6">
              <w:t>sēd</w:t>
            </w:r>
            <w:r w:rsidR="00F65FA5">
              <w:t>ē</w:t>
            </w:r>
            <w:r w:rsidR="00D708C6" w:rsidRPr="00D708C6">
              <w:t xml:space="preserve"> </w:t>
            </w:r>
            <w:r w:rsidR="00F65FA5">
              <w:t xml:space="preserve">nolemto </w:t>
            </w:r>
            <w:r w:rsidR="00680E96">
              <w:t>(protokols</w:t>
            </w:r>
            <w:r w:rsidR="00F65FA5">
              <w:t xml:space="preserve"> Nr. 9, 41.§ </w:t>
            </w:r>
            <w:r w:rsidR="00A418C9">
              <w:t xml:space="preserve">“Informatīvais ziņojums </w:t>
            </w:r>
            <w:r w:rsidR="009D1FCE">
              <w:t>“</w:t>
            </w:r>
            <w:r w:rsidR="00A418C9">
              <w:t>Par Latvijas civilo ekspertu dalību starptautiskajās misijās 2017.-2019. gadā</w:t>
            </w:r>
            <w:r w:rsidR="009D1FCE">
              <w:t>””</w:t>
            </w:r>
            <w:r w:rsidR="00F65FA5">
              <w:t xml:space="preserve"> 2. punkts – Atbalstīt Latvijas civilo ekspertu dalību starptautiskajās civilajās misijās 2017.-2019. gadā, palielinot ekspertu skaitu līdz 30, tai skaitā Eiropas Savienības Novērošanas misijā Gruzijā</w:t>
            </w:r>
            <w:r w:rsidR="00406E7D">
              <w:t xml:space="preserve"> (līdz 4 civilajiem ekspertiem); 3. punkts </w:t>
            </w:r>
            <w:r w:rsidR="00680E96">
              <w:t>–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14102F" w:rsidRDefault="0014102F" w:rsidP="0089519A">
            <w:pPr>
              <w:pStyle w:val="naiskr"/>
              <w:spacing w:before="0" w:after="0"/>
              <w:ind w:left="436" w:hanging="284"/>
              <w:jc w:val="both"/>
            </w:pPr>
            <w:r>
              <w:t>4.</w:t>
            </w:r>
            <w:r>
              <w:tab/>
              <w:t>Eiropas Ārējās darbības dienesta Civilo operāciju komandiera 201</w:t>
            </w:r>
            <w:r w:rsidR="00A418C9">
              <w:t>7</w:t>
            </w:r>
            <w:r>
              <w:t xml:space="preserve">. gada </w:t>
            </w:r>
            <w:r w:rsidR="00EE4E0E">
              <w:t>5</w:t>
            </w:r>
            <w:r>
              <w:t xml:space="preserve">. </w:t>
            </w:r>
            <w:r w:rsidR="00EE4E0E">
              <w:t>maija</w:t>
            </w:r>
            <w:r>
              <w:t xml:space="preserve"> vēstul</w:t>
            </w:r>
            <w:r w:rsidR="00A418C9">
              <w:t>e</w:t>
            </w:r>
            <w:r w:rsidR="00680E96">
              <w:t xml:space="preserve"> </w:t>
            </w:r>
            <w:r w:rsidR="00EE4E0E">
              <w:t>ar lūgumu P.Šariginam</w:t>
            </w:r>
            <w:r>
              <w:t xml:space="preserve"> </w:t>
            </w:r>
            <w:r w:rsidR="00EE4E0E">
              <w:t>pagarināt dalības laiku</w:t>
            </w:r>
            <w:r>
              <w:t xml:space="preserve"> </w:t>
            </w:r>
            <w:r w:rsidRPr="003E3FD0">
              <w:rPr>
                <w:i/>
              </w:rPr>
              <w:t>EUMM G</w:t>
            </w:r>
            <w:r w:rsidR="00553329" w:rsidRPr="003E3FD0">
              <w:rPr>
                <w:i/>
              </w:rPr>
              <w:t>eorgia</w:t>
            </w:r>
            <w:r>
              <w:t xml:space="preserve"> </w:t>
            </w:r>
            <w:r w:rsidR="00EE4E0E">
              <w:t>līdz 2018. gada 15. septembrim</w:t>
            </w:r>
            <w:r>
              <w:t>;</w:t>
            </w:r>
          </w:p>
          <w:p w:rsidR="00090983" w:rsidRPr="004D06FF" w:rsidRDefault="00A05D8F" w:rsidP="0014102F">
            <w:pPr>
              <w:pStyle w:val="naiskr"/>
              <w:spacing w:before="0" w:after="0"/>
              <w:ind w:left="436" w:hanging="284"/>
              <w:jc w:val="both"/>
            </w:pPr>
            <w:r>
              <w:t>5</w:t>
            </w:r>
            <w:r w:rsidR="0089519A">
              <w:t>.</w:t>
            </w:r>
            <w:r w:rsidR="0089519A">
              <w:tab/>
            </w:r>
            <w:r w:rsidR="0014102F">
              <w:t xml:space="preserve"> </w:t>
            </w:r>
            <w:r w:rsidR="0014102F" w:rsidRPr="0014102F">
              <w:t xml:space="preserve">Ministru kabineta </w:t>
            </w:r>
            <w:r w:rsidR="0089519A">
              <w:t>2009.</w:t>
            </w:r>
            <w:r w:rsidR="0014102F">
              <w:t xml:space="preserve"> </w:t>
            </w:r>
            <w:r w:rsidR="0089519A">
              <w:t>gada 22.</w:t>
            </w:r>
            <w:r w:rsidR="0014102F">
              <w:t xml:space="preserve"> </w:t>
            </w:r>
            <w:r w:rsidR="0089519A">
              <w:t>decembra</w:t>
            </w:r>
            <w:r w:rsidR="0014102F">
              <w:t xml:space="preserve"> </w:t>
            </w:r>
            <w:r w:rsidR="0089519A">
              <w:t>noteikumu Nr.</w:t>
            </w:r>
            <w:r w:rsidR="0014102F">
              <w:t xml:space="preserve"> </w:t>
            </w:r>
            <w:r w:rsidR="0089519A">
              <w:t>1644 “Kārtība, kādā pieprasa un izlieto budžeta programmas “Līdzekļi neparedzētiem gadījumiem” līdzekļus” 3.</w:t>
            </w:r>
            <w:r w:rsidR="008741CA">
              <w:t xml:space="preserve"> </w:t>
            </w:r>
            <w:r w:rsidR="0089519A">
              <w:t>punktu.</w:t>
            </w:r>
          </w:p>
        </w:tc>
      </w:tr>
      <w:tr w:rsidR="00262E2B" w:rsidRPr="004D06FF" w:rsidTr="00E64BB5">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835"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991" w:type="dxa"/>
            <w:tcBorders>
              <w:top w:val="single" w:sz="4" w:space="0" w:color="auto"/>
              <w:left w:val="single" w:sz="4" w:space="0" w:color="auto"/>
              <w:bottom w:val="single" w:sz="4" w:space="0" w:color="auto"/>
              <w:right w:val="single" w:sz="4" w:space="0" w:color="auto"/>
            </w:tcBorders>
          </w:tcPr>
          <w:p w:rsidR="00367B54" w:rsidRDefault="00367B54" w:rsidP="0014102F">
            <w:pPr>
              <w:pStyle w:val="naiskr"/>
              <w:spacing w:before="0" w:after="0"/>
              <w:jc w:val="both"/>
            </w:pPr>
            <w:r w:rsidRPr="00367B54">
              <w:t>Valsts robežsardzes Galvenās pārvaldes Administratīvās pārvaldes Starptautiskās sadarbības</w:t>
            </w:r>
            <w:r>
              <w:t xml:space="preserve"> un protokolā nodaļas galvenais</w:t>
            </w:r>
            <w:r w:rsidRPr="00367B54">
              <w:t xml:space="preserve"> inspektor</w:t>
            </w:r>
            <w:r>
              <w:t>s,</w:t>
            </w:r>
            <w:r w:rsidRPr="00367B54">
              <w:t xml:space="preserve"> major</w:t>
            </w:r>
            <w:r>
              <w:t>s</w:t>
            </w:r>
            <w:r w:rsidRPr="00367B54">
              <w:t xml:space="preserve"> P</w:t>
            </w:r>
            <w:r>
              <w:t xml:space="preserve">.Šarigins nosūtīts </w:t>
            </w:r>
            <w:r w:rsidRPr="00367B54">
              <w:t xml:space="preserve">dalībai Eiropas Savienības novērošanas misijā Gruzijā </w:t>
            </w:r>
            <w:r w:rsidRPr="00367B54">
              <w:rPr>
                <w:i/>
              </w:rPr>
              <w:t>(EUMM Georgia)</w:t>
            </w:r>
            <w:r>
              <w:t xml:space="preserve"> </w:t>
            </w:r>
            <w:r w:rsidRPr="00367B54">
              <w:t xml:space="preserve">no 2016. gada 16. septembra līdz 2017. gada 15. septembrim, pamatojoties uz Ministru kabineta 2016. gada 16. augusta rīkojumu Nr. 458 “Par Valsts robežsardzes amatpersonu ar speciālajām dienesta pakāpēm dalību un dalības laika pagarināšanu Eiropas Savienības novērošanas misijā Gruzijā </w:t>
            </w:r>
            <w:r w:rsidRPr="00367B54">
              <w:rPr>
                <w:i/>
              </w:rPr>
              <w:t>(EUMM Georgia)</w:t>
            </w:r>
            <w:r w:rsidRPr="00367B54">
              <w:t xml:space="preserve"> un finanšu līdzekļu piešķiršanu no valsts budžeta programmas "Līdzekļi neparedzētiem gadījumiem"”</w:t>
            </w:r>
            <w:r>
              <w:t>.</w:t>
            </w:r>
          </w:p>
          <w:p w:rsidR="009D1FCE" w:rsidRDefault="00367B54" w:rsidP="0014102F">
            <w:pPr>
              <w:pStyle w:val="naiskr"/>
              <w:spacing w:before="0" w:after="0"/>
              <w:jc w:val="both"/>
            </w:pPr>
            <w:r>
              <w:lastRenderedPageBreak/>
              <w:t>P.Šarigins</w:t>
            </w:r>
            <w:r w:rsidR="00F65FA5">
              <w:t xml:space="preserve"> </w:t>
            </w:r>
            <w:r w:rsidR="00F65FA5" w:rsidRPr="00F65FA5">
              <w:t>savā dienesta ziņojumā ir piekritis dalīb</w:t>
            </w:r>
            <w:r>
              <w:t>as laika pagarināšanai</w:t>
            </w:r>
            <w:r w:rsidR="00F65FA5" w:rsidRPr="00F65FA5">
              <w:t xml:space="preserve"> </w:t>
            </w:r>
            <w:r w:rsidR="00F65FA5" w:rsidRPr="00F65FA5">
              <w:rPr>
                <w:i/>
              </w:rPr>
              <w:t>EUMM Georgia</w:t>
            </w:r>
            <w:r w:rsidR="00F65FA5" w:rsidRPr="00F65FA5">
              <w:t xml:space="preserve"> </w:t>
            </w:r>
            <w:r>
              <w:t>līdz 2018. gada 15. septembrim</w:t>
            </w:r>
            <w:r w:rsidR="00F65FA5">
              <w:t>.</w:t>
            </w:r>
          </w:p>
          <w:p w:rsidR="00AF0346" w:rsidRDefault="00406E7D" w:rsidP="0014102F">
            <w:pPr>
              <w:pStyle w:val="naiskr"/>
              <w:spacing w:before="0" w:after="0"/>
              <w:jc w:val="both"/>
            </w:pPr>
            <w:r>
              <w:t xml:space="preserve">Misija ilgst 12 mēnešus, t.i., no </w:t>
            </w:r>
            <w:r w:rsidRPr="00686D4E">
              <w:t>201</w:t>
            </w:r>
            <w:r w:rsidR="00367B54">
              <w:t>7</w:t>
            </w:r>
            <w:r w:rsidRPr="00686D4E">
              <w:t>.</w:t>
            </w:r>
            <w:r>
              <w:t xml:space="preserve"> </w:t>
            </w:r>
            <w:r w:rsidRPr="00686D4E">
              <w:t xml:space="preserve">gada </w:t>
            </w:r>
            <w:r w:rsidR="00367B54">
              <w:t>16</w:t>
            </w:r>
            <w:r w:rsidRPr="00686D4E">
              <w:t>.</w:t>
            </w:r>
            <w:r>
              <w:t xml:space="preserve"> </w:t>
            </w:r>
            <w:r w:rsidR="00367B54">
              <w:t>septembra</w:t>
            </w:r>
            <w:r w:rsidRPr="00686D4E">
              <w:t xml:space="preserve"> līdz 201</w:t>
            </w:r>
            <w:r>
              <w:t>8</w:t>
            </w:r>
            <w:r w:rsidRPr="00686D4E">
              <w:t>.</w:t>
            </w:r>
            <w:r>
              <w:t xml:space="preserve"> </w:t>
            </w:r>
            <w:r w:rsidRPr="00686D4E">
              <w:t xml:space="preserve">gada </w:t>
            </w:r>
            <w:r w:rsidR="00367B54">
              <w:t>15</w:t>
            </w:r>
            <w:r w:rsidRPr="00686D4E">
              <w:t>.</w:t>
            </w:r>
            <w:r>
              <w:t xml:space="preserve"> </w:t>
            </w:r>
            <w:r w:rsidR="00367B54">
              <w:t>septembrim</w:t>
            </w:r>
            <w:r>
              <w:t xml:space="preserve">. </w:t>
            </w:r>
            <w:r w:rsidR="00AF0346">
              <w:t xml:space="preserve"> </w:t>
            </w:r>
          </w:p>
          <w:p w:rsidR="00562AC5" w:rsidRDefault="00562AC5" w:rsidP="0014102F">
            <w:pPr>
              <w:jc w:val="both"/>
            </w:pPr>
            <w:r>
              <w:t>Ievērojot, ka</w:t>
            </w:r>
            <w:r w:rsidR="0014102F">
              <w:t xml:space="preserve"> minēt</w:t>
            </w:r>
            <w:r w:rsidR="00553329">
              <w:t>ās</w:t>
            </w:r>
            <w:r w:rsidR="0014102F">
              <w:t xml:space="preserve"> amatperson</w:t>
            </w:r>
            <w:r w:rsidR="00553329">
              <w:t>as</w:t>
            </w:r>
            <w:r w:rsidR="0014102F">
              <w:t xml:space="preserve"> dalība misijā turpināsies arī 201</w:t>
            </w:r>
            <w:r w:rsidR="00553329">
              <w:t>8</w:t>
            </w:r>
            <w:r w:rsidR="0014102F">
              <w:t>. gadā un to, ka</w:t>
            </w:r>
            <w:r>
              <w:t>:</w:t>
            </w:r>
          </w:p>
          <w:p w:rsidR="00562AC5" w:rsidRDefault="00562AC5" w:rsidP="00562AC5">
            <w:pPr>
              <w:ind w:firstLine="264"/>
              <w:jc w:val="both"/>
            </w:pPr>
            <w:r>
              <w:t>- finansējuma apmērs 201</w:t>
            </w:r>
            <w:r w:rsidR="00553329">
              <w:t>8</w:t>
            </w:r>
            <w:r>
              <w:t>.</w:t>
            </w:r>
            <w:r w:rsidR="0014102F">
              <w:t xml:space="preserve"> </w:t>
            </w:r>
            <w:r>
              <w:t>gad</w:t>
            </w:r>
            <w:r w:rsidR="0014102F">
              <w:t>am</w:t>
            </w:r>
            <w:r>
              <w:t xml:space="preserve"> ir zināms;</w:t>
            </w:r>
          </w:p>
          <w:p w:rsidR="001843F3" w:rsidRDefault="00562AC5" w:rsidP="00562AC5">
            <w:pPr>
              <w:ind w:firstLine="264"/>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t>, r</w:t>
            </w:r>
            <w:r w:rsidR="009813D0">
              <w:t>īkojuma projekts paredz</w:t>
            </w:r>
            <w:r w:rsidR="001843F3">
              <w:t>:</w:t>
            </w:r>
          </w:p>
          <w:p w:rsidR="0014102F" w:rsidRDefault="00367B54" w:rsidP="001843F3">
            <w:pPr>
              <w:pStyle w:val="naiskr"/>
              <w:numPr>
                <w:ilvl w:val="0"/>
                <w:numId w:val="16"/>
              </w:numPr>
              <w:spacing w:before="0" w:after="0"/>
              <w:ind w:left="436" w:hanging="284"/>
              <w:jc w:val="both"/>
            </w:pPr>
            <w:r>
              <w:t>pagarināt</w:t>
            </w:r>
            <w:r w:rsidR="0014102F">
              <w:t xml:space="preserve"> </w:t>
            </w:r>
            <w:r>
              <w:t>P.Šariginam</w:t>
            </w:r>
            <w:r w:rsidR="007C79E8">
              <w:t xml:space="preserve"> dalības laiku</w:t>
            </w:r>
            <w:r w:rsidR="0014102F">
              <w:t xml:space="preserve"> </w:t>
            </w:r>
            <w:r w:rsidR="0014102F">
              <w:rPr>
                <w:i/>
              </w:rPr>
              <w:t>EUMM G</w:t>
            </w:r>
            <w:r w:rsidR="00553329">
              <w:rPr>
                <w:i/>
              </w:rPr>
              <w:t>eorgia</w:t>
            </w:r>
            <w:r w:rsidR="0014102F">
              <w:rPr>
                <w:i/>
              </w:rPr>
              <w:t xml:space="preserve"> </w:t>
            </w:r>
            <w:r w:rsidR="0014102F">
              <w:t>līdz 201</w:t>
            </w:r>
            <w:r w:rsidR="00553329">
              <w:t>8</w:t>
            </w:r>
            <w:r w:rsidR="0014102F">
              <w:t xml:space="preserve">. gada </w:t>
            </w:r>
            <w:r w:rsidR="007C79E8">
              <w:t>15</w:t>
            </w:r>
            <w:r w:rsidR="0014102F">
              <w:t xml:space="preserve">. </w:t>
            </w:r>
            <w:r w:rsidR="007C79E8">
              <w:t>septembrim</w:t>
            </w:r>
            <w:r w:rsidR="0014102F">
              <w:t>;</w:t>
            </w:r>
          </w:p>
          <w:p w:rsidR="001843F3" w:rsidRDefault="001843F3" w:rsidP="001843F3">
            <w:pPr>
              <w:pStyle w:val="naiskr"/>
              <w:numPr>
                <w:ilvl w:val="0"/>
                <w:numId w:val="16"/>
              </w:numPr>
              <w:spacing w:before="0" w:after="0"/>
              <w:ind w:left="436" w:hanging="284"/>
              <w:jc w:val="both"/>
            </w:pPr>
            <w:r w:rsidRPr="001843F3">
              <w:t xml:space="preserve">lai </w:t>
            </w:r>
            <w:r w:rsidR="0014102F">
              <w:t>nodrošinātu</w:t>
            </w:r>
            <w:r w:rsidRPr="001843F3">
              <w:t xml:space="preserve"> </w:t>
            </w:r>
            <w:r w:rsidR="0014102F">
              <w:t>minēt</w:t>
            </w:r>
            <w:r w:rsidR="00553329">
              <w:t>ās amatpersonas</w:t>
            </w:r>
            <w:r w:rsidRPr="001843F3">
              <w:t xml:space="preserve"> uzturēšanas izdevumus misijā</w:t>
            </w:r>
            <w:r>
              <w:t xml:space="preserve">, </w:t>
            </w:r>
            <w:r w:rsidR="0014102F">
              <w:t xml:space="preserve">rīkojuma projekts paredz </w:t>
            </w:r>
            <w:r>
              <w:t>Finanšu</w:t>
            </w:r>
            <w:r w:rsidR="003F3D2C" w:rsidRPr="001843F3">
              <w:t xml:space="preserve"> </w:t>
            </w:r>
            <w:r w:rsidRPr="001843F3">
              <w:t>ministrijai</w:t>
            </w:r>
            <w:r>
              <w:t>:</w:t>
            </w:r>
          </w:p>
          <w:p w:rsidR="001843F3" w:rsidRPr="003F3D2C" w:rsidRDefault="00B71EB9" w:rsidP="001843F3">
            <w:pPr>
              <w:pStyle w:val="naiskr"/>
              <w:numPr>
                <w:ilvl w:val="1"/>
                <w:numId w:val="16"/>
              </w:numPr>
              <w:spacing w:before="0" w:after="0"/>
              <w:jc w:val="both"/>
            </w:pPr>
            <w:r>
              <w:t xml:space="preserve"> </w:t>
            </w:r>
            <w:r w:rsidR="001843F3" w:rsidRPr="001843F3">
              <w:t xml:space="preserve">no valsts budžeta programmas 02.00.00 “Līdzekļi neparedzētiem gadījumiem” piešķirt Iekšlietu ministrijai (Valsts </w:t>
            </w:r>
            <w:r w:rsidR="00406E7D">
              <w:t>robežsardzei</w:t>
            </w:r>
            <w:r w:rsidR="001843F3" w:rsidRPr="00C9547D">
              <w:t xml:space="preserve">) </w:t>
            </w:r>
            <w:r w:rsidR="00C9547D" w:rsidRPr="001843F3">
              <w:t>201</w:t>
            </w:r>
            <w:r w:rsidR="00310152">
              <w:t>7</w:t>
            </w:r>
            <w:r w:rsidR="00C9547D" w:rsidRPr="001843F3">
              <w:t>.</w:t>
            </w:r>
            <w:r w:rsidR="0014102F">
              <w:t xml:space="preserve"> </w:t>
            </w:r>
            <w:r w:rsidR="00C9547D" w:rsidRPr="001843F3">
              <w:t>gadā</w:t>
            </w:r>
            <w:r w:rsidR="00B218B3">
              <w:t xml:space="preserve"> 14 098</w:t>
            </w:r>
            <w:r w:rsidR="00034E98" w:rsidRPr="00C9547D">
              <w:t> </w:t>
            </w:r>
            <w:proofErr w:type="spellStart"/>
            <w:r w:rsidR="001843F3" w:rsidRPr="00C9547D">
              <w:rPr>
                <w:i/>
              </w:rPr>
              <w:t>euro</w:t>
            </w:r>
            <w:proofErr w:type="spellEnd"/>
            <w:r w:rsidR="001843F3" w:rsidRPr="00C9547D">
              <w:rPr>
                <w:i/>
              </w:rPr>
              <w:t>;</w:t>
            </w:r>
          </w:p>
          <w:p w:rsidR="002240B0" w:rsidRPr="004D06FF" w:rsidRDefault="00B71EB9" w:rsidP="00B218B3">
            <w:pPr>
              <w:pStyle w:val="naiskr"/>
              <w:numPr>
                <w:ilvl w:val="1"/>
                <w:numId w:val="16"/>
              </w:numPr>
              <w:spacing w:before="0" w:after="0"/>
              <w:jc w:val="both"/>
            </w:pPr>
            <w:r>
              <w:t xml:space="preserve"> </w:t>
            </w:r>
            <w:r w:rsidR="00941E53" w:rsidRPr="00941E53">
              <w:t>likumprojekta “Par valsts budžetu 201</w:t>
            </w:r>
            <w:r w:rsidR="00310152">
              <w:t>8</w:t>
            </w:r>
            <w:r w:rsidR="00941E53" w:rsidRPr="00941E53">
              <w:t>.</w:t>
            </w:r>
            <w:r w:rsidR="0014102F">
              <w:t xml:space="preserve"> </w:t>
            </w:r>
            <w:r w:rsidR="00941E53" w:rsidRPr="00941E53">
              <w:t xml:space="preserve">gadam” sagatavošanas un izskatīšanas procesā </w:t>
            </w:r>
            <w:r w:rsidRPr="00941E53">
              <w:t xml:space="preserve">paredzēt finansējumu </w:t>
            </w:r>
            <w:r w:rsidR="00B218B3">
              <w:t>33</w:t>
            </w:r>
            <w:r w:rsidR="00E64BB5">
              <w:t xml:space="preserve"> </w:t>
            </w:r>
            <w:r w:rsidR="00B218B3">
              <w:t>419</w:t>
            </w:r>
            <w:r w:rsidR="00822697">
              <w:t xml:space="preserve"> </w:t>
            </w:r>
            <w:proofErr w:type="spellStart"/>
            <w:r w:rsidRPr="00941E53">
              <w:rPr>
                <w:i/>
              </w:rPr>
              <w:t>euro</w:t>
            </w:r>
            <w:proofErr w:type="spellEnd"/>
            <w:r w:rsidRPr="00941E53">
              <w:t xml:space="preserve"> apmērā</w:t>
            </w:r>
            <w:r w:rsidR="0014102F" w:rsidRPr="00941E53">
              <w:t xml:space="preserve"> </w:t>
            </w:r>
            <w:r>
              <w:t>(</w:t>
            </w:r>
            <w:r w:rsidR="00941E53" w:rsidRPr="00941E53">
              <w:t>budžeta programm</w:t>
            </w:r>
            <w:r>
              <w:t>a</w:t>
            </w:r>
            <w:r w:rsidR="00941E53" w:rsidRPr="00941E53">
              <w:t xml:space="preserve"> </w:t>
            </w:r>
            <w:r w:rsidR="00406E7D">
              <w:t>10</w:t>
            </w:r>
            <w:r w:rsidR="00941E53" w:rsidRPr="00941E53">
              <w:t>.0</w:t>
            </w:r>
            <w:r w:rsidR="00CA49D2">
              <w:t>0</w:t>
            </w:r>
            <w:r w:rsidR="00941E53" w:rsidRPr="00941E53">
              <w:t xml:space="preserve">.00 “Valsts </w:t>
            </w:r>
            <w:r w:rsidR="00406E7D">
              <w:t>robežsardzes darbība</w:t>
            </w:r>
            <w:r w:rsidR="00941E53" w:rsidRPr="00941E53">
              <w:t>”</w:t>
            </w:r>
            <w:r>
              <w:t>)</w:t>
            </w:r>
            <w:r w:rsidR="00941E53" w:rsidRPr="00941E53">
              <w:t>.</w:t>
            </w:r>
          </w:p>
        </w:tc>
      </w:tr>
      <w:tr w:rsidR="00262E2B" w:rsidRPr="004D06FF" w:rsidTr="00E64BB5">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835"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991" w:type="dxa"/>
            <w:tcBorders>
              <w:top w:val="single" w:sz="4" w:space="0" w:color="auto"/>
              <w:left w:val="single" w:sz="4" w:space="0" w:color="auto"/>
              <w:bottom w:val="single" w:sz="4" w:space="0" w:color="auto"/>
              <w:right w:val="single" w:sz="4" w:space="0" w:color="auto"/>
            </w:tcBorders>
          </w:tcPr>
          <w:p w:rsidR="00262E2B" w:rsidRPr="004D06FF" w:rsidRDefault="00CB1F2F" w:rsidP="003F55AA">
            <w:pPr>
              <w:pStyle w:val="naiskr"/>
              <w:spacing w:before="0" w:after="0"/>
            </w:pPr>
            <w:r w:rsidRPr="004D06FF">
              <w:rPr>
                <w:iCs/>
              </w:rPr>
              <w:t>Iekšlietu ministrija</w:t>
            </w:r>
            <w:r w:rsidR="003F3D2C">
              <w:rPr>
                <w:iCs/>
              </w:rPr>
              <w:t xml:space="preserve"> un</w:t>
            </w:r>
            <w:r w:rsidR="008442AF">
              <w:rPr>
                <w:iCs/>
              </w:rPr>
              <w:t xml:space="preserve"> Valsts </w:t>
            </w:r>
            <w:r w:rsidR="003F55AA">
              <w:rPr>
                <w:iCs/>
              </w:rPr>
              <w:t>robežsardze</w:t>
            </w:r>
            <w:r w:rsidR="003F3D2C">
              <w:rPr>
                <w:iCs/>
              </w:rPr>
              <w:t>.</w:t>
            </w:r>
          </w:p>
        </w:tc>
      </w:tr>
      <w:tr w:rsidR="00262E2B" w:rsidRPr="004D06FF" w:rsidTr="00E64BB5">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835"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99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124F12" w:rsidRPr="004D06FF" w:rsidTr="00DA0C24">
        <w:trPr>
          <w:trHeight w:val="286"/>
          <w:jc w:val="center"/>
        </w:trPr>
        <w:tc>
          <w:tcPr>
            <w:tcW w:w="10224" w:type="dxa"/>
            <w:gridSpan w:val="7"/>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822697" w:rsidRPr="004D06FF" w:rsidTr="00AF1426">
        <w:trPr>
          <w:jc w:val="center"/>
        </w:trPr>
        <w:tc>
          <w:tcPr>
            <w:tcW w:w="3576" w:type="dxa"/>
            <w:gridSpan w:val="2"/>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310152">
            <w:pPr>
              <w:pStyle w:val="naisf"/>
              <w:spacing w:before="0" w:after="0"/>
              <w:ind w:firstLine="0"/>
              <w:jc w:val="center"/>
              <w:rPr>
                <w:b/>
              </w:rPr>
            </w:pPr>
            <w:r w:rsidRPr="004D06FF">
              <w:rPr>
                <w:b/>
              </w:rPr>
              <w:t>201</w:t>
            </w:r>
            <w:r w:rsidR="00310152">
              <w:rPr>
                <w:b/>
              </w:rPr>
              <w:t>7</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822697"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8</w:t>
            </w:r>
            <w:r w:rsidRPr="004D06FF">
              <w:rPr>
                <w:b/>
                <w:bCs/>
              </w:rPr>
              <w:t>.</w:t>
            </w: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9</w:t>
            </w:r>
            <w:r w:rsidRPr="004D06FF">
              <w:rPr>
                <w:b/>
                <w:bCs/>
              </w:rPr>
              <w:t>.</w:t>
            </w:r>
          </w:p>
        </w:tc>
        <w:tc>
          <w:tcPr>
            <w:tcW w:w="1518" w:type="dxa"/>
            <w:vAlign w:val="center"/>
          </w:tcPr>
          <w:p w:rsidR="00124F12" w:rsidRPr="004D06FF" w:rsidRDefault="00CB1F2F" w:rsidP="00310152">
            <w:pPr>
              <w:pStyle w:val="naisf"/>
              <w:spacing w:before="0" w:after="0"/>
              <w:ind w:firstLine="0"/>
              <w:jc w:val="center"/>
              <w:rPr>
                <w:b/>
                <w:i/>
              </w:rPr>
            </w:pPr>
            <w:r w:rsidRPr="004D06FF">
              <w:rPr>
                <w:b/>
                <w:bCs/>
              </w:rPr>
              <w:t>20</w:t>
            </w:r>
            <w:r w:rsidR="00310152">
              <w:rPr>
                <w:b/>
                <w:bCs/>
              </w:rPr>
              <w:t>20</w:t>
            </w:r>
            <w:r w:rsidRPr="004D06FF">
              <w:rPr>
                <w:b/>
                <w:bCs/>
              </w:rPr>
              <w:t>.</w:t>
            </w:r>
          </w:p>
        </w:tc>
      </w:tr>
      <w:tr w:rsidR="00822697"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822697" w:rsidRPr="004D06FF" w:rsidTr="00AF1426">
        <w:trPr>
          <w:jc w:val="center"/>
        </w:trPr>
        <w:tc>
          <w:tcPr>
            <w:tcW w:w="3576" w:type="dxa"/>
            <w:gridSpan w:val="2"/>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3022A1" w:rsidRDefault="003022A1" w:rsidP="0089519A">
            <w:pPr>
              <w:pStyle w:val="naisf"/>
              <w:spacing w:before="0" w:after="0"/>
              <w:ind w:firstLine="0"/>
              <w:jc w:val="center"/>
            </w:pPr>
            <w:r w:rsidRPr="003022A1">
              <w:t>65 422</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3022A1">
            <w:pPr>
              <w:pStyle w:val="naisf"/>
              <w:spacing w:before="0" w:after="0"/>
              <w:ind w:firstLine="0"/>
              <w:jc w:val="left"/>
              <w:rPr>
                <w:i/>
              </w:rPr>
            </w:pPr>
            <w:r w:rsidRPr="004D06FF">
              <w:t>1.1. valsts pamatbudžets, tai skaitā ieņēmumi no maksas pakalpojumiem un citi pašu ieņēmumi</w:t>
            </w:r>
          </w:p>
        </w:tc>
        <w:tc>
          <w:tcPr>
            <w:tcW w:w="1281" w:type="dxa"/>
          </w:tcPr>
          <w:p w:rsidR="00124F12" w:rsidRPr="003022A1" w:rsidRDefault="003022A1" w:rsidP="0089519A">
            <w:pPr>
              <w:pStyle w:val="naisf"/>
              <w:spacing w:before="0" w:after="0"/>
              <w:ind w:firstLine="0"/>
              <w:jc w:val="center"/>
            </w:pPr>
            <w:r w:rsidRPr="003022A1">
              <w:t>65 422</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7B7C73" w:rsidRPr="004D06FF" w:rsidRDefault="007B7C73" w:rsidP="0089519A">
            <w:pPr>
              <w:jc w:val="both"/>
            </w:pPr>
            <w:r w:rsidRPr="004D06FF">
              <w:t>2. Budžeta izdevumi:</w:t>
            </w:r>
          </w:p>
        </w:tc>
        <w:tc>
          <w:tcPr>
            <w:tcW w:w="1281" w:type="dxa"/>
          </w:tcPr>
          <w:p w:rsidR="007B7C73" w:rsidRPr="00B218B3" w:rsidRDefault="003022A1" w:rsidP="0089519A">
            <w:pPr>
              <w:pStyle w:val="naisf"/>
              <w:spacing w:before="0" w:after="0"/>
              <w:ind w:firstLine="0"/>
              <w:jc w:val="center"/>
            </w:pPr>
            <w:r>
              <w:t>65 422</w:t>
            </w:r>
          </w:p>
        </w:tc>
        <w:tc>
          <w:tcPr>
            <w:tcW w:w="1283" w:type="dxa"/>
          </w:tcPr>
          <w:p w:rsidR="007B7C73" w:rsidRPr="00B218B3" w:rsidRDefault="00C77E04" w:rsidP="00B218B3">
            <w:pPr>
              <w:pStyle w:val="naisf"/>
              <w:spacing w:before="0" w:after="0"/>
              <w:ind w:firstLine="0"/>
              <w:jc w:val="center"/>
            </w:pPr>
            <w:r w:rsidRPr="00B218B3">
              <w:t xml:space="preserve">+ </w:t>
            </w:r>
            <w:r w:rsidR="00B218B3" w:rsidRPr="00B218B3">
              <w:t>14 098</w:t>
            </w:r>
          </w:p>
        </w:tc>
        <w:tc>
          <w:tcPr>
            <w:tcW w:w="1283" w:type="dxa"/>
          </w:tcPr>
          <w:p w:rsidR="007B7C73" w:rsidRPr="00B218B3" w:rsidRDefault="003F3D2C" w:rsidP="00B218B3">
            <w:pPr>
              <w:pStyle w:val="naisf"/>
              <w:spacing w:before="0" w:after="0"/>
              <w:ind w:firstLine="0"/>
              <w:jc w:val="center"/>
            </w:pPr>
            <w:r w:rsidRPr="00B218B3">
              <w:t>+</w:t>
            </w:r>
            <w:r w:rsidR="00B218B3" w:rsidRPr="00B218B3">
              <w:t>33 419</w:t>
            </w:r>
          </w:p>
        </w:tc>
        <w:tc>
          <w:tcPr>
            <w:tcW w:w="1283" w:type="dxa"/>
          </w:tcPr>
          <w:p w:rsidR="007B7C73" w:rsidRPr="00B218B3" w:rsidRDefault="007B7C73" w:rsidP="0089519A">
            <w:pPr>
              <w:pStyle w:val="naisf"/>
              <w:spacing w:before="0" w:after="0"/>
              <w:ind w:firstLine="0"/>
              <w:jc w:val="center"/>
            </w:pPr>
            <w:r w:rsidRPr="00B218B3">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7B7C73" w:rsidRPr="004D06FF" w:rsidRDefault="007B7C73" w:rsidP="0089519A">
            <w:pPr>
              <w:jc w:val="both"/>
            </w:pPr>
            <w:r w:rsidRPr="004D06FF">
              <w:t>2.1. valsts pamatbudžets</w:t>
            </w:r>
          </w:p>
        </w:tc>
        <w:tc>
          <w:tcPr>
            <w:tcW w:w="1281" w:type="dxa"/>
          </w:tcPr>
          <w:p w:rsidR="007B7C73" w:rsidRPr="00B218B3" w:rsidRDefault="003022A1" w:rsidP="0089519A">
            <w:pPr>
              <w:pStyle w:val="naisf"/>
              <w:spacing w:before="0" w:after="0"/>
              <w:ind w:firstLine="0"/>
              <w:jc w:val="center"/>
            </w:pPr>
            <w:r>
              <w:t>65 422</w:t>
            </w:r>
          </w:p>
        </w:tc>
        <w:tc>
          <w:tcPr>
            <w:tcW w:w="1283" w:type="dxa"/>
          </w:tcPr>
          <w:p w:rsidR="007B7C73" w:rsidRPr="00B218B3" w:rsidRDefault="00C77E04" w:rsidP="00B218B3">
            <w:pPr>
              <w:pStyle w:val="naisf"/>
              <w:spacing w:before="0" w:after="0"/>
              <w:ind w:firstLine="0"/>
              <w:jc w:val="center"/>
            </w:pPr>
            <w:r w:rsidRPr="00B218B3">
              <w:t>+</w:t>
            </w:r>
            <w:r w:rsidR="00822697" w:rsidRPr="00B218B3">
              <w:t xml:space="preserve"> </w:t>
            </w:r>
            <w:r w:rsidR="00B218B3" w:rsidRPr="00B218B3">
              <w:t>14 098</w:t>
            </w:r>
          </w:p>
        </w:tc>
        <w:tc>
          <w:tcPr>
            <w:tcW w:w="1283" w:type="dxa"/>
          </w:tcPr>
          <w:p w:rsidR="007B7C73" w:rsidRPr="00B218B3" w:rsidRDefault="00B218B3" w:rsidP="009652C3">
            <w:pPr>
              <w:pStyle w:val="naisf"/>
              <w:spacing w:before="0" w:after="0"/>
              <w:ind w:firstLine="0"/>
              <w:jc w:val="center"/>
            </w:pPr>
            <w:r w:rsidRPr="00B218B3">
              <w:t>+33 419</w:t>
            </w:r>
          </w:p>
        </w:tc>
        <w:tc>
          <w:tcPr>
            <w:tcW w:w="1283" w:type="dxa"/>
          </w:tcPr>
          <w:p w:rsidR="007B7C73" w:rsidRPr="00B218B3" w:rsidRDefault="007B7C73" w:rsidP="0089519A">
            <w:pPr>
              <w:pStyle w:val="naisf"/>
              <w:spacing w:before="0" w:after="0"/>
              <w:ind w:firstLine="0"/>
              <w:jc w:val="center"/>
            </w:pPr>
            <w:r w:rsidRPr="00B218B3">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2.3. pašvaldību budžets </w:t>
            </w:r>
          </w:p>
        </w:tc>
        <w:tc>
          <w:tcPr>
            <w:tcW w:w="1281"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3. Finansiālā ietekme:</w:t>
            </w:r>
          </w:p>
        </w:tc>
        <w:tc>
          <w:tcPr>
            <w:tcW w:w="1281" w:type="dxa"/>
            <w:shd w:val="clear" w:color="auto" w:fill="auto"/>
            <w:vAlign w:val="center"/>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77E04" w:rsidP="00B218B3">
            <w:pPr>
              <w:pStyle w:val="naisf"/>
              <w:spacing w:before="0" w:after="0"/>
              <w:ind w:firstLine="0"/>
              <w:jc w:val="center"/>
            </w:pPr>
            <w:r w:rsidRPr="00B218B3">
              <w:t xml:space="preserve">- </w:t>
            </w:r>
            <w:r w:rsidR="00B218B3" w:rsidRPr="00B218B3">
              <w:t>14 098</w:t>
            </w:r>
          </w:p>
        </w:tc>
        <w:tc>
          <w:tcPr>
            <w:tcW w:w="1283" w:type="dxa"/>
          </w:tcPr>
          <w:p w:rsidR="00124F12" w:rsidRPr="00B218B3" w:rsidRDefault="00D87062" w:rsidP="00B218B3">
            <w:pPr>
              <w:pStyle w:val="naisf"/>
              <w:spacing w:before="0" w:after="0"/>
              <w:ind w:firstLine="0"/>
              <w:jc w:val="center"/>
            </w:pPr>
            <w:r w:rsidRPr="00B218B3">
              <w:t>-</w:t>
            </w:r>
            <w:r w:rsidR="0014102F" w:rsidRPr="00B218B3">
              <w:t xml:space="preserve"> </w:t>
            </w:r>
            <w:r w:rsidR="00B218B3" w:rsidRPr="00B218B3">
              <w:t>33 419</w:t>
            </w:r>
          </w:p>
        </w:tc>
        <w:tc>
          <w:tcPr>
            <w:tcW w:w="1283" w:type="dxa"/>
          </w:tcPr>
          <w:p w:rsidR="00124F12" w:rsidRPr="00B218B3" w:rsidRDefault="00CB1F2F" w:rsidP="0089519A">
            <w:pPr>
              <w:pStyle w:val="naisf"/>
              <w:spacing w:before="0" w:after="0"/>
              <w:ind w:firstLine="0"/>
              <w:jc w:val="center"/>
            </w:pPr>
            <w:r w:rsidRPr="00B218B3">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77E04" w:rsidP="00B218B3">
            <w:pPr>
              <w:pStyle w:val="naisf"/>
              <w:spacing w:before="0" w:after="0"/>
              <w:ind w:firstLine="0"/>
              <w:jc w:val="center"/>
            </w:pPr>
            <w:r w:rsidRPr="00B218B3">
              <w:t>-</w:t>
            </w:r>
            <w:r w:rsidR="00822697" w:rsidRPr="00B218B3">
              <w:t xml:space="preserve"> </w:t>
            </w:r>
            <w:r w:rsidR="00B218B3" w:rsidRPr="00B218B3">
              <w:t>14 098</w:t>
            </w:r>
          </w:p>
        </w:tc>
        <w:tc>
          <w:tcPr>
            <w:tcW w:w="1283" w:type="dxa"/>
          </w:tcPr>
          <w:p w:rsidR="00124F12" w:rsidRPr="00B218B3" w:rsidRDefault="00D87062" w:rsidP="00B218B3">
            <w:pPr>
              <w:pStyle w:val="naisf"/>
              <w:spacing w:before="0" w:after="0"/>
              <w:ind w:firstLine="0"/>
              <w:jc w:val="center"/>
            </w:pPr>
            <w:r w:rsidRPr="00B218B3">
              <w:t>-</w:t>
            </w:r>
            <w:r w:rsidR="0014102F" w:rsidRPr="00B218B3">
              <w:t xml:space="preserve"> </w:t>
            </w:r>
            <w:r w:rsidR="00B218B3" w:rsidRPr="00B218B3">
              <w:t>33 419</w:t>
            </w:r>
          </w:p>
        </w:tc>
        <w:tc>
          <w:tcPr>
            <w:tcW w:w="1283" w:type="dxa"/>
          </w:tcPr>
          <w:p w:rsidR="00124F12" w:rsidRPr="00B218B3" w:rsidRDefault="00CB1F2F" w:rsidP="0089519A">
            <w:pPr>
              <w:pStyle w:val="naisf"/>
              <w:spacing w:before="0" w:after="0"/>
              <w:ind w:firstLine="0"/>
              <w:jc w:val="center"/>
            </w:pPr>
            <w:r w:rsidRPr="00B218B3">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3.2. speciālais budžets</w:t>
            </w:r>
          </w:p>
        </w:tc>
        <w:tc>
          <w:tcPr>
            <w:tcW w:w="1281" w:type="dxa"/>
            <w:shd w:val="clear" w:color="auto" w:fill="auto"/>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283" w:type="dxa"/>
          </w:tcPr>
          <w:p w:rsidR="00124F12" w:rsidRPr="00B218B3" w:rsidRDefault="00CB1F2F" w:rsidP="0089519A">
            <w:pPr>
              <w:pStyle w:val="naisf"/>
              <w:spacing w:before="0" w:after="0"/>
              <w:ind w:firstLine="0"/>
              <w:jc w:val="center"/>
            </w:pPr>
            <w:r w:rsidRPr="00B218B3">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lastRenderedPageBreak/>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986196">
        <w:trPr>
          <w:trHeight w:val="1100"/>
          <w:jc w:val="center"/>
        </w:trPr>
        <w:tc>
          <w:tcPr>
            <w:tcW w:w="3576" w:type="dxa"/>
            <w:gridSpan w:val="2"/>
          </w:tcPr>
          <w:p w:rsidR="00C77E04" w:rsidRPr="004D06FF" w:rsidRDefault="00C77E04" w:rsidP="0089519A">
            <w:pPr>
              <w:jc w:val="both"/>
            </w:pPr>
            <w:r w:rsidRPr="004D06FF">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B218B3" w:rsidRDefault="00C77E04" w:rsidP="00B218B3">
            <w:pPr>
              <w:pStyle w:val="naisf"/>
              <w:spacing w:before="0" w:after="0"/>
              <w:ind w:firstLine="0"/>
              <w:jc w:val="center"/>
            </w:pPr>
            <w:r w:rsidRPr="00B218B3">
              <w:t xml:space="preserve">+ </w:t>
            </w:r>
            <w:r w:rsidR="00B218B3" w:rsidRPr="00B218B3">
              <w:t>14 098</w:t>
            </w:r>
          </w:p>
        </w:tc>
        <w:tc>
          <w:tcPr>
            <w:tcW w:w="1283" w:type="dxa"/>
          </w:tcPr>
          <w:p w:rsidR="00C77E04" w:rsidRPr="00B218B3" w:rsidRDefault="008B0B02" w:rsidP="00EF0028">
            <w:pPr>
              <w:pStyle w:val="naisf"/>
              <w:spacing w:before="0" w:after="0"/>
              <w:ind w:firstLine="0"/>
              <w:jc w:val="center"/>
            </w:pPr>
            <w:r w:rsidRPr="00B218B3">
              <w:t>0</w:t>
            </w:r>
          </w:p>
        </w:tc>
        <w:tc>
          <w:tcPr>
            <w:tcW w:w="1283" w:type="dxa"/>
          </w:tcPr>
          <w:p w:rsidR="00C77E04" w:rsidRPr="00D87062" w:rsidRDefault="00C77E04" w:rsidP="0089519A">
            <w:pPr>
              <w:pStyle w:val="naisf"/>
              <w:spacing w:before="0" w:after="0"/>
              <w:ind w:firstLine="0"/>
              <w:jc w:val="center"/>
            </w:pPr>
            <w:r w:rsidRPr="00D87062">
              <w:t>0</w:t>
            </w:r>
          </w:p>
        </w:tc>
        <w:tc>
          <w:tcPr>
            <w:tcW w:w="1518" w:type="dxa"/>
          </w:tcPr>
          <w:p w:rsidR="00C77E04" w:rsidRPr="004D06FF" w:rsidRDefault="00C77E04" w:rsidP="0089519A">
            <w:pPr>
              <w:pStyle w:val="naisf"/>
              <w:spacing w:before="0" w:after="0"/>
              <w:ind w:firstLine="0"/>
              <w:jc w:val="center"/>
            </w:pPr>
            <w:r w:rsidRPr="004D06FF">
              <w:t>0</w:t>
            </w:r>
          </w:p>
        </w:tc>
      </w:tr>
      <w:tr w:rsidR="00822697" w:rsidRPr="004D06FF" w:rsidTr="00B218B3">
        <w:trPr>
          <w:jc w:val="center"/>
        </w:trPr>
        <w:tc>
          <w:tcPr>
            <w:tcW w:w="3576" w:type="dxa"/>
            <w:gridSpan w:val="2"/>
          </w:tcPr>
          <w:p w:rsidR="00124F12" w:rsidRPr="004D06FF" w:rsidRDefault="00780DD9" w:rsidP="0089519A">
            <w:pPr>
              <w:jc w:val="both"/>
            </w:pPr>
            <w:r>
              <w:br w:type="page"/>
            </w:r>
            <w:r w:rsidR="00124F12" w:rsidRPr="004D06FF">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8B0B02" w:rsidP="0089519A">
            <w:pPr>
              <w:pStyle w:val="naisf"/>
              <w:spacing w:before="0" w:after="0"/>
              <w:ind w:firstLine="0"/>
              <w:jc w:val="center"/>
            </w:pPr>
            <w:r>
              <w:t>0</w:t>
            </w:r>
          </w:p>
        </w:tc>
        <w:tc>
          <w:tcPr>
            <w:tcW w:w="1283" w:type="dxa"/>
            <w:shd w:val="clear" w:color="auto" w:fill="auto"/>
          </w:tcPr>
          <w:p w:rsidR="00124F12" w:rsidRPr="00B218B3" w:rsidRDefault="00DD37FE" w:rsidP="00B218B3">
            <w:pPr>
              <w:pStyle w:val="naisf"/>
              <w:spacing w:before="0" w:after="0"/>
              <w:ind w:firstLine="0"/>
              <w:jc w:val="center"/>
            </w:pPr>
            <w:r w:rsidRPr="00B218B3">
              <w:t xml:space="preserve">- </w:t>
            </w:r>
            <w:r w:rsidR="00B218B3" w:rsidRPr="00B218B3">
              <w:t>33 419</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B218B3">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8B0B02" w:rsidP="0089519A">
            <w:pPr>
              <w:pStyle w:val="naisf"/>
              <w:spacing w:before="0" w:after="0"/>
              <w:ind w:firstLine="0"/>
              <w:jc w:val="center"/>
            </w:pPr>
            <w:r>
              <w:t>0</w:t>
            </w:r>
          </w:p>
        </w:tc>
        <w:tc>
          <w:tcPr>
            <w:tcW w:w="1283" w:type="dxa"/>
            <w:shd w:val="clear" w:color="auto" w:fill="auto"/>
          </w:tcPr>
          <w:p w:rsidR="00124F12" w:rsidRPr="00B218B3" w:rsidRDefault="00DD37FE" w:rsidP="00B218B3">
            <w:pPr>
              <w:pStyle w:val="naisf"/>
              <w:spacing w:before="0" w:after="0"/>
              <w:ind w:firstLine="0"/>
              <w:jc w:val="center"/>
            </w:pPr>
            <w:r w:rsidRPr="00B218B3">
              <w:t xml:space="preserve">- </w:t>
            </w:r>
            <w:r w:rsidR="00B218B3" w:rsidRPr="00B218B3">
              <w:t>33 419</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9652C3" w:rsidRDefault="0002585E" w:rsidP="0089519A">
            <w:pPr>
              <w:pStyle w:val="naisf"/>
              <w:spacing w:before="0" w:after="0"/>
              <w:ind w:firstLine="0"/>
              <w:jc w:val="center"/>
            </w:pPr>
            <w:r w:rsidRPr="009652C3">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95334F" w:rsidRPr="004D06FF" w:rsidRDefault="0095334F" w:rsidP="0089519A">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7C79E8" w:rsidRPr="007C79E8" w:rsidRDefault="007C79E8" w:rsidP="0037353F">
            <w:pPr>
              <w:pStyle w:val="naisf"/>
              <w:spacing w:after="0"/>
              <w:ind w:firstLine="0"/>
            </w:pPr>
            <w:r w:rsidRPr="007C79E8">
              <w:t>Saskaņā ar likumu “Par valsts budžetu 2017. gadam” Ie</w:t>
            </w:r>
            <w:r>
              <w:t xml:space="preserve">kšlietu ministrijai budžeta </w:t>
            </w:r>
            <w:r w:rsidRPr="007C79E8">
              <w:t xml:space="preserve">programmā </w:t>
            </w:r>
            <w:r>
              <w:t>10</w:t>
            </w:r>
            <w:r w:rsidRPr="007C79E8">
              <w:t>.0</w:t>
            </w:r>
            <w:r>
              <w:t>0</w:t>
            </w:r>
            <w:r w:rsidRPr="007C79E8">
              <w:t xml:space="preserve">.00 “Valsts </w:t>
            </w:r>
            <w:r>
              <w:t>robežsardzes darbība</w:t>
            </w:r>
            <w:r w:rsidRPr="007C79E8">
              <w:t xml:space="preserve">” plānots finansējums </w:t>
            </w:r>
            <w:r w:rsidRPr="003022A1">
              <w:t>65 422</w:t>
            </w:r>
            <w:r w:rsidRPr="007C79E8">
              <w:t xml:space="preserve"> </w:t>
            </w:r>
            <w:proofErr w:type="spellStart"/>
            <w:r w:rsidRPr="007C79E8">
              <w:rPr>
                <w:i/>
              </w:rPr>
              <w:t>euro</w:t>
            </w:r>
            <w:proofErr w:type="spellEnd"/>
            <w:r w:rsidRPr="007C79E8">
              <w:t xml:space="preserve"> apmērā, lai nodrošinātu Valsts </w:t>
            </w:r>
            <w:r>
              <w:t>robežsardzes</w:t>
            </w:r>
            <w:r w:rsidRPr="007C79E8">
              <w:t xml:space="preserve"> amatperson</w:t>
            </w:r>
            <w:r w:rsidR="003022A1">
              <w:t>u ar speciālajām dienesta pakāpēm</w:t>
            </w:r>
            <w:r w:rsidRPr="007C79E8">
              <w:t xml:space="preserve"> – </w:t>
            </w:r>
            <w:r>
              <w:t>P.Šarigina</w:t>
            </w:r>
            <w:r w:rsidR="003022A1">
              <w:t xml:space="preserve"> un J.Padāna</w:t>
            </w:r>
            <w:r w:rsidRPr="007C79E8">
              <w:t xml:space="preserve"> dalību misijā līdz noteiktā termiņa –</w:t>
            </w:r>
            <w:r w:rsidR="003022A1">
              <w:t xml:space="preserve"> attiecīgi</w:t>
            </w:r>
            <w:r w:rsidRPr="007C79E8">
              <w:t xml:space="preserve"> 2017. gada </w:t>
            </w:r>
            <w:r>
              <w:t>15</w:t>
            </w:r>
            <w:r w:rsidRPr="007C79E8">
              <w:t xml:space="preserve">. </w:t>
            </w:r>
            <w:r>
              <w:t>septembris</w:t>
            </w:r>
            <w:r w:rsidR="003022A1">
              <w:t xml:space="preserve"> un 2017. gada 21. septembris</w:t>
            </w:r>
            <w:r w:rsidRPr="007C79E8">
              <w:t xml:space="preserve"> – beigām (saskaņā ar </w:t>
            </w:r>
            <w:r w:rsidRPr="00367B54">
              <w:t xml:space="preserve">Ministru kabineta 2016. gada 16. augusta rīkojumu Nr. 458 “Par Valsts robežsardzes amatpersonu ar speciālajām dienesta pakāpēm dalību un dalības laika pagarināšanu Eiropas Savienības novērošanas misijā Gruzijā </w:t>
            </w:r>
            <w:r w:rsidRPr="00367B54">
              <w:rPr>
                <w:i/>
              </w:rPr>
              <w:t>(EUMM Georgia)</w:t>
            </w:r>
            <w:r w:rsidRPr="00367B54">
              <w:t xml:space="preserve"> un finanšu līdzekļu piešķiršanu no valsts budžeta programmas "Līdzekļi neparedzētiem gadījumiem"”</w:t>
            </w:r>
            <w:r w:rsidRPr="007C79E8">
              <w:t xml:space="preserve"> </w:t>
            </w:r>
            <w:r>
              <w:t>4</w:t>
            </w:r>
            <w:r w:rsidRPr="007C79E8">
              <w:t>.2. apakšpunktu).</w:t>
            </w:r>
          </w:p>
          <w:p w:rsidR="0095334F" w:rsidRPr="004D06FF" w:rsidRDefault="00C77E04" w:rsidP="0089519A">
            <w:pPr>
              <w:pStyle w:val="naisf"/>
              <w:spacing w:before="0" w:after="0"/>
              <w:ind w:firstLine="0"/>
            </w:pPr>
            <w:r>
              <w:t xml:space="preserve">Detalizēts aprēķins </w:t>
            </w:r>
            <w:r w:rsidR="00D87062">
              <w:t xml:space="preserve">– </w:t>
            </w:r>
            <w:r>
              <w:t>pielikumā.</w:t>
            </w:r>
          </w:p>
        </w:tc>
      </w:tr>
      <w:tr w:rsidR="00822697"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986196">
            <w:pPr>
              <w:pStyle w:val="naisnod"/>
              <w:spacing w:before="0" w:after="0"/>
              <w:ind w:left="57" w:right="57"/>
              <w:jc w:val="left"/>
              <w:rPr>
                <w:b w:val="0"/>
              </w:rPr>
            </w:pPr>
            <w:r w:rsidRPr="004D06FF">
              <w:rPr>
                <w:b w:val="0"/>
                <w:iCs/>
              </w:rPr>
              <w:t xml:space="preserve">Valsts </w:t>
            </w:r>
            <w:r w:rsidR="00986196">
              <w:rPr>
                <w:b w:val="0"/>
                <w:iCs/>
              </w:rPr>
              <w:t>robežsardze</w:t>
            </w:r>
            <w:r w:rsidR="008454CF">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242F5E">
        <w:t xml:space="preserve">Rihards </w:t>
      </w:r>
      <w:r w:rsidRPr="004D06FF">
        <w:t>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337C0D" w:rsidRDefault="00855161" w:rsidP="0089519A">
      <w:pPr>
        <w:pStyle w:val="naisf"/>
        <w:tabs>
          <w:tab w:val="left" w:pos="6804"/>
        </w:tabs>
        <w:spacing w:before="0" w:after="0"/>
        <w:ind w:right="-649" w:firstLine="0"/>
      </w:pPr>
      <w:r w:rsidRPr="004D06FF">
        <w:t xml:space="preserve">Vīza: </w:t>
      </w:r>
      <w:r w:rsidR="00DA0C24">
        <w:t>v</w:t>
      </w:r>
      <w:r w:rsidR="00337C0D">
        <w:t>alsts sekretāra</w:t>
      </w:r>
    </w:p>
    <w:p w:rsidR="00855161" w:rsidRPr="004D06FF" w:rsidRDefault="00A45353" w:rsidP="0089519A">
      <w:pPr>
        <w:pStyle w:val="naisf"/>
        <w:tabs>
          <w:tab w:val="left" w:pos="6804"/>
        </w:tabs>
        <w:spacing w:before="0" w:after="0"/>
        <w:ind w:right="-649" w:firstLine="0"/>
      </w:pPr>
      <w:r>
        <w:t>pienākumu izpildītājs</w:t>
      </w:r>
      <w:r w:rsidR="00242F5E">
        <w:tab/>
      </w:r>
      <w:r>
        <w:t>Dimitrijs</w:t>
      </w:r>
      <w:r w:rsidR="00337C0D">
        <w:t xml:space="preserve"> </w:t>
      </w:r>
      <w:r>
        <w:t>Trofimovs</w:t>
      </w:r>
    </w:p>
    <w:p w:rsidR="00EF523F" w:rsidRDefault="00EF523F" w:rsidP="0089519A">
      <w:pPr>
        <w:rPr>
          <w:sz w:val="20"/>
          <w:szCs w:val="20"/>
        </w:rPr>
      </w:pPr>
    </w:p>
    <w:p w:rsidR="0037353F" w:rsidRDefault="0037353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A45353">
        <w:rPr>
          <w:noProof/>
          <w:sz w:val="20"/>
          <w:szCs w:val="20"/>
          <w:lang w:val="ru-RU"/>
        </w:rPr>
        <w:t>12.06.2017 9:44</w:t>
      </w:r>
      <w:r w:rsidRPr="00230B7B">
        <w:rPr>
          <w:sz w:val="20"/>
          <w:szCs w:val="20"/>
        </w:rPr>
        <w:fldChar w:fldCharType="end"/>
      </w:r>
    </w:p>
    <w:p w:rsidR="00AC1E0D" w:rsidRDefault="00AC1E0D" w:rsidP="0089519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A45353">
        <w:rPr>
          <w:noProof/>
          <w:sz w:val="20"/>
          <w:szCs w:val="20"/>
        </w:rPr>
        <w:t>1005</w:t>
      </w:r>
      <w:r>
        <w:rPr>
          <w:sz w:val="20"/>
          <w:szCs w:val="20"/>
        </w:rPr>
        <w:fldChar w:fldCharType="end"/>
      </w:r>
      <w:bookmarkStart w:id="0" w:name="_GoBack"/>
      <w:bookmarkEnd w:id="0"/>
    </w:p>
    <w:p w:rsidR="00855161" w:rsidRPr="00230B7B" w:rsidRDefault="00855161" w:rsidP="0089519A">
      <w:pPr>
        <w:rPr>
          <w:sz w:val="20"/>
          <w:szCs w:val="20"/>
        </w:rPr>
      </w:pPr>
      <w:r w:rsidRPr="00230B7B">
        <w:rPr>
          <w:sz w:val="20"/>
          <w:szCs w:val="20"/>
        </w:rPr>
        <w:t>I.Silantjevs, 67219569</w:t>
      </w:r>
    </w:p>
    <w:p w:rsidR="00855161" w:rsidRDefault="00977522"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r>
        <w:rPr>
          <w:rStyle w:val="Hyperlink"/>
          <w:color w:val="000000" w:themeColor="text1"/>
          <w:sz w:val="20"/>
          <w:szCs w:val="20"/>
          <w:u w:val="none"/>
        </w:rPr>
        <w:t>T.Černova, 67219608</w:t>
      </w:r>
    </w:p>
    <w:p w:rsidR="0014102F" w:rsidRDefault="00977522" w:rsidP="0089519A">
      <w:pPr>
        <w:pStyle w:val="naisf"/>
        <w:tabs>
          <w:tab w:val="left" w:pos="6804"/>
        </w:tabs>
        <w:spacing w:before="0" w:after="0"/>
        <w:ind w:right="-649" w:firstLine="0"/>
        <w:rPr>
          <w:rStyle w:val="Hyperlink"/>
          <w:color w:val="000000" w:themeColor="text1"/>
          <w:sz w:val="20"/>
          <w:szCs w:val="20"/>
          <w:u w:val="none"/>
        </w:rPr>
      </w:pPr>
      <w:hyperlink r:id="rId9" w:history="1">
        <w:r w:rsidR="0014102F" w:rsidRPr="00AC45F4">
          <w:rPr>
            <w:rStyle w:val="Hyperlink"/>
            <w:sz w:val="20"/>
            <w:szCs w:val="20"/>
          </w:rPr>
          <w:t>tatjana.cernova@iem.gov.lv</w:t>
        </w:r>
      </w:hyperlink>
    </w:p>
    <w:p w:rsidR="0014102F" w:rsidRPr="0014102F" w:rsidRDefault="0014102F" w:rsidP="0089519A">
      <w:pPr>
        <w:pStyle w:val="naisf"/>
        <w:tabs>
          <w:tab w:val="left" w:pos="6804"/>
        </w:tabs>
        <w:spacing w:before="0" w:after="0"/>
        <w:ind w:right="-649" w:firstLine="0"/>
        <w:rPr>
          <w:rStyle w:val="Hyperlink"/>
          <w:color w:val="000000" w:themeColor="text1"/>
          <w:sz w:val="20"/>
          <w:szCs w:val="20"/>
          <w:u w:val="none"/>
        </w:rPr>
      </w:pPr>
    </w:p>
    <w:sectPr w:rsidR="0014102F" w:rsidRPr="0014102F" w:rsidSect="00C31E36">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22" w:rsidRDefault="00977522">
      <w:r>
        <w:separator/>
      </w:r>
    </w:p>
  </w:endnote>
  <w:endnote w:type="continuationSeparator" w:id="0">
    <w:p w:rsidR="00977522" w:rsidRDefault="009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337C0D" w:rsidRDefault="00FB04D8" w:rsidP="00F74E26">
    <w:pPr>
      <w:pStyle w:val="Footer"/>
      <w:jc w:val="both"/>
      <w:rPr>
        <w:i/>
        <w:sz w:val="20"/>
        <w:szCs w:val="20"/>
      </w:rPr>
    </w:pPr>
    <w:r w:rsidRPr="00337C0D">
      <w:rPr>
        <w:i/>
        <w:sz w:val="20"/>
        <w:szCs w:val="20"/>
      </w:rPr>
      <w:fldChar w:fldCharType="begin"/>
    </w:r>
    <w:r w:rsidRPr="00337C0D">
      <w:rPr>
        <w:i/>
        <w:sz w:val="20"/>
        <w:szCs w:val="20"/>
      </w:rPr>
      <w:instrText xml:space="preserve"> FILENAME   \* MERGEFORMAT </w:instrText>
    </w:r>
    <w:r w:rsidRPr="00337C0D">
      <w:rPr>
        <w:i/>
        <w:sz w:val="20"/>
        <w:szCs w:val="20"/>
      </w:rPr>
      <w:fldChar w:fldCharType="separate"/>
    </w:r>
    <w:r w:rsidR="00E376E3">
      <w:rPr>
        <w:i/>
        <w:noProof/>
        <w:sz w:val="20"/>
        <w:szCs w:val="20"/>
      </w:rPr>
      <w:t>IEManot_</w:t>
    </w:r>
    <w:r w:rsidR="00B218B3">
      <w:rPr>
        <w:i/>
        <w:noProof/>
        <w:sz w:val="20"/>
        <w:szCs w:val="20"/>
      </w:rPr>
      <w:t>1705</w:t>
    </w:r>
    <w:r w:rsidR="00E376E3">
      <w:rPr>
        <w:i/>
        <w:noProof/>
        <w:sz w:val="20"/>
        <w:szCs w:val="20"/>
      </w:rPr>
      <w:t>17_EUMM_GEO</w:t>
    </w:r>
    <w:r w:rsidRPr="00337C0D">
      <w:rPr>
        <w:i/>
        <w:sz w:val="20"/>
        <w:szCs w:val="20"/>
      </w:rPr>
      <w:fldChar w:fldCharType="end"/>
    </w:r>
    <w:r w:rsidRPr="00337C0D">
      <w:rPr>
        <w:i/>
        <w:sz w:val="20"/>
        <w:szCs w:val="20"/>
      </w:rPr>
      <w:t xml:space="preserve">; </w:t>
    </w:r>
    <w:r w:rsidR="00986196" w:rsidRPr="00337C0D">
      <w:rPr>
        <w:bCs/>
        <w:i/>
        <w:sz w:val="20"/>
        <w:szCs w:val="20"/>
      </w:rPr>
      <w:t xml:space="preserve">Ministru kabineta rīkojuma projekta “Par Valsts robežsardzes amatpersonas ar speciālo </w:t>
    </w:r>
    <w:r w:rsidR="00E11B4B">
      <w:rPr>
        <w:bCs/>
        <w:i/>
        <w:sz w:val="20"/>
        <w:szCs w:val="20"/>
      </w:rPr>
      <w:t>dienesta pakāpi dalības laika pagarināšanu</w:t>
    </w:r>
    <w:r w:rsidR="00986196" w:rsidRPr="00337C0D">
      <w:rPr>
        <w:bCs/>
        <w:i/>
        <w:sz w:val="20"/>
        <w:szCs w:val="20"/>
      </w:rPr>
      <w:t xml:space="preserve"> Eiropas Savienības novērošanas misijā Gruzijā (EUMM Georgia) un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877BAF">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E11B4B">
      <w:rPr>
        <w:i/>
        <w:noProof/>
        <w:sz w:val="20"/>
        <w:szCs w:val="20"/>
      </w:rPr>
      <w:t>IEManot_170517_EUMM_GEO</w:t>
    </w:r>
    <w:r w:rsidRPr="00F55539">
      <w:rPr>
        <w:i/>
        <w:sz w:val="20"/>
        <w:szCs w:val="20"/>
      </w:rPr>
      <w:fldChar w:fldCharType="end"/>
    </w:r>
    <w:r w:rsidRPr="00F55539">
      <w:rPr>
        <w:i/>
        <w:sz w:val="20"/>
        <w:szCs w:val="20"/>
      </w:rPr>
      <w:t xml:space="preserve">; </w:t>
    </w:r>
    <w:r w:rsidRPr="00F55539">
      <w:rPr>
        <w:bCs/>
        <w:i/>
        <w:sz w:val="20"/>
        <w:szCs w:val="20"/>
      </w:rPr>
      <w:t xml:space="preserve">Ministru kabineta rīkojuma projekta </w:t>
    </w:r>
    <w:r w:rsidR="001B6794" w:rsidRPr="001B6794">
      <w:rPr>
        <w:bCs/>
        <w:i/>
        <w:sz w:val="20"/>
        <w:szCs w:val="20"/>
      </w:rPr>
      <w:t>“Par Valsts robežsardzes amatpersonas ar</w:t>
    </w:r>
    <w:r w:rsidR="00E11B4B">
      <w:rPr>
        <w:bCs/>
        <w:i/>
        <w:sz w:val="20"/>
        <w:szCs w:val="20"/>
      </w:rPr>
      <w:t xml:space="preserve"> speciālo dienesta pakāpi dalības laika pagarināšanu</w:t>
    </w:r>
    <w:r w:rsidR="001B6794" w:rsidRPr="001B6794">
      <w:rPr>
        <w:bCs/>
        <w:i/>
        <w:sz w:val="20"/>
        <w:szCs w:val="20"/>
      </w:rPr>
      <w:t xml:space="preserve"> Eiropas Savienības novērošanas misijā Gruzijā (EUMM Georgia) un finanšu līdzekļu piešķiršanu no valsts budžeta programmas “Līdzekļi neparedzētiem gadījumiem””</w:t>
    </w:r>
    <w:r w:rsidRPr="00F55539">
      <w:rPr>
        <w:bCs/>
        <w:i/>
        <w:sz w:val="20"/>
        <w:szCs w:val="20"/>
      </w:rPr>
      <w:t xml:space="preserve"> </w:t>
    </w:r>
    <w:r w:rsidR="00877BAF" w:rsidRPr="00F55539">
      <w:rPr>
        <w:bCs/>
        <w:i/>
        <w:sz w:val="20"/>
        <w:szCs w:val="20"/>
      </w:rPr>
      <w:t>sākotnējās ietekmes novērtējuma ziņojums (</w:t>
    </w:r>
    <w:r w:rsidRPr="00F55539">
      <w:rPr>
        <w:bCs/>
        <w:i/>
        <w:sz w:val="20"/>
        <w:szCs w:val="20"/>
      </w:rPr>
      <w:t>anotācija</w:t>
    </w:r>
    <w:r w:rsidR="00877BAF" w:rsidRPr="00F55539">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22" w:rsidRDefault="00977522">
      <w:r>
        <w:separator/>
      </w:r>
    </w:p>
  </w:footnote>
  <w:footnote w:type="continuationSeparator" w:id="0">
    <w:p w:rsidR="00977522" w:rsidRDefault="0097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353">
      <w:rPr>
        <w:rStyle w:val="PageNumber"/>
        <w:noProof/>
      </w:rPr>
      <w:t>3</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876"/>
    <w:multiLevelType w:val="hybridMultilevel"/>
    <w:tmpl w:val="2194A464"/>
    <w:lvl w:ilvl="0" w:tplc="86DA02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A7260D"/>
    <w:multiLevelType w:val="hybridMultilevel"/>
    <w:tmpl w:val="0BCCC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2F07"/>
    <w:multiLevelType w:val="hybridMultilevel"/>
    <w:tmpl w:val="986A80D4"/>
    <w:lvl w:ilvl="0" w:tplc="3A703326">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DBB6EFA"/>
    <w:multiLevelType w:val="hybridMultilevel"/>
    <w:tmpl w:val="C6F8B10E"/>
    <w:lvl w:ilvl="0" w:tplc="8B62C4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0D12A80"/>
    <w:multiLevelType w:val="hybridMultilevel"/>
    <w:tmpl w:val="35EAB2BC"/>
    <w:lvl w:ilvl="0" w:tplc="E13AE7E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B29"/>
    <w:multiLevelType w:val="hybridMultilevel"/>
    <w:tmpl w:val="ADEE2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EF408AF"/>
    <w:multiLevelType w:val="hybridMultilevel"/>
    <w:tmpl w:val="94FCFDB0"/>
    <w:lvl w:ilvl="0" w:tplc="86DA02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22"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3"/>
  </w:num>
  <w:num w:numId="7">
    <w:abstractNumId w:val="20"/>
  </w:num>
  <w:num w:numId="8">
    <w:abstractNumId w:val="9"/>
  </w:num>
  <w:num w:numId="9">
    <w:abstractNumId w:val="5"/>
  </w:num>
  <w:num w:numId="10">
    <w:abstractNumId w:val="10"/>
  </w:num>
  <w:num w:numId="11">
    <w:abstractNumId w:val="11"/>
  </w:num>
  <w:num w:numId="12">
    <w:abstractNumId w:val="14"/>
  </w:num>
  <w:num w:numId="13">
    <w:abstractNumId w:val="16"/>
  </w:num>
  <w:num w:numId="14">
    <w:abstractNumId w:val="22"/>
  </w:num>
  <w:num w:numId="15">
    <w:abstractNumId w:val="19"/>
  </w:num>
  <w:num w:numId="16">
    <w:abstractNumId w:val="21"/>
  </w:num>
  <w:num w:numId="17">
    <w:abstractNumId w:val="17"/>
  </w:num>
  <w:num w:numId="18">
    <w:abstractNumId w:val="0"/>
  </w:num>
  <w:num w:numId="19">
    <w:abstractNumId w:val="2"/>
  </w:num>
  <w:num w:numId="20">
    <w:abstractNumId w:val="15"/>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4E98"/>
    <w:rsid w:val="00035CE2"/>
    <w:rsid w:val="00036DA1"/>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10F75"/>
    <w:rsid w:val="00124F12"/>
    <w:rsid w:val="001346FE"/>
    <w:rsid w:val="0014102F"/>
    <w:rsid w:val="00143B75"/>
    <w:rsid w:val="00144E3A"/>
    <w:rsid w:val="0015060C"/>
    <w:rsid w:val="0016018A"/>
    <w:rsid w:val="0016110F"/>
    <w:rsid w:val="00161DE0"/>
    <w:rsid w:val="00161F0E"/>
    <w:rsid w:val="00164484"/>
    <w:rsid w:val="00170E2A"/>
    <w:rsid w:val="00177394"/>
    <w:rsid w:val="00182C18"/>
    <w:rsid w:val="001831B9"/>
    <w:rsid w:val="00183CC2"/>
    <w:rsid w:val="001843F3"/>
    <w:rsid w:val="001900E4"/>
    <w:rsid w:val="00190F88"/>
    <w:rsid w:val="00191501"/>
    <w:rsid w:val="00194624"/>
    <w:rsid w:val="00197340"/>
    <w:rsid w:val="001A4066"/>
    <w:rsid w:val="001A6AE4"/>
    <w:rsid w:val="001B01FD"/>
    <w:rsid w:val="001B1D44"/>
    <w:rsid w:val="001B4A71"/>
    <w:rsid w:val="001B50AE"/>
    <w:rsid w:val="001B6794"/>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069D"/>
    <w:rsid w:val="002220B1"/>
    <w:rsid w:val="00222D76"/>
    <w:rsid w:val="00223EB1"/>
    <w:rsid w:val="002240B0"/>
    <w:rsid w:val="00230B7B"/>
    <w:rsid w:val="00231344"/>
    <w:rsid w:val="0023436E"/>
    <w:rsid w:val="002347C0"/>
    <w:rsid w:val="00241A6C"/>
    <w:rsid w:val="00242D2B"/>
    <w:rsid w:val="00242F5E"/>
    <w:rsid w:val="002435FD"/>
    <w:rsid w:val="00262E2B"/>
    <w:rsid w:val="002661CA"/>
    <w:rsid w:val="0026665C"/>
    <w:rsid w:val="00270429"/>
    <w:rsid w:val="002723E9"/>
    <w:rsid w:val="00277929"/>
    <w:rsid w:val="00277F29"/>
    <w:rsid w:val="002808F4"/>
    <w:rsid w:val="00282A20"/>
    <w:rsid w:val="00283B82"/>
    <w:rsid w:val="002846E9"/>
    <w:rsid w:val="00284C34"/>
    <w:rsid w:val="0029066C"/>
    <w:rsid w:val="002913F9"/>
    <w:rsid w:val="00293BF1"/>
    <w:rsid w:val="002A1F05"/>
    <w:rsid w:val="002B50DB"/>
    <w:rsid w:val="002C12AB"/>
    <w:rsid w:val="002C7CAC"/>
    <w:rsid w:val="002D1A26"/>
    <w:rsid w:val="002D3306"/>
    <w:rsid w:val="002D48AA"/>
    <w:rsid w:val="002D5DD8"/>
    <w:rsid w:val="002D7BAA"/>
    <w:rsid w:val="002D7F54"/>
    <w:rsid w:val="002E3FF4"/>
    <w:rsid w:val="002F78C8"/>
    <w:rsid w:val="00301CF3"/>
    <w:rsid w:val="003022A1"/>
    <w:rsid w:val="00310152"/>
    <w:rsid w:val="003218F8"/>
    <w:rsid w:val="0032715C"/>
    <w:rsid w:val="00327CC8"/>
    <w:rsid w:val="003361DD"/>
    <w:rsid w:val="00337C0D"/>
    <w:rsid w:val="00337CA5"/>
    <w:rsid w:val="003456CA"/>
    <w:rsid w:val="00362478"/>
    <w:rsid w:val="00363E2A"/>
    <w:rsid w:val="00364152"/>
    <w:rsid w:val="00367B54"/>
    <w:rsid w:val="0037353F"/>
    <w:rsid w:val="00375B25"/>
    <w:rsid w:val="00380275"/>
    <w:rsid w:val="0038132C"/>
    <w:rsid w:val="00386365"/>
    <w:rsid w:val="003873AC"/>
    <w:rsid w:val="00391298"/>
    <w:rsid w:val="00395D66"/>
    <w:rsid w:val="00396542"/>
    <w:rsid w:val="0039685B"/>
    <w:rsid w:val="003A31A6"/>
    <w:rsid w:val="003A3AFB"/>
    <w:rsid w:val="003A7DD5"/>
    <w:rsid w:val="003A7F0C"/>
    <w:rsid w:val="003A7F79"/>
    <w:rsid w:val="003B0E0B"/>
    <w:rsid w:val="003B5546"/>
    <w:rsid w:val="003B611B"/>
    <w:rsid w:val="003B6404"/>
    <w:rsid w:val="003C3862"/>
    <w:rsid w:val="003C449B"/>
    <w:rsid w:val="003D21FF"/>
    <w:rsid w:val="003E3FD0"/>
    <w:rsid w:val="003F0112"/>
    <w:rsid w:val="003F071A"/>
    <w:rsid w:val="003F160B"/>
    <w:rsid w:val="003F3D2C"/>
    <w:rsid w:val="003F3D81"/>
    <w:rsid w:val="003F55AA"/>
    <w:rsid w:val="00400032"/>
    <w:rsid w:val="00400B5B"/>
    <w:rsid w:val="004028F2"/>
    <w:rsid w:val="00405A00"/>
    <w:rsid w:val="00406E7D"/>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C7404"/>
    <w:rsid w:val="004D06FF"/>
    <w:rsid w:val="004F0724"/>
    <w:rsid w:val="004F1F88"/>
    <w:rsid w:val="004F3CFA"/>
    <w:rsid w:val="004F5F1B"/>
    <w:rsid w:val="00502374"/>
    <w:rsid w:val="005060A1"/>
    <w:rsid w:val="005072C8"/>
    <w:rsid w:val="00516072"/>
    <w:rsid w:val="005332EC"/>
    <w:rsid w:val="00534418"/>
    <w:rsid w:val="005353AB"/>
    <w:rsid w:val="00537C75"/>
    <w:rsid w:val="00553329"/>
    <w:rsid w:val="005560BC"/>
    <w:rsid w:val="005573BE"/>
    <w:rsid w:val="00560241"/>
    <w:rsid w:val="00562AC5"/>
    <w:rsid w:val="00572700"/>
    <w:rsid w:val="00573CDF"/>
    <w:rsid w:val="00576FE5"/>
    <w:rsid w:val="00580468"/>
    <w:rsid w:val="00582231"/>
    <w:rsid w:val="0058603B"/>
    <w:rsid w:val="00592624"/>
    <w:rsid w:val="0059431B"/>
    <w:rsid w:val="005A39CC"/>
    <w:rsid w:val="005B1A1F"/>
    <w:rsid w:val="005B4730"/>
    <w:rsid w:val="005C13FA"/>
    <w:rsid w:val="005C34B7"/>
    <w:rsid w:val="005C5C31"/>
    <w:rsid w:val="005C7B5B"/>
    <w:rsid w:val="005C7D1C"/>
    <w:rsid w:val="005C7D63"/>
    <w:rsid w:val="005D1F04"/>
    <w:rsid w:val="005D6B77"/>
    <w:rsid w:val="005E05D7"/>
    <w:rsid w:val="005E41E7"/>
    <w:rsid w:val="005E450F"/>
    <w:rsid w:val="005F12AF"/>
    <w:rsid w:val="00607484"/>
    <w:rsid w:val="0062298A"/>
    <w:rsid w:val="00626514"/>
    <w:rsid w:val="00626589"/>
    <w:rsid w:val="00632D6E"/>
    <w:rsid w:val="006339A0"/>
    <w:rsid w:val="006413A8"/>
    <w:rsid w:val="00642E56"/>
    <w:rsid w:val="00651E00"/>
    <w:rsid w:val="006652AE"/>
    <w:rsid w:val="00666733"/>
    <w:rsid w:val="00672636"/>
    <w:rsid w:val="00672A3F"/>
    <w:rsid w:val="00674572"/>
    <w:rsid w:val="00677C27"/>
    <w:rsid w:val="00680E96"/>
    <w:rsid w:val="00683178"/>
    <w:rsid w:val="00686D4E"/>
    <w:rsid w:val="00687763"/>
    <w:rsid w:val="00692B0D"/>
    <w:rsid w:val="00693E0E"/>
    <w:rsid w:val="006A1AE3"/>
    <w:rsid w:val="006A1CA2"/>
    <w:rsid w:val="006A6C1E"/>
    <w:rsid w:val="006C30E1"/>
    <w:rsid w:val="006C4607"/>
    <w:rsid w:val="006D05EE"/>
    <w:rsid w:val="006D3DCB"/>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0DD9"/>
    <w:rsid w:val="007814CF"/>
    <w:rsid w:val="0078382E"/>
    <w:rsid w:val="00784422"/>
    <w:rsid w:val="0078522C"/>
    <w:rsid w:val="0079739E"/>
    <w:rsid w:val="007B3B54"/>
    <w:rsid w:val="007B3FA0"/>
    <w:rsid w:val="007B7C73"/>
    <w:rsid w:val="007C0F2C"/>
    <w:rsid w:val="007C2BCC"/>
    <w:rsid w:val="007C312A"/>
    <w:rsid w:val="007C3617"/>
    <w:rsid w:val="007C4EF0"/>
    <w:rsid w:val="007C6F73"/>
    <w:rsid w:val="007C79E8"/>
    <w:rsid w:val="007D099D"/>
    <w:rsid w:val="007E2664"/>
    <w:rsid w:val="007E3ABF"/>
    <w:rsid w:val="007E5BFA"/>
    <w:rsid w:val="007E6689"/>
    <w:rsid w:val="007E731C"/>
    <w:rsid w:val="007E79FB"/>
    <w:rsid w:val="007F0A03"/>
    <w:rsid w:val="007F7E33"/>
    <w:rsid w:val="008010AA"/>
    <w:rsid w:val="00810040"/>
    <w:rsid w:val="008115D5"/>
    <w:rsid w:val="00812FC9"/>
    <w:rsid w:val="0082023A"/>
    <w:rsid w:val="00821A7A"/>
    <w:rsid w:val="00822697"/>
    <w:rsid w:val="008253F8"/>
    <w:rsid w:val="008325E4"/>
    <w:rsid w:val="00832A2B"/>
    <w:rsid w:val="00843131"/>
    <w:rsid w:val="0084405E"/>
    <w:rsid w:val="008442AF"/>
    <w:rsid w:val="008454CF"/>
    <w:rsid w:val="00845811"/>
    <w:rsid w:val="00846994"/>
    <w:rsid w:val="00850451"/>
    <w:rsid w:val="00852042"/>
    <w:rsid w:val="008525DB"/>
    <w:rsid w:val="00852C39"/>
    <w:rsid w:val="008534C9"/>
    <w:rsid w:val="00855161"/>
    <w:rsid w:val="0085599D"/>
    <w:rsid w:val="008741CA"/>
    <w:rsid w:val="0087510C"/>
    <w:rsid w:val="00877BAF"/>
    <w:rsid w:val="00891114"/>
    <w:rsid w:val="0089519A"/>
    <w:rsid w:val="008968D2"/>
    <w:rsid w:val="0089738E"/>
    <w:rsid w:val="008A0B1A"/>
    <w:rsid w:val="008B0B02"/>
    <w:rsid w:val="008B5FDB"/>
    <w:rsid w:val="008C50F4"/>
    <w:rsid w:val="008C5649"/>
    <w:rsid w:val="008E44A2"/>
    <w:rsid w:val="008E697D"/>
    <w:rsid w:val="008F2D36"/>
    <w:rsid w:val="008F479D"/>
    <w:rsid w:val="00903263"/>
    <w:rsid w:val="00906A21"/>
    <w:rsid w:val="009079C3"/>
    <w:rsid w:val="00910462"/>
    <w:rsid w:val="00915AB1"/>
    <w:rsid w:val="00917532"/>
    <w:rsid w:val="00920833"/>
    <w:rsid w:val="009215F9"/>
    <w:rsid w:val="009235BA"/>
    <w:rsid w:val="00924023"/>
    <w:rsid w:val="00924CE2"/>
    <w:rsid w:val="00925B9F"/>
    <w:rsid w:val="00931AED"/>
    <w:rsid w:val="00933131"/>
    <w:rsid w:val="00941E53"/>
    <w:rsid w:val="009476A3"/>
    <w:rsid w:val="009477D1"/>
    <w:rsid w:val="00950874"/>
    <w:rsid w:val="00952B6E"/>
    <w:rsid w:val="0095334F"/>
    <w:rsid w:val="00953483"/>
    <w:rsid w:val="009652C3"/>
    <w:rsid w:val="00965897"/>
    <w:rsid w:val="00965B2B"/>
    <w:rsid w:val="0096765C"/>
    <w:rsid w:val="009727E4"/>
    <w:rsid w:val="0097664C"/>
    <w:rsid w:val="00977522"/>
    <w:rsid w:val="0098037C"/>
    <w:rsid w:val="009813D0"/>
    <w:rsid w:val="00986196"/>
    <w:rsid w:val="009934C5"/>
    <w:rsid w:val="00994C0F"/>
    <w:rsid w:val="00995061"/>
    <w:rsid w:val="009A12CF"/>
    <w:rsid w:val="009B22D7"/>
    <w:rsid w:val="009B72ED"/>
    <w:rsid w:val="009B7A68"/>
    <w:rsid w:val="009C07C4"/>
    <w:rsid w:val="009C6DEB"/>
    <w:rsid w:val="009D1FCE"/>
    <w:rsid w:val="009D6504"/>
    <w:rsid w:val="009E12D7"/>
    <w:rsid w:val="009E661A"/>
    <w:rsid w:val="00A05D8F"/>
    <w:rsid w:val="00A06781"/>
    <w:rsid w:val="00A074C3"/>
    <w:rsid w:val="00A1509C"/>
    <w:rsid w:val="00A173BA"/>
    <w:rsid w:val="00A249B9"/>
    <w:rsid w:val="00A264EC"/>
    <w:rsid w:val="00A33E39"/>
    <w:rsid w:val="00A34260"/>
    <w:rsid w:val="00A368C2"/>
    <w:rsid w:val="00A418C9"/>
    <w:rsid w:val="00A4534E"/>
    <w:rsid w:val="00A45353"/>
    <w:rsid w:val="00A516F8"/>
    <w:rsid w:val="00A67DE1"/>
    <w:rsid w:val="00A70CFD"/>
    <w:rsid w:val="00A72A0B"/>
    <w:rsid w:val="00A74C86"/>
    <w:rsid w:val="00A81E42"/>
    <w:rsid w:val="00A864FE"/>
    <w:rsid w:val="00A86F41"/>
    <w:rsid w:val="00A87D04"/>
    <w:rsid w:val="00A950C5"/>
    <w:rsid w:val="00AA1B0E"/>
    <w:rsid w:val="00AA1D25"/>
    <w:rsid w:val="00AB1C7C"/>
    <w:rsid w:val="00AB2B1A"/>
    <w:rsid w:val="00AB397F"/>
    <w:rsid w:val="00AB5832"/>
    <w:rsid w:val="00AB6B37"/>
    <w:rsid w:val="00AC0BAD"/>
    <w:rsid w:val="00AC1E0D"/>
    <w:rsid w:val="00AC51F2"/>
    <w:rsid w:val="00AD3269"/>
    <w:rsid w:val="00AE5066"/>
    <w:rsid w:val="00AE5E24"/>
    <w:rsid w:val="00AE61B7"/>
    <w:rsid w:val="00AE6CBA"/>
    <w:rsid w:val="00AE79AD"/>
    <w:rsid w:val="00AF0346"/>
    <w:rsid w:val="00AF1426"/>
    <w:rsid w:val="00AF35E4"/>
    <w:rsid w:val="00AF5CDE"/>
    <w:rsid w:val="00B00454"/>
    <w:rsid w:val="00B11A57"/>
    <w:rsid w:val="00B211C3"/>
    <w:rsid w:val="00B218B3"/>
    <w:rsid w:val="00B21B1F"/>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1EB9"/>
    <w:rsid w:val="00B73166"/>
    <w:rsid w:val="00B73D0B"/>
    <w:rsid w:val="00B8426C"/>
    <w:rsid w:val="00B91B8D"/>
    <w:rsid w:val="00B94E90"/>
    <w:rsid w:val="00BB033D"/>
    <w:rsid w:val="00BB0A82"/>
    <w:rsid w:val="00BB39F1"/>
    <w:rsid w:val="00BB556B"/>
    <w:rsid w:val="00BB7C94"/>
    <w:rsid w:val="00BC0A9D"/>
    <w:rsid w:val="00BC2880"/>
    <w:rsid w:val="00BE06C7"/>
    <w:rsid w:val="00BE5C78"/>
    <w:rsid w:val="00BF30D4"/>
    <w:rsid w:val="00BF40ED"/>
    <w:rsid w:val="00BF5B5C"/>
    <w:rsid w:val="00BF5BC2"/>
    <w:rsid w:val="00C1133D"/>
    <w:rsid w:val="00C13593"/>
    <w:rsid w:val="00C16533"/>
    <w:rsid w:val="00C27A08"/>
    <w:rsid w:val="00C31312"/>
    <w:rsid w:val="00C31E36"/>
    <w:rsid w:val="00C326C6"/>
    <w:rsid w:val="00C35295"/>
    <w:rsid w:val="00C3670D"/>
    <w:rsid w:val="00C36ADD"/>
    <w:rsid w:val="00C36E74"/>
    <w:rsid w:val="00C40595"/>
    <w:rsid w:val="00C41621"/>
    <w:rsid w:val="00C449FA"/>
    <w:rsid w:val="00C463E9"/>
    <w:rsid w:val="00C5384F"/>
    <w:rsid w:val="00C5646A"/>
    <w:rsid w:val="00C56964"/>
    <w:rsid w:val="00C6031B"/>
    <w:rsid w:val="00C62B20"/>
    <w:rsid w:val="00C656D5"/>
    <w:rsid w:val="00C67103"/>
    <w:rsid w:val="00C70B3C"/>
    <w:rsid w:val="00C71BB9"/>
    <w:rsid w:val="00C77E04"/>
    <w:rsid w:val="00C84A01"/>
    <w:rsid w:val="00C94C28"/>
    <w:rsid w:val="00C9547D"/>
    <w:rsid w:val="00CA49D2"/>
    <w:rsid w:val="00CB0247"/>
    <w:rsid w:val="00CB1F2F"/>
    <w:rsid w:val="00CB3440"/>
    <w:rsid w:val="00CB562F"/>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3797A"/>
    <w:rsid w:val="00D56B76"/>
    <w:rsid w:val="00D603F6"/>
    <w:rsid w:val="00D6427D"/>
    <w:rsid w:val="00D708C6"/>
    <w:rsid w:val="00D70CD6"/>
    <w:rsid w:val="00D7540E"/>
    <w:rsid w:val="00D87062"/>
    <w:rsid w:val="00DA056F"/>
    <w:rsid w:val="00DA0C24"/>
    <w:rsid w:val="00DA6168"/>
    <w:rsid w:val="00DA7DA5"/>
    <w:rsid w:val="00DB073B"/>
    <w:rsid w:val="00DB413E"/>
    <w:rsid w:val="00DB78F0"/>
    <w:rsid w:val="00DC0CEA"/>
    <w:rsid w:val="00DC2E43"/>
    <w:rsid w:val="00DD095C"/>
    <w:rsid w:val="00DD1020"/>
    <w:rsid w:val="00DD1330"/>
    <w:rsid w:val="00DD37FE"/>
    <w:rsid w:val="00DE0B83"/>
    <w:rsid w:val="00DE1A81"/>
    <w:rsid w:val="00DE1C13"/>
    <w:rsid w:val="00DE4E10"/>
    <w:rsid w:val="00DF353E"/>
    <w:rsid w:val="00E02ABF"/>
    <w:rsid w:val="00E030AE"/>
    <w:rsid w:val="00E11B4B"/>
    <w:rsid w:val="00E14995"/>
    <w:rsid w:val="00E179CD"/>
    <w:rsid w:val="00E20231"/>
    <w:rsid w:val="00E22930"/>
    <w:rsid w:val="00E23E8D"/>
    <w:rsid w:val="00E317E3"/>
    <w:rsid w:val="00E376E3"/>
    <w:rsid w:val="00E37F98"/>
    <w:rsid w:val="00E46559"/>
    <w:rsid w:val="00E64BB5"/>
    <w:rsid w:val="00E65563"/>
    <w:rsid w:val="00E659E6"/>
    <w:rsid w:val="00E6670C"/>
    <w:rsid w:val="00E776E8"/>
    <w:rsid w:val="00E82B41"/>
    <w:rsid w:val="00E92C1F"/>
    <w:rsid w:val="00E95D4B"/>
    <w:rsid w:val="00EB02EA"/>
    <w:rsid w:val="00EB199F"/>
    <w:rsid w:val="00EB6C25"/>
    <w:rsid w:val="00EC23F7"/>
    <w:rsid w:val="00EC4BD8"/>
    <w:rsid w:val="00EC63EB"/>
    <w:rsid w:val="00ED412F"/>
    <w:rsid w:val="00ED5140"/>
    <w:rsid w:val="00EE4E0E"/>
    <w:rsid w:val="00EF0028"/>
    <w:rsid w:val="00EF36B2"/>
    <w:rsid w:val="00EF523F"/>
    <w:rsid w:val="00EF56BC"/>
    <w:rsid w:val="00F1246B"/>
    <w:rsid w:val="00F12FC5"/>
    <w:rsid w:val="00F16861"/>
    <w:rsid w:val="00F201EC"/>
    <w:rsid w:val="00F208A9"/>
    <w:rsid w:val="00F336FE"/>
    <w:rsid w:val="00F41D75"/>
    <w:rsid w:val="00F5139D"/>
    <w:rsid w:val="00F51CE7"/>
    <w:rsid w:val="00F55539"/>
    <w:rsid w:val="00F56C87"/>
    <w:rsid w:val="00F63DAC"/>
    <w:rsid w:val="00F65FA5"/>
    <w:rsid w:val="00F72F67"/>
    <w:rsid w:val="00F7454F"/>
    <w:rsid w:val="00F74E26"/>
    <w:rsid w:val="00F751DD"/>
    <w:rsid w:val="00F77988"/>
    <w:rsid w:val="00F77F48"/>
    <w:rsid w:val="00FB04D8"/>
    <w:rsid w:val="00FB2C2D"/>
    <w:rsid w:val="00FB30F1"/>
    <w:rsid w:val="00FB53E7"/>
    <w:rsid w:val="00FD0332"/>
    <w:rsid w:val="00FD2A8A"/>
    <w:rsid w:val="00FD411F"/>
    <w:rsid w:val="00FD4E79"/>
    <w:rsid w:val="00FE2489"/>
    <w:rsid w:val="00FF4355"/>
    <w:rsid w:val="00FF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D6D33836-34B6-43FD-95A5-D70C303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B71E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71EB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FFC8-5A6D-4714-BB97-D63ABBA7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6608</Characters>
  <Application>Microsoft Office Word</Application>
  <DocSecurity>0</DocSecurity>
  <Lines>314</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IEManot_171213</vt:lpstr>
      <vt:lpstr>IEManot_171213</vt:lpstr>
    </vt:vector>
  </TitlesOfParts>
  <Manager>Kaspars Āboliņš, tālr. 67219170</Manager>
  <Company>IEM Eiropas lietu un starptautiskās sadarbības departaments</Company>
  <LinksUpToDate>false</LinksUpToDate>
  <CharactersWithSpaces>7444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
  <cp:lastModifiedBy>Igors Silantjevs</cp:lastModifiedBy>
  <cp:revision>4</cp:revision>
  <cp:lastPrinted>2017-05-16T13:12:00Z</cp:lastPrinted>
  <dcterms:created xsi:type="dcterms:W3CDTF">2017-05-18T13:10:00Z</dcterms:created>
  <dcterms:modified xsi:type="dcterms:W3CDTF">2017-06-12T06:45:00Z</dcterms:modified>
  <cp:category>Sākotnējās ietekmes novērtējuma ziņojums (anotācija)</cp:category>
</cp:coreProperties>
</file>