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2CDD5" w14:textId="77777777" w:rsidR="00C611AC" w:rsidRDefault="00C611AC" w:rsidP="00B352C3">
      <w:pPr>
        <w:pStyle w:val="Title"/>
        <w:outlineLvl w:val="0"/>
      </w:pPr>
      <w:bookmarkStart w:id="0" w:name="OLE_LINK1"/>
      <w:bookmarkStart w:id="1" w:name="OLE_LINK2"/>
    </w:p>
    <w:bookmarkEnd w:id="0"/>
    <w:bookmarkEnd w:id="1"/>
    <w:p w14:paraId="7D9F49E7" w14:textId="47D31D5B" w:rsidR="00C611AC" w:rsidRPr="005736DB" w:rsidRDefault="006E7BBA" w:rsidP="00FE7ED6">
      <w:pPr>
        <w:jc w:val="center"/>
        <w:rPr>
          <w:b/>
        </w:rPr>
      </w:pPr>
      <w:r w:rsidRPr="005736DB">
        <w:rPr>
          <w:b/>
        </w:rPr>
        <w:t xml:space="preserve">Ministru kabineta noteikumu projekta </w:t>
      </w:r>
      <w:r w:rsidR="00FE7ED6">
        <w:rPr>
          <w:b/>
        </w:rPr>
        <w:t>“</w:t>
      </w:r>
      <w:r w:rsidR="005736DB" w:rsidRPr="005736DB">
        <w:rPr>
          <w:b/>
        </w:rPr>
        <w:t xml:space="preserve">Par </w:t>
      </w:r>
      <w:r w:rsidR="00A247B1" w:rsidRPr="00A247B1">
        <w:rPr>
          <w:b/>
        </w:rPr>
        <w:t>Latvijas Republikas valdības un Azerbaidžānas Republikas valdības līgumu par sadarbību izglītības jomā</w:t>
      </w:r>
      <w:r w:rsidR="005736DB" w:rsidRPr="005736DB">
        <w:rPr>
          <w:b/>
          <w:color w:val="000000"/>
        </w:rPr>
        <w:t xml:space="preserve">” </w:t>
      </w:r>
      <w:r w:rsidR="00852042" w:rsidRPr="005736DB">
        <w:rPr>
          <w:b/>
        </w:rPr>
        <w:t>sākotnējā</w:t>
      </w:r>
      <w:r w:rsidR="002D3306" w:rsidRPr="005736DB">
        <w:rPr>
          <w:b/>
        </w:rPr>
        <w:t>s</w:t>
      </w:r>
      <w:r w:rsidR="00852042" w:rsidRPr="005736DB">
        <w:rPr>
          <w:b/>
        </w:rPr>
        <w:t xml:space="preserve">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="00852042" w:rsidRPr="005736DB">
          <w:rPr>
            <w:b/>
          </w:rPr>
          <w:t>ziņojums</w:t>
        </w:r>
      </w:smartTag>
      <w:r w:rsidR="00852042" w:rsidRPr="005736DB">
        <w:rPr>
          <w:b/>
        </w:rPr>
        <w:t xml:space="preserve"> (anotācija)</w:t>
      </w:r>
    </w:p>
    <w:tbl>
      <w:tblPr>
        <w:tblpPr w:leftFromText="180" w:rightFromText="180" w:vertAnchor="text" w:horzAnchor="margin" w:tblpXSpec="center" w:tblpY="149"/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3195"/>
        <w:gridCol w:w="5602"/>
      </w:tblGrid>
      <w:tr w:rsidR="00852042" w:rsidRPr="007C0F2C" w14:paraId="3F7C45F0" w14:textId="77777777" w:rsidTr="008272B4">
        <w:trPr>
          <w:trHeight w:val="121"/>
        </w:trPr>
        <w:tc>
          <w:tcPr>
            <w:tcW w:w="9513" w:type="dxa"/>
            <w:gridSpan w:val="3"/>
            <w:vAlign w:val="center"/>
          </w:tcPr>
          <w:p w14:paraId="62E327D7" w14:textId="77777777" w:rsidR="00852042" w:rsidRPr="007C0F2C" w:rsidRDefault="00852042" w:rsidP="00BD06FC">
            <w:pPr>
              <w:pStyle w:val="naisnod"/>
              <w:spacing w:before="120" w:after="120"/>
            </w:pPr>
            <w:r w:rsidRPr="007C0F2C">
              <w:t>I</w:t>
            </w:r>
            <w:r w:rsidR="000941C5" w:rsidRPr="007C0F2C">
              <w:t>.</w:t>
            </w:r>
            <w:r w:rsidRPr="007C0F2C">
              <w:t xml:space="preserve"> Tiesību akta </w:t>
            </w:r>
            <w:r w:rsidR="002E3FF4" w:rsidRPr="007C0F2C">
              <w:t xml:space="preserve">projekta </w:t>
            </w:r>
            <w:r w:rsidRPr="007C0F2C">
              <w:t>izstrādes nepieciešamība</w:t>
            </w:r>
          </w:p>
        </w:tc>
      </w:tr>
      <w:tr w:rsidR="00262E2B" w:rsidRPr="007C0F2C" w14:paraId="53EC628C" w14:textId="77777777" w:rsidTr="008272B4">
        <w:trPr>
          <w:trHeight w:val="382"/>
        </w:trPr>
        <w:tc>
          <w:tcPr>
            <w:tcW w:w="716" w:type="dxa"/>
          </w:tcPr>
          <w:p w14:paraId="1D93D212" w14:textId="77777777" w:rsidR="00262E2B" w:rsidRPr="002D6487" w:rsidRDefault="00262E2B" w:rsidP="00BD06FC">
            <w:pPr>
              <w:pStyle w:val="naiskr"/>
              <w:spacing w:before="120" w:after="120"/>
            </w:pPr>
            <w:r w:rsidRPr="002D6487">
              <w:t>1.</w:t>
            </w:r>
          </w:p>
        </w:tc>
        <w:tc>
          <w:tcPr>
            <w:tcW w:w="3195" w:type="dxa"/>
          </w:tcPr>
          <w:p w14:paraId="4AEEB3C3" w14:textId="77777777" w:rsidR="00262E2B" w:rsidRPr="002D6487" w:rsidRDefault="002D7F54" w:rsidP="00BD06FC">
            <w:pPr>
              <w:pStyle w:val="naiskr"/>
              <w:spacing w:before="120" w:after="120"/>
              <w:ind w:hanging="10"/>
            </w:pPr>
            <w:r w:rsidRPr="002D6487">
              <w:t>Pamatojums</w:t>
            </w:r>
          </w:p>
        </w:tc>
        <w:tc>
          <w:tcPr>
            <w:tcW w:w="5602" w:type="dxa"/>
          </w:tcPr>
          <w:p w14:paraId="427314A9" w14:textId="7452D118" w:rsidR="007F3149" w:rsidRPr="002D6487" w:rsidRDefault="005736DB" w:rsidP="006767F1">
            <w:pPr>
              <w:widowControl w:val="0"/>
              <w:spacing w:after="120"/>
              <w:ind w:left="64" w:right="198"/>
              <w:jc w:val="both"/>
            </w:pPr>
            <w:r w:rsidRPr="005736DB">
              <w:t>M</w:t>
            </w:r>
            <w:r w:rsidR="00C34F91" w:rsidRPr="005736DB">
              <w:t xml:space="preserve">inistru kabineta noteikumu projekts </w:t>
            </w:r>
            <w:r w:rsidR="00FE7ED6">
              <w:t>“P</w:t>
            </w:r>
            <w:r w:rsidRPr="005736DB">
              <w:t xml:space="preserve">ar </w:t>
            </w:r>
            <w:r w:rsidR="004361ED">
              <w:t xml:space="preserve"> </w:t>
            </w:r>
            <w:r w:rsidR="00A247B1">
              <w:t xml:space="preserve"> </w:t>
            </w:r>
            <w:r w:rsidR="00A247B1" w:rsidRPr="00A247B1">
              <w:t>Latvijas Republikas valdības un Azerbaidžānas Republikas valdības līgumu par sadarbību izglītības jomā</w:t>
            </w:r>
            <w:r w:rsidR="00C34F91" w:rsidRPr="005736DB">
              <w:t>”</w:t>
            </w:r>
            <w:r w:rsidRPr="005736DB">
              <w:t xml:space="preserve"> ir </w:t>
            </w:r>
            <w:r w:rsidR="00C34F91" w:rsidRPr="005736DB">
              <w:t xml:space="preserve">izstrādāts, </w:t>
            </w:r>
            <w:r>
              <w:t xml:space="preserve">ievērojot </w:t>
            </w:r>
            <w:r w:rsidRPr="005F6D7B">
              <w:t xml:space="preserve">abu </w:t>
            </w:r>
            <w:r w:rsidR="006767F1">
              <w:t>līgumslēdzēju p</w:t>
            </w:r>
            <w:r w:rsidRPr="005F6D7B">
              <w:t>ušu interesi</w:t>
            </w:r>
            <w:r w:rsidR="00FA6D6F">
              <w:t xml:space="preserve"> un ņemot vērā </w:t>
            </w:r>
            <w:proofErr w:type="spellStart"/>
            <w:r w:rsidR="00FA6D6F">
              <w:t>M.Kučinska</w:t>
            </w:r>
            <w:proofErr w:type="spellEnd"/>
            <w:r w:rsidR="00FA6D6F">
              <w:t xml:space="preserve"> valdības deklarācijas 120.1.</w:t>
            </w:r>
            <w:r w:rsidR="006767F1">
              <w:t> </w:t>
            </w:r>
            <w:r w:rsidR="00FA6D6F">
              <w:t xml:space="preserve">punktā noteikto uzdevumu </w:t>
            </w:r>
            <w:r w:rsidR="00BE767C">
              <w:t>par a</w:t>
            </w:r>
            <w:r w:rsidR="00FA6D6F" w:rsidRPr="00FA6D6F">
              <w:t>kadēmisk</w:t>
            </w:r>
            <w:r w:rsidR="00BE767C">
              <w:t>ās</w:t>
            </w:r>
            <w:r w:rsidR="00FA6D6F" w:rsidRPr="00FA6D6F">
              <w:t xml:space="preserve"> mobilitāt</w:t>
            </w:r>
            <w:r w:rsidR="00BE767C">
              <w:t>es veicināšanu</w:t>
            </w:r>
            <w:r w:rsidR="00FA6D6F">
              <w:t xml:space="preserve"> un </w:t>
            </w:r>
            <w:r w:rsidR="00BE767C">
              <w:t>ārvalstu studējošo īpatsvara palielināšanu</w:t>
            </w:r>
            <w:r w:rsidR="00FA6D6F">
              <w:t>.</w:t>
            </w:r>
          </w:p>
        </w:tc>
      </w:tr>
      <w:tr w:rsidR="00262E2B" w:rsidRPr="007C0F2C" w14:paraId="75469679" w14:textId="77777777" w:rsidTr="008272B4">
        <w:trPr>
          <w:trHeight w:val="274"/>
        </w:trPr>
        <w:tc>
          <w:tcPr>
            <w:tcW w:w="716" w:type="dxa"/>
          </w:tcPr>
          <w:p w14:paraId="2E8D75D1" w14:textId="77777777" w:rsidR="00262E2B" w:rsidRPr="002D6487" w:rsidRDefault="00262E2B" w:rsidP="00BD06FC">
            <w:pPr>
              <w:pStyle w:val="naiskr"/>
              <w:spacing w:before="120" w:after="120"/>
            </w:pPr>
            <w:r w:rsidRPr="002D6487">
              <w:t>2.</w:t>
            </w:r>
          </w:p>
        </w:tc>
        <w:tc>
          <w:tcPr>
            <w:tcW w:w="3195" w:type="dxa"/>
          </w:tcPr>
          <w:p w14:paraId="03EDAE6B" w14:textId="77777777" w:rsidR="00262E2B" w:rsidRPr="002D6487" w:rsidRDefault="00262E2B" w:rsidP="00BD06FC">
            <w:pPr>
              <w:pStyle w:val="naiskr"/>
              <w:tabs>
                <w:tab w:val="left" w:pos="170"/>
              </w:tabs>
              <w:spacing w:before="120" w:after="120"/>
            </w:pPr>
            <w:r w:rsidRPr="002D6487">
              <w:t>Pašreizējā situācija</w:t>
            </w:r>
            <w:r w:rsidR="001F5CD6" w:rsidRPr="002D6487">
              <w:t xml:space="preserve"> un problēmas</w:t>
            </w:r>
            <w:r w:rsidR="00554BE8">
              <w:t>, kuru risināšanai tiesību akta projekts izstrādāts, tiesiskā regulējuma mērķis un būtība</w:t>
            </w:r>
          </w:p>
        </w:tc>
        <w:tc>
          <w:tcPr>
            <w:tcW w:w="5602" w:type="dxa"/>
          </w:tcPr>
          <w:p w14:paraId="4FF67474" w14:textId="25FEC2A5" w:rsidR="00CC1988" w:rsidRDefault="00CC1988" w:rsidP="00CC1988">
            <w:pPr>
              <w:ind w:left="64" w:right="152"/>
              <w:jc w:val="both"/>
            </w:pPr>
            <w:r>
              <w:t>2016.</w:t>
            </w:r>
            <w:r w:rsidR="002B216D">
              <w:t>/2017. akadēmiskajā</w:t>
            </w:r>
            <w:r w:rsidR="00097E64">
              <w:t xml:space="preserve"> </w:t>
            </w:r>
            <w:r>
              <w:t>gadā Latvijā pilna laika studijās un kā apmaiņas studenti kopā studēja 149 studenti no Azerbaidžānas</w:t>
            </w:r>
            <w:r w:rsidR="00854E9A">
              <w:t xml:space="preserve"> </w:t>
            </w:r>
            <w:r w:rsidR="00854E9A" w:rsidRPr="00F153EC">
              <w:rPr>
                <w:sz w:val="22"/>
              </w:rPr>
              <w:t>(1.8% no kopējā ārvalstu studentu skaita)</w:t>
            </w:r>
            <w:r>
              <w:t>. Azerbaidžānas studentu skaits Latvijas augstskolās pēdējo gadu laikā saglabājas līdzīgā apjomā.</w:t>
            </w:r>
            <w:r w:rsidR="00854E9A">
              <w:t xml:space="preserve"> </w:t>
            </w:r>
          </w:p>
          <w:p w14:paraId="5A24631D" w14:textId="77777777" w:rsidR="002B216D" w:rsidRDefault="00821708" w:rsidP="00821708">
            <w:pPr>
              <w:ind w:left="64" w:right="152"/>
              <w:jc w:val="both"/>
            </w:pPr>
            <w:r>
              <w:t>Vairākām Latvijas augstskolām ir noslēgti sadarbības līgumi ar augstskol</w:t>
            </w:r>
            <w:r w:rsidR="00CE06C4">
              <w:t>ām Azerbaidžānā, un sadarbības veicināšanai tiek izmantotas arī Eiropas Savienības programmas. Piemēram, Eiropas Savienības programmas “</w:t>
            </w:r>
            <w:r w:rsidR="00CE06C4" w:rsidRPr="00260E2A">
              <w:t>Erasmus+</w:t>
            </w:r>
            <w:r w:rsidR="00CE06C4">
              <w:t>”</w:t>
            </w:r>
            <w:r w:rsidR="00CE06C4" w:rsidRPr="00260E2A">
              <w:t xml:space="preserve"> aktivitātes </w:t>
            </w:r>
            <w:r w:rsidR="00CE06C4">
              <w:t>“</w:t>
            </w:r>
            <w:r w:rsidR="00CE06C4" w:rsidRPr="00260E2A">
              <w:t>Augstākās izglītības sektora mobilitāte starp Programmas un Partnervalstīm</w:t>
            </w:r>
            <w:r w:rsidR="00CE06C4">
              <w:t>”</w:t>
            </w:r>
            <w:r w:rsidR="00CE06C4" w:rsidRPr="00260E2A">
              <w:t xml:space="preserve"> 2016.gada konkursa ietvaros ir atbalstīta</w:t>
            </w:r>
            <w:r w:rsidR="00CE06C4">
              <w:t xml:space="preserve"> Vidzemes Augstskolas sadarbība ar divām Azerbaidžānas augstskolām.</w:t>
            </w:r>
            <w:r w:rsidR="00E71F8D">
              <w:t xml:space="preserve"> </w:t>
            </w:r>
          </w:p>
          <w:p w14:paraId="17925039" w14:textId="40FB38CF" w:rsidR="00821708" w:rsidRDefault="00CE06C4" w:rsidP="00821708">
            <w:pPr>
              <w:ind w:left="64" w:right="152"/>
              <w:jc w:val="both"/>
            </w:pPr>
            <w:r>
              <w:t xml:space="preserve">Akadēmiskās informācijas centrs </w:t>
            </w:r>
            <w:r w:rsidR="00821708">
              <w:t>2013. gad</w:t>
            </w:r>
            <w:r>
              <w:t xml:space="preserve">a </w:t>
            </w:r>
            <w:r w:rsidR="00821708">
              <w:t>5.</w:t>
            </w:r>
            <w:r>
              <w:noBreakHyphen/>
            </w:r>
            <w:r w:rsidR="00821708">
              <w:t>6.</w:t>
            </w:r>
            <w:r>
              <w:t> </w:t>
            </w:r>
            <w:r w:rsidR="00821708">
              <w:t>oktobr</w:t>
            </w:r>
            <w:r>
              <w:t>ī ar</w:t>
            </w:r>
            <w:r w:rsidR="00821708">
              <w:t xml:space="preserve"> Latvija</w:t>
            </w:r>
            <w:r>
              <w:t>s stendu “</w:t>
            </w:r>
            <w:proofErr w:type="spellStart"/>
            <w:r>
              <w:t>Study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Latvia” piedalījās augstākās izglītības izstādē</w:t>
            </w:r>
            <w:r w:rsidR="00821708">
              <w:t xml:space="preserve"> </w:t>
            </w:r>
            <w:r>
              <w:t>Baku</w:t>
            </w:r>
            <w:r w:rsidR="00E71F8D">
              <w:t>. Izstādē</w:t>
            </w:r>
            <w:r>
              <w:t xml:space="preserve"> bija pārstāvētas </w:t>
            </w:r>
            <w:r w:rsidR="00E71F8D">
              <w:t>sešas</w:t>
            </w:r>
            <w:r>
              <w:t xml:space="preserve"> Latvijas augstskolas.</w:t>
            </w:r>
          </w:p>
          <w:p w14:paraId="2CFE6930" w14:textId="23958066" w:rsidR="008C1CFB" w:rsidRPr="00BC5D3B" w:rsidRDefault="008C1CFB" w:rsidP="004361ED">
            <w:pPr>
              <w:pStyle w:val="Default"/>
              <w:ind w:left="64" w:right="152"/>
              <w:jc w:val="both"/>
              <w:rPr>
                <w:rFonts w:ascii="Times New Roman" w:hAnsi="Times New Roman"/>
              </w:rPr>
            </w:pPr>
            <w:r w:rsidRPr="008C1CFB">
              <w:rPr>
                <w:rFonts w:ascii="Times New Roman" w:hAnsi="Times New Roman" w:cs="Times New Roman"/>
              </w:rPr>
              <w:t>2006.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1CFB">
              <w:rPr>
                <w:rFonts w:ascii="Times New Roman" w:hAnsi="Times New Roman" w:cs="Times New Roman"/>
              </w:rPr>
              <w:t>gada 4.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1CFB">
              <w:rPr>
                <w:rFonts w:ascii="Times New Roman" w:hAnsi="Times New Roman" w:cs="Times New Roman"/>
              </w:rPr>
              <w:t>oktobrī parakstītais Latvijas Republikas Izglītības un zinātnes ministrijas un Azerbaidžānas Republikas Izglītības ministrijas līgums par sadarbību izglītības jomā</w:t>
            </w:r>
            <w:r>
              <w:rPr>
                <w:rFonts w:ascii="Times New Roman" w:hAnsi="Times New Roman" w:cs="Times New Roman"/>
              </w:rPr>
              <w:t xml:space="preserve"> savu darbību beidza 2011. gada 31. decembrī. </w:t>
            </w:r>
            <w:r w:rsidRPr="008C1CFB">
              <w:rPr>
                <w:rFonts w:ascii="Times New Roman" w:hAnsi="Times New Roman" w:cs="Times New Roman"/>
              </w:rPr>
              <w:t xml:space="preserve">Pēc </w:t>
            </w:r>
            <w:r>
              <w:rPr>
                <w:rFonts w:ascii="Times New Roman" w:hAnsi="Times New Roman" w:cs="Times New Roman"/>
              </w:rPr>
              <w:t xml:space="preserve">konsultācijām ar </w:t>
            </w:r>
            <w:r w:rsidRPr="008C1CFB">
              <w:rPr>
                <w:rFonts w:ascii="Times New Roman" w:hAnsi="Times New Roman" w:cs="Times New Roman"/>
              </w:rPr>
              <w:t xml:space="preserve">Azerbaidžānas </w:t>
            </w:r>
            <w:r w:rsidR="00BC5D3B">
              <w:rPr>
                <w:rFonts w:ascii="Times New Roman" w:hAnsi="Times New Roman" w:cs="Times New Roman"/>
              </w:rPr>
              <w:t xml:space="preserve">Republikas </w:t>
            </w:r>
            <w:r>
              <w:rPr>
                <w:rFonts w:ascii="Times New Roman" w:hAnsi="Times New Roman" w:cs="Times New Roman"/>
              </w:rPr>
              <w:t>Izglītības ministriju</w:t>
            </w:r>
            <w:r w:rsidR="00BC5D3B">
              <w:rPr>
                <w:rFonts w:ascii="Times New Roman" w:hAnsi="Times New Roman" w:cs="Times New Roman"/>
              </w:rPr>
              <w:t xml:space="preserve"> un </w:t>
            </w:r>
            <w:r w:rsidR="00EE1C02">
              <w:rPr>
                <w:rFonts w:ascii="Times New Roman" w:hAnsi="Times New Roman" w:cs="Times New Roman"/>
              </w:rPr>
              <w:t>ņemot vērā abu pušu intereses</w:t>
            </w:r>
            <w:r w:rsidRPr="008C1CFB">
              <w:rPr>
                <w:rFonts w:ascii="Times New Roman" w:hAnsi="Times New Roman" w:cs="Times New Roman"/>
              </w:rPr>
              <w:t>, Izglītības un zinātnes ministrija</w:t>
            </w:r>
            <w:r w:rsidR="00BC5D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sagatavoja </w:t>
            </w:r>
            <w:r w:rsidRPr="00EF7C30">
              <w:rPr>
                <w:rFonts w:ascii="Times New Roman" w:hAnsi="Times New Roman"/>
              </w:rPr>
              <w:t>Latvijas Republikas valdības un Azerbaidžānas Republikas valdības līguma par sadarbību izglītības un zinātnes jomās</w:t>
            </w:r>
            <w:r>
              <w:rPr>
                <w:rFonts w:ascii="Times New Roman" w:hAnsi="Times New Roman"/>
              </w:rPr>
              <w:t xml:space="preserve"> (turpmāk – līgums) projektu un to pa diplomātiskiem kanāliem nosūtīja </w:t>
            </w:r>
            <w:r w:rsidR="00BC5D3B">
              <w:rPr>
                <w:rFonts w:ascii="Times New Roman" w:hAnsi="Times New Roman"/>
              </w:rPr>
              <w:t xml:space="preserve">Azerbaidžānas pusei 2016. gada novembrī. 2017. gada 23. maijā </w:t>
            </w:r>
            <w:r w:rsidR="000947AD" w:rsidRPr="002D648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0947AD">
              <w:rPr>
                <w:rFonts w:ascii="Times New Roman" w:hAnsi="Times New Roman" w:cs="Times New Roman"/>
                <w:color w:val="auto"/>
              </w:rPr>
              <w:t>Izglītības un zinātnes ministrijā</w:t>
            </w:r>
            <w:r w:rsidR="00BC5D3B">
              <w:rPr>
                <w:rFonts w:ascii="Times New Roman" w:hAnsi="Times New Roman"/>
              </w:rPr>
              <w:t xml:space="preserve"> tika saņemti pa diplomātiskiem kanāliem sūtītie Azerbaidžānas puses komentāri, par kuriem pirms </w:t>
            </w:r>
            <w:r w:rsidR="00BC5D3B" w:rsidRPr="00BC5D3B">
              <w:rPr>
                <w:rFonts w:ascii="Times New Roman" w:hAnsi="Times New Roman"/>
              </w:rPr>
              <w:t>2017. gada 20. jūnijā Baku, Azerbaidžānā notikušās Latvijas – Azerbaidžānas Starpvaldību komisijas 7. sēdes</w:t>
            </w:r>
            <w:r w:rsidR="00EC37A8">
              <w:rPr>
                <w:rFonts w:ascii="Times New Roman" w:hAnsi="Times New Roman"/>
              </w:rPr>
              <w:t xml:space="preserve"> (turpmāk – SVK sēde)</w:t>
            </w:r>
            <w:r w:rsidR="00BC5D3B" w:rsidRPr="00BC5D3B">
              <w:rPr>
                <w:rFonts w:ascii="Times New Roman" w:hAnsi="Times New Roman"/>
              </w:rPr>
              <w:t xml:space="preserve"> </w:t>
            </w:r>
            <w:r w:rsidR="00BC5D3B">
              <w:rPr>
                <w:rFonts w:ascii="Times New Roman" w:hAnsi="Times New Roman"/>
              </w:rPr>
              <w:t xml:space="preserve">tika sniegta atbilde. </w:t>
            </w:r>
            <w:r w:rsidR="00EC37A8">
              <w:rPr>
                <w:rFonts w:ascii="Times New Roman" w:hAnsi="Times New Roman"/>
              </w:rPr>
              <w:t xml:space="preserve">SVK sēdes laikā Azerbaidžānas puse apliecināja </w:t>
            </w:r>
            <w:r w:rsidR="00EE1C02">
              <w:rPr>
                <w:rFonts w:ascii="Times New Roman" w:hAnsi="Times New Roman"/>
              </w:rPr>
              <w:t xml:space="preserve">interesi </w:t>
            </w:r>
            <w:r w:rsidR="00EC37A8">
              <w:rPr>
                <w:rFonts w:ascii="Times New Roman" w:hAnsi="Times New Roman"/>
              </w:rPr>
              <w:t xml:space="preserve">parakstīt līgumu </w:t>
            </w:r>
            <w:r w:rsidR="00EC37A8" w:rsidRPr="00EC37A8">
              <w:rPr>
                <w:rFonts w:ascii="Times New Roman" w:hAnsi="Times New Roman"/>
              </w:rPr>
              <w:t xml:space="preserve">Azerbaidžānas Republikas prezidenta </w:t>
            </w:r>
            <w:proofErr w:type="spellStart"/>
            <w:r w:rsidR="00EC37A8" w:rsidRPr="00EC37A8">
              <w:rPr>
                <w:rFonts w:ascii="Times New Roman" w:hAnsi="Times New Roman"/>
              </w:rPr>
              <w:t>Iļhama</w:t>
            </w:r>
            <w:proofErr w:type="spellEnd"/>
            <w:r w:rsidR="00EC37A8" w:rsidRPr="00EC37A8">
              <w:rPr>
                <w:rFonts w:ascii="Times New Roman" w:hAnsi="Times New Roman"/>
              </w:rPr>
              <w:t xml:space="preserve"> Alijeva oficiālās vizītes Latvijā laikā 2017. gada 1</w:t>
            </w:r>
            <w:r w:rsidR="00EC37A8">
              <w:rPr>
                <w:rFonts w:ascii="Times New Roman" w:hAnsi="Times New Roman"/>
              </w:rPr>
              <w:t>8.</w:t>
            </w:r>
            <w:r w:rsidR="00EC37A8">
              <w:rPr>
                <w:rFonts w:ascii="Times New Roman" w:hAnsi="Times New Roman"/>
              </w:rPr>
              <w:noBreakHyphen/>
              <w:t>19. </w:t>
            </w:r>
            <w:r w:rsidR="00EC37A8" w:rsidRPr="00EC37A8">
              <w:rPr>
                <w:rFonts w:ascii="Times New Roman" w:hAnsi="Times New Roman"/>
              </w:rPr>
              <w:t>jūlijā</w:t>
            </w:r>
            <w:r w:rsidR="00EC37A8">
              <w:rPr>
                <w:rFonts w:ascii="Times New Roman" w:hAnsi="Times New Roman"/>
              </w:rPr>
              <w:t>.</w:t>
            </w:r>
          </w:p>
          <w:p w14:paraId="11B1CCD2" w14:textId="36DA95E6" w:rsidR="007F4FD9" w:rsidRDefault="005E2D36" w:rsidP="00035136">
            <w:pPr>
              <w:ind w:left="64" w:right="152"/>
              <w:jc w:val="both"/>
            </w:pPr>
            <w:r w:rsidRPr="005E2D36">
              <w:lastRenderedPageBreak/>
              <w:t xml:space="preserve">Līgums paredz, ka </w:t>
            </w:r>
            <w:r w:rsidR="00DA2C4D">
              <w:t>p</w:t>
            </w:r>
            <w:r w:rsidRPr="005E2D36">
              <w:t xml:space="preserve">uses veicinās pieredzes un informācijas apmaiņu izglītības jomā, atbalstīs un veicinās sadarbību </w:t>
            </w:r>
            <w:r w:rsidR="00CC1988">
              <w:t xml:space="preserve">un tiešu kontaktu veidošanos </w:t>
            </w:r>
            <w:r w:rsidRPr="005E2D36">
              <w:t xml:space="preserve">starp </w:t>
            </w:r>
            <w:r w:rsidR="00BC5D3B">
              <w:t>visu</w:t>
            </w:r>
            <w:r w:rsidR="00EE1C02">
              <w:t xml:space="preserve"> izglītības</w:t>
            </w:r>
            <w:r w:rsidR="00BC5D3B">
              <w:t xml:space="preserve"> līmeņu</w:t>
            </w:r>
            <w:r w:rsidR="00170FD3">
              <w:t xml:space="preserve"> </w:t>
            </w:r>
            <w:r w:rsidRPr="005E2D36">
              <w:t xml:space="preserve">iestādēm, kā arī studentu, izglītības amatpersonu, akadēmiskā personāla, ekspertu un speciālistu mobilitāti. </w:t>
            </w:r>
            <w:r w:rsidR="007F4FD9">
              <w:t>L</w:t>
            </w:r>
            <w:r w:rsidR="007F4FD9" w:rsidRPr="00DA4D2D">
              <w:t xml:space="preserve">īgums paredz </w:t>
            </w:r>
            <w:r w:rsidR="007F4FD9">
              <w:t xml:space="preserve">arī </w:t>
            </w:r>
            <w:r w:rsidR="00BC5D3B">
              <w:t>Apvienotās komisijas</w:t>
            </w:r>
            <w:r w:rsidR="007F4FD9">
              <w:t xml:space="preserve"> </w:t>
            </w:r>
            <w:r w:rsidR="007F4FD9" w:rsidRPr="00F33A4E">
              <w:t xml:space="preserve">izveidošanu </w:t>
            </w:r>
            <w:r w:rsidR="007F4FD9">
              <w:t>sadarbības izglītības jomā veicināšanai.</w:t>
            </w:r>
          </w:p>
          <w:p w14:paraId="17DF6528" w14:textId="417D809E" w:rsidR="000E105F" w:rsidRDefault="005E2D36" w:rsidP="000E105F">
            <w:pPr>
              <w:ind w:left="64" w:right="152"/>
              <w:jc w:val="both"/>
            </w:pPr>
            <w:r w:rsidRPr="005E2D36">
              <w:t xml:space="preserve">Puses </w:t>
            </w:r>
            <w:r w:rsidR="00170FD3">
              <w:t>piedāvās</w:t>
            </w:r>
            <w:r w:rsidRPr="005E2D36">
              <w:t xml:space="preserve"> viena otrai stipendijas studijām </w:t>
            </w:r>
            <w:r w:rsidR="00170FD3">
              <w:t xml:space="preserve">un pētniecībai </w:t>
            </w:r>
            <w:r w:rsidR="00BC5D3B">
              <w:t>augstākās izglītības iestādēs</w:t>
            </w:r>
            <w:r w:rsidRPr="005E2D36">
              <w:t xml:space="preserve"> un </w:t>
            </w:r>
            <w:r w:rsidR="00170FD3">
              <w:t>dalībai vasaras skolās</w:t>
            </w:r>
            <w:r w:rsidRPr="00DA4D2D">
              <w:t>.</w:t>
            </w:r>
            <w:r w:rsidR="00170FD3">
              <w:t xml:space="preserve"> </w:t>
            </w:r>
            <w:r w:rsidR="007F4FD9">
              <w:t xml:space="preserve">Lai Latvija </w:t>
            </w:r>
            <w:r w:rsidR="00BC5D3B">
              <w:t>Azerbaidžānas</w:t>
            </w:r>
            <w:r w:rsidR="007F4FD9">
              <w:t xml:space="preserve"> studentiem varētu piešķirt Latvijas valsts stipendijas ārvalstniekiem, kas tiek piešķirtas no valsts budžeta līdzekļiem saskaņā ar Augstskolu likuma </w:t>
            </w:r>
            <w:r w:rsidR="007F4FD9" w:rsidRPr="00D523E4">
              <w:t>83.</w:t>
            </w:r>
            <w:r w:rsidR="007F4FD9" w:rsidRPr="00D523E4">
              <w:rPr>
                <w:vertAlign w:val="superscript"/>
              </w:rPr>
              <w:t>1</w:t>
            </w:r>
            <w:r w:rsidR="007F4FD9">
              <w:t xml:space="preserve"> pantu, ir jābūt noslēgtam atbilstošam starptautiskam līgumam. </w:t>
            </w:r>
            <w:r w:rsidR="000E105F">
              <w:t xml:space="preserve">2017. gadā stipendijas ne Latvija, ne Azerbaidžāna otrai pusei nepiedāvāja, kaut iepriekšējos gados stipendijas tika piešķirtas (2016. gadā – 5 Azerbaidžānas studentiem studijām Latvijā, 2015. gadā – 2 studentiem un 2014. gadā – 3 studentiem). Iepriekš no Azerbaidžānas puses tika saņemti piedāvājumi pieteikties stipendijām Azerbaidžānas Diplomātijas akadēmijā un </w:t>
            </w:r>
            <w:r w:rsidR="000E105F" w:rsidRPr="000E105F">
              <w:t>Azerbaidžānas Starptautiskā attīstības aģentūra</w:t>
            </w:r>
            <w:r w:rsidR="000E105F">
              <w:t>s</w:t>
            </w:r>
            <w:r w:rsidR="000E105F" w:rsidRPr="000E105F">
              <w:t xml:space="preserve"> stipendijām </w:t>
            </w:r>
            <w:r w:rsidR="00821708" w:rsidRPr="00821708">
              <w:t>tādai pētniecībai, kas sai</w:t>
            </w:r>
            <w:r w:rsidR="00821708">
              <w:t>stīta ar Azerbaidžānas attīstību</w:t>
            </w:r>
            <w:r w:rsidR="000E105F">
              <w:t>.</w:t>
            </w:r>
            <w:r w:rsidR="00EC37A8">
              <w:t xml:space="preserve"> </w:t>
            </w:r>
            <w:r w:rsidR="000947AD">
              <w:t>Iz</w:t>
            </w:r>
            <w:r w:rsidR="000947AD" w:rsidRPr="002D6487">
              <w:t>glītības un zinātnes ministrija</w:t>
            </w:r>
            <w:r w:rsidR="000947AD">
              <w:t>s</w:t>
            </w:r>
            <w:r w:rsidR="00EC37A8">
              <w:t xml:space="preserve"> rīcībā nav informācijas par Azerbaidžānas puses piešķirtajām stipendijām.</w:t>
            </w:r>
          </w:p>
          <w:p w14:paraId="7735E8CF" w14:textId="5EB90696" w:rsidR="000E105F" w:rsidRDefault="00806A93" w:rsidP="008C1CFB">
            <w:pPr>
              <w:ind w:left="64" w:right="152"/>
              <w:jc w:val="both"/>
              <w:rPr>
                <w:bCs/>
              </w:rPr>
            </w:pPr>
            <w:r>
              <w:t xml:space="preserve">Līgums paredz atbalstu </w:t>
            </w:r>
            <w:r w:rsidR="000E105F" w:rsidRPr="00CD3E20">
              <w:t>otras puses valodas, kultūras, literatūras un vēstur</w:t>
            </w:r>
            <w:r w:rsidR="000E105F">
              <w:t>es apguvei.</w:t>
            </w:r>
            <w:r w:rsidR="000E105F">
              <w:rPr>
                <w:bCs/>
              </w:rPr>
              <w:t xml:space="preserve"> </w:t>
            </w:r>
          </w:p>
          <w:p w14:paraId="6233B8D4" w14:textId="6A314FA6" w:rsidR="00DA2C4D" w:rsidRPr="006037A4" w:rsidRDefault="00DA2C4D" w:rsidP="008C1CFB">
            <w:pPr>
              <w:ind w:left="64" w:right="152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Līguma projekts saskaņots ar </w:t>
            </w:r>
            <w:r w:rsidR="008C1CFB">
              <w:rPr>
                <w:bCs/>
              </w:rPr>
              <w:t>Azerbaidžānas</w:t>
            </w:r>
            <w:r>
              <w:rPr>
                <w:bCs/>
              </w:rPr>
              <w:t xml:space="preserve"> pusi</w:t>
            </w:r>
            <w:r w:rsidR="00B0506A">
              <w:rPr>
                <w:bCs/>
              </w:rPr>
              <w:t>.</w:t>
            </w:r>
          </w:p>
        </w:tc>
      </w:tr>
      <w:tr w:rsidR="00262E2B" w:rsidRPr="007C0F2C" w14:paraId="76B07A34" w14:textId="77777777" w:rsidTr="008272B4">
        <w:trPr>
          <w:trHeight w:val="453"/>
        </w:trPr>
        <w:tc>
          <w:tcPr>
            <w:tcW w:w="716" w:type="dxa"/>
          </w:tcPr>
          <w:p w14:paraId="30078AA8" w14:textId="2291C86B" w:rsidR="00262E2B" w:rsidRPr="002D6487" w:rsidRDefault="00262E2B" w:rsidP="00BD06FC">
            <w:pPr>
              <w:pStyle w:val="naiskr"/>
              <w:spacing w:before="120" w:after="120"/>
            </w:pPr>
            <w:r w:rsidRPr="002D6487">
              <w:lastRenderedPageBreak/>
              <w:t>3.</w:t>
            </w:r>
          </w:p>
        </w:tc>
        <w:tc>
          <w:tcPr>
            <w:tcW w:w="3195" w:type="dxa"/>
          </w:tcPr>
          <w:p w14:paraId="2C5F1BAF" w14:textId="77777777" w:rsidR="00262E2B" w:rsidRPr="002D6487" w:rsidRDefault="0062080D" w:rsidP="0062080D">
            <w:pPr>
              <w:pStyle w:val="naiskr"/>
              <w:spacing w:before="120" w:after="120"/>
            </w:pPr>
            <w:r>
              <w:t xml:space="preserve">Projekta izstrādē iesaistītas institūcijas </w:t>
            </w:r>
          </w:p>
        </w:tc>
        <w:tc>
          <w:tcPr>
            <w:tcW w:w="5602" w:type="dxa"/>
          </w:tcPr>
          <w:p w14:paraId="57B5DB72" w14:textId="77777777" w:rsidR="00B352C3" w:rsidRPr="002D6487" w:rsidRDefault="0062080D" w:rsidP="00637346">
            <w:pPr>
              <w:pStyle w:val="NormalWeb"/>
              <w:spacing w:before="120" w:beforeAutospacing="0" w:after="120" w:afterAutospacing="0"/>
              <w:ind w:left="74" w:right="19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2D6487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Projektu izstrādāja Latvijas Republikas Izglītības un zinātnes ministrija.</w:t>
            </w:r>
          </w:p>
        </w:tc>
      </w:tr>
      <w:tr w:rsidR="00D205B2" w:rsidRPr="007C0F2C" w14:paraId="555AE046" w14:textId="77777777" w:rsidTr="008272B4">
        <w:trPr>
          <w:trHeight w:val="1266"/>
        </w:trPr>
        <w:tc>
          <w:tcPr>
            <w:tcW w:w="716" w:type="dxa"/>
            <w:tcBorders>
              <w:bottom w:val="single" w:sz="4" w:space="0" w:color="auto"/>
            </w:tcBorders>
          </w:tcPr>
          <w:p w14:paraId="6B4D1C44" w14:textId="77777777" w:rsidR="00D205B2" w:rsidRPr="002D6487" w:rsidRDefault="0062080D" w:rsidP="00BD06FC">
            <w:pPr>
              <w:pStyle w:val="naiskr"/>
              <w:spacing w:before="120" w:after="120"/>
            </w:pPr>
            <w:r>
              <w:t>4</w:t>
            </w:r>
            <w:r w:rsidR="00D205B2" w:rsidRPr="002D6487">
              <w:t>.</w:t>
            </w:r>
          </w:p>
        </w:tc>
        <w:tc>
          <w:tcPr>
            <w:tcW w:w="3195" w:type="dxa"/>
            <w:tcBorders>
              <w:bottom w:val="single" w:sz="4" w:space="0" w:color="auto"/>
            </w:tcBorders>
          </w:tcPr>
          <w:p w14:paraId="084254D1" w14:textId="77777777" w:rsidR="00D205B2" w:rsidRPr="002D6487" w:rsidRDefault="00D205B2" w:rsidP="00BD06FC">
            <w:pPr>
              <w:pStyle w:val="naiskr"/>
              <w:spacing w:before="120" w:after="120"/>
            </w:pPr>
            <w:r w:rsidRPr="002D6487">
              <w:t>Cita informācija</w:t>
            </w:r>
          </w:p>
        </w:tc>
        <w:tc>
          <w:tcPr>
            <w:tcW w:w="5602" w:type="dxa"/>
            <w:tcBorders>
              <w:bottom w:val="single" w:sz="4" w:space="0" w:color="auto"/>
            </w:tcBorders>
            <w:shd w:val="clear" w:color="auto" w:fill="auto"/>
          </w:tcPr>
          <w:p w14:paraId="73BC8FFE" w14:textId="77777777" w:rsidR="00637346" w:rsidRPr="002D6487" w:rsidRDefault="00637346" w:rsidP="005736DB">
            <w:pPr>
              <w:pStyle w:val="tvhtmlmktable"/>
              <w:spacing w:before="0" w:beforeAutospacing="0" w:after="0" w:afterAutospacing="0"/>
              <w:ind w:left="74" w:right="152"/>
              <w:jc w:val="both"/>
            </w:pPr>
            <w:r w:rsidRPr="002D6487">
              <w:t xml:space="preserve">Papildus saistības Latvijas Republikai šis projekts neuzliek. </w:t>
            </w:r>
          </w:p>
          <w:p w14:paraId="23F54DFF" w14:textId="77777777" w:rsidR="007570A0" w:rsidRDefault="00C34F91" w:rsidP="000947AD">
            <w:pPr>
              <w:ind w:left="74" w:right="162"/>
              <w:jc w:val="both"/>
            </w:pPr>
            <w:r>
              <w:t xml:space="preserve">Līgums </w:t>
            </w:r>
            <w:r w:rsidR="005E2D36" w:rsidRPr="005E2D36">
              <w:t>tiks īstenots</w:t>
            </w:r>
            <w:r w:rsidR="00637346" w:rsidRPr="002D6487">
              <w:t xml:space="preserve"> no Izglītības un zinātnes ministrijai</w:t>
            </w:r>
            <w:r w:rsidR="005E2D36">
              <w:t xml:space="preserve"> un Valsts izglītības attīstības aģentūrai</w:t>
            </w:r>
            <w:r w:rsidR="00637346" w:rsidRPr="002D6487">
              <w:t xml:space="preserve"> piešķirtajiem budžeta līdzekļiem.</w:t>
            </w:r>
          </w:p>
          <w:p w14:paraId="23ECFAB6" w14:textId="6739D46B" w:rsidR="007F4FD9" w:rsidRPr="002D6487" w:rsidRDefault="00053952" w:rsidP="000947AD">
            <w:pPr>
              <w:ind w:left="74" w:right="162"/>
              <w:jc w:val="both"/>
            </w:pPr>
            <w:r>
              <w:t>Azerbaidžānas</w:t>
            </w:r>
            <w:r w:rsidR="007F4FD9">
              <w:t xml:space="preserve"> puse</w:t>
            </w:r>
            <w:r>
              <w:t xml:space="preserve"> 2017. gada 20. jūnijā Baku, Azerbaidžānā notikušās </w:t>
            </w:r>
            <w:r w:rsidRPr="00053952">
              <w:t>Latvijas – Azerbaidžāna</w:t>
            </w:r>
            <w:r>
              <w:t xml:space="preserve">s Starpvaldību komisijas 7. sēdes ietvaros </w:t>
            </w:r>
            <w:r w:rsidR="008C1CFB">
              <w:t>apliecināja</w:t>
            </w:r>
            <w:r w:rsidR="007F4FD9">
              <w:t xml:space="preserve"> interesi parakstīt līgumu</w:t>
            </w:r>
            <w:r>
              <w:t xml:space="preserve"> Azerbaidžānas Republikas </w:t>
            </w:r>
            <w:r w:rsidR="00EC37A8">
              <w:t>prezidenta</w:t>
            </w:r>
            <w:r>
              <w:t xml:space="preserve"> </w:t>
            </w:r>
            <w:proofErr w:type="spellStart"/>
            <w:r>
              <w:t>Iļhama</w:t>
            </w:r>
            <w:proofErr w:type="spellEnd"/>
            <w:r>
              <w:t xml:space="preserve"> Alijeva</w:t>
            </w:r>
            <w:r w:rsidR="007F4FD9">
              <w:t xml:space="preserve"> </w:t>
            </w:r>
            <w:r w:rsidR="005600BD">
              <w:t xml:space="preserve">oficiālās </w:t>
            </w:r>
            <w:r>
              <w:t xml:space="preserve">vizītes Latvijā laikā </w:t>
            </w:r>
            <w:r w:rsidR="00DD34EC">
              <w:t xml:space="preserve">2017. gada </w:t>
            </w:r>
            <w:r>
              <w:t>18.-19. jūlijā</w:t>
            </w:r>
            <w:r w:rsidR="007F4FD9" w:rsidRPr="00684083">
              <w:t>.</w:t>
            </w:r>
          </w:p>
        </w:tc>
      </w:tr>
    </w:tbl>
    <w:p w14:paraId="24BFC90B" w14:textId="77777777" w:rsidR="002D6487" w:rsidRPr="00313B85" w:rsidRDefault="002D6487" w:rsidP="002D6487">
      <w:pPr>
        <w:pStyle w:val="naisf"/>
        <w:widowControl w:val="0"/>
        <w:spacing w:before="0" w:after="0"/>
        <w:ind w:firstLine="0"/>
      </w:pPr>
    </w:p>
    <w:tbl>
      <w:tblPr>
        <w:tblpPr w:leftFromText="180" w:rightFromText="180" w:vertAnchor="text" w:horzAnchor="margin" w:tblpXSpec="center" w:tblpY="149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4110"/>
        <w:gridCol w:w="4962"/>
      </w:tblGrid>
      <w:tr w:rsidR="002D6487" w:rsidRPr="00313B85" w14:paraId="7BC6DFA2" w14:textId="77777777" w:rsidTr="00F93FA0">
        <w:tc>
          <w:tcPr>
            <w:tcW w:w="9503" w:type="dxa"/>
            <w:gridSpan w:val="3"/>
            <w:vAlign w:val="center"/>
          </w:tcPr>
          <w:p w14:paraId="6C906D88" w14:textId="77777777" w:rsidR="002D6487" w:rsidRPr="00313B85" w:rsidRDefault="002D6487" w:rsidP="00E87B00">
            <w:pPr>
              <w:pStyle w:val="naisnod"/>
              <w:widowControl w:val="0"/>
              <w:spacing w:before="0" w:after="120"/>
            </w:pPr>
            <w:r w:rsidRPr="00313B85">
              <w:t>II. Tiesību akta projekta ietekme uz sabiedrību</w:t>
            </w:r>
            <w:r w:rsidR="0062080D">
              <w:t>, tautsaimniecības attīstību un administratīvo slogu</w:t>
            </w:r>
          </w:p>
        </w:tc>
      </w:tr>
      <w:tr w:rsidR="002D6487" w:rsidRPr="00313B85" w14:paraId="1D7F8951" w14:textId="77777777" w:rsidTr="00F93FA0">
        <w:trPr>
          <w:trHeight w:val="467"/>
        </w:trPr>
        <w:tc>
          <w:tcPr>
            <w:tcW w:w="431" w:type="dxa"/>
          </w:tcPr>
          <w:p w14:paraId="177E32FB" w14:textId="77777777" w:rsidR="002D6487" w:rsidRPr="00313B85" w:rsidRDefault="002D6487" w:rsidP="00E87B00">
            <w:pPr>
              <w:pStyle w:val="naiskr"/>
              <w:widowControl w:val="0"/>
              <w:spacing w:before="0" w:after="120"/>
            </w:pPr>
            <w:r w:rsidRPr="00313B85">
              <w:t>1.</w:t>
            </w:r>
          </w:p>
        </w:tc>
        <w:tc>
          <w:tcPr>
            <w:tcW w:w="4110" w:type="dxa"/>
          </w:tcPr>
          <w:p w14:paraId="5F7674AA" w14:textId="77777777" w:rsidR="002D6487" w:rsidRPr="00313B85" w:rsidRDefault="002D6487" w:rsidP="00E87B00">
            <w:pPr>
              <w:pStyle w:val="naiskr"/>
              <w:widowControl w:val="0"/>
              <w:spacing w:before="0" w:after="120"/>
            </w:pPr>
            <w:r w:rsidRPr="00313B85">
              <w:t>Sabiedrības mērķgrupa</w:t>
            </w:r>
            <w:r w:rsidR="0062080D">
              <w:t>s, kuras tiesiskais regulējums ietekmē vai varētu ietekmēt</w:t>
            </w:r>
          </w:p>
        </w:tc>
        <w:tc>
          <w:tcPr>
            <w:tcW w:w="4962" w:type="dxa"/>
          </w:tcPr>
          <w:p w14:paraId="5E668169" w14:textId="69D1CE81" w:rsidR="002D6487" w:rsidRPr="002D6487" w:rsidRDefault="002D6487" w:rsidP="008C1CFB">
            <w:pPr>
              <w:pStyle w:val="naiskr"/>
              <w:widowControl w:val="0"/>
              <w:spacing w:before="0" w:after="120"/>
              <w:ind w:left="142" w:right="114"/>
              <w:jc w:val="both"/>
            </w:pPr>
            <w:r w:rsidRPr="002D6487">
              <w:rPr>
                <w:iCs/>
              </w:rPr>
              <w:t>Valsts pārvaldes institūcijas, kur</w:t>
            </w:r>
            <w:r w:rsidR="0020070F">
              <w:rPr>
                <w:iCs/>
              </w:rPr>
              <w:t xml:space="preserve">u darbību var skart </w:t>
            </w:r>
            <w:r w:rsidR="00EC2F11">
              <w:rPr>
                <w:bCs/>
              </w:rPr>
              <w:t xml:space="preserve">Latvijas un </w:t>
            </w:r>
            <w:r w:rsidR="008C1CFB">
              <w:rPr>
                <w:bCs/>
              </w:rPr>
              <w:t>Azerbaidžānas</w:t>
            </w:r>
            <w:r w:rsidR="001A08B5">
              <w:rPr>
                <w:bCs/>
              </w:rPr>
              <w:t xml:space="preserve"> </w:t>
            </w:r>
            <w:r w:rsidRPr="002D6487">
              <w:rPr>
                <w:bCs/>
              </w:rPr>
              <w:t>sadarbīb</w:t>
            </w:r>
            <w:r w:rsidR="0020070F">
              <w:rPr>
                <w:bCs/>
              </w:rPr>
              <w:t>as</w:t>
            </w:r>
            <w:r w:rsidRPr="002D6487">
              <w:t xml:space="preserve"> izglītības</w:t>
            </w:r>
            <w:r w:rsidR="005736DB">
              <w:t xml:space="preserve"> </w:t>
            </w:r>
            <w:r w:rsidRPr="002D6487">
              <w:t>jomā</w:t>
            </w:r>
            <w:r w:rsidR="0020070F">
              <w:t xml:space="preserve"> jautājumi</w:t>
            </w:r>
            <w:r w:rsidR="00DF36AF">
              <w:t xml:space="preserve">, augstskolas un studentus, jo līgums paredz stipendiju apmaiņu, </w:t>
            </w:r>
            <w:r w:rsidR="00DF36AF">
              <w:lastRenderedPageBreak/>
              <w:t xml:space="preserve">kā arī jebkuru iedzīvotāju, kuru interesē </w:t>
            </w:r>
            <w:r w:rsidR="008C1CFB">
              <w:t>Azerbaidžānas kultūras, vēstures un</w:t>
            </w:r>
            <w:r w:rsidR="00DF36AF">
              <w:t xml:space="preserve"> valodas apguve</w:t>
            </w:r>
            <w:r w:rsidRPr="002D6487">
              <w:rPr>
                <w:bCs/>
              </w:rPr>
              <w:t>.</w:t>
            </w:r>
          </w:p>
        </w:tc>
      </w:tr>
      <w:tr w:rsidR="002D6487" w:rsidRPr="00313B85" w14:paraId="315F4665" w14:textId="77777777" w:rsidTr="00A057BB">
        <w:trPr>
          <w:trHeight w:val="625"/>
        </w:trPr>
        <w:tc>
          <w:tcPr>
            <w:tcW w:w="431" w:type="dxa"/>
          </w:tcPr>
          <w:p w14:paraId="40C398AE" w14:textId="77777777" w:rsidR="002D6487" w:rsidRPr="00313B85" w:rsidRDefault="002D6487" w:rsidP="00E87B00">
            <w:pPr>
              <w:pStyle w:val="naiskr"/>
              <w:widowControl w:val="0"/>
              <w:spacing w:before="0" w:after="120"/>
            </w:pPr>
            <w:r w:rsidRPr="00313B85">
              <w:lastRenderedPageBreak/>
              <w:t>2.</w:t>
            </w:r>
          </w:p>
        </w:tc>
        <w:tc>
          <w:tcPr>
            <w:tcW w:w="4110" w:type="dxa"/>
          </w:tcPr>
          <w:p w14:paraId="2AC52427" w14:textId="77777777" w:rsidR="002D6487" w:rsidRPr="00313B85" w:rsidRDefault="0062080D" w:rsidP="0062080D">
            <w:pPr>
              <w:pStyle w:val="naiskr"/>
              <w:widowControl w:val="0"/>
              <w:spacing w:before="0" w:after="120"/>
            </w:pPr>
            <w:r>
              <w:t>Tiesiskā regulējuma ietekme uz tautsaimniecības un administratīvo slogu</w:t>
            </w:r>
          </w:p>
        </w:tc>
        <w:tc>
          <w:tcPr>
            <w:tcW w:w="4962" w:type="dxa"/>
          </w:tcPr>
          <w:p w14:paraId="6808B6F2" w14:textId="77777777" w:rsidR="002D6487" w:rsidRPr="00313B85" w:rsidRDefault="002D6487" w:rsidP="00E87B00">
            <w:pPr>
              <w:pStyle w:val="naiskr"/>
              <w:widowControl w:val="0"/>
              <w:spacing w:before="0" w:after="120"/>
              <w:ind w:left="142" w:right="114"/>
            </w:pPr>
            <w:r w:rsidRPr="00313B85">
              <w:t xml:space="preserve">Nav. </w:t>
            </w:r>
          </w:p>
        </w:tc>
      </w:tr>
      <w:tr w:rsidR="002D6487" w:rsidRPr="00313B85" w14:paraId="5DF634CF" w14:textId="77777777" w:rsidTr="00F93FA0">
        <w:trPr>
          <w:trHeight w:val="673"/>
        </w:trPr>
        <w:tc>
          <w:tcPr>
            <w:tcW w:w="431" w:type="dxa"/>
          </w:tcPr>
          <w:p w14:paraId="2F1C5A6C" w14:textId="77777777" w:rsidR="002D6487" w:rsidRPr="00313B85" w:rsidRDefault="0062080D" w:rsidP="00E87B00">
            <w:pPr>
              <w:pStyle w:val="naiskr"/>
              <w:widowControl w:val="0"/>
              <w:spacing w:before="0" w:after="120"/>
            </w:pPr>
            <w:r>
              <w:t>3</w:t>
            </w:r>
            <w:r w:rsidR="002D6487" w:rsidRPr="00313B85">
              <w:t>.</w:t>
            </w:r>
          </w:p>
        </w:tc>
        <w:tc>
          <w:tcPr>
            <w:tcW w:w="4110" w:type="dxa"/>
          </w:tcPr>
          <w:p w14:paraId="6DC5B0E1" w14:textId="77777777" w:rsidR="002D6487" w:rsidRPr="00313B85" w:rsidRDefault="002D6487" w:rsidP="00E87B00">
            <w:pPr>
              <w:pStyle w:val="naiskr"/>
              <w:widowControl w:val="0"/>
              <w:spacing w:before="0" w:after="120"/>
            </w:pPr>
            <w:r w:rsidRPr="00313B85">
              <w:t>Administratīvo izmaksu monetārs novērtējums</w:t>
            </w:r>
          </w:p>
        </w:tc>
        <w:tc>
          <w:tcPr>
            <w:tcW w:w="4962" w:type="dxa"/>
          </w:tcPr>
          <w:p w14:paraId="541FAB29" w14:textId="77777777" w:rsidR="002D6487" w:rsidRPr="00313B85" w:rsidRDefault="002D6487" w:rsidP="00E87B00">
            <w:pPr>
              <w:pStyle w:val="naiskr"/>
              <w:widowControl w:val="0"/>
              <w:spacing w:before="0" w:after="120"/>
              <w:ind w:left="142" w:right="114"/>
            </w:pPr>
            <w:r w:rsidRPr="00313B85">
              <w:t>Nav attiecināms.</w:t>
            </w:r>
          </w:p>
        </w:tc>
      </w:tr>
      <w:tr w:rsidR="002D6487" w:rsidRPr="00313B85" w14:paraId="0B3C56D6" w14:textId="77777777" w:rsidTr="00A057BB">
        <w:trPr>
          <w:trHeight w:val="247"/>
        </w:trPr>
        <w:tc>
          <w:tcPr>
            <w:tcW w:w="431" w:type="dxa"/>
          </w:tcPr>
          <w:p w14:paraId="4954DF23" w14:textId="77777777" w:rsidR="002D6487" w:rsidRPr="00313B85" w:rsidRDefault="0062080D" w:rsidP="00E87B00">
            <w:pPr>
              <w:pStyle w:val="naiskr"/>
              <w:widowControl w:val="0"/>
              <w:spacing w:before="0" w:after="120"/>
            </w:pPr>
            <w:r>
              <w:t>4</w:t>
            </w:r>
            <w:r w:rsidR="002D6487" w:rsidRPr="00313B85">
              <w:t>.</w:t>
            </w:r>
          </w:p>
        </w:tc>
        <w:tc>
          <w:tcPr>
            <w:tcW w:w="4110" w:type="dxa"/>
          </w:tcPr>
          <w:p w14:paraId="580117CE" w14:textId="77777777" w:rsidR="002D6487" w:rsidRPr="00313B85" w:rsidRDefault="002D6487" w:rsidP="00E87B00">
            <w:pPr>
              <w:pStyle w:val="naiskr"/>
              <w:widowControl w:val="0"/>
              <w:spacing w:before="0" w:after="120"/>
            </w:pPr>
            <w:r w:rsidRPr="00313B85">
              <w:t>Cita informācija</w:t>
            </w:r>
          </w:p>
        </w:tc>
        <w:tc>
          <w:tcPr>
            <w:tcW w:w="4962" w:type="dxa"/>
          </w:tcPr>
          <w:p w14:paraId="3CFB2EB9" w14:textId="77777777" w:rsidR="002D6487" w:rsidRPr="00313B85" w:rsidRDefault="002D6487" w:rsidP="00E87B00">
            <w:pPr>
              <w:pStyle w:val="naiskr"/>
              <w:widowControl w:val="0"/>
              <w:spacing w:before="0" w:after="120"/>
              <w:ind w:left="142" w:right="114"/>
            </w:pPr>
            <w:r w:rsidRPr="00313B85">
              <w:t xml:space="preserve">Nav. </w:t>
            </w:r>
          </w:p>
        </w:tc>
      </w:tr>
    </w:tbl>
    <w:p w14:paraId="24DC0B3D" w14:textId="77777777" w:rsidR="002D6487" w:rsidRPr="00313B85" w:rsidRDefault="002D6487" w:rsidP="002D6487">
      <w:pPr>
        <w:pStyle w:val="naiskr"/>
        <w:widowControl w:val="0"/>
        <w:tabs>
          <w:tab w:val="left" w:pos="2628"/>
        </w:tabs>
        <w:spacing w:before="0" w:after="120"/>
        <w:rPr>
          <w:highlight w:val="yellow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4078"/>
        <w:gridCol w:w="4961"/>
      </w:tblGrid>
      <w:tr w:rsidR="002D6487" w:rsidRPr="00313B85" w14:paraId="4B29AE25" w14:textId="77777777" w:rsidTr="002D6487">
        <w:trPr>
          <w:jc w:val="center"/>
        </w:trPr>
        <w:tc>
          <w:tcPr>
            <w:tcW w:w="9576" w:type="dxa"/>
            <w:gridSpan w:val="3"/>
          </w:tcPr>
          <w:p w14:paraId="28A7DF2E" w14:textId="77777777" w:rsidR="002D6487" w:rsidRPr="00313B85" w:rsidRDefault="002D6487" w:rsidP="00E87B00">
            <w:pPr>
              <w:pStyle w:val="naisnod"/>
              <w:widowControl w:val="0"/>
              <w:spacing w:before="0" w:after="120"/>
            </w:pPr>
            <w:r w:rsidRPr="00313B85">
              <w:t>IV. Tiesību akta projekta ietekme uz spēkā esošo tiesību normu sistēmu</w:t>
            </w:r>
          </w:p>
        </w:tc>
      </w:tr>
      <w:tr w:rsidR="002D6487" w:rsidRPr="00313B85" w14:paraId="45B1293E" w14:textId="77777777" w:rsidTr="002D6487">
        <w:trPr>
          <w:jc w:val="center"/>
        </w:trPr>
        <w:tc>
          <w:tcPr>
            <w:tcW w:w="537" w:type="dxa"/>
          </w:tcPr>
          <w:p w14:paraId="190A9165" w14:textId="77777777" w:rsidR="002D6487" w:rsidRPr="00313B85" w:rsidRDefault="002D6487" w:rsidP="00E87B00">
            <w:pPr>
              <w:pStyle w:val="naiskr"/>
              <w:widowControl w:val="0"/>
              <w:tabs>
                <w:tab w:val="left" w:pos="2628"/>
              </w:tabs>
              <w:spacing w:before="0" w:after="120"/>
              <w:jc w:val="both"/>
              <w:rPr>
                <w:iCs/>
              </w:rPr>
            </w:pPr>
            <w:r w:rsidRPr="00313B85">
              <w:rPr>
                <w:iCs/>
              </w:rPr>
              <w:t>1.</w:t>
            </w:r>
          </w:p>
        </w:tc>
        <w:tc>
          <w:tcPr>
            <w:tcW w:w="4078" w:type="dxa"/>
          </w:tcPr>
          <w:p w14:paraId="45787BE6" w14:textId="77777777" w:rsidR="002D6487" w:rsidRPr="00313B85" w:rsidRDefault="002D6487" w:rsidP="00E87B00">
            <w:pPr>
              <w:pStyle w:val="naiskr"/>
              <w:widowControl w:val="0"/>
              <w:tabs>
                <w:tab w:val="left" w:pos="2628"/>
              </w:tabs>
              <w:spacing w:before="0" w:after="120"/>
              <w:jc w:val="both"/>
              <w:rPr>
                <w:iCs/>
              </w:rPr>
            </w:pPr>
            <w:r w:rsidRPr="00313B85">
              <w:t>Nepieciešamie saistītie tiesību aktu projekti</w:t>
            </w:r>
          </w:p>
        </w:tc>
        <w:tc>
          <w:tcPr>
            <w:tcW w:w="4961" w:type="dxa"/>
          </w:tcPr>
          <w:p w14:paraId="3A3606D7" w14:textId="77777777" w:rsidR="002D6487" w:rsidRPr="00313B85" w:rsidRDefault="002D6487" w:rsidP="00E87B00">
            <w:pPr>
              <w:pStyle w:val="naislab"/>
              <w:widowControl w:val="0"/>
              <w:spacing w:before="0" w:after="120"/>
              <w:ind w:left="34" w:right="110"/>
              <w:jc w:val="both"/>
              <w:outlineLvl w:val="0"/>
              <w:rPr>
                <w:highlight w:val="yellow"/>
              </w:rPr>
            </w:pPr>
            <w:r w:rsidRPr="005D2DAC">
              <w:t>Nav.</w:t>
            </w:r>
          </w:p>
        </w:tc>
      </w:tr>
      <w:tr w:rsidR="002D6487" w:rsidRPr="00313B85" w14:paraId="25A4F877" w14:textId="77777777" w:rsidTr="00A057BB">
        <w:trPr>
          <w:trHeight w:val="343"/>
          <w:jc w:val="center"/>
        </w:trPr>
        <w:tc>
          <w:tcPr>
            <w:tcW w:w="537" w:type="dxa"/>
          </w:tcPr>
          <w:p w14:paraId="3887FFC6" w14:textId="77777777" w:rsidR="002D6487" w:rsidRPr="005D2DAC" w:rsidRDefault="002D6487" w:rsidP="00E87B00">
            <w:pPr>
              <w:pStyle w:val="naiskr"/>
              <w:widowControl w:val="0"/>
              <w:tabs>
                <w:tab w:val="left" w:pos="2628"/>
              </w:tabs>
              <w:spacing w:before="0" w:after="120"/>
              <w:jc w:val="both"/>
              <w:rPr>
                <w:iCs/>
              </w:rPr>
            </w:pPr>
            <w:r w:rsidRPr="005D2DAC">
              <w:rPr>
                <w:iCs/>
              </w:rPr>
              <w:t>2.</w:t>
            </w:r>
          </w:p>
        </w:tc>
        <w:tc>
          <w:tcPr>
            <w:tcW w:w="4078" w:type="dxa"/>
          </w:tcPr>
          <w:p w14:paraId="546C1703" w14:textId="77777777" w:rsidR="002D6487" w:rsidRPr="005D2DAC" w:rsidRDefault="002D6487" w:rsidP="00E87B00">
            <w:pPr>
              <w:pStyle w:val="naiskr"/>
              <w:widowControl w:val="0"/>
              <w:tabs>
                <w:tab w:val="left" w:pos="2628"/>
              </w:tabs>
              <w:spacing w:before="0" w:after="120"/>
              <w:jc w:val="both"/>
              <w:rPr>
                <w:iCs/>
              </w:rPr>
            </w:pPr>
            <w:r w:rsidRPr="005D2DAC">
              <w:t>Cita informācija</w:t>
            </w:r>
          </w:p>
        </w:tc>
        <w:tc>
          <w:tcPr>
            <w:tcW w:w="4961" w:type="dxa"/>
          </w:tcPr>
          <w:p w14:paraId="51BB9DE3" w14:textId="4727E6C3" w:rsidR="002D6487" w:rsidRPr="005D2DAC" w:rsidRDefault="008C1CFB" w:rsidP="008C1CFB">
            <w:pPr>
              <w:pStyle w:val="naiskr"/>
              <w:widowControl w:val="0"/>
              <w:tabs>
                <w:tab w:val="left" w:pos="2628"/>
              </w:tabs>
              <w:spacing w:before="0" w:after="120"/>
              <w:jc w:val="both"/>
              <w:rPr>
                <w:iCs/>
              </w:rPr>
            </w:pPr>
            <w:r>
              <w:rPr>
                <w:iCs/>
              </w:rPr>
              <w:t>Nav.</w:t>
            </w:r>
          </w:p>
        </w:tc>
      </w:tr>
    </w:tbl>
    <w:p w14:paraId="44DCAF64" w14:textId="77777777" w:rsidR="002D6487" w:rsidRDefault="002D6487" w:rsidP="002D6487">
      <w:pPr>
        <w:pStyle w:val="naiskr"/>
        <w:widowControl w:val="0"/>
        <w:tabs>
          <w:tab w:val="left" w:pos="2628"/>
        </w:tabs>
        <w:spacing w:before="0" w:after="120"/>
        <w:rPr>
          <w:highlight w:val="yellow"/>
        </w:rPr>
      </w:pP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4157"/>
        <w:gridCol w:w="5026"/>
      </w:tblGrid>
      <w:tr w:rsidR="002D6487" w:rsidRPr="00313B85" w14:paraId="27A86E8F" w14:textId="77777777" w:rsidTr="00F33A4E">
        <w:trPr>
          <w:jc w:val="center"/>
        </w:trPr>
        <w:tc>
          <w:tcPr>
            <w:tcW w:w="9579" w:type="dxa"/>
            <w:gridSpan w:val="3"/>
          </w:tcPr>
          <w:p w14:paraId="61417813" w14:textId="77777777" w:rsidR="002D6487" w:rsidRPr="005D2DAC" w:rsidRDefault="002D6487" w:rsidP="002F582E">
            <w:pPr>
              <w:pStyle w:val="naisnod"/>
              <w:widowControl w:val="0"/>
              <w:spacing w:before="0" w:after="120"/>
            </w:pPr>
            <w:r w:rsidRPr="005D2DAC">
              <w:t>V. Tiesību akta projekta atbilstība Latvijas Republikas starptautiskajām saistībām</w:t>
            </w:r>
          </w:p>
        </w:tc>
      </w:tr>
      <w:tr w:rsidR="002D6487" w:rsidRPr="00313B85" w14:paraId="1DDDE833" w14:textId="77777777" w:rsidTr="00F33A4E">
        <w:trPr>
          <w:trHeight w:val="403"/>
          <w:jc w:val="center"/>
        </w:trPr>
        <w:tc>
          <w:tcPr>
            <w:tcW w:w="396" w:type="dxa"/>
          </w:tcPr>
          <w:p w14:paraId="03A62EE2" w14:textId="77777777" w:rsidR="002D6487" w:rsidRPr="005D2DAC" w:rsidRDefault="002D6487" w:rsidP="00E87B00">
            <w:pPr>
              <w:pStyle w:val="naiskr"/>
              <w:widowControl w:val="0"/>
              <w:tabs>
                <w:tab w:val="left" w:pos="2628"/>
              </w:tabs>
              <w:spacing w:before="0" w:after="120"/>
              <w:jc w:val="both"/>
              <w:rPr>
                <w:iCs/>
              </w:rPr>
            </w:pPr>
            <w:r w:rsidRPr="005D2DAC">
              <w:rPr>
                <w:iCs/>
              </w:rPr>
              <w:t>1.</w:t>
            </w:r>
          </w:p>
        </w:tc>
        <w:tc>
          <w:tcPr>
            <w:tcW w:w="4157" w:type="dxa"/>
          </w:tcPr>
          <w:p w14:paraId="196139CB" w14:textId="77777777" w:rsidR="002D6487" w:rsidRPr="005D2DAC" w:rsidRDefault="002D6487" w:rsidP="00E87B00">
            <w:pPr>
              <w:pStyle w:val="naiskr"/>
              <w:widowControl w:val="0"/>
              <w:tabs>
                <w:tab w:val="left" w:pos="2628"/>
              </w:tabs>
              <w:spacing w:before="0" w:after="120"/>
              <w:jc w:val="both"/>
              <w:rPr>
                <w:iCs/>
              </w:rPr>
            </w:pPr>
            <w:r w:rsidRPr="005D2DAC">
              <w:t>Saistības pret Eiropas Savienību</w:t>
            </w:r>
          </w:p>
        </w:tc>
        <w:tc>
          <w:tcPr>
            <w:tcW w:w="5026" w:type="dxa"/>
          </w:tcPr>
          <w:p w14:paraId="41F2E23C" w14:textId="77777777" w:rsidR="002D6487" w:rsidRPr="005D2DAC" w:rsidRDefault="002D6487" w:rsidP="00E87B00">
            <w:pPr>
              <w:pStyle w:val="naiskr"/>
              <w:widowControl w:val="0"/>
              <w:tabs>
                <w:tab w:val="left" w:pos="2628"/>
              </w:tabs>
              <w:spacing w:before="0" w:after="120"/>
              <w:jc w:val="both"/>
              <w:rPr>
                <w:iCs/>
              </w:rPr>
            </w:pPr>
            <w:r w:rsidRPr="005D2DAC">
              <w:t xml:space="preserve">Nav. </w:t>
            </w:r>
          </w:p>
        </w:tc>
      </w:tr>
      <w:tr w:rsidR="002D6487" w:rsidRPr="00313B85" w14:paraId="59752947" w14:textId="77777777" w:rsidTr="00F33A4E">
        <w:trPr>
          <w:trHeight w:val="325"/>
          <w:jc w:val="center"/>
        </w:trPr>
        <w:tc>
          <w:tcPr>
            <w:tcW w:w="396" w:type="dxa"/>
          </w:tcPr>
          <w:p w14:paraId="65219C2E" w14:textId="77777777" w:rsidR="002D6487" w:rsidRPr="005D2DAC" w:rsidRDefault="002D6487" w:rsidP="00E87B00">
            <w:pPr>
              <w:pStyle w:val="naiskr"/>
              <w:widowControl w:val="0"/>
              <w:tabs>
                <w:tab w:val="left" w:pos="2628"/>
              </w:tabs>
              <w:spacing w:before="0" w:after="120"/>
              <w:jc w:val="both"/>
              <w:rPr>
                <w:iCs/>
              </w:rPr>
            </w:pPr>
            <w:r w:rsidRPr="005D2DAC">
              <w:rPr>
                <w:iCs/>
              </w:rPr>
              <w:t>2.</w:t>
            </w:r>
          </w:p>
        </w:tc>
        <w:tc>
          <w:tcPr>
            <w:tcW w:w="4157" w:type="dxa"/>
          </w:tcPr>
          <w:p w14:paraId="55717EA1" w14:textId="77777777" w:rsidR="002D6487" w:rsidRPr="005D2DAC" w:rsidRDefault="002D6487" w:rsidP="00E87B00">
            <w:pPr>
              <w:pStyle w:val="naiskr"/>
              <w:widowControl w:val="0"/>
              <w:tabs>
                <w:tab w:val="left" w:pos="2628"/>
              </w:tabs>
              <w:spacing w:before="0" w:after="120"/>
              <w:jc w:val="both"/>
              <w:rPr>
                <w:iCs/>
              </w:rPr>
            </w:pPr>
            <w:r w:rsidRPr="005D2DAC">
              <w:t>Citas starptautiskās saistības</w:t>
            </w:r>
          </w:p>
        </w:tc>
        <w:tc>
          <w:tcPr>
            <w:tcW w:w="5026" w:type="dxa"/>
          </w:tcPr>
          <w:p w14:paraId="7E13D23B" w14:textId="77777777" w:rsidR="002D6487" w:rsidRPr="005D2DAC" w:rsidRDefault="002D6487" w:rsidP="00E87B00">
            <w:pPr>
              <w:pStyle w:val="naiskr"/>
              <w:widowControl w:val="0"/>
              <w:tabs>
                <w:tab w:val="left" w:pos="2628"/>
              </w:tabs>
              <w:spacing w:before="0" w:after="120"/>
              <w:jc w:val="both"/>
              <w:rPr>
                <w:iCs/>
              </w:rPr>
            </w:pPr>
            <w:r>
              <w:rPr>
                <w:iCs/>
              </w:rPr>
              <w:t>Nav.</w:t>
            </w:r>
          </w:p>
        </w:tc>
      </w:tr>
      <w:tr w:rsidR="002D6487" w:rsidRPr="00313B85" w14:paraId="3EBF799D" w14:textId="77777777" w:rsidTr="00F33A4E">
        <w:trPr>
          <w:jc w:val="center"/>
        </w:trPr>
        <w:tc>
          <w:tcPr>
            <w:tcW w:w="396" w:type="dxa"/>
          </w:tcPr>
          <w:p w14:paraId="7EBD6EC4" w14:textId="77777777" w:rsidR="002D6487" w:rsidRPr="005D2DAC" w:rsidRDefault="002D6487" w:rsidP="00E87B00">
            <w:pPr>
              <w:pStyle w:val="naiskr"/>
              <w:widowControl w:val="0"/>
              <w:tabs>
                <w:tab w:val="left" w:pos="2628"/>
              </w:tabs>
              <w:spacing w:before="0" w:after="120"/>
              <w:jc w:val="both"/>
              <w:rPr>
                <w:iCs/>
              </w:rPr>
            </w:pPr>
            <w:r w:rsidRPr="005D2DAC">
              <w:rPr>
                <w:iCs/>
              </w:rPr>
              <w:t>3.</w:t>
            </w:r>
          </w:p>
        </w:tc>
        <w:tc>
          <w:tcPr>
            <w:tcW w:w="4157" w:type="dxa"/>
          </w:tcPr>
          <w:p w14:paraId="444F5D93" w14:textId="77777777" w:rsidR="002D6487" w:rsidRPr="005D2DAC" w:rsidRDefault="002D6487" w:rsidP="00E87B00">
            <w:pPr>
              <w:pStyle w:val="naiskr"/>
              <w:widowControl w:val="0"/>
              <w:tabs>
                <w:tab w:val="left" w:pos="2628"/>
              </w:tabs>
              <w:spacing w:before="0" w:after="120"/>
              <w:jc w:val="both"/>
            </w:pPr>
            <w:r w:rsidRPr="005D2DAC">
              <w:t>Cita informācija</w:t>
            </w:r>
          </w:p>
        </w:tc>
        <w:tc>
          <w:tcPr>
            <w:tcW w:w="5026" w:type="dxa"/>
          </w:tcPr>
          <w:p w14:paraId="33C59A5C" w14:textId="77777777" w:rsidR="002D6487" w:rsidRPr="005D2DAC" w:rsidRDefault="002D6487" w:rsidP="00E87B00">
            <w:pPr>
              <w:pStyle w:val="naiskr"/>
              <w:widowControl w:val="0"/>
              <w:tabs>
                <w:tab w:val="left" w:pos="2628"/>
              </w:tabs>
              <w:spacing w:before="0" w:after="120"/>
              <w:jc w:val="both"/>
              <w:rPr>
                <w:iCs/>
              </w:rPr>
            </w:pPr>
            <w:r w:rsidRPr="005D2DAC">
              <w:rPr>
                <w:iCs/>
              </w:rPr>
              <w:t>Nav.</w:t>
            </w:r>
          </w:p>
        </w:tc>
      </w:tr>
    </w:tbl>
    <w:p w14:paraId="52A94CBB" w14:textId="77777777" w:rsidR="002D6487" w:rsidRDefault="002D6487" w:rsidP="002D6487">
      <w:pPr>
        <w:widowControl w:val="0"/>
        <w:spacing w:after="120"/>
        <w:rPr>
          <w:highlight w:val="yellow"/>
        </w:rPr>
      </w:pPr>
    </w:p>
    <w:tbl>
      <w:tblPr>
        <w:tblW w:w="5323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8"/>
        <w:gridCol w:w="3193"/>
        <w:gridCol w:w="6029"/>
      </w:tblGrid>
      <w:tr w:rsidR="00F33A4E" w14:paraId="56B7526F" w14:textId="77777777" w:rsidTr="005F3DBD">
        <w:trPr>
          <w:trHeight w:val="420"/>
          <w:jc w:val="center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F8468D" w14:textId="77777777" w:rsidR="00F33A4E" w:rsidRDefault="00F33A4E" w:rsidP="002F582E">
            <w:pPr>
              <w:pStyle w:val="naisnod"/>
              <w:widowControl w:val="0"/>
              <w:spacing w:before="0" w:after="120"/>
              <w:rPr>
                <w:color w:val="414142"/>
                <w:sz w:val="20"/>
                <w:szCs w:val="20"/>
              </w:rPr>
            </w:pPr>
            <w:r w:rsidRPr="00F33A4E">
              <w:t>VI. Sabiedrības līdzdalība un komunikācijas aktivitātes</w:t>
            </w:r>
          </w:p>
        </w:tc>
      </w:tr>
      <w:tr w:rsidR="00F33A4E" w14:paraId="0F98737A" w14:textId="77777777" w:rsidTr="00F33A4E">
        <w:trPr>
          <w:trHeight w:val="540"/>
          <w:jc w:val="center"/>
        </w:trPr>
        <w:tc>
          <w:tcPr>
            <w:tcW w:w="2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E2438A" w14:textId="77777777" w:rsidR="00F33A4E" w:rsidRPr="00F33A4E" w:rsidRDefault="00F33A4E" w:rsidP="005F3DBD">
            <w:pPr>
              <w:pStyle w:val="naiskr"/>
              <w:widowControl w:val="0"/>
              <w:tabs>
                <w:tab w:val="left" w:pos="2628"/>
              </w:tabs>
              <w:spacing w:before="0" w:after="120"/>
              <w:jc w:val="both"/>
            </w:pPr>
            <w:r w:rsidRPr="00F33A4E">
              <w:t>1.</w:t>
            </w:r>
          </w:p>
        </w:tc>
        <w:tc>
          <w:tcPr>
            <w:tcW w:w="16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45EF74" w14:textId="77777777" w:rsidR="00F33A4E" w:rsidRPr="00F33A4E" w:rsidRDefault="00F33A4E" w:rsidP="00F33A4E">
            <w:pPr>
              <w:pStyle w:val="naiskr"/>
              <w:widowControl w:val="0"/>
              <w:tabs>
                <w:tab w:val="left" w:pos="2628"/>
              </w:tabs>
              <w:spacing w:before="0" w:after="120"/>
            </w:pPr>
            <w:r w:rsidRPr="00F33A4E">
              <w:t>Plānotās sabiedrības līdzdalības un komunikācijas aktivitātes saistībā ar projektu</w:t>
            </w:r>
          </w:p>
        </w:tc>
        <w:tc>
          <w:tcPr>
            <w:tcW w:w="31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002BAD" w14:textId="1149F5EA" w:rsidR="00F33A4E" w:rsidRPr="00F33A4E" w:rsidRDefault="00F33A4E" w:rsidP="005F3DBD">
            <w:pPr>
              <w:pStyle w:val="naiskr"/>
              <w:widowControl w:val="0"/>
              <w:tabs>
                <w:tab w:val="left" w:pos="2628"/>
              </w:tabs>
              <w:spacing w:before="0" w:after="120"/>
              <w:jc w:val="both"/>
            </w:pPr>
            <w:r>
              <w:t>Nav.</w:t>
            </w:r>
          </w:p>
        </w:tc>
      </w:tr>
      <w:tr w:rsidR="00F33A4E" w14:paraId="7E43EF47" w14:textId="77777777" w:rsidTr="00F33A4E">
        <w:trPr>
          <w:trHeight w:val="330"/>
          <w:jc w:val="center"/>
        </w:trPr>
        <w:tc>
          <w:tcPr>
            <w:tcW w:w="2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92CAD0" w14:textId="77777777" w:rsidR="00F33A4E" w:rsidRPr="00F33A4E" w:rsidRDefault="00F33A4E" w:rsidP="005F3DBD">
            <w:pPr>
              <w:pStyle w:val="naiskr"/>
              <w:widowControl w:val="0"/>
              <w:tabs>
                <w:tab w:val="left" w:pos="2628"/>
              </w:tabs>
              <w:spacing w:before="0" w:after="120"/>
              <w:jc w:val="both"/>
            </w:pPr>
            <w:r w:rsidRPr="00F33A4E">
              <w:t>2.</w:t>
            </w:r>
          </w:p>
        </w:tc>
        <w:tc>
          <w:tcPr>
            <w:tcW w:w="16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7B6FF2" w14:textId="77777777" w:rsidR="00F33A4E" w:rsidRPr="00F33A4E" w:rsidRDefault="00F33A4E" w:rsidP="00F33A4E">
            <w:pPr>
              <w:pStyle w:val="naiskr"/>
              <w:widowControl w:val="0"/>
              <w:tabs>
                <w:tab w:val="left" w:pos="2628"/>
              </w:tabs>
              <w:spacing w:before="0" w:after="120"/>
            </w:pPr>
            <w:r w:rsidRPr="00F33A4E">
              <w:t>Sabiedrības līdzdalība projekta izstrādē</w:t>
            </w:r>
          </w:p>
        </w:tc>
        <w:tc>
          <w:tcPr>
            <w:tcW w:w="31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825D59" w14:textId="411B203E" w:rsidR="00F33A4E" w:rsidRPr="00F33A4E" w:rsidRDefault="00F33A4E" w:rsidP="00F33A4E">
            <w:pPr>
              <w:pStyle w:val="naiskr"/>
              <w:widowControl w:val="0"/>
              <w:tabs>
                <w:tab w:val="left" w:pos="2628"/>
              </w:tabs>
              <w:spacing w:after="120"/>
              <w:jc w:val="both"/>
            </w:pPr>
            <w:r>
              <w:t xml:space="preserve">Par līguma projektu notika </w:t>
            </w:r>
            <w:r w:rsidRPr="002F582E">
              <w:t>konsultācijas ar Augstākās izglītības eksporta apvienību</w:t>
            </w:r>
            <w:r w:rsidR="008C1CFB">
              <w:t>, Augstākās izglītības padomi</w:t>
            </w:r>
            <w:r w:rsidRPr="002F582E">
              <w:t xml:space="preserve"> un Latvijas Rektoru padomi.</w:t>
            </w:r>
          </w:p>
        </w:tc>
      </w:tr>
      <w:tr w:rsidR="00F33A4E" w14:paraId="5C3136B1" w14:textId="77777777" w:rsidTr="00F33A4E">
        <w:trPr>
          <w:trHeight w:val="465"/>
          <w:jc w:val="center"/>
        </w:trPr>
        <w:tc>
          <w:tcPr>
            <w:tcW w:w="2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3F6FBB" w14:textId="77777777" w:rsidR="00F33A4E" w:rsidRPr="00F33A4E" w:rsidRDefault="00F33A4E" w:rsidP="005F3DBD">
            <w:pPr>
              <w:pStyle w:val="naiskr"/>
              <w:widowControl w:val="0"/>
              <w:tabs>
                <w:tab w:val="left" w:pos="2628"/>
              </w:tabs>
              <w:spacing w:before="0" w:after="120"/>
              <w:jc w:val="both"/>
            </w:pPr>
            <w:r w:rsidRPr="00F33A4E">
              <w:t>3.</w:t>
            </w:r>
          </w:p>
        </w:tc>
        <w:tc>
          <w:tcPr>
            <w:tcW w:w="16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AE1302" w14:textId="77777777" w:rsidR="00F33A4E" w:rsidRPr="00F33A4E" w:rsidRDefault="00F33A4E" w:rsidP="00F33A4E">
            <w:pPr>
              <w:pStyle w:val="naiskr"/>
              <w:widowControl w:val="0"/>
              <w:tabs>
                <w:tab w:val="left" w:pos="2628"/>
              </w:tabs>
              <w:spacing w:before="0" w:after="120"/>
            </w:pPr>
            <w:r w:rsidRPr="00F33A4E">
              <w:t>Sabiedrības līdzdalības rezultāti</w:t>
            </w:r>
          </w:p>
        </w:tc>
        <w:tc>
          <w:tcPr>
            <w:tcW w:w="31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1BDE70" w14:textId="11C3AC17" w:rsidR="00F33A4E" w:rsidRPr="00F33A4E" w:rsidRDefault="00F33A4E" w:rsidP="00DF36AF">
            <w:pPr>
              <w:pStyle w:val="naiskr"/>
              <w:widowControl w:val="0"/>
              <w:tabs>
                <w:tab w:val="left" w:pos="2628"/>
              </w:tabs>
              <w:spacing w:before="0" w:after="120"/>
              <w:jc w:val="both"/>
            </w:pPr>
            <w:r>
              <w:t>Par līguma projekt</w:t>
            </w:r>
            <w:r w:rsidR="00DF36AF">
              <w:t>a</w:t>
            </w:r>
            <w:r w:rsidR="00954C94">
              <w:t xml:space="preserve"> tekstu priekšlikumi vai iebildumi </w:t>
            </w:r>
            <w:r>
              <w:t>netika saņemti.</w:t>
            </w:r>
          </w:p>
        </w:tc>
      </w:tr>
      <w:tr w:rsidR="00F33A4E" w14:paraId="2BEF0A41" w14:textId="77777777" w:rsidTr="00F33A4E">
        <w:trPr>
          <w:trHeight w:val="465"/>
          <w:jc w:val="center"/>
        </w:trPr>
        <w:tc>
          <w:tcPr>
            <w:tcW w:w="2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0C137E" w14:textId="77777777" w:rsidR="00F33A4E" w:rsidRPr="00F33A4E" w:rsidRDefault="00F33A4E" w:rsidP="005F3DBD">
            <w:pPr>
              <w:pStyle w:val="naiskr"/>
              <w:widowControl w:val="0"/>
              <w:tabs>
                <w:tab w:val="left" w:pos="2628"/>
              </w:tabs>
              <w:spacing w:before="0" w:after="120"/>
              <w:jc w:val="both"/>
            </w:pPr>
            <w:r w:rsidRPr="00F33A4E">
              <w:t>4.</w:t>
            </w:r>
          </w:p>
        </w:tc>
        <w:tc>
          <w:tcPr>
            <w:tcW w:w="165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54B7E4" w14:textId="77777777" w:rsidR="00F33A4E" w:rsidRPr="00F33A4E" w:rsidRDefault="00F33A4E" w:rsidP="00F33A4E">
            <w:pPr>
              <w:pStyle w:val="naiskr"/>
              <w:widowControl w:val="0"/>
              <w:tabs>
                <w:tab w:val="left" w:pos="2628"/>
              </w:tabs>
              <w:spacing w:before="0" w:after="120"/>
            </w:pPr>
            <w:r w:rsidRPr="00F33A4E">
              <w:t>Cita informācija</w:t>
            </w:r>
          </w:p>
        </w:tc>
        <w:tc>
          <w:tcPr>
            <w:tcW w:w="31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969C18" w14:textId="5FB968FE" w:rsidR="00F33A4E" w:rsidRPr="00F33A4E" w:rsidRDefault="00F33A4E" w:rsidP="005F3DBD">
            <w:pPr>
              <w:pStyle w:val="naiskr"/>
              <w:widowControl w:val="0"/>
              <w:tabs>
                <w:tab w:val="left" w:pos="2628"/>
              </w:tabs>
              <w:spacing w:before="0" w:after="120"/>
              <w:jc w:val="both"/>
            </w:pPr>
            <w:r>
              <w:t>Nav.</w:t>
            </w:r>
          </w:p>
        </w:tc>
      </w:tr>
    </w:tbl>
    <w:p w14:paraId="437603E0" w14:textId="77777777" w:rsidR="00F33A4E" w:rsidRDefault="00F33A4E" w:rsidP="002D6487">
      <w:pPr>
        <w:widowControl w:val="0"/>
        <w:spacing w:after="120"/>
        <w:rPr>
          <w:highlight w:val="yellow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426"/>
        <w:gridCol w:w="3260"/>
        <w:gridCol w:w="5954"/>
      </w:tblGrid>
      <w:tr w:rsidR="00271778" w14:paraId="25C0E317" w14:textId="77777777" w:rsidTr="00F33A4E">
        <w:tc>
          <w:tcPr>
            <w:tcW w:w="9640" w:type="dxa"/>
            <w:gridSpan w:val="3"/>
          </w:tcPr>
          <w:p w14:paraId="43F193D3" w14:textId="77777777" w:rsidR="00271778" w:rsidRDefault="00271778" w:rsidP="00637346">
            <w:pPr>
              <w:spacing w:before="75" w:after="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271778" w14:paraId="49A1B826" w14:textId="77777777" w:rsidTr="00B15AC0">
        <w:tc>
          <w:tcPr>
            <w:tcW w:w="426" w:type="dxa"/>
          </w:tcPr>
          <w:p w14:paraId="73D4B03C" w14:textId="77777777" w:rsidR="00271778" w:rsidRDefault="00271778" w:rsidP="00271778">
            <w:pPr>
              <w:pStyle w:val="tvhtmlmktable"/>
            </w:pPr>
            <w:r>
              <w:t>1.</w:t>
            </w:r>
          </w:p>
        </w:tc>
        <w:tc>
          <w:tcPr>
            <w:tcW w:w="3260" w:type="dxa"/>
          </w:tcPr>
          <w:p w14:paraId="4179E78E" w14:textId="77777777" w:rsidR="00271778" w:rsidRDefault="00271778" w:rsidP="00271778">
            <w:pPr>
              <w:pStyle w:val="tvhtmlmktable"/>
            </w:pPr>
            <w:r>
              <w:t>Projekta izpildē iesaistītās institūcijas</w:t>
            </w:r>
          </w:p>
        </w:tc>
        <w:tc>
          <w:tcPr>
            <w:tcW w:w="5954" w:type="dxa"/>
          </w:tcPr>
          <w:p w14:paraId="7CB512DE" w14:textId="77777777" w:rsidR="00271778" w:rsidRDefault="00271778" w:rsidP="00C34F91">
            <w:pPr>
              <w:pStyle w:val="tvhtmlmktable"/>
              <w:jc w:val="both"/>
            </w:pPr>
            <w:r>
              <w:t>Projekta izpildi nodrošinās Izglītības un zinātnes ministrija</w:t>
            </w:r>
            <w:r w:rsidR="00FB4515">
              <w:t>.</w:t>
            </w:r>
          </w:p>
        </w:tc>
      </w:tr>
      <w:tr w:rsidR="00271778" w14:paraId="1D335C2D" w14:textId="77777777" w:rsidTr="00B15AC0">
        <w:tc>
          <w:tcPr>
            <w:tcW w:w="426" w:type="dxa"/>
          </w:tcPr>
          <w:p w14:paraId="5C225A0D" w14:textId="77777777" w:rsidR="00271778" w:rsidRDefault="00271778" w:rsidP="00271778">
            <w:pPr>
              <w:pStyle w:val="tvhtmlmktable"/>
            </w:pPr>
            <w:r>
              <w:t>2.</w:t>
            </w:r>
          </w:p>
        </w:tc>
        <w:tc>
          <w:tcPr>
            <w:tcW w:w="3260" w:type="dxa"/>
          </w:tcPr>
          <w:p w14:paraId="2CE5932B" w14:textId="77777777" w:rsidR="00271778" w:rsidRDefault="00271778" w:rsidP="0062080D">
            <w:pPr>
              <w:pStyle w:val="tvhtmlmktable"/>
              <w:spacing w:before="0" w:beforeAutospacing="0" w:after="0" w:afterAutospacing="0"/>
            </w:pPr>
            <w:r>
              <w:t>Projekta izpildes ietekme uz pārvaldes funkcijām</w:t>
            </w:r>
            <w:r w:rsidR="0062080D">
              <w:t xml:space="preserve"> un institucionālo struktūru.</w:t>
            </w:r>
          </w:p>
          <w:p w14:paraId="7E4BA86B" w14:textId="77777777" w:rsidR="0062080D" w:rsidRDefault="0062080D" w:rsidP="0062080D">
            <w:pPr>
              <w:pStyle w:val="tvhtmlmktable"/>
              <w:spacing w:before="0" w:beforeAutospacing="0" w:after="0" w:afterAutospacing="0"/>
            </w:pPr>
            <w:r>
              <w:t>Jaunu institūciju izveide, esošu institūciju likvidācija vai reorganizācija, to ietekme uz institūcijas cilvēkresursiem</w:t>
            </w:r>
          </w:p>
        </w:tc>
        <w:tc>
          <w:tcPr>
            <w:tcW w:w="5954" w:type="dxa"/>
          </w:tcPr>
          <w:p w14:paraId="3788FBDF" w14:textId="77777777" w:rsidR="00271778" w:rsidRDefault="0062080D" w:rsidP="00271778">
            <w:pPr>
              <w:pStyle w:val="tvhtmlmktable"/>
              <w:jc w:val="both"/>
            </w:pPr>
            <w:r>
              <w:t xml:space="preserve">Pārvaldes funkcijas un uzdevumi netiek grozīti, institucionālā struktūra netiek mainīta. Jaunas institūcijas netiek izveidotas. Esošās institūcijas netiks likvidētas vai reorganizētas. </w:t>
            </w:r>
            <w:r w:rsidR="00271778">
              <w:t>Projekts tiks izpildīts esošo pārvaldes funkciju ietvaros</w:t>
            </w:r>
            <w:r w:rsidR="002D6487">
              <w:t>.</w:t>
            </w:r>
            <w:r w:rsidR="00271778">
              <w:t xml:space="preserve"> </w:t>
            </w:r>
          </w:p>
        </w:tc>
      </w:tr>
      <w:tr w:rsidR="00271778" w14:paraId="54A8C112" w14:textId="77777777" w:rsidTr="00B15AC0">
        <w:tc>
          <w:tcPr>
            <w:tcW w:w="426" w:type="dxa"/>
          </w:tcPr>
          <w:p w14:paraId="5663ECBC" w14:textId="77777777" w:rsidR="00271778" w:rsidRDefault="0062080D" w:rsidP="00271778">
            <w:pPr>
              <w:pStyle w:val="tvhtmlmktable"/>
            </w:pPr>
            <w:r>
              <w:lastRenderedPageBreak/>
              <w:t>3</w:t>
            </w:r>
            <w:r w:rsidR="00271778">
              <w:t>.</w:t>
            </w:r>
          </w:p>
        </w:tc>
        <w:tc>
          <w:tcPr>
            <w:tcW w:w="3260" w:type="dxa"/>
          </w:tcPr>
          <w:p w14:paraId="527DBF96" w14:textId="77777777" w:rsidR="00271778" w:rsidRDefault="00271778" w:rsidP="00271778">
            <w:pPr>
              <w:pStyle w:val="tvhtmlmktable"/>
            </w:pPr>
            <w:r>
              <w:t>Cita informācija</w:t>
            </w:r>
          </w:p>
        </w:tc>
        <w:tc>
          <w:tcPr>
            <w:tcW w:w="5954" w:type="dxa"/>
          </w:tcPr>
          <w:p w14:paraId="3D2BCEC9" w14:textId="77777777" w:rsidR="00271778" w:rsidRDefault="00271778" w:rsidP="00271778">
            <w:pPr>
              <w:pStyle w:val="tvhtmlmktable"/>
            </w:pPr>
            <w:r>
              <w:t xml:space="preserve">Nav. </w:t>
            </w:r>
          </w:p>
        </w:tc>
      </w:tr>
    </w:tbl>
    <w:p w14:paraId="6903B763" w14:textId="77777777" w:rsidR="00637346" w:rsidRPr="009235D8" w:rsidRDefault="00637346" w:rsidP="009235D8">
      <w:pPr>
        <w:pStyle w:val="naisf"/>
        <w:spacing w:before="0" w:after="0"/>
      </w:pPr>
    </w:p>
    <w:p w14:paraId="4E9F47BA" w14:textId="0C6928AC" w:rsidR="002D6487" w:rsidRPr="009235D8" w:rsidRDefault="002D6487" w:rsidP="009235D8">
      <w:pPr>
        <w:pStyle w:val="naisf"/>
        <w:widowControl w:val="0"/>
        <w:spacing w:before="0" w:after="0"/>
        <w:ind w:firstLine="0"/>
        <w:jc w:val="center"/>
      </w:pPr>
      <w:r w:rsidRPr="009235D8">
        <w:t>Anotācijas III sadaļa</w:t>
      </w:r>
      <w:r w:rsidR="00F33A4E" w:rsidRPr="009235D8">
        <w:t xml:space="preserve"> un</w:t>
      </w:r>
      <w:r w:rsidRPr="009235D8">
        <w:t xml:space="preserve"> V sadaļas 1. un 2. tabula – nav attiecināms.</w:t>
      </w:r>
    </w:p>
    <w:p w14:paraId="4F8F8096" w14:textId="77777777" w:rsidR="00373B17" w:rsidRDefault="00373B17" w:rsidP="009235D8">
      <w:pPr>
        <w:pStyle w:val="naisf"/>
        <w:spacing w:before="0" w:after="0"/>
      </w:pPr>
    </w:p>
    <w:p w14:paraId="12B94D62" w14:textId="77777777" w:rsidR="009235D8" w:rsidRPr="009235D8" w:rsidRDefault="009235D8" w:rsidP="009235D8">
      <w:pPr>
        <w:pStyle w:val="naisf"/>
        <w:spacing w:before="0" w:after="0"/>
      </w:pPr>
    </w:p>
    <w:p w14:paraId="4F44E869" w14:textId="241963EA" w:rsidR="00E41B73" w:rsidRPr="009235D8" w:rsidRDefault="00B22DC8" w:rsidP="00F47118">
      <w:r w:rsidRPr="009235D8">
        <w:t>I</w:t>
      </w:r>
      <w:r w:rsidR="00E41B73" w:rsidRPr="009235D8">
        <w:t>zglītības un zinātnes ministr</w:t>
      </w:r>
      <w:r w:rsidR="005736DB" w:rsidRPr="009235D8">
        <w:t>s</w:t>
      </w:r>
      <w:r w:rsidR="00F47118" w:rsidRPr="009235D8">
        <w:tab/>
      </w:r>
      <w:r w:rsidR="00F47118" w:rsidRPr="009235D8">
        <w:tab/>
      </w:r>
      <w:r w:rsidR="00F47118" w:rsidRPr="009235D8">
        <w:tab/>
      </w:r>
      <w:r w:rsidR="00F47118" w:rsidRPr="009235D8">
        <w:tab/>
      </w:r>
      <w:r w:rsidR="00F47118" w:rsidRPr="009235D8">
        <w:tab/>
      </w:r>
      <w:r w:rsidR="00F47118" w:rsidRPr="009235D8">
        <w:tab/>
      </w:r>
      <w:r w:rsidR="009235D8" w:rsidRPr="009235D8">
        <w:tab/>
      </w:r>
      <w:proofErr w:type="spellStart"/>
      <w:r w:rsidR="005736DB" w:rsidRPr="009235D8">
        <w:t>K</w:t>
      </w:r>
      <w:r w:rsidR="00E41B73" w:rsidRPr="009235D8">
        <w:t>.</w:t>
      </w:r>
      <w:r w:rsidR="005736DB" w:rsidRPr="009235D8">
        <w:t>Šadurskis</w:t>
      </w:r>
      <w:proofErr w:type="spellEnd"/>
    </w:p>
    <w:p w14:paraId="2194EFE5" w14:textId="77777777" w:rsidR="00B51B37" w:rsidRPr="009235D8" w:rsidRDefault="00B51B37" w:rsidP="007F3149">
      <w:pPr>
        <w:pStyle w:val="Subtitle"/>
        <w:spacing w:before="0" w:after="0"/>
        <w:ind w:right="0"/>
        <w:rPr>
          <w:b w:val="0"/>
          <w:i/>
          <w:sz w:val="24"/>
          <w:szCs w:val="24"/>
          <w:lang w:val="lv-LV"/>
        </w:rPr>
      </w:pPr>
    </w:p>
    <w:p w14:paraId="45E5F45C" w14:textId="77777777" w:rsidR="00212F0C" w:rsidRDefault="009235D8" w:rsidP="00212F0C">
      <w:pPr>
        <w:jc w:val="both"/>
      </w:pPr>
      <w:r w:rsidRPr="009235D8">
        <w:t xml:space="preserve">Vīza: valsts </w:t>
      </w:r>
      <w:r w:rsidR="00212F0C">
        <w:t xml:space="preserve">sekretāra vietnieks – </w:t>
      </w:r>
    </w:p>
    <w:p w14:paraId="21DC453D" w14:textId="77777777" w:rsidR="00212F0C" w:rsidRDefault="00212F0C" w:rsidP="00212F0C">
      <w:pPr>
        <w:jc w:val="both"/>
      </w:pPr>
      <w:r>
        <w:t xml:space="preserve">Sporta departamenta direktors, </w:t>
      </w:r>
    </w:p>
    <w:p w14:paraId="1A5ABF9B" w14:textId="0CD875FB" w:rsidR="00B51B37" w:rsidRPr="009235D8" w:rsidRDefault="00212F0C" w:rsidP="00212F0C">
      <w:pPr>
        <w:jc w:val="both"/>
        <w:rPr>
          <w:b/>
          <w:i/>
        </w:rPr>
      </w:pPr>
      <w:r>
        <w:t xml:space="preserve">valsts sekretāra pienākumu izpildītājs                 </w:t>
      </w:r>
      <w:r>
        <w:tab/>
      </w:r>
      <w:r>
        <w:tab/>
      </w:r>
      <w:r>
        <w:tab/>
      </w:r>
      <w:r>
        <w:tab/>
      </w:r>
      <w:proofErr w:type="spellStart"/>
      <w:r>
        <w:t>E.Severs</w:t>
      </w:r>
      <w:proofErr w:type="spellEnd"/>
    </w:p>
    <w:p w14:paraId="267551FC" w14:textId="77777777" w:rsidR="00B51B37" w:rsidRPr="009235D8" w:rsidRDefault="00B51B37" w:rsidP="007F3149">
      <w:pPr>
        <w:pStyle w:val="Subtitle"/>
        <w:spacing w:before="0" w:after="0"/>
        <w:ind w:right="0"/>
        <w:rPr>
          <w:b w:val="0"/>
          <w:i/>
          <w:sz w:val="24"/>
          <w:szCs w:val="24"/>
          <w:lang w:val="lv-LV"/>
        </w:rPr>
      </w:pPr>
    </w:p>
    <w:p w14:paraId="7DD6FE9E" w14:textId="77777777" w:rsidR="00307417" w:rsidRPr="009235D8" w:rsidRDefault="00307417" w:rsidP="00307417">
      <w:pPr>
        <w:rPr>
          <w:lang w:eastAsia="en-US"/>
        </w:rPr>
      </w:pPr>
    </w:p>
    <w:p w14:paraId="3BF2FDF1" w14:textId="7AB5668D" w:rsidR="004361ED" w:rsidRPr="004361ED" w:rsidRDefault="004361ED" w:rsidP="004361ED">
      <w:pPr>
        <w:rPr>
          <w:sz w:val="20"/>
          <w:szCs w:val="20"/>
        </w:rPr>
      </w:pPr>
      <w:r w:rsidRPr="004361ED">
        <w:rPr>
          <w:sz w:val="20"/>
          <w:szCs w:val="20"/>
        </w:rPr>
        <w:fldChar w:fldCharType="begin"/>
      </w:r>
      <w:r w:rsidRPr="004361ED">
        <w:rPr>
          <w:sz w:val="20"/>
          <w:szCs w:val="20"/>
        </w:rPr>
        <w:instrText xml:space="preserve"> TIME \@ "dd.MM.yyyy. H:mm" </w:instrText>
      </w:r>
      <w:r w:rsidRPr="004361ED">
        <w:rPr>
          <w:sz w:val="20"/>
          <w:szCs w:val="20"/>
        </w:rPr>
        <w:fldChar w:fldCharType="separate"/>
      </w:r>
      <w:r w:rsidR="00212F0C">
        <w:rPr>
          <w:noProof/>
          <w:sz w:val="20"/>
          <w:szCs w:val="20"/>
        </w:rPr>
        <w:t>05.07.2017. 10:46</w:t>
      </w:r>
      <w:r w:rsidRPr="004361ED">
        <w:rPr>
          <w:sz w:val="20"/>
          <w:szCs w:val="20"/>
        </w:rPr>
        <w:fldChar w:fldCharType="end"/>
      </w:r>
    </w:p>
    <w:p w14:paraId="7404DAD8" w14:textId="77777777" w:rsidR="004361ED" w:rsidRPr="004361ED" w:rsidRDefault="004361ED" w:rsidP="004361ED">
      <w:pPr>
        <w:rPr>
          <w:sz w:val="20"/>
          <w:szCs w:val="20"/>
        </w:rPr>
      </w:pPr>
      <w:r w:rsidRPr="004361ED">
        <w:rPr>
          <w:sz w:val="20"/>
          <w:szCs w:val="20"/>
        </w:rPr>
        <w:fldChar w:fldCharType="begin"/>
      </w:r>
      <w:r w:rsidRPr="004361ED">
        <w:rPr>
          <w:sz w:val="20"/>
          <w:szCs w:val="20"/>
        </w:rPr>
        <w:instrText xml:space="preserve"> NUMWORDS   \* MERGEFORMAT </w:instrText>
      </w:r>
      <w:r w:rsidRPr="004361ED">
        <w:rPr>
          <w:sz w:val="20"/>
          <w:szCs w:val="20"/>
        </w:rPr>
        <w:fldChar w:fldCharType="separate"/>
      </w:r>
      <w:r w:rsidR="008D00DB">
        <w:rPr>
          <w:noProof/>
          <w:sz w:val="20"/>
          <w:szCs w:val="20"/>
        </w:rPr>
        <w:t>865</w:t>
      </w:r>
      <w:r w:rsidRPr="004361ED">
        <w:rPr>
          <w:sz w:val="20"/>
          <w:szCs w:val="20"/>
        </w:rPr>
        <w:fldChar w:fldCharType="end"/>
      </w:r>
      <w:bookmarkStart w:id="2" w:name="_GoBack"/>
      <w:bookmarkEnd w:id="2"/>
    </w:p>
    <w:p w14:paraId="794C7791" w14:textId="77777777" w:rsidR="004361ED" w:rsidRPr="004361ED" w:rsidRDefault="004361ED" w:rsidP="004361ED">
      <w:pPr>
        <w:keepNext/>
        <w:keepLines/>
        <w:widowControl w:val="0"/>
        <w:suppressAutoHyphens/>
        <w:rPr>
          <w:sz w:val="18"/>
          <w:szCs w:val="18"/>
          <w:lang w:val="de-DE" w:eastAsia="en-US"/>
        </w:rPr>
      </w:pPr>
      <w:r w:rsidRPr="004361ED">
        <w:rPr>
          <w:sz w:val="18"/>
          <w:szCs w:val="18"/>
          <w:lang w:val="de-DE" w:eastAsia="en-US"/>
        </w:rPr>
        <w:t>M.Zvirbule, 67047896</w:t>
      </w:r>
    </w:p>
    <w:p w14:paraId="0593F37C" w14:textId="77777777" w:rsidR="004361ED" w:rsidRPr="004361ED" w:rsidRDefault="004361ED" w:rsidP="004361ED">
      <w:pPr>
        <w:keepNext/>
        <w:keepLines/>
        <w:widowControl w:val="0"/>
        <w:suppressAutoHyphens/>
        <w:rPr>
          <w:sz w:val="18"/>
          <w:szCs w:val="18"/>
          <w:lang w:val="de-DE" w:eastAsia="en-US"/>
        </w:rPr>
      </w:pPr>
      <w:r w:rsidRPr="004361ED">
        <w:rPr>
          <w:sz w:val="18"/>
          <w:szCs w:val="18"/>
          <w:lang w:val="de-DE" w:eastAsia="en-US"/>
        </w:rPr>
        <w:t>maija.zvirbule@izm.gov.lv</w:t>
      </w:r>
    </w:p>
    <w:p w14:paraId="17F08EA0" w14:textId="77777777" w:rsidR="00BF40ED" w:rsidRPr="004361ED" w:rsidRDefault="00BF40ED" w:rsidP="004361ED">
      <w:pPr>
        <w:pStyle w:val="Subtitle"/>
        <w:spacing w:before="0" w:after="0"/>
        <w:ind w:right="0"/>
        <w:rPr>
          <w:b w:val="0"/>
          <w:sz w:val="16"/>
          <w:szCs w:val="16"/>
          <w:lang w:val="de-DE"/>
        </w:rPr>
      </w:pPr>
    </w:p>
    <w:sectPr w:rsidR="00BF40ED" w:rsidRPr="004361ED" w:rsidSect="001A7F25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709" w:right="1134" w:bottom="851" w:left="1701" w:header="703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2DA75" w14:textId="77777777" w:rsidR="00CD6F8A" w:rsidRDefault="00CD6F8A">
      <w:r>
        <w:separator/>
      </w:r>
    </w:p>
  </w:endnote>
  <w:endnote w:type="continuationSeparator" w:id="0">
    <w:p w14:paraId="69D79D10" w14:textId="77777777" w:rsidR="00CD6F8A" w:rsidRDefault="00CD6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E2083" w14:textId="7F8358BB" w:rsidR="00C34F91" w:rsidRPr="00F47118" w:rsidRDefault="004361ED" w:rsidP="00C34F91">
    <w:pPr>
      <w:jc w:val="both"/>
      <w:rPr>
        <w:sz w:val="20"/>
        <w:szCs w:val="20"/>
      </w:rPr>
    </w:pPr>
    <w:r w:rsidRPr="009A7FAC">
      <w:rPr>
        <w:sz w:val="20"/>
        <w:szCs w:val="20"/>
      </w:rPr>
      <w:fldChar w:fldCharType="begin"/>
    </w:r>
    <w:r w:rsidRPr="009A7FAC">
      <w:rPr>
        <w:sz w:val="20"/>
        <w:szCs w:val="20"/>
      </w:rPr>
      <w:instrText xml:space="preserve"> FILENAME </w:instrText>
    </w:r>
    <w:r w:rsidRPr="009A7FAC">
      <w:rPr>
        <w:sz w:val="20"/>
        <w:szCs w:val="20"/>
      </w:rPr>
      <w:fldChar w:fldCharType="separate"/>
    </w:r>
    <w:r w:rsidR="00212F0C">
      <w:rPr>
        <w:noProof/>
        <w:sz w:val="20"/>
        <w:szCs w:val="20"/>
      </w:rPr>
      <w:t>IZMAnot_170705_AZ</w:t>
    </w:r>
    <w:r w:rsidRPr="009A7FAC">
      <w:rPr>
        <w:sz w:val="20"/>
        <w:szCs w:val="20"/>
      </w:rPr>
      <w:fldChar w:fldCharType="end"/>
    </w:r>
    <w:r w:rsidRPr="009A7FAC">
      <w:rPr>
        <w:sz w:val="20"/>
        <w:szCs w:val="20"/>
      </w:rPr>
      <w:t xml:space="preserve">; </w:t>
    </w:r>
    <w:r w:rsidRPr="004E1924">
      <w:rPr>
        <w:sz w:val="20"/>
        <w:szCs w:val="20"/>
      </w:rPr>
      <w:t xml:space="preserve">Par </w:t>
    </w:r>
    <w:r w:rsidR="00A247B1" w:rsidRPr="00462B5A">
      <w:rPr>
        <w:sz w:val="20"/>
      </w:rPr>
      <w:t>Latvijas Republikas valdības un Azerbaidžānas Republikas valdības līgumu par sadarbību izglītības jomā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07494" w14:textId="4CB364F2" w:rsidR="001743AA" w:rsidRPr="00F47118" w:rsidRDefault="004361ED" w:rsidP="001743AA">
    <w:pPr>
      <w:jc w:val="both"/>
      <w:rPr>
        <w:sz w:val="20"/>
        <w:szCs w:val="20"/>
      </w:rPr>
    </w:pPr>
    <w:r w:rsidRPr="009A7FAC">
      <w:rPr>
        <w:sz w:val="20"/>
        <w:szCs w:val="20"/>
      </w:rPr>
      <w:fldChar w:fldCharType="begin"/>
    </w:r>
    <w:r w:rsidRPr="009A7FAC">
      <w:rPr>
        <w:sz w:val="20"/>
        <w:szCs w:val="20"/>
      </w:rPr>
      <w:instrText xml:space="preserve"> FILENAME </w:instrText>
    </w:r>
    <w:r w:rsidRPr="009A7FAC">
      <w:rPr>
        <w:sz w:val="20"/>
        <w:szCs w:val="20"/>
      </w:rPr>
      <w:fldChar w:fldCharType="separate"/>
    </w:r>
    <w:r w:rsidR="00650C8C">
      <w:rPr>
        <w:noProof/>
        <w:sz w:val="20"/>
        <w:szCs w:val="20"/>
      </w:rPr>
      <w:t>IZMAnot_170627_AZ</w:t>
    </w:r>
    <w:r w:rsidRPr="009A7FAC">
      <w:rPr>
        <w:sz w:val="20"/>
        <w:szCs w:val="20"/>
      </w:rPr>
      <w:fldChar w:fldCharType="end"/>
    </w:r>
    <w:r w:rsidRPr="009A7FAC">
      <w:rPr>
        <w:sz w:val="20"/>
        <w:szCs w:val="20"/>
      </w:rPr>
      <w:t xml:space="preserve">; </w:t>
    </w:r>
    <w:r w:rsidRPr="004E1924">
      <w:rPr>
        <w:sz w:val="20"/>
        <w:szCs w:val="20"/>
      </w:rPr>
      <w:t xml:space="preserve">Par </w:t>
    </w:r>
    <w:r w:rsidR="00A247B1" w:rsidRPr="00462B5A">
      <w:rPr>
        <w:sz w:val="20"/>
      </w:rPr>
      <w:t>Latvijas Republikas valdības un Azerbaidžānas Republikas valdības līgumu par sadarbību izglītības jomā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E73C5" w14:textId="77777777" w:rsidR="00CD6F8A" w:rsidRDefault="00CD6F8A">
      <w:r>
        <w:separator/>
      </w:r>
    </w:p>
  </w:footnote>
  <w:footnote w:type="continuationSeparator" w:id="0">
    <w:p w14:paraId="327F21CC" w14:textId="77777777" w:rsidR="00CD6F8A" w:rsidRDefault="00CD6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B1D66" w14:textId="77777777" w:rsidR="00DE1C13" w:rsidRDefault="00915B45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E1C1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83BEC7" w14:textId="77777777" w:rsidR="00DE1C13" w:rsidRDefault="00DE1C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9D11E" w14:textId="77777777" w:rsidR="00DE1C13" w:rsidRDefault="00915B45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E1C1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00DB">
      <w:rPr>
        <w:rStyle w:val="PageNumber"/>
        <w:noProof/>
      </w:rPr>
      <w:t>3</w:t>
    </w:r>
    <w:r>
      <w:rPr>
        <w:rStyle w:val="PageNumber"/>
      </w:rPr>
      <w:fldChar w:fldCharType="end"/>
    </w:r>
  </w:p>
  <w:p w14:paraId="7CE8722B" w14:textId="77777777" w:rsidR="00DE1C13" w:rsidRDefault="00DE1C13">
    <w:pPr>
      <w:pStyle w:val="Header"/>
    </w:pPr>
  </w:p>
  <w:p w14:paraId="67299DF9" w14:textId="77777777" w:rsidR="00A71CF9" w:rsidRDefault="00A71C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A1B47"/>
    <w:multiLevelType w:val="hybridMultilevel"/>
    <w:tmpl w:val="4C688CD0"/>
    <w:lvl w:ilvl="0" w:tplc="B058B2EE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0F85"/>
    <w:multiLevelType w:val="multilevel"/>
    <w:tmpl w:val="21A8AD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0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2" w15:restartNumberingAfterBreak="0">
    <w:nsid w:val="07CC4293"/>
    <w:multiLevelType w:val="hybridMultilevel"/>
    <w:tmpl w:val="81BA59F0"/>
    <w:lvl w:ilvl="0" w:tplc="04260001">
      <w:start w:val="1"/>
      <w:numFmt w:val="bullet"/>
      <w:lvlText w:val=""/>
      <w:lvlJc w:val="left"/>
      <w:pPr>
        <w:ind w:left="55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3" w15:restartNumberingAfterBreak="0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10405D6"/>
    <w:multiLevelType w:val="hybridMultilevel"/>
    <w:tmpl w:val="33B888EA"/>
    <w:lvl w:ilvl="0" w:tplc="0426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5" w15:restartNumberingAfterBreak="0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B1D3450"/>
    <w:multiLevelType w:val="hybridMultilevel"/>
    <w:tmpl w:val="4D8A2620"/>
    <w:lvl w:ilvl="0" w:tplc="0426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 w15:restartNumberingAfterBreak="0">
    <w:nsid w:val="326330FD"/>
    <w:multiLevelType w:val="multilevel"/>
    <w:tmpl w:val="8DB603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11" w15:restartNumberingAfterBreak="0">
    <w:nsid w:val="3FF7297D"/>
    <w:multiLevelType w:val="hybridMultilevel"/>
    <w:tmpl w:val="B046E338"/>
    <w:lvl w:ilvl="0" w:tplc="0426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2" w15:restartNumberingAfterBreak="0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18"/>
  </w:num>
  <w:num w:numId="3">
    <w:abstractNumId w:val="7"/>
  </w:num>
  <w:num w:numId="4">
    <w:abstractNumId w:val="5"/>
  </w:num>
  <w:num w:numId="5">
    <w:abstractNumId w:val="3"/>
  </w:num>
  <w:num w:numId="6">
    <w:abstractNumId w:val="15"/>
  </w:num>
  <w:num w:numId="7">
    <w:abstractNumId w:val="19"/>
  </w:num>
  <w:num w:numId="8">
    <w:abstractNumId w:val="12"/>
  </w:num>
  <w:num w:numId="9">
    <w:abstractNumId w:val="6"/>
  </w:num>
  <w:num w:numId="10">
    <w:abstractNumId w:val="13"/>
  </w:num>
  <w:num w:numId="11">
    <w:abstractNumId w:val="14"/>
  </w:num>
  <w:num w:numId="12">
    <w:abstractNumId w:val="16"/>
  </w:num>
  <w:num w:numId="13">
    <w:abstractNumId w:val="17"/>
  </w:num>
  <w:num w:numId="14">
    <w:abstractNumId w:val="0"/>
  </w:num>
  <w:num w:numId="15">
    <w:abstractNumId w:val="2"/>
  </w:num>
  <w:num w:numId="16">
    <w:abstractNumId w:val="4"/>
  </w:num>
  <w:num w:numId="17">
    <w:abstractNumId w:val="10"/>
  </w:num>
  <w:num w:numId="18">
    <w:abstractNumId w:val="1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49"/>
    <w:rsid w:val="00002C15"/>
    <w:rsid w:val="00007828"/>
    <w:rsid w:val="00011D24"/>
    <w:rsid w:val="00013FF4"/>
    <w:rsid w:val="0001501B"/>
    <w:rsid w:val="00020FE1"/>
    <w:rsid w:val="00022E13"/>
    <w:rsid w:val="00023733"/>
    <w:rsid w:val="00032388"/>
    <w:rsid w:val="000339DA"/>
    <w:rsid w:val="00035136"/>
    <w:rsid w:val="00035CE2"/>
    <w:rsid w:val="00036CC3"/>
    <w:rsid w:val="00053952"/>
    <w:rsid w:val="0005553B"/>
    <w:rsid w:val="000604D2"/>
    <w:rsid w:val="00064B90"/>
    <w:rsid w:val="000862EB"/>
    <w:rsid w:val="0009005E"/>
    <w:rsid w:val="000941C5"/>
    <w:rsid w:val="000947AD"/>
    <w:rsid w:val="00097E64"/>
    <w:rsid w:val="000A6451"/>
    <w:rsid w:val="000A6CD0"/>
    <w:rsid w:val="000B064E"/>
    <w:rsid w:val="000B3C3C"/>
    <w:rsid w:val="000B44AC"/>
    <w:rsid w:val="000B69CF"/>
    <w:rsid w:val="000C07B1"/>
    <w:rsid w:val="000C07BF"/>
    <w:rsid w:val="000C0C60"/>
    <w:rsid w:val="000C790C"/>
    <w:rsid w:val="000E0378"/>
    <w:rsid w:val="000E105F"/>
    <w:rsid w:val="000E56CC"/>
    <w:rsid w:val="000F061D"/>
    <w:rsid w:val="000F064A"/>
    <w:rsid w:val="000F3463"/>
    <w:rsid w:val="000F3C98"/>
    <w:rsid w:val="000F4794"/>
    <w:rsid w:val="00124F12"/>
    <w:rsid w:val="00144E3A"/>
    <w:rsid w:val="0015060C"/>
    <w:rsid w:val="00151650"/>
    <w:rsid w:val="0016018A"/>
    <w:rsid w:val="00161F0E"/>
    <w:rsid w:val="00163751"/>
    <w:rsid w:val="00170E2A"/>
    <w:rsid w:val="00170FD3"/>
    <w:rsid w:val="001743AA"/>
    <w:rsid w:val="00177394"/>
    <w:rsid w:val="00182C18"/>
    <w:rsid w:val="00183CC2"/>
    <w:rsid w:val="001900E4"/>
    <w:rsid w:val="00190F88"/>
    <w:rsid w:val="001924F5"/>
    <w:rsid w:val="001932BB"/>
    <w:rsid w:val="001A08B5"/>
    <w:rsid w:val="001A4066"/>
    <w:rsid w:val="001A6AE4"/>
    <w:rsid w:val="001A7F25"/>
    <w:rsid w:val="001B01FD"/>
    <w:rsid w:val="001B4A71"/>
    <w:rsid w:val="001B5901"/>
    <w:rsid w:val="001D5B54"/>
    <w:rsid w:val="001E1DBF"/>
    <w:rsid w:val="001E4639"/>
    <w:rsid w:val="001E4A7D"/>
    <w:rsid w:val="001F43A8"/>
    <w:rsid w:val="001F5CD6"/>
    <w:rsid w:val="0020070F"/>
    <w:rsid w:val="0021263D"/>
    <w:rsid w:val="00212F0C"/>
    <w:rsid w:val="00213F0C"/>
    <w:rsid w:val="00214094"/>
    <w:rsid w:val="0021592D"/>
    <w:rsid w:val="00222D76"/>
    <w:rsid w:val="00223EB1"/>
    <w:rsid w:val="00231344"/>
    <w:rsid w:val="00231565"/>
    <w:rsid w:val="0023436E"/>
    <w:rsid w:val="002347C0"/>
    <w:rsid w:val="00241A6C"/>
    <w:rsid w:val="00242D2B"/>
    <w:rsid w:val="00262E2B"/>
    <w:rsid w:val="00263AEA"/>
    <w:rsid w:val="002703F9"/>
    <w:rsid w:val="00270429"/>
    <w:rsid w:val="00271778"/>
    <w:rsid w:val="002721C5"/>
    <w:rsid w:val="002723E9"/>
    <w:rsid w:val="00277929"/>
    <w:rsid w:val="00283B82"/>
    <w:rsid w:val="002846E9"/>
    <w:rsid w:val="00284C34"/>
    <w:rsid w:val="00287907"/>
    <w:rsid w:val="0029066C"/>
    <w:rsid w:val="002930A3"/>
    <w:rsid w:val="00296540"/>
    <w:rsid w:val="002A26A5"/>
    <w:rsid w:val="002B216D"/>
    <w:rsid w:val="002B50DB"/>
    <w:rsid w:val="002C0EBD"/>
    <w:rsid w:val="002C12AB"/>
    <w:rsid w:val="002C5590"/>
    <w:rsid w:val="002C6999"/>
    <w:rsid w:val="002C7CAC"/>
    <w:rsid w:val="002D3306"/>
    <w:rsid w:val="002D48AA"/>
    <w:rsid w:val="002D6487"/>
    <w:rsid w:val="002D7BAA"/>
    <w:rsid w:val="002D7EFF"/>
    <w:rsid w:val="002D7F54"/>
    <w:rsid w:val="002E3FF4"/>
    <w:rsid w:val="002F582E"/>
    <w:rsid w:val="002F6361"/>
    <w:rsid w:val="002F64D1"/>
    <w:rsid w:val="002F78C8"/>
    <w:rsid w:val="00301CF3"/>
    <w:rsid w:val="0030670C"/>
    <w:rsid w:val="00307417"/>
    <w:rsid w:val="0032715C"/>
    <w:rsid w:val="00333262"/>
    <w:rsid w:val="00337CA5"/>
    <w:rsid w:val="00340ECC"/>
    <w:rsid w:val="003511A5"/>
    <w:rsid w:val="00360F47"/>
    <w:rsid w:val="00362478"/>
    <w:rsid w:val="003628F9"/>
    <w:rsid w:val="00373B17"/>
    <w:rsid w:val="00375B25"/>
    <w:rsid w:val="003850F5"/>
    <w:rsid w:val="00392914"/>
    <w:rsid w:val="00392A8D"/>
    <w:rsid w:val="00396542"/>
    <w:rsid w:val="0039685B"/>
    <w:rsid w:val="003A1148"/>
    <w:rsid w:val="003A2B7D"/>
    <w:rsid w:val="003A31A6"/>
    <w:rsid w:val="003A7F0C"/>
    <w:rsid w:val="003A7F79"/>
    <w:rsid w:val="003B6404"/>
    <w:rsid w:val="003C449B"/>
    <w:rsid w:val="003D1E7F"/>
    <w:rsid w:val="003D21FF"/>
    <w:rsid w:val="003D78DF"/>
    <w:rsid w:val="003F0112"/>
    <w:rsid w:val="003F071A"/>
    <w:rsid w:val="003F160B"/>
    <w:rsid w:val="00400032"/>
    <w:rsid w:val="00400B5B"/>
    <w:rsid w:val="004029AD"/>
    <w:rsid w:val="00405A00"/>
    <w:rsid w:val="00410034"/>
    <w:rsid w:val="00420870"/>
    <w:rsid w:val="00423F76"/>
    <w:rsid w:val="00427088"/>
    <w:rsid w:val="004361ED"/>
    <w:rsid w:val="0043791B"/>
    <w:rsid w:val="00441483"/>
    <w:rsid w:val="00441BCB"/>
    <w:rsid w:val="004432BE"/>
    <w:rsid w:val="004473A7"/>
    <w:rsid w:val="0045176A"/>
    <w:rsid w:val="00456332"/>
    <w:rsid w:val="00461826"/>
    <w:rsid w:val="0046640B"/>
    <w:rsid w:val="004800F9"/>
    <w:rsid w:val="00481043"/>
    <w:rsid w:val="00482512"/>
    <w:rsid w:val="00485ADA"/>
    <w:rsid w:val="0049134A"/>
    <w:rsid w:val="004A58CB"/>
    <w:rsid w:val="004B1795"/>
    <w:rsid w:val="004B36D3"/>
    <w:rsid w:val="004B56DD"/>
    <w:rsid w:val="004C020F"/>
    <w:rsid w:val="004C1AFD"/>
    <w:rsid w:val="004C558B"/>
    <w:rsid w:val="004D20AC"/>
    <w:rsid w:val="004E263D"/>
    <w:rsid w:val="004F1F88"/>
    <w:rsid w:val="004F5F1B"/>
    <w:rsid w:val="004F6CBE"/>
    <w:rsid w:val="00502374"/>
    <w:rsid w:val="005060A1"/>
    <w:rsid w:val="0050624A"/>
    <w:rsid w:val="00516072"/>
    <w:rsid w:val="00520058"/>
    <w:rsid w:val="00523A07"/>
    <w:rsid w:val="00525812"/>
    <w:rsid w:val="005332EC"/>
    <w:rsid w:val="005342E3"/>
    <w:rsid w:val="00534418"/>
    <w:rsid w:val="005353AB"/>
    <w:rsid w:val="005440C2"/>
    <w:rsid w:val="00544F9C"/>
    <w:rsid w:val="00554BE8"/>
    <w:rsid w:val="005560BC"/>
    <w:rsid w:val="005573BE"/>
    <w:rsid w:val="005600BD"/>
    <w:rsid w:val="00563E9D"/>
    <w:rsid w:val="00564EAB"/>
    <w:rsid w:val="0056573F"/>
    <w:rsid w:val="00567F36"/>
    <w:rsid w:val="00572700"/>
    <w:rsid w:val="005736DB"/>
    <w:rsid w:val="00580468"/>
    <w:rsid w:val="0058603B"/>
    <w:rsid w:val="0059431B"/>
    <w:rsid w:val="00594EE4"/>
    <w:rsid w:val="005A068F"/>
    <w:rsid w:val="005A1776"/>
    <w:rsid w:val="005A39CC"/>
    <w:rsid w:val="005B4730"/>
    <w:rsid w:val="005C25AD"/>
    <w:rsid w:val="005C6FE9"/>
    <w:rsid w:val="005E05D7"/>
    <w:rsid w:val="005E2D36"/>
    <w:rsid w:val="005E41E7"/>
    <w:rsid w:val="005E450F"/>
    <w:rsid w:val="005F6D7B"/>
    <w:rsid w:val="006037A4"/>
    <w:rsid w:val="00615C71"/>
    <w:rsid w:val="00620443"/>
    <w:rsid w:val="0062080D"/>
    <w:rsid w:val="0062287F"/>
    <w:rsid w:val="0062298A"/>
    <w:rsid w:val="00626514"/>
    <w:rsid w:val="00626589"/>
    <w:rsid w:val="006339A0"/>
    <w:rsid w:val="006349BC"/>
    <w:rsid w:val="006357D8"/>
    <w:rsid w:val="00637346"/>
    <w:rsid w:val="006413A8"/>
    <w:rsid w:val="00642E56"/>
    <w:rsid w:val="00650C8C"/>
    <w:rsid w:val="00650D36"/>
    <w:rsid w:val="00651E00"/>
    <w:rsid w:val="00655335"/>
    <w:rsid w:val="0065545A"/>
    <w:rsid w:val="00662C59"/>
    <w:rsid w:val="00663F2C"/>
    <w:rsid w:val="00671969"/>
    <w:rsid w:val="0067371B"/>
    <w:rsid w:val="00674572"/>
    <w:rsid w:val="0067489D"/>
    <w:rsid w:val="006767F1"/>
    <w:rsid w:val="006770E2"/>
    <w:rsid w:val="00687763"/>
    <w:rsid w:val="0069010E"/>
    <w:rsid w:val="0069200B"/>
    <w:rsid w:val="00692866"/>
    <w:rsid w:val="00692B0D"/>
    <w:rsid w:val="00692EB9"/>
    <w:rsid w:val="00693E0E"/>
    <w:rsid w:val="00694EA8"/>
    <w:rsid w:val="00695EA9"/>
    <w:rsid w:val="006A1AE3"/>
    <w:rsid w:val="006A34DB"/>
    <w:rsid w:val="006C0ECD"/>
    <w:rsid w:val="006C30E1"/>
    <w:rsid w:val="006C4607"/>
    <w:rsid w:val="006D48F1"/>
    <w:rsid w:val="006D56B6"/>
    <w:rsid w:val="006E25F9"/>
    <w:rsid w:val="006E7BBA"/>
    <w:rsid w:val="006F45BE"/>
    <w:rsid w:val="006F7953"/>
    <w:rsid w:val="007004FC"/>
    <w:rsid w:val="007020B0"/>
    <w:rsid w:val="00705412"/>
    <w:rsid w:val="007058FA"/>
    <w:rsid w:val="00706670"/>
    <w:rsid w:val="00720ABF"/>
    <w:rsid w:val="0072417C"/>
    <w:rsid w:val="00734450"/>
    <w:rsid w:val="00745F67"/>
    <w:rsid w:val="0075039E"/>
    <w:rsid w:val="00752D9D"/>
    <w:rsid w:val="007538FF"/>
    <w:rsid w:val="00754784"/>
    <w:rsid w:val="007558C4"/>
    <w:rsid w:val="007570A0"/>
    <w:rsid w:val="00757C6E"/>
    <w:rsid w:val="007626AF"/>
    <w:rsid w:val="00762BDA"/>
    <w:rsid w:val="00767169"/>
    <w:rsid w:val="0077070E"/>
    <w:rsid w:val="007805FD"/>
    <w:rsid w:val="00781D10"/>
    <w:rsid w:val="00784422"/>
    <w:rsid w:val="007913F8"/>
    <w:rsid w:val="00797255"/>
    <w:rsid w:val="007B3B54"/>
    <w:rsid w:val="007B3FA0"/>
    <w:rsid w:val="007B5C8A"/>
    <w:rsid w:val="007B7D88"/>
    <w:rsid w:val="007C0F2C"/>
    <w:rsid w:val="007C2BCC"/>
    <w:rsid w:val="007C4D29"/>
    <w:rsid w:val="007C4EF0"/>
    <w:rsid w:val="007C6711"/>
    <w:rsid w:val="007C7DD6"/>
    <w:rsid w:val="007D099D"/>
    <w:rsid w:val="007D35E2"/>
    <w:rsid w:val="007E2664"/>
    <w:rsid w:val="007E3ABF"/>
    <w:rsid w:val="007E5BFA"/>
    <w:rsid w:val="007E6689"/>
    <w:rsid w:val="007E731C"/>
    <w:rsid w:val="007F0A03"/>
    <w:rsid w:val="007F3149"/>
    <w:rsid w:val="007F4FD9"/>
    <w:rsid w:val="0080130D"/>
    <w:rsid w:val="008041E1"/>
    <w:rsid w:val="008063C6"/>
    <w:rsid w:val="00806A93"/>
    <w:rsid w:val="00810040"/>
    <w:rsid w:val="008104A8"/>
    <w:rsid w:val="00816F6A"/>
    <w:rsid w:val="0082023A"/>
    <w:rsid w:val="00821708"/>
    <w:rsid w:val="00821A7A"/>
    <w:rsid w:val="008253F8"/>
    <w:rsid w:val="008272B4"/>
    <w:rsid w:val="008325E4"/>
    <w:rsid w:val="00832A2B"/>
    <w:rsid w:val="00845811"/>
    <w:rsid w:val="00846994"/>
    <w:rsid w:val="00850451"/>
    <w:rsid w:val="00852042"/>
    <w:rsid w:val="008534C9"/>
    <w:rsid w:val="00854E9A"/>
    <w:rsid w:val="0085599D"/>
    <w:rsid w:val="0085703D"/>
    <w:rsid w:val="0086050D"/>
    <w:rsid w:val="00864B5A"/>
    <w:rsid w:val="0087510C"/>
    <w:rsid w:val="00882170"/>
    <w:rsid w:val="0089738E"/>
    <w:rsid w:val="00897585"/>
    <w:rsid w:val="008A6BA0"/>
    <w:rsid w:val="008B5FDB"/>
    <w:rsid w:val="008C1CFB"/>
    <w:rsid w:val="008C50F4"/>
    <w:rsid w:val="008C5649"/>
    <w:rsid w:val="008D00DB"/>
    <w:rsid w:val="008D24A9"/>
    <w:rsid w:val="008E3EDE"/>
    <w:rsid w:val="008E44A2"/>
    <w:rsid w:val="008E697D"/>
    <w:rsid w:val="00903263"/>
    <w:rsid w:val="00906A21"/>
    <w:rsid w:val="009079C3"/>
    <w:rsid w:val="00910462"/>
    <w:rsid w:val="009111C8"/>
    <w:rsid w:val="00915AB1"/>
    <w:rsid w:val="00915B45"/>
    <w:rsid w:val="00917532"/>
    <w:rsid w:val="009235BA"/>
    <w:rsid w:val="009235D8"/>
    <w:rsid w:val="00924023"/>
    <w:rsid w:val="00924CE2"/>
    <w:rsid w:val="00925B9F"/>
    <w:rsid w:val="00931AED"/>
    <w:rsid w:val="009476A3"/>
    <w:rsid w:val="0095334F"/>
    <w:rsid w:val="00954C94"/>
    <w:rsid w:val="00957D65"/>
    <w:rsid w:val="0096399A"/>
    <w:rsid w:val="00965897"/>
    <w:rsid w:val="00965C20"/>
    <w:rsid w:val="0096765C"/>
    <w:rsid w:val="009727E4"/>
    <w:rsid w:val="009755DE"/>
    <w:rsid w:val="00975B5B"/>
    <w:rsid w:val="00985ADC"/>
    <w:rsid w:val="009934C5"/>
    <w:rsid w:val="00994C0F"/>
    <w:rsid w:val="00997343"/>
    <w:rsid w:val="009A46AD"/>
    <w:rsid w:val="009B22D7"/>
    <w:rsid w:val="009B72ED"/>
    <w:rsid w:val="009C06B1"/>
    <w:rsid w:val="009C6CE7"/>
    <w:rsid w:val="009C6DEB"/>
    <w:rsid w:val="009C72AC"/>
    <w:rsid w:val="009D3789"/>
    <w:rsid w:val="009D384B"/>
    <w:rsid w:val="009D472D"/>
    <w:rsid w:val="009D6504"/>
    <w:rsid w:val="009E12D7"/>
    <w:rsid w:val="009E30FD"/>
    <w:rsid w:val="009E661A"/>
    <w:rsid w:val="009E7807"/>
    <w:rsid w:val="009F1B56"/>
    <w:rsid w:val="009F43A4"/>
    <w:rsid w:val="009F48CD"/>
    <w:rsid w:val="009F6EF0"/>
    <w:rsid w:val="00A057BB"/>
    <w:rsid w:val="00A06781"/>
    <w:rsid w:val="00A068FD"/>
    <w:rsid w:val="00A074C3"/>
    <w:rsid w:val="00A07AC9"/>
    <w:rsid w:val="00A11364"/>
    <w:rsid w:val="00A12F5A"/>
    <w:rsid w:val="00A1509C"/>
    <w:rsid w:val="00A17020"/>
    <w:rsid w:val="00A209F9"/>
    <w:rsid w:val="00A23D3E"/>
    <w:rsid w:val="00A247B1"/>
    <w:rsid w:val="00A24E03"/>
    <w:rsid w:val="00A34260"/>
    <w:rsid w:val="00A53ED0"/>
    <w:rsid w:val="00A5595B"/>
    <w:rsid w:val="00A61F80"/>
    <w:rsid w:val="00A621DA"/>
    <w:rsid w:val="00A649C6"/>
    <w:rsid w:val="00A70CFD"/>
    <w:rsid w:val="00A71CF9"/>
    <w:rsid w:val="00A72A0B"/>
    <w:rsid w:val="00A816CD"/>
    <w:rsid w:val="00A81E42"/>
    <w:rsid w:val="00A850DB"/>
    <w:rsid w:val="00A864FE"/>
    <w:rsid w:val="00A86F41"/>
    <w:rsid w:val="00A87D04"/>
    <w:rsid w:val="00A91CC9"/>
    <w:rsid w:val="00A950C5"/>
    <w:rsid w:val="00AA1D25"/>
    <w:rsid w:val="00AA5C67"/>
    <w:rsid w:val="00AB2B1A"/>
    <w:rsid w:val="00AB397F"/>
    <w:rsid w:val="00AB5832"/>
    <w:rsid w:val="00AB5EB9"/>
    <w:rsid w:val="00AC51F2"/>
    <w:rsid w:val="00AC590C"/>
    <w:rsid w:val="00AE5066"/>
    <w:rsid w:val="00AE5E24"/>
    <w:rsid w:val="00AE61B7"/>
    <w:rsid w:val="00AE6CBA"/>
    <w:rsid w:val="00AE79AD"/>
    <w:rsid w:val="00AF35E4"/>
    <w:rsid w:val="00AF5219"/>
    <w:rsid w:val="00AF5CDE"/>
    <w:rsid w:val="00B026A3"/>
    <w:rsid w:val="00B0506A"/>
    <w:rsid w:val="00B11A57"/>
    <w:rsid w:val="00B15AC0"/>
    <w:rsid w:val="00B17A19"/>
    <w:rsid w:val="00B211C3"/>
    <w:rsid w:val="00B22DC8"/>
    <w:rsid w:val="00B25597"/>
    <w:rsid w:val="00B267B9"/>
    <w:rsid w:val="00B3342C"/>
    <w:rsid w:val="00B33E09"/>
    <w:rsid w:val="00B352C3"/>
    <w:rsid w:val="00B416C2"/>
    <w:rsid w:val="00B45777"/>
    <w:rsid w:val="00B4681D"/>
    <w:rsid w:val="00B50708"/>
    <w:rsid w:val="00B50C68"/>
    <w:rsid w:val="00B51293"/>
    <w:rsid w:val="00B51B37"/>
    <w:rsid w:val="00B52B1E"/>
    <w:rsid w:val="00B53998"/>
    <w:rsid w:val="00B55481"/>
    <w:rsid w:val="00B56C32"/>
    <w:rsid w:val="00B57ACF"/>
    <w:rsid w:val="00B64BB1"/>
    <w:rsid w:val="00B651F3"/>
    <w:rsid w:val="00B700BE"/>
    <w:rsid w:val="00B73166"/>
    <w:rsid w:val="00B8426C"/>
    <w:rsid w:val="00B85A9F"/>
    <w:rsid w:val="00B87606"/>
    <w:rsid w:val="00B87A2B"/>
    <w:rsid w:val="00B91B8D"/>
    <w:rsid w:val="00B94E90"/>
    <w:rsid w:val="00B96A96"/>
    <w:rsid w:val="00BA34DA"/>
    <w:rsid w:val="00BA6984"/>
    <w:rsid w:val="00BB0A82"/>
    <w:rsid w:val="00BB53B6"/>
    <w:rsid w:val="00BB7C94"/>
    <w:rsid w:val="00BC0A9D"/>
    <w:rsid w:val="00BC1C03"/>
    <w:rsid w:val="00BC2D00"/>
    <w:rsid w:val="00BC5D3B"/>
    <w:rsid w:val="00BD06FC"/>
    <w:rsid w:val="00BD2BD8"/>
    <w:rsid w:val="00BD334F"/>
    <w:rsid w:val="00BE767C"/>
    <w:rsid w:val="00BF40ED"/>
    <w:rsid w:val="00BF5BC2"/>
    <w:rsid w:val="00C022CD"/>
    <w:rsid w:val="00C1133D"/>
    <w:rsid w:val="00C27A08"/>
    <w:rsid w:val="00C31312"/>
    <w:rsid w:val="00C316E4"/>
    <w:rsid w:val="00C326C6"/>
    <w:rsid w:val="00C34F91"/>
    <w:rsid w:val="00C35295"/>
    <w:rsid w:val="00C36ADD"/>
    <w:rsid w:val="00C36E74"/>
    <w:rsid w:val="00C40595"/>
    <w:rsid w:val="00C41621"/>
    <w:rsid w:val="00C449FA"/>
    <w:rsid w:val="00C47C25"/>
    <w:rsid w:val="00C50068"/>
    <w:rsid w:val="00C5384F"/>
    <w:rsid w:val="00C56964"/>
    <w:rsid w:val="00C611AC"/>
    <w:rsid w:val="00C61A06"/>
    <w:rsid w:val="00C62AD4"/>
    <w:rsid w:val="00C62D9F"/>
    <w:rsid w:val="00C656D5"/>
    <w:rsid w:val="00C669BB"/>
    <w:rsid w:val="00C67103"/>
    <w:rsid w:val="00C71BB9"/>
    <w:rsid w:val="00C74C90"/>
    <w:rsid w:val="00C7548C"/>
    <w:rsid w:val="00C8081A"/>
    <w:rsid w:val="00C85706"/>
    <w:rsid w:val="00C94C28"/>
    <w:rsid w:val="00C974F6"/>
    <w:rsid w:val="00CA3D85"/>
    <w:rsid w:val="00CA6AD7"/>
    <w:rsid w:val="00CB0247"/>
    <w:rsid w:val="00CB3440"/>
    <w:rsid w:val="00CC1692"/>
    <w:rsid w:val="00CC1988"/>
    <w:rsid w:val="00CC5D63"/>
    <w:rsid w:val="00CD049A"/>
    <w:rsid w:val="00CD138B"/>
    <w:rsid w:val="00CD28F3"/>
    <w:rsid w:val="00CD3E31"/>
    <w:rsid w:val="00CD6F8A"/>
    <w:rsid w:val="00CD74A3"/>
    <w:rsid w:val="00CD7BD6"/>
    <w:rsid w:val="00CE0527"/>
    <w:rsid w:val="00CE06C4"/>
    <w:rsid w:val="00CE27D4"/>
    <w:rsid w:val="00CE5B23"/>
    <w:rsid w:val="00CF3699"/>
    <w:rsid w:val="00CF70AD"/>
    <w:rsid w:val="00CF7729"/>
    <w:rsid w:val="00D00059"/>
    <w:rsid w:val="00D107FA"/>
    <w:rsid w:val="00D108AF"/>
    <w:rsid w:val="00D12275"/>
    <w:rsid w:val="00D12766"/>
    <w:rsid w:val="00D175C6"/>
    <w:rsid w:val="00D205B2"/>
    <w:rsid w:val="00D20FF4"/>
    <w:rsid w:val="00D21DDE"/>
    <w:rsid w:val="00D24D2C"/>
    <w:rsid w:val="00D25BE4"/>
    <w:rsid w:val="00D30D8E"/>
    <w:rsid w:val="00D33541"/>
    <w:rsid w:val="00D34D6F"/>
    <w:rsid w:val="00D35881"/>
    <w:rsid w:val="00D55A65"/>
    <w:rsid w:val="00D710D8"/>
    <w:rsid w:val="00D80F94"/>
    <w:rsid w:val="00D820E3"/>
    <w:rsid w:val="00D94DAD"/>
    <w:rsid w:val="00DA2C4D"/>
    <w:rsid w:val="00DA4D2D"/>
    <w:rsid w:val="00DA7DA5"/>
    <w:rsid w:val="00DB073B"/>
    <w:rsid w:val="00DB4CE6"/>
    <w:rsid w:val="00DB78F0"/>
    <w:rsid w:val="00DC2E43"/>
    <w:rsid w:val="00DC3759"/>
    <w:rsid w:val="00DC38F1"/>
    <w:rsid w:val="00DD095C"/>
    <w:rsid w:val="00DD1020"/>
    <w:rsid w:val="00DD1330"/>
    <w:rsid w:val="00DD34EC"/>
    <w:rsid w:val="00DE0B83"/>
    <w:rsid w:val="00DE1A81"/>
    <w:rsid w:val="00DE1C13"/>
    <w:rsid w:val="00DE4E10"/>
    <w:rsid w:val="00DF36AF"/>
    <w:rsid w:val="00E02ABF"/>
    <w:rsid w:val="00E02DD5"/>
    <w:rsid w:val="00E06617"/>
    <w:rsid w:val="00E14995"/>
    <w:rsid w:val="00E179CD"/>
    <w:rsid w:val="00E22835"/>
    <w:rsid w:val="00E23E8D"/>
    <w:rsid w:val="00E37F98"/>
    <w:rsid w:val="00E41B73"/>
    <w:rsid w:val="00E462ED"/>
    <w:rsid w:val="00E46559"/>
    <w:rsid w:val="00E51FE3"/>
    <w:rsid w:val="00E6670C"/>
    <w:rsid w:val="00E70682"/>
    <w:rsid w:val="00E71F8D"/>
    <w:rsid w:val="00E776E8"/>
    <w:rsid w:val="00E92C1F"/>
    <w:rsid w:val="00E95D4B"/>
    <w:rsid w:val="00E969A9"/>
    <w:rsid w:val="00EA015D"/>
    <w:rsid w:val="00EA38C6"/>
    <w:rsid w:val="00EB15F2"/>
    <w:rsid w:val="00EB199F"/>
    <w:rsid w:val="00EB2A2F"/>
    <w:rsid w:val="00EC23F7"/>
    <w:rsid w:val="00EC2D05"/>
    <w:rsid w:val="00EC2F11"/>
    <w:rsid w:val="00EC37A8"/>
    <w:rsid w:val="00EC4BD8"/>
    <w:rsid w:val="00EC63EB"/>
    <w:rsid w:val="00ED13A7"/>
    <w:rsid w:val="00ED412F"/>
    <w:rsid w:val="00ED5D1A"/>
    <w:rsid w:val="00EE1C02"/>
    <w:rsid w:val="00EE2614"/>
    <w:rsid w:val="00EE57BC"/>
    <w:rsid w:val="00EF2AE2"/>
    <w:rsid w:val="00EF36B2"/>
    <w:rsid w:val="00EF5F67"/>
    <w:rsid w:val="00F0006E"/>
    <w:rsid w:val="00F01099"/>
    <w:rsid w:val="00F201EC"/>
    <w:rsid w:val="00F208A9"/>
    <w:rsid w:val="00F33A4E"/>
    <w:rsid w:val="00F41A2A"/>
    <w:rsid w:val="00F41D75"/>
    <w:rsid w:val="00F449BD"/>
    <w:rsid w:val="00F47118"/>
    <w:rsid w:val="00F5139D"/>
    <w:rsid w:val="00F608D9"/>
    <w:rsid w:val="00F63DAC"/>
    <w:rsid w:val="00F7379A"/>
    <w:rsid w:val="00F7454F"/>
    <w:rsid w:val="00F77988"/>
    <w:rsid w:val="00F77F48"/>
    <w:rsid w:val="00F93FA0"/>
    <w:rsid w:val="00F9543F"/>
    <w:rsid w:val="00F95F85"/>
    <w:rsid w:val="00FA0D67"/>
    <w:rsid w:val="00FA6D6F"/>
    <w:rsid w:val="00FB30F1"/>
    <w:rsid w:val="00FB399A"/>
    <w:rsid w:val="00FB4515"/>
    <w:rsid w:val="00FB53E7"/>
    <w:rsid w:val="00FC7284"/>
    <w:rsid w:val="00FD4554"/>
    <w:rsid w:val="00FD4AA0"/>
    <w:rsid w:val="00FE7ED6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,"/>
  <w:listSeparator w:val=";"/>
  <w14:docId w14:val="4B566976"/>
  <w15:docId w15:val="{2DF3D19D-3745-4241-B495-CDDE4E87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6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basedOn w:val="DefaultParagraphFont"/>
    <w:rsid w:val="008C5649"/>
    <w:rPr>
      <w:b/>
      <w:bCs/>
      <w:color w:val="333333"/>
    </w:rPr>
  </w:style>
  <w:style w:type="character" w:styleId="CommentReference">
    <w:name w:val="annotation reference"/>
    <w:basedOn w:val="DefaultParagraphFont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basedOn w:val="DefaultParagraphFont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aliases w:val="sākums"/>
    <w:basedOn w:val="Normal"/>
    <w:uiPriority w:val="99"/>
    <w:rsid w:val="0067371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n-GB" w:eastAsia="en-US"/>
    </w:rPr>
  </w:style>
  <w:style w:type="paragraph" w:styleId="BodyText">
    <w:name w:val="Body Text"/>
    <w:basedOn w:val="Normal"/>
    <w:link w:val="BodyTextChar"/>
    <w:rsid w:val="0067371B"/>
    <w:pPr>
      <w:spacing w:after="120" w:line="276" w:lineRule="auto"/>
    </w:pPr>
    <w:rPr>
      <w:rFonts w:eastAsia="Calibri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67371B"/>
    <w:rPr>
      <w:rFonts w:eastAsia="Calibri"/>
      <w:sz w:val="24"/>
      <w:szCs w:val="22"/>
      <w:lang w:eastAsia="en-US"/>
    </w:rPr>
  </w:style>
  <w:style w:type="paragraph" w:styleId="BodyText2">
    <w:name w:val="Body Text 2"/>
    <w:basedOn w:val="Normal"/>
    <w:link w:val="BodyText2Char"/>
    <w:rsid w:val="0067371B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67371B"/>
  </w:style>
  <w:style w:type="character" w:customStyle="1" w:styleId="HeaderChar">
    <w:name w:val="Header Char"/>
    <w:basedOn w:val="DefaultParagraphFont"/>
    <w:link w:val="Header"/>
    <w:uiPriority w:val="99"/>
    <w:rsid w:val="0067371B"/>
    <w:rPr>
      <w:sz w:val="24"/>
      <w:szCs w:val="24"/>
    </w:rPr>
  </w:style>
  <w:style w:type="paragraph" w:styleId="EnvelopeReturn">
    <w:name w:val="envelope return"/>
    <w:basedOn w:val="Normal"/>
    <w:unhideWhenUsed/>
    <w:rsid w:val="0067371B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Signature">
    <w:name w:val="Signature"/>
    <w:basedOn w:val="Normal"/>
    <w:next w:val="EnvelopeReturn"/>
    <w:link w:val="SignatureChar"/>
    <w:unhideWhenUsed/>
    <w:rsid w:val="0067371B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szCs w:val="20"/>
      <w:lang w:val="en-AU" w:eastAsia="en-US"/>
    </w:rPr>
  </w:style>
  <w:style w:type="character" w:customStyle="1" w:styleId="SignatureChar">
    <w:name w:val="Signature Char"/>
    <w:basedOn w:val="DefaultParagraphFont"/>
    <w:link w:val="Signature"/>
    <w:rsid w:val="0067371B"/>
    <w:rPr>
      <w:sz w:val="26"/>
      <w:lang w:val="en-AU" w:eastAsia="en-US"/>
    </w:rPr>
  </w:style>
  <w:style w:type="paragraph" w:styleId="Title">
    <w:name w:val="Title"/>
    <w:basedOn w:val="Normal"/>
    <w:link w:val="TitleChar"/>
    <w:qFormat/>
    <w:rsid w:val="00B352C3"/>
    <w:pPr>
      <w:jc w:val="center"/>
    </w:pPr>
    <w:rPr>
      <w:b/>
      <w:bCs/>
      <w:noProof/>
      <w:lang w:eastAsia="en-US"/>
    </w:rPr>
  </w:style>
  <w:style w:type="character" w:customStyle="1" w:styleId="TitleChar">
    <w:name w:val="Title Char"/>
    <w:basedOn w:val="DefaultParagraphFont"/>
    <w:link w:val="Title"/>
    <w:rsid w:val="00B352C3"/>
    <w:rPr>
      <w:b/>
      <w:bCs/>
      <w:noProof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EF5F6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F5F67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7F3149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7F3149"/>
    <w:rPr>
      <w:b/>
      <w:sz w:val="26"/>
      <w:lang w:val="en-AU" w:eastAsia="en-US"/>
    </w:rPr>
  </w:style>
  <w:style w:type="paragraph" w:customStyle="1" w:styleId="Default">
    <w:name w:val="Default"/>
    <w:rsid w:val="00263A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8790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vhtmlmktable">
    <w:name w:val="tv_html mk_table"/>
    <w:basedOn w:val="Normal"/>
    <w:rsid w:val="00637346"/>
    <w:pPr>
      <w:spacing w:before="100" w:beforeAutospacing="1" w:after="100" w:afterAutospacing="1"/>
    </w:pPr>
  </w:style>
  <w:style w:type="paragraph" w:customStyle="1" w:styleId="tvhtml">
    <w:name w:val="tv_html"/>
    <w:basedOn w:val="Normal"/>
    <w:rsid w:val="00F33A4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33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8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79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D5F2F-D568-4344-87E9-510D62991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865</Words>
  <Characters>6465</Characters>
  <Application>Microsoft Office Word</Application>
  <DocSecurity>0</DocSecurity>
  <Lines>215</Lines>
  <Paragraphs>99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Republikas valdības un Azerbaidžānas Republikas valdības līgumu par sadarbību izglītības jomā</vt:lpstr>
      <vt:lpstr>Par līgumu par sadarbību izglītības, zinātnes un jaunatnes jomā</vt:lpstr>
    </vt:vector>
  </TitlesOfParts>
  <Company/>
  <LinksUpToDate>false</LinksUpToDate>
  <CharactersWithSpaces>7231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valdības un Azerbaidžānas Republikas valdības līgumu par sadarbību izglītības jomā</dc:title>
  <dc:subject>IZMAnot_24042015_Japana</dc:subject>
  <dc:creator>Maija.Zvirbule@izm.gov.lv</dc:creator>
  <dc:description>67047896
Maija.Zvirbule@izm.gov.lv</dc:description>
  <cp:lastModifiedBy>Maija Zvirbule</cp:lastModifiedBy>
  <cp:revision>11</cp:revision>
  <cp:lastPrinted>2017-04-04T12:32:00Z</cp:lastPrinted>
  <dcterms:created xsi:type="dcterms:W3CDTF">2017-06-27T07:13:00Z</dcterms:created>
  <dcterms:modified xsi:type="dcterms:W3CDTF">2017-07-05T07:48:00Z</dcterms:modified>
</cp:coreProperties>
</file>