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AF58B5">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AF58B5" w:rsidRPr="00AF58B5">
        <w:rPr>
          <w:rFonts w:ascii="Times New Roman" w:hAnsi="Times New Roman" w:cs="Times New Roman"/>
          <w:b/>
          <w:bCs/>
          <w:sz w:val="28"/>
          <w:szCs w:val="28"/>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C057FD" w:rsidRPr="00A70EB8" w:rsidRDefault="00C057FD" w:rsidP="00AF58B5">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2"/>
        <w:gridCol w:w="245"/>
        <w:gridCol w:w="1023"/>
        <w:gridCol w:w="131"/>
        <w:gridCol w:w="680"/>
        <w:gridCol w:w="324"/>
        <w:gridCol w:w="538"/>
        <w:gridCol w:w="738"/>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C057FD" w:rsidRPr="00A70EB8" w:rsidRDefault="00392DB9" w:rsidP="00D07640">
            <w:pPr>
              <w:spacing w:after="0" w:line="240" w:lineRule="auto"/>
              <w:ind w:left="128" w:right="141" w:firstLine="581"/>
              <w:jc w:val="both"/>
              <w:rPr>
                <w:rFonts w:ascii="Times New Roman" w:eastAsia="Calibri" w:hAnsi="Times New Roman" w:cs="Times New Roman"/>
                <w:sz w:val="28"/>
                <w:szCs w:val="28"/>
                <w:lang w:eastAsia="lv-LV"/>
              </w:rPr>
            </w:pPr>
            <w:r>
              <w:rPr>
                <w:rFonts w:ascii="Times New Roman" w:hAnsi="Times New Roman" w:cs="Times New Roman"/>
                <w:sz w:val="28"/>
                <w:szCs w:val="28"/>
              </w:rPr>
              <w:t xml:space="preserve">Zemes pārvaldības likuma 17.panta ceturtā daļa, </w:t>
            </w:r>
            <w:r w:rsidR="00AF58B5" w:rsidRPr="00AF58B5">
              <w:rPr>
                <w:rFonts w:ascii="Times New Roman" w:hAnsi="Times New Roman" w:cs="Times New Roman"/>
                <w:sz w:val="28"/>
                <w:szCs w:val="28"/>
              </w:rPr>
              <w:t>Ministru kabineta 2009.gada 1.septembra noteikumu Nr.996 „Kārtība, kādā nosaka valstij un pašvaldībām piekrītošo lauku apvidu zemi, kura turpmāk izmantojama zemes reformas pabeigšanai, kā arī valstij un pašvaldībām piedero</w:t>
            </w:r>
            <w:r w:rsidR="00AF58B5">
              <w:rPr>
                <w:rFonts w:ascii="Times New Roman" w:hAnsi="Times New Roman" w:cs="Times New Roman"/>
                <w:sz w:val="28"/>
                <w:szCs w:val="28"/>
              </w:rPr>
              <w:t xml:space="preserve">šo un piekrītošo zemi” 13.punkts, </w:t>
            </w:r>
            <w:r w:rsidR="00AF58B5" w:rsidRPr="00AF58B5">
              <w:rPr>
                <w:rFonts w:ascii="Times New Roman" w:hAnsi="Times New Roman" w:cs="Times New Roman"/>
                <w:sz w:val="28"/>
                <w:szCs w:val="28"/>
              </w:rPr>
              <w:t xml:space="preserve">likuma „Par valsts un pašvaldību zemes īpašuma tiesībām un to nostiprināšanu zemesgrāmatās” </w:t>
            </w:r>
            <w:r w:rsidR="00867B69">
              <w:rPr>
                <w:rFonts w:ascii="Times New Roman" w:hAnsi="Times New Roman" w:cs="Times New Roman"/>
                <w:sz w:val="28"/>
                <w:szCs w:val="28"/>
              </w:rPr>
              <w:t>4.</w:t>
            </w:r>
            <w:r w:rsidR="00867B69">
              <w:rPr>
                <w:rFonts w:ascii="Times New Roman" w:hAnsi="Times New Roman" w:cs="Times New Roman"/>
                <w:sz w:val="28"/>
                <w:szCs w:val="28"/>
                <w:vertAlign w:val="superscript"/>
              </w:rPr>
              <w:t>1</w:t>
            </w:r>
            <w:r w:rsidR="00867B69">
              <w:rPr>
                <w:rFonts w:ascii="Times New Roman" w:hAnsi="Times New Roman" w:cs="Times New Roman"/>
                <w:sz w:val="28"/>
                <w:szCs w:val="28"/>
              </w:rPr>
              <w:t xml:space="preserve"> panta pirmās daļas 1.punkts</w:t>
            </w:r>
            <w:r w:rsidR="00AF58B5">
              <w:rPr>
                <w:rFonts w:ascii="Times New Roman" w:hAnsi="Times New Roman" w:cs="Times New Roman"/>
                <w:sz w:val="28"/>
                <w:szCs w:val="28"/>
              </w:rPr>
              <w:t>.</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F58B5" w:rsidRPr="00AF58B5"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lastRenderedPageBreak/>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tika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ar kuru noteica, kādas zemes vienības ir saglabājamas valsts īpašumā un nododamas attiecīgo ministriju valdījumā.</w:t>
            </w:r>
          </w:p>
          <w:p w:rsidR="00AF58B5" w:rsidRPr="00AF58B5"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Ņemot vērā to, ka zemes īpašumu tiesiskās sakārtošanas process </w:t>
            </w:r>
            <w:r w:rsidR="00FC1448">
              <w:rPr>
                <w:rFonts w:ascii="Times New Roman" w:hAnsi="Times New Roman" w:cs="Times New Roman"/>
                <w:sz w:val="28"/>
                <w:szCs w:val="28"/>
              </w:rPr>
              <w:t>(</w:t>
            </w:r>
            <w:r>
              <w:rPr>
                <w:rFonts w:ascii="Times New Roman" w:hAnsi="Times New Roman" w:cs="Times New Roman"/>
                <w:sz w:val="28"/>
                <w:szCs w:val="28"/>
              </w:rPr>
              <w:t>zemes reforma</w:t>
            </w:r>
            <w:r w:rsidR="00FC1448">
              <w:rPr>
                <w:rFonts w:ascii="Times New Roman" w:hAnsi="Times New Roman" w:cs="Times New Roman"/>
                <w:sz w:val="28"/>
                <w:szCs w:val="28"/>
              </w:rPr>
              <w:t xml:space="preserve">) </w:t>
            </w:r>
            <w:r>
              <w:rPr>
                <w:rFonts w:ascii="Times New Roman" w:hAnsi="Times New Roman" w:cs="Times New Roman"/>
                <w:sz w:val="28"/>
                <w:szCs w:val="28"/>
              </w:rPr>
              <w:t xml:space="preserve">Rīgas pilsētas teritorijā </w:t>
            </w:r>
            <w:r w:rsidRPr="00AF58B5">
              <w:rPr>
                <w:rFonts w:ascii="Times New Roman" w:hAnsi="Times New Roman" w:cs="Times New Roman"/>
                <w:sz w:val="28"/>
                <w:szCs w:val="28"/>
              </w:rPr>
              <w:t xml:space="preserve">nav </w:t>
            </w:r>
            <w:r>
              <w:rPr>
                <w:rFonts w:ascii="Times New Roman" w:hAnsi="Times New Roman" w:cs="Times New Roman"/>
                <w:sz w:val="28"/>
                <w:szCs w:val="28"/>
              </w:rPr>
              <w:t>pabeigta</w:t>
            </w:r>
            <w:r w:rsidR="00FC1448">
              <w:rPr>
                <w:rFonts w:ascii="Times New Roman" w:hAnsi="Times New Roman" w:cs="Times New Roman"/>
                <w:sz w:val="28"/>
                <w:szCs w:val="28"/>
              </w:rPr>
              <w:t xml:space="preserve"> un </w:t>
            </w:r>
            <w:r>
              <w:rPr>
                <w:rFonts w:ascii="Times New Roman" w:hAnsi="Times New Roman" w:cs="Times New Roman"/>
                <w:sz w:val="28"/>
                <w:szCs w:val="28"/>
              </w:rPr>
              <w:t>k</w:t>
            </w:r>
            <w:r w:rsidRPr="00AF58B5">
              <w:rPr>
                <w:rFonts w:ascii="Times New Roman" w:hAnsi="Times New Roman" w:cs="Times New Roman"/>
                <w:sz w:val="28"/>
                <w:szCs w:val="28"/>
              </w:rPr>
              <w:t xml:space="preserve">adastra objekta  </w:t>
            </w:r>
            <w:r w:rsidR="00FC1448">
              <w:rPr>
                <w:rFonts w:ascii="Times New Roman" w:hAnsi="Times New Roman" w:cs="Times New Roman"/>
                <w:sz w:val="28"/>
                <w:szCs w:val="28"/>
              </w:rPr>
              <w:t>(</w:t>
            </w:r>
            <w:r w:rsidRPr="00AF58B5">
              <w:rPr>
                <w:rFonts w:ascii="Times New Roman" w:hAnsi="Times New Roman" w:cs="Times New Roman"/>
                <w:sz w:val="28"/>
                <w:szCs w:val="28"/>
              </w:rPr>
              <w:t>zemes vienības</w:t>
            </w:r>
            <w:r w:rsidR="00FC1448">
              <w:rPr>
                <w:rFonts w:ascii="Times New Roman" w:hAnsi="Times New Roman" w:cs="Times New Roman"/>
                <w:sz w:val="28"/>
                <w:szCs w:val="28"/>
              </w:rPr>
              <w:t>)</w:t>
            </w:r>
            <w:r w:rsidRPr="00AF58B5">
              <w:rPr>
                <w:rFonts w:ascii="Times New Roman" w:hAnsi="Times New Roman" w:cs="Times New Roman"/>
                <w:sz w:val="28"/>
                <w:szCs w:val="28"/>
              </w:rPr>
              <w:t xml:space="preserve"> noteikšanai un reģistrēšanai Nekustamā īpašuma valsts kadastra informācijas sistēmā ir jāiesniedz Ministru kabineta rīkojums par tās piekritību vai piederību valstij,</w:t>
            </w:r>
            <w:r w:rsidR="00867B69">
              <w:rPr>
                <w:rFonts w:ascii="Times New Roman" w:hAnsi="Times New Roman" w:cs="Times New Roman"/>
                <w:sz w:val="28"/>
                <w:szCs w:val="28"/>
              </w:rPr>
              <w:t xml:space="preserve"> kā arī to, ka s</w:t>
            </w:r>
            <w:r w:rsidR="00867B69" w:rsidRPr="00867B69">
              <w:rPr>
                <w:rFonts w:ascii="Times New Roman" w:hAnsi="Times New Roman" w:cs="Times New Roman"/>
                <w:sz w:val="28"/>
                <w:szCs w:val="28"/>
              </w:rPr>
              <w:t>askaņā ar Nekustamā īpašuma valsts kadastr</w:t>
            </w:r>
            <w:r w:rsidR="00867B69">
              <w:rPr>
                <w:rFonts w:ascii="Times New Roman" w:hAnsi="Times New Roman" w:cs="Times New Roman"/>
                <w:sz w:val="28"/>
                <w:szCs w:val="28"/>
              </w:rPr>
              <w:t xml:space="preserve">a </w:t>
            </w:r>
            <w:r w:rsidR="00916B89">
              <w:rPr>
                <w:rFonts w:ascii="Times New Roman" w:hAnsi="Times New Roman" w:cs="Times New Roman"/>
                <w:sz w:val="28"/>
                <w:szCs w:val="28"/>
              </w:rPr>
              <w:t>informācijas sistēmas</w:t>
            </w:r>
            <w:r w:rsidR="00867B69">
              <w:rPr>
                <w:rFonts w:ascii="Times New Roman" w:hAnsi="Times New Roman" w:cs="Times New Roman"/>
                <w:sz w:val="28"/>
                <w:szCs w:val="28"/>
              </w:rPr>
              <w:t xml:space="preserve"> datiem, zemes vienības (zemes vienības kadastra apzīmējums</w:t>
            </w:r>
            <w:r w:rsidR="00916B89">
              <w:rPr>
                <w:rFonts w:ascii="Times New Roman" w:hAnsi="Times New Roman" w:cs="Times New Roman"/>
                <w:sz w:val="28"/>
                <w:szCs w:val="28"/>
              </w:rPr>
              <w:t xml:space="preserve"> </w:t>
            </w:r>
            <w:r w:rsidR="00916B89" w:rsidRPr="00916B89">
              <w:rPr>
                <w:rFonts w:ascii="Times New Roman" w:hAnsi="Times New Roman" w:cs="Times New Roman"/>
                <w:sz w:val="28"/>
                <w:szCs w:val="28"/>
              </w:rPr>
              <w:t>0100 104 0065</w:t>
            </w:r>
            <w:r w:rsidR="00916B89">
              <w:rPr>
                <w:rFonts w:ascii="Times New Roman" w:hAnsi="Times New Roman" w:cs="Times New Roman"/>
                <w:sz w:val="28"/>
                <w:szCs w:val="28"/>
              </w:rPr>
              <w:t xml:space="preserve">) </w:t>
            </w:r>
            <w:r w:rsidR="00867B69" w:rsidRPr="00867B69">
              <w:rPr>
                <w:rFonts w:ascii="Times New Roman" w:hAnsi="Times New Roman" w:cs="Times New Roman"/>
                <w:sz w:val="28"/>
                <w:szCs w:val="28"/>
              </w:rPr>
              <w:t>st</w:t>
            </w:r>
            <w:r w:rsidR="00916B89">
              <w:rPr>
                <w:rFonts w:ascii="Times New Roman" w:hAnsi="Times New Roman" w:cs="Times New Roman"/>
                <w:sz w:val="28"/>
                <w:szCs w:val="28"/>
              </w:rPr>
              <w:t>atuss ir  rezerves zemes fonds,</w:t>
            </w:r>
            <w:r w:rsidRPr="00AF58B5">
              <w:rPr>
                <w:rFonts w:ascii="Times New Roman" w:hAnsi="Times New Roman" w:cs="Times New Roman"/>
                <w:sz w:val="28"/>
                <w:szCs w:val="28"/>
              </w:rPr>
              <w:t xml:space="preserve"> </w:t>
            </w:r>
            <w:r w:rsidR="00FC1448">
              <w:rPr>
                <w:rFonts w:ascii="Times New Roman" w:hAnsi="Times New Roman" w:cs="Times New Roman"/>
                <w:sz w:val="28"/>
                <w:szCs w:val="28"/>
              </w:rPr>
              <w:t>Izglītības un zinātnes ministrija (turpmāk – ministrija)</w:t>
            </w:r>
            <w:r w:rsidRPr="00AF58B5">
              <w:rPr>
                <w:rFonts w:ascii="Times New Roman" w:hAnsi="Times New Roman" w:cs="Times New Roman"/>
                <w:sz w:val="28"/>
                <w:szCs w:val="28"/>
              </w:rPr>
              <w:t xml:space="preserve"> ir izstrādājusi </w:t>
            </w:r>
            <w:r w:rsidR="00FC1448">
              <w:rPr>
                <w:rFonts w:ascii="Times New Roman" w:hAnsi="Times New Roman" w:cs="Times New Roman"/>
                <w:sz w:val="28"/>
                <w:szCs w:val="28"/>
              </w:rPr>
              <w:t xml:space="preserve">Ministru kabineta </w:t>
            </w:r>
            <w:r w:rsidRPr="00AF58B5">
              <w:rPr>
                <w:rFonts w:ascii="Times New Roman" w:hAnsi="Times New Roman" w:cs="Times New Roman"/>
                <w:sz w:val="28"/>
                <w:szCs w:val="28"/>
              </w:rPr>
              <w:t xml:space="preserve">rīkojuma </w:t>
            </w:r>
            <w:r w:rsidR="00657666" w:rsidRPr="00657666">
              <w:rPr>
                <w:rFonts w:ascii="Times New Roman" w:hAnsi="Times New Roman" w:cs="Times New Roman"/>
                <w:bCs/>
                <w:sz w:val="28"/>
                <w:szCs w:val="28"/>
              </w:rPr>
              <w:t xml:space="preserve">“Grozījums </w:t>
            </w:r>
            <w:r w:rsidR="00657666" w:rsidRPr="00657666">
              <w:rPr>
                <w:rFonts w:ascii="Times New Roman" w:hAnsi="Times New Roman" w:cs="Times New Roman"/>
                <w:bCs/>
                <w:sz w:val="28"/>
                <w:szCs w:val="28"/>
              </w:rPr>
              <w:lastRenderedPageBreak/>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657666" w:rsidRPr="00657666">
              <w:rPr>
                <w:rFonts w:ascii="Times New Roman" w:hAnsi="Times New Roman" w:cs="Times New Roman"/>
                <w:sz w:val="28"/>
                <w:szCs w:val="28"/>
              </w:rPr>
              <w:t xml:space="preserve"> </w:t>
            </w:r>
            <w:r w:rsidRPr="00AF58B5">
              <w:rPr>
                <w:rFonts w:ascii="Times New Roman" w:hAnsi="Times New Roman" w:cs="Times New Roman"/>
                <w:sz w:val="28"/>
                <w:szCs w:val="28"/>
              </w:rPr>
              <w:t>projektu</w:t>
            </w:r>
            <w:r w:rsidR="00657666">
              <w:rPr>
                <w:rFonts w:ascii="Times New Roman" w:hAnsi="Times New Roman" w:cs="Times New Roman"/>
                <w:sz w:val="28"/>
                <w:szCs w:val="28"/>
              </w:rPr>
              <w:t xml:space="preserve"> (turpmāk – rīkojuma projekts)</w:t>
            </w:r>
            <w:r w:rsidRPr="00AF58B5">
              <w:rPr>
                <w:rFonts w:ascii="Times New Roman" w:hAnsi="Times New Roman" w:cs="Times New Roman"/>
                <w:sz w:val="28"/>
                <w:szCs w:val="28"/>
              </w:rPr>
              <w:t xml:space="preserve">, papildinot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3.pielikumu ar  </w:t>
            </w:r>
            <w:r>
              <w:rPr>
                <w:rFonts w:ascii="Times New Roman" w:hAnsi="Times New Roman" w:cs="Times New Roman"/>
                <w:sz w:val="28"/>
                <w:szCs w:val="28"/>
              </w:rPr>
              <w:t>zemes vienību</w:t>
            </w:r>
            <w:r w:rsidRPr="00AF58B5">
              <w:rPr>
                <w:rFonts w:ascii="Times New Roman" w:hAnsi="Times New Roman" w:cs="Times New Roman"/>
                <w:sz w:val="28"/>
                <w:szCs w:val="28"/>
              </w:rPr>
              <w:t xml:space="preserve"> </w:t>
            </w:r>
            <w:r>
              <w:rPr>
                <w:rFonts w:ascii="Times New Roman" w:hAnsi="Times New Roman" w:cs="Times New Roman"/>
                <w:sz w:val="28"/>
                <w:szCs w:val="28"/>
              </w:rPr>
              <w:t>7,4546</w:t>
            </w:r>
            <w:r w:rsidRPr="00AF58B5">
              <w:rPr>
                <w:rFonts w:ascii="Times New Roman" w:hAnsi="Times New Roman" w:cs="Times New Roman"/>
                <w:sz w:val="28"/>
                <w:szCs w:val="28"/>
              </w:rPr>
              <w:t xml:space="preserve"> ha platībā (zemes vienības kadastra apzīmējums 0100 </w:t>
            </w:r>
            <w:r>
              <w:rPr>
                <w:rFonts w:ascii="Times New Roman" w:hAnsi="Times New Roman" w:cs="Times New Roman"/>
                <w:sz w:val="28"/>
                <w:szCs w:val="28"/>
              </w:rPr>
              <w:t>104 0065</w:t>
            </w:r>
            <w:r w:rsidRPr="00AF58B5">
              <w:rPr>
                <w:rFonts w:ascii="Times New Roman" w:hAnsi="Times New Roman" w:cs="Times New Roman"/>
                <w:sz w:val="28"/>
                <w:szCs w:val="28"/>
              </w:rPr>
              <w:t xml:space="preserve">) </w:t>
            </w:r>
            <w:proofErr w:type="spellStart"/>
            <w:r>
              <w:rPr>
                <w:rFonts w:ascii="Times New Roman" w:hAnsi="Times New Roman" w:cs="Times New Roman"/>
                <w:sz w:val="28"/>
                <w:szCs w:val="28"/>
              </w:rPr>
              <w:t>Rātsupītes</w:t>
            </w:r>
            <w:proofErr w:type="spellEnd"/>
            <w:r>
              <w:rPr>
                <w:rFonts w:ascii="Times New Roman" w:hAnsi="Times New Roman" w:cs="Times New Roman"/>
                <w:sz w:val="28"/>
                <w:szCs w:val="28"/>
              </w:rPr>
              <w:t xml:space="preserve"> ielā 4 k-2, Rīgā</w:t>
            </w:r>
            <w:r w:rsidRPr="00AF58B5">
              <w:rPr>
                <w:rFonts w:ascii="Times New Roman" w:hAnsi="Times New Roman" w:cs="Times New Roman"/>
                <w:sz w:val="28"/>
                <w:szCs w:val="28"/>
              </w:rPr>
              <w:t xml:space="preserve">, kas ļautu </w:t>
            </w:r>
            <w:r>
              <w:rPr>
                <w:rFonts w:ascii="Times New Roman" w:hAnsi="Times New Roman" w:cs="Times New Roman"/>
                <w:sz w:val="28"/>
                <w:szCs w:val="28"/>
              </w:rPr>
              <w:t>to</w:t>
            </w:r>
            <w:r w:rsidRPr="00AF58B5">
              <w:rPr>
                <w:rFonts w:ascii="Times New Roman" w:hAnsi="Times New Roman" w:cs="Times New Roman"/>
                <w:sz w:val="28"/>
                <w:szCs w:val="28"/>
              </w:rPr>
              <w:t xml:space="preserve"> reģistrēt Nekustamā īpašuma valsts kadastra informācijas sistēmā un ierakstīt zemesgrāmatā uz Latvijas valsts vārda ministrijas personā.</w:t>
            </w:r>
          </w:p>
          <w:p w:rsidR="002F5AF0"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Atbilstoši Nekustamā īpašuma valsts kadastra </w:t>
            </w:r>
            <w:r w:rsidR="000328B3">
              <w:rPr>
                <w:rFonts w:ascii="Times New Roman" w:hAnsi="Times New Roman" w:cs="Times New Roman"/>
                <w:sz w:val="28"/>
                <w:szCs w:val="28"/>
              </w:rPr>
              <w:t>informācijas sistēmas</w:t>
            </w:r>
            <w:r w:rsidRPr="00AF58B5">
              <w:rPr>
                <w:rFonts w:ascii="Times New Roman" w:hAnsi="Times New Roman" w:cs="Times New Roman"/>
                <w:sz w:val="28"/>
                <w:szCs w:val="28"/>
              </w:rPr>
              <w:t xml:space="preserve"> datiem, uz zemes vienības</w:t>
            </w:r>
            <w:r w:rsidR="00B34646">
              <w:rPr>
                <w:rFonts w:ascii="Times New Roman" w:hAnsi="Times New Roman" w:cs="Times New Roman"/>
                <w:sz w:val="28"/>
                <w:szCs w:val="28"/>
              </w:rPr>
              <w:t xml:space="preserve"> </w:t>
            </w:r>
            <w:r w:rsidR="00B34646" w:rsidRPr="00B34646">
              <w:rPr>
                <w:rFonts w:ascii="Times New Roman" w:hAnsi="Times New Roman" w:cs="Times New Roman"/>
                <w:sz w:val="28"/>
                <w:szCs w:val="28"/>
              </w:rPr>
              <w:t>(zemes vienības kadastra apzīmējums 0100 104 0065)</w:t>
            </w:r>
            <w:r w:rsidRPr="00AF58B5">
              <w:rPr>
                <w:rFonts w:ascii="Times New Roman" w:hAnsi="Times New Roman" w:cs="Times New Roman"/>
                <w:sz w:val="28"/>
                <w:szCs w:val="28"/>
              </w:rPr>
              <w:t xml:space="preserve"> atrodas </w:t>
            </w:r>
            <w:r w:rsidR="00F8067B">
              <w:rPr>
                <w:rFonts w:ascii="Times New Roman" w:hAnsi="Times New Roman" w:cs="Times New Roman"/>
                <w:sz w:val="28"/>
                <w:szCs w:val="28"/>
              </w:rPr>
              <w:t xml:space="preserve">septiņas </w:t>
            </w:r>
            <w:r w:rsidRPr="00AF58B5">
              <w:rPr>
                <w:rFonts w:ascii="Times New Roman" w:hAnsi="Times New Roman" w:cs="Times New Roman"/>
                <w:sz w:val="28"/>
                <w:szCs w:val="28"/>
              </w:rPr>
              <w:t>būve</w:t>
            </w:r>
            <w:r w:rsidR="00F8067B">
              <w:rPr>
                <w:rFonts w:ascii="Times New Roman" w:hAnsi="Times New Roman" w:cs="Times New Roman"/>
                <w:sz w:val="28"/>
                <w:szCs w:val="28"/>
              </w:rPr>
              <w:t>s</w:t>
            </w:r>
            <w:r w:rsidRPr="00AF58B5">
              <w:rPr>
                <w:rFonts w:ascii="Times New Roman" w:hAnsi="Times New Roman" w:cs="Times New Roman"/>
                <w:sz w:val="28"/>
                <w:szCs w:val="28"/>
              </w:rPr>
              <w:t xml:space="preserve"> – </w:t>
            </w:r>
            <w:r w:rsidR="002F5AF0">
              <w:rPr>
                <w:rFonts w:ascii="Times New Roman" w:hAnsi="Times New Roman" w:cs="Times New Roman"/>
                <w:sz w:val="28"/>
                <w:szCs w:val="28"/>
              </w:rPr>
              <w:t>kafejnīca</w:t>
            </w:r>
            <w:r w:rsidRPr="00AF58B5">
              <w:rPr>
                <w:rFonts w:ascii="Times New Roman" w:hAnsi="Times New Roman" w:cs="Times New Roman"/>
                <w:sz w:val="28"/>
                <w:szCs w:val="28"/>
              </w:rPr>
              <w:t xml:space="preserve"> (būves kadastra apzīmējums 0100 </w:t>
            </w:r>
            <w:r w:rsidR="002F5AF0">
              <w:rPr>
                <w:rFonts w:ascii="Times New Roman" w:hAnsi="Times New Roman" w:cs="Times New Roman"/>
                <w:sz w:val="28"/>
                <w:szCs w:val="28"/>
              </w:rPr>
              <w:t>104 0065 001</w:t>
            </w:r>
            <w:r w:rsidRPr="00AF58B5">
              <w:rPr>
                <w:rFonts w:ascii="Times New Roman" w:hAnsi="Times New Roman" w:cs="Times New Roman"/>
                <w:sz w:val="28"/>
                <w:szCs w:val="28"/>
              </w:rPr>
              <w:t xml:space="preserve">)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k-3, Rīgā, viesnīca (būves kadastra apzīmējums 0100 104 0065 002)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k-2, Rīgā, medpunkts (būves kadastra apzīmējums 0100 104 0065 003)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k-4, Rīgā, sporta zāle (būves kadastra apzīmējums 0100 104 0065 004)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k-5, Rīgā, stallis (būves kadastra apzīmējums 0100 104 0065 005)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Rīgā, tribīnes (būves kadastra apzīmējums 0100 104 0065 006) (bez adreses) un šķūnis (būves kadastra apzīmējums 0100 104 0065 007)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Rīgā. </w:t>
            </w:r>
          </w:p>
          <w:p w:rsidR="00B34646"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 Minētā</w:t>
            </w:r>
            <w:r w:rsidR="002F5AF0">
              <w:rPr>
                <w:rFonts w:ascii="Times New Roman" w:hAnsi="Times New Roman" w:cs="Times New Roman"/>
                <w:sz w:val="28"/>
                <w:szCs w:val="28"/>
              </w:rPr>
              <w:t>s</w:t>
            </w:r>
            <w:r w:rsidRPr="00AF58B5">
              <w:rPr>
                <w:rFonts w:ascii="Times New Roman" w:hAnsi="Times New Roman" w:cs="Times New Roman"/>
                <w:sz w:val="28"/>
                <w:szCs w:val="28"/>
              </w:rPr>
              <w:t xml:space="preserve"> būve</w:t>
            </w:r>
            <w:r w:rsidR="002F5AF0">
              <w:rPr>
                <w:rFonts w:ascii="Times New Roman" w:hAnsi="Times New Roman" w:cs="Times New Roman"/>
                <w:sz w:val="28"/>
                <w:szCs w:val="28"/>
              </w:rPr>
              <w:t>s</w:t>
            </w:r>
            <w:r w:rsidRPr="00AF58B5">
              <w:rPr>
                <w:rFonts w:ascii="Times New Roman" w:hAnsi="Times New Roman" w:cs="Times New Roman"/>
                <w:sz w:val="28"/>
                <w:szCs w:val="28"/>
              </w:rPr>
              <w:t xml:space="preserve"> ietilpst </w:t>
            </w:r>
            <w:r w:rsidR="002F5AF0">
              <w:rPr>
                <w:rFonts w:ascii="Times New Roman" w:hAnsi="Times New Roman" w:cs="Times New Roman"/>
                <w:sz w:val="28"/>
                <w:szCs w:val="28"/>
              </w:rPr>
              <w:t>ministr</w:t>
            </w:r>
            <w:r w:rsidR="00B34646">
              <w:rPr>
                <w:rFonts w:ascii="Times New Roman" w:hAnsi="Times New Roman" w:cs="Times New Roman"/>
                <w:sz w:val="28"/>
                <w:szCs w:val="28"/>
              </w:rPr>
              <w:t>i</w:t>
            </w:r>
            <w:r w:rsidR="002F5AF0">
              <w:rPr>
                <w:rFonts w:ascii="Times New Roman" w:hAnsi="Times New Roman" w:cs="Times New Roman"/>
                <w:sz w:val="28"/>
                <w:szCs w:val="28"/>
              </w:rPr>
              <w:t>jas valdījumā esošā valsts</w:t>
            </w:r>
            <w:r w:rsidRPr="00AF58B5">
              <w:rPr>
                <w:rFonts w:ascii="Times New Roman" w:hAnsi="Times New Roman" w:cs="Times New Roman"/>
                <w:sz w:val="28"/>
                <w:szCs w:val="28"/>
              </w:rPr>
              <w:t xml:space="preserve"> nekustamā īpašuma (nekustamā īpašuma kadastra Nr.0100 </w:t>
            </w:r>
            <w:r w:rsidR="002F5AF0">
              <w:rPr>
                <w:rFonts w:ascii="Times New Roman" w:hAnsi="Times New Roman" w:cs="Times New Roman"/>
                <w:sz w:val="28"/>
                <w:szCs w:val="28"/>
              </w:rPr>
              <w:t>604 0009</w:t>
            </w:r>
            <w:r w:rsidRPr="00AF58B5">
              <w:rPr>
                <w:rFonts w:ascii="Times New Roman" w:hAnsi="Times New Roman" w:cs="Times New Roman"/>
                <w:sz w:val="28"/>
                <w:szCs w:val="28"/>
              </w:rPr>
              <w:t>)</w:t>
            </w:r>
            <w:r w:rsidR="002F5AF0">
              <w:rPr>
                <w:rFonts w:ascii="Times New Roman" w:hAnsi="Times New Roman" w:cs="Times New Roman"/>
                <w:sz w:val="28"/>
                <w:szCs w:val="28"/>
              </w:rPr>
              <w:t xml:space="preserve">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w:t>
            </w:r>
            <w:r w:rsidR="002A710B">
              <w:rPr>
                <w:rFonts w:ascii="Times New Roman" w:hAnsi="Times New Roman" w:cs="Times New Roman"/>
                <w:sz w:val="28"/>
                <w:szCs w:val="28"/>
              </w:rPr>
              <w:t>, Rīgā, sastāvā.</w:t>
            </w:r>
            <w:r w:rsidRPr="00AF58B5">
              <w:rPr>
                <w:rFonts w:ascii="Times New Roman" w:hAnsi="Times New Roman" w:cs="Times New Roman"/>
                <w:sz w:val="28"/>
                <w:szCs w:val="28"/>
              </w:rPr>
              <w:t xml:space="preserve"> Saskaņā ar Rīgas pilsētas Vidzemes priekšpilsētas tiesas Zemesgrāmatu nodaļas Rīgas pilsētas zemesgrāmatas nodalījuma Nr.</w:t>
            </w:r>
            <w:r w:rsidR="002F5AF0">
              <w:rPr>
                <w:rFonts w:ascii="Times New Roman" w:hAnsi="Times New Roman" w:cs="Times New Roman"/>
                <w:sz w:val="28"/>
                <w:szCs w:val="28"/>
              </w:rPr>
              <w:t>100000011428</w:t>
            </w:r>
            <w:r w:rsidRPr="00AF58B5">
              <w:rPr>
                <w:rFonts w:ascii="Times New Roman" w:hAnsi="Times New Roman" w:cs="Times New Roman"/>
                <w:sz w:val="28"/>
                <w:szCs w:val="28"/>
              </w:rPr>
              <w:t xml:space="preserve"> </w:t>
            </w:r>
            <w:proofErr w:type="spellStart"/>
            <w:r w:rsidRPr="00AF58B5">
              <w:rPr>
                <w:rFonts w:ascii="Times New Roman" w:hAnsi="Times New Roman" w:cs="Times New Roman"/>
                <w:sz w:val="28"/>
                <w:szCs w:val="28"/>
              </w:rPr>
              <w:t>I.daļas</w:t>
            </w:r>
            <w:proofErr w:type="spellEnd"/>
            <w:r w:rsidRPr="00AF58B5">
              <w:rPr>
                <w:rFonts w:ascii="Times New Roman" w:hAnsi="Times New Roman" w:cs="Times New Roman"/>
                <w:sz w:val="28"/>
                <w:szCs w:val="28"/>
              </w:rPr>
              <w:t xml:space="preserve"> 1.iedaļas </w:t>
            </w:r>
            <w:r w:rsidR="002F5AF0">
              <w:rPr>
                <w:rFonts w:ascii="Times New Roman" w:hAnsi="Times New Roman" w:cs="Times New Roman"/>
                <w:sz w:val="28"/>
                <w:szCs w:val="28"/>
              </w:rPr>
              <w:t>2.1</w:t>
            </w:r>
            <w:r w:rsidRPr="00AF58B5">
              <w:rPr>
                <w:rFonts w:ascii="Times New Roman" w:hAnsi="Times New Roman" w:cs="Times New Roman"/>
                <w:sz w:val="28"/>
                <w:szCs w:val="28"/>
              </w:rPr>
              <w:t>.</w:t>
            </w:r>
            <w:r w:rsidR="002F5AF0">
              <w:rPr>
                <w:rFonts w:ascii="Times New Roman" w:hAnsi="Times New Roman" w:cs="Times New Roman"/>
                <w:sz w:val="28"/>
                <w:szCs w:val="28"/>
              </w:rPr>
              <w:t xml:space="preserve"> un 3.2.</w:t>
            </w:r>
            <w:r w:rsidRPr="00AF58B5">
              <w:rPr>
                <w:rFonts w:ascii="Times New Roman" w:hAnsi="Times New Roman" w:cs="Times New Roman"/>
                <w:sz w:val="28"/>
                <w:szCs w:val="28"/>
              </w:rPr>
              <w:t xml:space="preserve">ierakstu, </w:t>
            </w:r>
            <w:r w:rsidR="00B34646">
              <w:rPr>
                <w:rFonts w:ascii="Times New Roman" w:hAnsi="Times New Roman" w:cs="Times New Roman"/>
                <w:sz w:val="28"/>
                <w:szCs w:val="28"/>
              </w:rPr>
              <w:t>būves</w:t>
            </w:r>
            <w:r w:rsidRPr="00AF58B5">
              <w:rPr>
                <w:rFonts w:ascii="Times New Roman" w:hAnsi="Times New Roman" w:cs="Times New Roman"/>
                <w:sz w:val="28"/>
                <w:szCs w:val="28"/>
              </w:rPr>
              <w:t xml:space="preserve"> saistītas ar zemes </w:t>
            </w:r>
            <w:r w:rsidR="00B34646">
              <w:rPr>
                <w:rFonts w:ascii="Times New Roman" w:hAnsi="Times New Roman" w:cs="Times New Roman"/>
                <w:sz w:val="28"/>
                <w:szCs w:val="28"/>
              </w:rPr>
              <w:t xml:space="preserve">vienību 7,4546 ha platībā </w:t>
            </w:r>
            <w:r w:rsidR="00B34646" w:rsidRPr="00B34646">
              <w:rPr>
                <w:rFonts w:ascii="Times New Roman" w:hAnsi="Times New Roman" w:cs="Times New Roman"/>
                <w:sz w:val="28"/>
                <w:szCs w:val="28"/>
              </w:rPr>
              <w:t>(zemes vienības kadastra apzīmējums 0100 104 0065)</w:t>
            </w:r>
            <w:r w:rsidR="00774893">
              <w:rPr>
                <w:rFonts w:ascii="Times New Roman" w:hAnsi="Times New Roman" w:cs="Times New Roman"/>
                <w:sz w:val="28"/>
                <w:szCs w:val="28"/>
              </w:rPr>
              <w:t xml:space="preserve"> un zemes vienību 5,9547 </w:t>
            </w:r>
            <w:r w:rsidR="00B34646">
              <w:rPr>
                <w:rFonts w:ascii="Times New Roman" w:hAnsi="Times New Roman" w:cs="Times New Roman"/>
                <w:sz w:val="28"/>
                <w:szCs w:val="28"/>
              </w:rPr>
              <w:t>ha platībā (zemes vienības kadastra apzīmējums 0100 104 0011)</w:t>
            </w:r>
            <w:r w:rsidRPr="00AF58B5">
              <w:rPr>
                <w:rFonts w:ascii="Times New Roman" w:hAnsi="Times New Roman" w:cs="Times New Roman"/>
                <w:sz w:val="28"/>
                <w:szCs w:val="28"/>
              </w:rPr>
              <w:t>.</w:t>
            </w:r>
            <w:r w:rsidR="00B34646">
              <w:rPr>
                <w:rFonts w:ascii="Times New Roman" w:hAnsi="Times New Roman" w:cs="Times New Roman"/>
                <w:sz w:val="28"/>
                <w:szCs w:val="28"/>
              </w:rPr>
              <w:t xml:space="preserve"> </w:t>
            </w:r>
          </w:p>
          <w:p w:rsidR="00DC49C3" w:rsidRDefault="00DC49C3" w:rsidP="0065766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Saskaņā ar Ministru kabineta 2010.gada 21.septembra rīkojuma Nr.566 “Par valsts nekustamo īpašumu nodošanu sabiedriskā labuma organizācijai biedrībai “Latvijas Jātnieku federācija” bezatlīdzības lietošanā uz noteiktu laiku”  1.2.apakšpunktu, nekustamais īpašums (nekustamā īpašuma kadastra Nr.0100 604 0009)</w:t>
            </w:r>
            <w:r w:rsidR="00657666">
              <w:rPr>
                <w:rFonts w:ascii="Times New Roman" w:hAnsi="Times New Roman" w:cs="Times New Roman"/>
                <w:sz w:val="28"/>
                <w:szCs w:val="28"/>
              </w:rPr>
              <w:t xml:space="preserve">, kas sastāv no 14 būvēm, tajā skaitā uz zemes vienības </w:t>
            </w:r>
            <w:r w:rsidR="00657666" w:rsidRPr="00657666">
              <w:rPr>
                <w:rFonts w:ascii="Times New Roman" w:hAnsi="Times New Roman" w:cs="Times New Roman"/>
                <w:sz w:val="28"/>
                <w:szCs w:val="28"/>
              </w:rPr>
              <w:t xml:space="preserve">(zemes vienības kadastra apzīmējums 0100 104 0065) </w:t>
            </w:r>
            <w:r w:rsidR="00657666">
              <w:rPr>
                <w:rFonts w:ascii="Times New Roman" w:hAnsi="Times New Roman" w:cs="Times New Roman"/>
                <w:sz w:val="28"/>
                <w:szCs w:val="28"/>
              </w:rPr>
              <w:t xml:space="preserve"> esošās </w:t>
            </w:r>
            <w:r w:rsidR="00657666" w:rsidRPr="00657666">
              <w:rPr>
                <w:rFonts w:ascii="Times New Roman" w:hAnsi="Times New Roman" w:cs="Times New Roman"/>
                <w:sz w:val="28"/>
                <w:szCs w:val="28"/>
              </w:rPr>
              <w:t xml:space="preserve">septiņas būves </w:t>
            </w:r>
            <w:r w:rsidR="00657666">
              <w:rPr>
                <w:rFonts w:ascii="Times New Roman" w:hAnsi="Times New Roman" w:cs="Times New Roman"/>
                <w:sz w:val="28"/>
                <w:szCs w:val="28"/>
              </w:rPr>
              <w:t xml:space="preserve">(būvju kadastra apzīmējumi </w:t>
            </w:r>
            <w:r w:rsidR="00657666" w:rsidRPr="00657666">
              <w:rPr>
                <w:rFonts w:ascii="Times New Roman" w:hAnsi="Times New Roman" w:cs="Times New Roman"/>
                <w:sz w:val="28"/>
                <w:szCs w:val="28"/>
              </w:rPr>
              <w:t>0100 104 0065 001</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0100 104 0065 002</w:t>
            </w:r>
            <w:r w:rsidR="00657666">
              <w:rPr>
                <w:rFonts w:ascii="Times New Roman" w:hAnsi="Times New Roman" w:cs="Times New Roman"/>
                <w:sz w:val="28"/>
                <w:szCs w:val="28"/>
              </w:rPr>
              <w:t>,</w:t>
            </w:r>
            <w:r w:rsidR="00657666" w:rsidRPr="00657666">
              <w:rPr>
                <w:rFonts w:ascii="Times New Roman" w:hAnsi="Times New Roman" w:cs="Times New Roman"/>
                <w:sz w:val="28"/>
                <w:szCs w:val="28"/>
              </w:rPr>
              <w:t xml:space="preserve"> 0100 104 0065 003</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0100 104 0065 004</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0100 104 0065 005</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0100 104 0065 006</w:t>
            </w:r>
            <w:r w:rsidR="00657666">
              <w:rPr>
                <w:rFonts w:ascii="Times New Roman" w:hAnsi="Times New Roman" w:cs="Times New Roman"/>
                <w:sz w:val="28"/>
                <w:szCs w:val="28"/>
              </w:rPr>
              <w:t xml:space="preserve"> un </w:t>
            </w:r>
            <w:r w:rsidR="00657666" w:rsidRPr="00657666">
              <w:rPr>
                <w:rFonts w:ascii="Times New Roman" w:hAnsi="Times New Roman" w:cs="Times New Roman"/>
                <w:sz w:val="28"/>
                <w:szCs w:val="28"/>
              </w:rPr>
              <w:t>0100 104 0065 007</w:t>
            </w:r>
            <w:r w:rsidR="00657666">
              <w:rPr>
                <w:rFonts w:ascii="Times New Roman" w:hAnsi="Times New Roman" w:cs="Times New Roman"/>
                <w:sz w:val="28"/>
                <w:szCs w:val="28"/>
              </w:rPr>
              <w:t xml:space="preserve">), nodots </w:t>
            </w:r>
            <w:r w:rsidR="00657666" w:rsidRPr="00657666">
              <w:rPr>
                <w:rFonts w:ascii="Times New Roman" w:hAnsi="Times New Roman" w:cs="Times New Roman"/>
                <w:sz w:val="28"/>
                <w:szCs w:val="28"/>
              </w:rPr>
              <w:t>biedrībai “Latvijas Jātnieku federācija” bezatlīdzības lietošanā uz</w:t>
            </w:r>
            <w:r w:rsidR="00657666">
              <w:rPr>
                <w:rFonts w:ascii="Times New Roman" w:hAnsi="Times New Roman" w:cs="Times New Roman"/>
                <w:sz w:val="28"/>
                <w:szCs w:val="28"/>
              </w:rPr>
              <w:t xml:space="preserve"> 10 gadiem, lai veicinātu jāšanas sporta, modernās pieccīņas, paukošanas un BMX riteņbraukšanas attīstību</w:t>
            </w:r>
            <w:r w:rsidR="00916B89">
              <w:rPr>
                <w:rFonts w:ascii="Times New Roman" w:hAnsi="Times New Roman" w:cs="Times New Roman"/>
                <w:sz w:val="28"/>
                <w:szCs w:val="28"/>
              </w:rPr>
              <w:t>, tādējādi nodrošinot ministrijas funkciju un uzdevumu izpildi sporta jomā.</w:t>
            </w:r>
            <w:r w:rsidR="009C5341">
              <w:rPr>
                <w:rFonts w:ascii="Times New Roman" w:hAnsi="Times New Roman" w:cs="Times New Roman"/>
                <w:sz w:val="28"/>
                <w:szCs w:val="28"/>
              </w:rPr>
              <w:t xml:space="preserve"> Pamatojoties uz Ministru kabineta 2010.gada 30.decembra rīkojumu Nr.776 “Par nacionālās sporta bāzes statusa piešķiršanu sporta centram “Kleisti””, piešķirts nacionālās sporta bāzes statuss.</w:t>
            </w:r>
          </w:p>
          <w:p w:rsidR="00657666" w:rsidRDefault="00657666" w:rsidP="0065766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Rīkojuma projekts izstrādāts, lai </w:t>
            </w:r>
            <w:r w:rsidR="00867B69">
              <w:rPr>
                <w:rFonts w:ascii="Times New Roman" w:hAnsi="Times New Roman" w:cs="Times New Roman"/>
                <w:sz w:val="28"/>
                <w:szCs w:val="28"/>
              </w:rPr>
              <w:t>tiesiski sakārtotu ministrijas valdījumā esošo valsts nekustamo īpašumu</w:t>
            </w:r>
            <w:r w:rsidR="00916B89">
              <w:rPr>
                <w:rFonts w:ascii="Times New Roman" w:hAnsi="Times New Roman" w:cs="Times New Roman"/>
                <w:sz w:val="28"/>
                <w:szCs w:val="28"/>
              </w:rPr>
              <w:t>,</w:t>
            </w:r>
            <w:r w:rsidR="00867B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67B69">
              <w:rPr>
                <w:rFonts w:ascii="Times New Roman" w:hAnsi="Times New Roman" w:cs="Times New Roman"/>
                <w:sz w:val="28"/>
                <w:szCs w:val="28"/>
              </w:rPr>
              <w:t>novērstu</w:t>
            </w:r>
            <w:r>
              <w:rPr>
                <w:rFonts w:ascii="Times New Roman" w:hAnsi="Times New Roman" w:cs="Times New Roman"/>
                <w:sz w:val="28"/>
                <w:szCs w:val="28"/>
              </w:rPr>
              <w:t xml:space="preserve"> dalīt</w:t>
            </w:r>
            <w:r w:rsidR="00867B69">
              <w:rPr>
                <w:rFonts w:ascii="Times New Roman" w:hAnsi="Times New Roman" w:cs="Times New Roman"/>
                <w:sz w:val="28"/>
                <w:szCs w:val="28"/>
              </w:rPr>
              <w:t>a nekustamā īpašuma izveidošanās iespēju</w:t>
            </w:r>
            <w:r w:rsidR="008D0087">
              <w:rPr>
                <w:rFonts w:ascii="Times New Roman" w:hAnsi="Times New Roman" w:cs="Times New Roman"/>
                <w:sz w:val="28"/>
                <w:szCs w:val="28"/>
              </w:rPr>
              <w:t xml:space="preserve"> un pilnvērtīgi nodrošinā</w:t>
            </w:r>
            <w:r w:rsidR="00916B89">
              <w:rPr>
                <w:rFonts w:ascii="Times New Roman" w:hAnsi="Times New Roman" w:cs="Times New Roman"/>
                <w:sz w:val="28"/>
                <w:szCs w:val="28"/>
              </w:rPr>
              <w:t>t</w:t>
            </w:r>
            <w:r w:rsidR="008D0087">
              <w:rPr>
                <w:rFonts w:ascii="Times New Roman" w:hAnsi="Times New Roman" w:cs="Times New Roman"/>
                <w:sz w:val="28"/>
                <w:szCs w:val="28"/>
              </w:rPr>
              <w:t>u</w:t>
            </w:r>
            <w:r w:rsidR="00916B89">
              <w:rPr>
                <w:rFonts w:ascii="Times New Roman" w:hAnsi="Times New Roman" w:cs="Times New Roman"/>
                <w:sz w:val="28"/>
                <w:szCs w:val="28"/>
              </w:rPr>
              <w:t xml:space="preserve"> </w:t>
            </w:r>
            <w:r w:rsidR="00916B89" w:rsidRPr="00916B89">
              <w:rPr>
                <w:rFonts w:ascii="Times New Roman" w:hAnsi="Times New Roman" w:cs="Times New Roman"/>
                <w:sz w:val="28"/>
                <w:szCs w:val="28"/>
              </w:rPr>
              <w:t>ministrijas funkciju un uzdevumu izpildi sporta jomā</w:t>
            </w:r>
            <w:r w:rsidR="00867B69">
              <w:rPr>
                <w:rFonts w:ascii="Times New Roman" w:hAnsi="Times New Roman" w:cs="Times New Roman"/>
                <w:sz w:val="28"/>
                <w:szCs w:val="28"/>
              </w:rPr>
              <w:t xml:space="preserve">. </w:t>
            </w:r>
          </w:p>
          <w:p w:rsidR="00C057FD" w:rsidRPr="00A70EB8" w:rsidRDefault="00AF58B5" w:rsidP="00D076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sidRPr="00AF58B5">
              <w:rPr>
                <w:rFonts w:ascii="Times New Roman" w:hAnsi="Times New Roman" w:cs="Times New Roman"/>
                <w:sz w:val="28"/>
                <w:szCs w:val="28"/>
              </w:rPr>
              <w:t xml:space="preserve">Atbilstoši likuma „Par valsts un pašvaldību zemes īpašuma tiesībām un to nostiprināšanu zemesgrāmatās” </w:t>
            </w:r>
            <w:r w:rsidR="00867B69" w:rsidRPr="00867B69">
              <w:rPr>
                <w:rFonts w:ascii="Times New Roman" w:hAnsi="Times New Roman" w:cs="Times New Roman"/>
                <w:sz w:val="28"/>
                <w:szCs w:val="28"/>
              </w:rPr>
              <w:t>4.</w:t>
            </w:r>
            <w:r w:rsidR="00867B69" w:rsidRPr="00867B69">
              <w:rPr>
                <w:rFonts w:ascii="Times New Roman" w:hAnsi="Times New Roman" w:cs="Times New Roman"/>
                <w:sz w:val="28"/>
                <w:szCs w:val="28"/>
                <w:vertAlign w:val="superscript"/>
              </w:rPr>
              <w:t>1</w:t>
            </w:r>
            <w:r w:rsidR="00867B69" w:rsidRPr="00867B69">
              <w:rPr>
                <w:rFonts w:ascii="Times New Roman" w:hAnsi="Times New Roman" w:cs="Times New Roman"/>
                <w:sz w:val="28"/>
                <w:szCs w:val="28"/>
              </w:rPr>
              <w:t xml:space="preserve"> panta pirmās da</w:t>
            </w:r>
            <w:r w:rsidR="00867B69">
              <w:rPr>
                <w:rFonts w:ascii="Times New Roman" w:hAnsi="Times New Roman" w:cs="Times New Roman"/>
                <w:sz w:val="28"/>
                <w:szCs w:val="28"/>
              </w:rPr>
              <w:t xml:space="preserve">ļas 1.punktā noteiktajam </w:t>
            </w:r>
            <w:r w:rsidRPr="00AF58B5">
              <w:rPr>
                <w:rFonts w:ascii="Times New Roman" w:hAnsi="Times New Roman" w:cs="Times New Roman"/>
                <w:sz w:val="28"/>
                <w:szCs w:val="28"/>
              </w:rPr>
              <w:t>zemes vienība piekrīt valstij un ierakstāma zemesgrāmatā uz valsts vārda ministrijas personā.</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C057FD" w:rsidRPr="00A70EB8" w:rsidRDefault="00A44F2E" w:rsidP="00D07640">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D07640">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w:t>
            </w:r>
          </w:p>
        </w:tc>
      </w:tr>
      <w:tr w:rsidR="00A44F2E" w:rsidRPr="00A70EB8" w:rsidTr="00EA0D1F">
        <w:trPr>
          <w:gridAfter w:val="1"/>
          <w:wAfter w:w="19" w:type="pct"/>
          <w:trHeight w:val="583"/>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C057FD" w:rsidRPr="00A70EB8" w:rsidRDefault="00A44F2E" w:rsidP="00EA0D1F">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435"/>
              <w:gridCol w:w="5387"/>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EA0D1F">
              <w:trPr>
                <w:trHeight w:val="445"/>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053" w:type="pct"/>
                  <w:tcBorders>
                    <w:top w:val="outset" w:sz="6" w:space="0" w:color="414142"/>
                    <w:left w:val="outset" w:sz="6" w:space="0" w:color="414142"/>
                    <w:bottom w:val="outset" w:sz="6" w:space="0" w:color="414142"/>
                    <w:right w:val="outset" w:sz="6" w:space="0" w:color="414142"/>
                  </w:tcBorders>
                  <w:hideMark/>
                </w:tcPr>
                <w:p w:rsidR="00FE00CE" w:rsidRPr="00FE00CE" w:rsidRDefault="00FE00CE" w:rsidP="00FE00CE">
                  <w:pPr>
                    <w:spacing w:after="0" w:line="240" w:lineRule="auto"/>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488"/>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053" w:type="pct"/>
                  <w:tcBorders>
                    <w:top w:val="outset" w:sz="6" w:space="0" w:color="414142"/>
                    <w:left w:val="outset" w:sz="6" w:space="0" w:color="414142"/>
                    <w:bottom w:val="outset" w:sz="6" w:space="0" w:color="414142"/>
                    <w:right w:val="outset" w:sz="6" w:space="0" w:color="414142"/>
                  </w:tcBorders>
                  <w:hideMark/>
                </w:tcPr>
                <w:p w:rsidR="00FE00CE" w:rsidRPr="00FE00CE" w:rsidRDefault="00FE00CE" w:rsidP="00FE00CE">
                  <w:pPr>
                    <w:spacing w:after="0" w:line="240" w:lineRule="auto"/>
                    <w:ind w:right="588"/>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488"/>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053"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330"/>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053" w:type="pct"/>
                  <w:tcBorders>
                    <w:top w:val="outset" w:sz="6" w:space="0" w:color="414142"/>
                    <w:left w:val="outset" w:sz="6" w:space="0" w:color="414142"/>
                    <w:bottom w:val="outset" w:sz="6" w:space="0" w:color="414142"/>
                    <w:right w:val="outset" w:sz="6" w:space="0" w:color="414142"/>
                  </w:tcBorders>
                  <w:hideMark/>
                </w:tcPr>
                <w:p w:rsidR="00964BB1" w:rsidRPr="00A70EB8" w:rsidRDefault="00FE00CE" w:rsidP="00964BB1">
                  <w:pPr>
                    <w:spacing w:after="0" w:line="240" w:lineRule="auto"/>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Rīkojuma projektā risinātie jautājumi neparedz ieviest izmaiņas, kas varētu ietekmēt plašas sabiedrības intereses.</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3"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3"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3"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3C2404" w:rsidP="003C2404">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Ministrija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 xml:space="preserve">kas saistīti ar </w:t>
            </w:r>
            <w:r>
              <w:rPr>
                <w:rFonts w:ascii="Times New Roman" w:hAnsi="Times New Roman" w:cs="Times New Roman"/>
                <w:sz w:val="28"/>
                <w:szCs w:val="28"/>
                <w:lang w:eastAsia="lv-LV"/>
              </w:rPr>
              <w:t>īpašuma tiesību nostiprināšanu zemesgrāmatā</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3C2404">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3C2404">
              <w:rPr>
                <w:rFonts w:ascii="Times New Roman" w:eastAsia="Times New Roman" w:hAnsi="Times New Roman" w:cs="Times New Roman"/>
                <w:sz w:val="28"/>
                <w:szCs w:val="28"/>
                <w:lang w:eastAsia="lv-LV"/>
              </w:rPr>
              <w:t>.</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lastRenderedPageBreak/>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lastRenderedPageBreak/>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AB" w:rsidRDefault="00AC60AB" w:rsidP="00AB4555">
      <w:pPr>
        <w:spacing w:after="0" w:line="240" w:lineRule="auto"/>
      </w:pPr>
      <w:r>
        <w:separator/>
      </w:r>
    </w:p>
  </w:endnote>
  <w:endnote w:type="continuationSeparator" w:id="0">
    <w:p w:rsidR="00AC60AB" w:rsidRDefault="00AC60A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6E" w:rsidRDefault="00000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00066E">
      <w:rPr>
        <w:rFonts w:ascii="Times New Roman" w:hAnsi="Times New Roman" w:cs="Times New Roman"/>
        <w:noProof/>
      </w:rPr>
      <w:t>IZMAnot_240517_VSS468</w:t>
    </w:r>
    <w:r w:rsidRPr="009574F2">
      <w:rPr>
        <w:rFonts w:ascii="Times New Roman" w:hAnsi="Times New Roman" w:cs="Times New Roman"/>
        <w:noProof/>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00066E">
      <w:rPr>
        <w:rFonts w:ascii="Times New Roman" w:hAnsi="Times New Roman" w:cs="Times New Roman"/>
        <w:noProof/>
      </w:rPr>
      <w:t>IZMAnot_240517_VSS468</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AB" w:rsidRDefault="00AC60AB" w:rsidP="00AB4555">
      <w:pPr>
        <w:spacing w:after="0" w:line="240" w:lineRule="auto"/>
      </w:pPr>
      <w:r>
        <w:separator/>
      </w:r>
    </w:p>
  </w:footnote>
  <w:footnote w:type="continuationSeparator" w:id="0">
    <w:p w:rsidR="00AC60AB" w:rsidRDefault="00AC60A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6E" w:rsidRDefault="00000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0066E">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F02E72" w:rsidRDefault="00F02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6E" w:rsidRDefault="00000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66E"/>
    <w:rsid w:val="00001B0D"/>
    <w:rsid w:val="00001F2F"/>
    <w:rsid w:val="00003D0E"/>
    <w:rsid w:val="000111C8"/>
    <w:rsid w:val="00012911"/>
    <w:rsid w:val="00013B3B"/>
    <w:rsid w:val="00014371"/>
    <w:rsid w:val="000239CE"/>
    <w:rsid w:val="000276AC"/>
    <w:rsid w:val="000328B3"/>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56F3"/>
    <w:rsid w:val="000F7B2B"/>
    <w:rsid w:val="00100280"/>
    <w:rsid w:val="00100BBA"/>
    <w:rsid w:val="0010168C"/>
    <w:rsid w:val="00111C77"/>
    <w:rsid w:val="0011236D"/>
    <w:rsid w:val="00112EE8"/>
    <w:rsid w:val="00114863"/>
    <w:rsid w:val="001152E3"/>
    <w:rsid w:val="001158F8"/>
    <w:rsid w:val="0011598E"/>
    <w:rsid w:val="001206C7"/>
    <w:rsid w:val="00122B96"/>
    <w:rsid w:val="0012684E"/>
    <w:rsid w:val="001418FD"/>
    <w:rsid w:val="001419F3"/>
    <w:rsid w:val="0014416C"/>
    <w:rsid w:val="001455CC"/>
    <w:rsid w:val="00146C32"/>
    <w:rsid w:val="0015026E"/>
    <w:rsid w:val="00155E50"/>
    <w:rsid w:val="001567A5"/>
    <w:rsid w:val="0016263D"/>
    <w:rsid w:val="001656CA"/>
    <w:rsid w:val="00170003"/>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0DC9"/>
    <w:rsid w:val="002A205F"/>
    <w:rsid w:val="002A267F"/>
    <w:rsid w:val="002A34B6"/>
    <w:rsid w:val="002A5ED0"/>
    <w:rsid w:val="002A710B"/>
    <w:rsid w:val="002B047F"/>
    <w:rsid w:val="002B3DF8"/>
    <w:rsid w:val="002B3FB2"/>
    <w:rsid w:val="002C60C4"/>
    <w:rsid w:val="002C6D69"/>
    <w:rsid w:val="002D09D7"/>
    <w:rsid w:val="002D2D5B"/>
    <w:rsid w:val="002D44F6"/>
    <w:rsid w:val="002D4CA1"/>
    <w:rsid w:val="002D76A2"/>
    <w:rsid w:val="002E16B5"/>
    <w:rsid w:val="002E1D99"/>
    <w:rsid w:val="002E2533"/>
    <w:rsid w:val="002E5C83"/>
    <w:rsid w:val="002E6CE2"/>
    <w:rsid w:val="002E7979"/>
    <w:rsid w:val="002E7BC7"/>
    <w:rsid w:val="002F2669"/>
    <w:rsid w:val="002F49F4"/>
    <w:rsid w:val="002F4A25"/>
    <w:rsid w:val="002F5AF0"/>
    <w:rsid w:val="00303171"/>
    <w:rsid w:val="00303593"/>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2DB9"/>
    <w:rsid w:val="003932EA"/>
    <w:rsid w:val="003941B8"/>
    <w:rsid w:val="00396E30"/>
    <w:rsid w:val="003A0295"/>
    <w:rsid w:val="003A18F3"/>
    <w:rsid w:val="003A1A59"/>
    <w:rsid w:val="003B7E1D"/>
    <w:rsid w:val="003C0712"/>
    <w:rsid w:val="003C1F05"/>
    <w:rsid w:val="003C2404"/>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036AA"/>
    <w:rsid w:val="00616297"/>
    <w:rsid w:val="00625961"/>
    <w:rsid w:val="00631F68"/>
    <w:rsid w:val="00635979"/>
    <w:rsid w:val="00636A30"/>
    <w:rsid w:val="00636DF6"/>
    <w:rsid w:val="00642054"/>
    <w:rsid w:val="00644188"/>
    <w:rsid w:val="00644EE3"/>
    <w:rsid w:val="00652A06"/>
    <w:rsid w:val="00656564"/>
    <w:rsid w:val="00656A9F"/>
    <w:rsid w:val="00657666"/>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467F0"/>
    <w:rsid w:val="00750C9C"/>
    <w:rsid w:val="00752EB7"/>
    <w:rsid w:val="00756D38"/>
    <w:rsid w:val="00767097"/>
    <w:rsid w:val="00773A66"/>
    <w:rsid w:val="0077457B"/>
    <w:rsid w:val="00774893"/>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E6428"/>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69"/>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0087"/>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1F34"/>
    <w:rsid w:val="009144E0"/>
    <w:rsid w:val="00915F6E"/>
    <w:rsid w:val="00916554"/>
    <w:rsid w:val="00916B89"/>
    <w:rsid w:val="009174A4"/>
    <w:rsid w:val="00921A96"/>
    <w:rsid w:val="009221A7"/>
    <w:rsid w:val="0092309B"/>
    <w:rsid w:val="009243B3"/>
    <w:rsid w:val="00932534"/>
    <w:rsid w:val="009374A2"/>
    <w:rsid w:val="00937A09"/>
    <w:rsid w:val="0094220B"/>
    <w:rsid w:val="0095177A"/>
    <w:rsid w:val="009520BC"/>
    <w:rsid w:val="00952454"/>
    <w:rsid w:val="009551A0"/>
    <w:rsid w:val="009574F2"/>
    <w:rsid w:val="00957BDC"/>
    <w:rsid w:val="009600C4"/>
    <w:rsid w:val="00962B1D"/>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C5341"/>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70EB8"/>
    <w:rsid w:val="00A7135C"/>
    <w:rsid w:val="00A72C2B"/>
    <w:rsid w:val="00A73421"/>
    <w:rsid w:val="00A746FB"/>
    <w:rsid w:val="00A74F29"/>
    <w:rsid w:val="00A7530F"/>
    <w:rsid w:val="00A80FCF"/>
    <w:rsid w:val="00A868CD"/>
    <w:rsid w:val="00A87ECB"/>
    <w:rsid w:val="00A9090D"/>
    <w:rsid w:val="00A935F1"/>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C60AB"/>
    <w:rsid w:val="00AD5210"/>
    <w:rsid w:val="00AD6FC9"/>
    <w:rsid w:val="00AE0908"/>
    <w:rsid w:val="00AE218A"/>
    <w:rsid w:val="00AE2ECA"/>
    <w:rsid w:val="00AE3825"/>
    <w:rsid w:val="00AE4F0E"/>
    <w:rsid w:val="00AE7422"/>
    <w:rsid w:val="00AF01DD"/>
    <w:rsid w:val="00AF3054"/>
    <w:rsid w:val="00AF58B5"/>
    <w:rsid w:val="00AF5A0A"/>
    <w:rsid w:val="00AF5C2D"/>
    <w:rsid w:val="00AF73F2"/>
    <w:rsid w:val="00B04B6F"/>
    <w:rsid w:val="00B0718D"/>
    <w:rsid w:val="00B07564"/>
    <w:rsid w:val="00B1561F"/>
    <w:rsid w:val="00B16936"/>
    <w:rsid w:val="00B201DD"/>
    <w:rsid w:val="00B203CE"/>
    <w:rsid w:val="00B271BB"/>
    <w:rsid w:val="00B275DD"/>
    <w:rsid w:val="00B313D3"/>
    <w:rsid w:val="00B34646"/>
    <w:rsid w:val="00B4292E"/>
    <w:rsid w:val="00B43883"/>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B7EA0"/>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057FD"/>
    <w:rsid w:val="00C063D2"/>
    <w:rsid w:val="00C110F7"/>
    <w:rsid w:val="00C13F23"/>
    <w:rsid w:val="00C14517"/>
    <w:rsid w:val="00C167F2"/>
    <w:rsid w:val="00C17D92"/>
    <w:rsid w:val="00C314A1"/>
    <w:rsid w:val="00C31C38"/>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42CF"/>
    <w:rsid w:val="00C65384"/>
    <w:rsid w:val="00C66092"/>
    <w:rsid w:val="00C67C7A"/>
    <w:rsid w:val="00C70D92"/>
    <w:rsid w:val="00C7306D"/>
    <w:rsid w:val="00C7449F"/>
    <w:rsid w:val="00C75880"/>
    <w:rsid w:val="00C8165D"/>
    <w:rsid w:val="00C83107"/>
    <w:rsid w:val="00C91852"/>
    <w:rsid w:val="00C9699E"/>
    <w:rsid w:val="00CA0214"/>
    <w:rsid w:val="00CA09AF"/>
    <w:rsid w:val="00CA32A9"/>
    <w:rsid w:val="00CA6C92"/>
    <w:rsid w:val="00CB18B0"/>
    <w:rsid w:val="00CB4ADC"/>
    <w:rsid w:val="00CB5E9D"/>
    <w:rsid w:val="00CB7340"/>
    <w:rsid w:val="00CC1F05"/>
    <w:rsid w:val="00CC3BA3"/>
    <w:rsid w:val="00CC4DB4"/>
    <w:rsid w:val="00CD18E9"/>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07640"/>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49C3"/>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7D6"/>
    <w:rsid w:val="00E22B54"/>
    <w:rsid w:val="00E22DB2"/>
    <w:rsid w:val="00E27161"/>
    <w:rsid w:val="00E30C5B"/>
    <w:rsid w:val="00E32401"/>
    <w:rsid w:val="00E34982"/>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1F"/>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37D54"/>
    <w:rsid w:val="00F42435"/>
    <w:rsid w:val="00F50007"/>
    <w:rsid w:val="00F50D2E"/>
    <w:rsid w:val="00F57198"/>
    <w:rsid w:val="00F61E80"/>
    <w:rsid w:val="00F65552"/>
    <w:rsid w:val="00F67C85"/>
    <w:rsid w:val="00F710B9"/>
    <w:rsid w:val="00F7226A"/>
    <w:rsid w:val="00F72676"/>
    <w:rsid w:val="00F72F02"/>
    <w:rsid w:val="00F72FF3"/>
    <w:rsid w:val="00F8067B"/>
    <w:rsid w:val="00F83499"/>
    <w:rsid w:val="00F86741"/>
    <w:rsid w:val="00F918B7"/>
    <w:rsid w:val="00F95425"/>
    <w:rsid w:val="00FA7835"/>
    <w:rsid w:val="00FB1335"/>
    <w:rsid w:val="00FB149B"/>
    <w:rsid w:val="00FB2777"/>
    <w:rsid w:val="00FC1448"/>
    <w:rsid w:val="00FC3E94"/>
    <w:rsid w:val="00FC554C"/>
    <w:rsid w:val="00FD2D5D"/>
    <w:rsid w:val="00FD2E33"/>
    <w:rsid w:val="00FD4EE5"/>
    <w:rsid w:val="00FD670C"/>
    <w:rsid w:val="00FD776C"/>
    <w:rsid w:val="00FE00CE"/>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C921-D22B-4F7D-BFF6-7195A86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6030</Words>
  <Characters>3438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vt:lpstr>
    </vt:vector>
  </TitlesOfParts>
  <Manager>Raimonds.Karklins@izm.gov.lv</Manager>
  <Company>Izglītības un zinātnes ministrija</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MK rīkojuma projekta anotācija</dc:subject>
  <dc:creator>Ilze Rozenštoka</dc:creator>
  <cp:keywords>VSS468</cp:keywords>
  <dc:description>Ilze.Rozenstoka@izm.gov.lv;
67047765</dc:description>
  <cp:lastModifiedBy>Ilze Rozenštoka</cp:lastModifiedBy>
  <cp:revision>38</cp:revision>
  <cp:lastPrinted>2017-03-17T12:16:00Z</cp:lastPrinted>
  <dcterms:created xsi:type="dcterms:W3CDTF">2017-03-08T08:20:00Z</dcterms:created>
  <dcterms:modified xsi:type="dcterms:W3CDTF">2017-05-24T08:19:00Z</dcterms:modified>
  <cp:category>Anotācija</cp:category>
</cp:coreProperties>
</file>