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4E26E" w14:textId="77777777" w:rsidR="000F1574" w:rsidRPr="007B2DDA" w:rsidRDefault="000F1574" w:rsidP="007B2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DDA">
        <w:rPr>
          <w:rFonts w:ascii="Times New Roman" w:hAnsi="Times New Roman" w:cs="Times New Roman"/>
          <w:sz w:val="28"/>
          <w:szCs w:val="28"/>
        </w:rPr>
        <w:t>Pielikums</w:t>
      </w:r>
    </w:p>
    <w:p w14:paraId="133F5B80" w14:textId="77777777" w:rsidR="000F1574" w:rsidRPr="007B2DDA" w:rsidRDefault="000F1574" w:rsidP="007B2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DD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0A5EE95" w14:textId="085EBC8C" w:rsidR="000F1574" w:rsidRPr="007B2DDA" w:rsidRDefault="000F1574" w:rsidP="007B2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DDA">
        <w:rPr>
          <w:rFonts w:ascii="Times New Roman" w:hAnsi="Times New Roman" w:cs="Times New Roman"/>
          <w:sz w:val="28"/>
          <w:szCs w:val="28"/>
        </w:rPr>
        <w:t>2017</w:t>
      </w:r>
      <w:r w:rsidR="00C846C3">
        <w:rPr>
          <w:rFonts w:ascii="Times New Roman" w:hAnsi="Times New Roman" w:cs="Times New Roman"/>
          <w:sz w:val="28"/>
          <w:szCs w:val="28"/>
        </w:rPr>
        <w:t>. </w:t>
      </w:r>
      <w:r w:rsidRPr="007B2DDA">
        <w:rPr>
          <w:rFonts w:ascii="Times New Roman" w:hAnsi="Times New Roman" w:cs="Times New Roman"/>
          <w:sz w:val="28"/>
          <w:szCs w:val="28"/>
        </w:rPr>
        <w:t>gada  </w:t>
      </w:r>
      <w:r w:rsidR="001E222C" w:rsidRPr="001E22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27. jūnij</w:t>
      </w:r>
      <w:r w:rsidR="001E222C" w:rsidRPr="001E22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a</w:t>
      </w:r>
    </w:p>
    <w:p w14:paraId="78BE7CA1" w14:textId="7BA9DBC4" w:rsidR="000F1574" w:rsidRPr="007B2DDA" w:rsidRDefault="000F1574" w:rsidP="007B2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D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noteikumiem</w:t>
      </w:r>
      <w:r w:rsidRPr="007B2DDA">
        <w:rPr>
          <w:rFonts w:ascii="Times New Roman" w:hAnsi="Times New Roman" w:cs="Times New Roman"/>
          <w:sz w:val="28"/>
          <w:szCs w:val="28"/>
        </w:rPr>
        <w:t xml:space="preserve"> Nr</w:t>
      </w:r>
      <w:r w:rsidR="00C846C3">
        <w:rPr>
          <w:rFonts w:ascii="Times New Roman" w:hAnsi="Times New Roman" w:cs="Times New Roman"/>
          <w:sz w:val="28"/>
          <w:szCs w:val="28"/>
        </w:rPr>
        <w:t>. </w:t>
      </w:r>
      <w:r w:rsidR="001E222C">
        <w:rPr>
          <w:rFonts w:ascii="Times New Roman" w:hAnsi="Times New Roman" w:cs="Times New Roman"/>
          <w:sz w:val="28"/>
          <w:szCs w:val="28"/>
        </w:rPr>
        <w:t>362</w:t>
      </w:r>
      <w:bookmarkStart w:id="0" w:name="_GoBack"/>
      <w:bookmarkEnd w:id="0"/>
    </w:p>
    <w:p w14:paraId="734BB11F" w14:textId="77777777" w:rsidR="007B2DDA" w:rsidRDefault="007B2DDA" w:rsidP="007B2D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8C47EB9" w14:textId="3D75C8A9" w:rsidR="00D642AA" w:rsidRPr="007B2DDA" w:rsidRDefault="00A0775D" w:rsidP="007B2D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</w:pPr>
      <w:r w:rsidRPr="007B2D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"</w:t>
      </w:r>
      <w:r w:rsidR="00D642AA" w:rsidRPr="007B2D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5</w:t>
      </w:r>
      <w:r w:rsidR="00C84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. </w:t>
      </w:r>
      <w:r w:rsidR="00D642AA" w:rsidRPr="007B2D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pielikums</w:t>
      </w:r>
    </w:p>
    <w:p w14:paraId="48C47EBA" w14:textId="77777777" w:rsidR="00D642AA" w:rsidRPr="007B2DDA" w:rsidRDefault="00D642AA" w:rsidP="007B2D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</w:pPr>
      <w:r w:rsidRPr="007B2D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 xml:space="preserve">Ministru kabineta </w:t>
      </w:r>
    </w:p>
    <w:p w14:paraId="48C47EBB" w14:textId="31F812C5" w:rsidR="00D642AA" w:rsidRPr="007B2DDA" w:rsidRDefault="00D642AA" w:rsidP="007B2D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</w:pPr>
      <w:r w:rsidRPr="007B2D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2011</w:t>
      </w:r>
      <w:r w:rsidR="00C84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. </w:t>
      </w:r>
      <w:r w:rsidRPr="007B2D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gada 24</w:t>
      </w:r>
      <w:r w:rsidR="00C84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. </w:t>
      </w:r>
      <w:r w:rsidRPr="007B2D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 xml:space="preserve">maija </w:t>
      </w:r>
    </w:p>
    <w:p w14:paraId="48C47EBC" w14:textId="0FD6AD0C" w:rsidR="00D642AA" w:rsidRPr="007B2DDA" w:rsidRDefault="00D642AA" w:rsidP="007B2D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</w:pPr>
      <w:r w:rsidRPr="007B2D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noteikumiem Nr</w:t>
      </w:r>
      <w:r w:rsidR="00C84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. </w:t>
      </w:r>
      <w:r w:rsidRPr="007B2D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lv-LV"/>
        </w:rPr>
        <w:t>411</w:t>
      </w:r>
    </w:p>
    <w:p w14:paraId="069A94D0" w14:textId="77777777" w:rsidR="007B2DDA" w:rsidRDefault="007B2DDA" w:rsidP="007B2D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8C47EBE" w14:textId="4C9C9F40" w:rsidR="00D642AA" w:rsidRPr="007B2DDA" w:rsidRDefault="007B2DDA" w:rsidP="007B2D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7B2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Riska novērtēšanas </w:t>
      </w:r>
      <w:r w:rsidRPr="007B2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lv-LV"/>
        </w:rPr>
        <w:t>elementi</w:t>
      </w:r>
    </w:p>
    <w:p w14:paraId="1E759E18" w14:textId="77777777" w:rsidR="00D3081D" w:rsidRDefault="00D3081D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8C47EBF" w14:textId="08910D7D" w:rsidR="00D642AA" w:rsidRPr="007B2DDA" w:rsidRDefault="00C846C3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</w:t>
      </w:r>
      <w:r w:rsidR="00D642A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Riska novērtēšana ir pamats tādu transportlīdzekļu mērķtiecīgai atlasei, kurus ekspluatē uzņēmumi ar sliktiem rādītājiem transportlīdzekļu tehniskās apkopes un valsts tehniskās apskates prasību izpildē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F33C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1081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Riska novērtēšan</w:t>
      </w:r>
      <w:r w:rsidR="00A108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A1081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642A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ņem vērā</w:t>
      </w:r>
      <w:r w:rsidR="00A1081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642A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gan valsts tehniskajās apskatēs, gan transportlīdzekļu tehniskajās kontrolēs uz ceļiem</w:t>
      </w:r>
      <w:r w:rsidR="000848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84837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konstatēt</w:t>
      </w:r>
      <w:r w:rsidR="000848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os</w:t>
      </w:r>
      <w:r w:rsidR="00084837" w:rsidRPr="000848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84837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rezultātus</w:t>
      </w:r>
      <w:r w:rsidR="00D642A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4EB9EA06" w14:textId="77777777" w:rsidR="00F33CA6" w:rsidRDefault="00F33CA6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8C47EC0" w14:textId="570EDBD5" w:rsidR="00D642AA" w:rsidRDefault="00C846C3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2. </w:t>
      </w:r>
      <w:r w:rsidR="00D642A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Lai novērtētu uzņēmuma risku, ņem vērā šād</w:t>
      </w:r>
      <w:r w:rsidR="00A108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us</w:t>
      </w:r>
      <w:r w:rsidR="00D642A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rādītāj</w:t>
      </w:r>
      <w:r w:rsidR="00A108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us</w:t>
      </w:r>
      <w:r w:rsidR="00D642A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2F963870" w14:textId="702A6416" w:rsidR="007B2DDA" w:rsidRDefault="00A1081A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2.1.</w:t>
      </w:r>
      <w:r w:rsid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B4370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konstatēt</w:t>
      </w:r>
      <w:r w:rsidR="002B437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2B4370" w:rsidRPr="000848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B2DD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trūkumu vai bojājumu skaits;</w:t>
      </w:r>
    </w:p>
    <w:p w14:paraId="30FFE087" w14:textId="0B328784" w:rsidR="007B2DDA" w:rsidRDefault="00A1081A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2.2. </w:t>
      </w:r>
      <w:r w:rsidR="002B4370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konstatēt</w:t>
      </w:r>
      <w:r w:rsidR="002B437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2B4370" w:rsidRPr="000848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B2DD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trūkumu vai bojājumu smaguma pakāpe;</w:t>
      </w:r>
    </w:p>
    <w:p w14:paraId="63556B97" w14:textId="246F955F" w:rsidR="007B2DDA" w:rsidRDefault="00A1081A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2.3. </w:t>
      </w:r>
      <w:r w:rsidR="007B2DD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transportlīdzek</w:t>
      </w:r>
      <w:r w:rsidR="000848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lim veikto</w:t>
      </w:r>
      <w:r w:rsidR="007B2DD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tehnisko kontroļu uz ceļiem vai valsts tehnisko apskašu skaits;</w:t>
      </w:r>
    </w:p>
    <w:p w14:paraId="5F0D63CF" w14:textId="1EC56568" w:rsidR="007B2DDA" w:rsidRDefault="00A1081A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2.4. </w:t>
      </w:r>
      <w:r w:rsidR="007B2DD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laika faktors.</w:t>
      </w:r>
    </w:p>
    <w:p w14:paraId="7E2A0F9E" w14:textId="77777777" w:rsidR="00D3081D" w:rsidRDefault="00D3081D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ADB4B95" w14:textId="4564C4A7" w:rsidR="007B2DDA" w:rsidRDefault="00C846C3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3. </w:t>
      </w:r>
      <w:r w:rsidR="007B2DDA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Trūkumu vai bojājumu svērumu atbilstoši to smaguma pakāpei nosaka, izmantojot šādus smaguma koeficientus:</w:t>
      </w:r>
    </w:p>
    <w:p w14:paraId="49EF8ACA" w14:textId="0EA530AF" w:rsidR="007B2DDA" w:rsidRDefault="00A1081A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3.1. 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bīstams trūkums vai bojājums </w:t>
      </w:r>
      <w:r w:rsidR="000848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 </w:t>
      </w:r>
      <w:r w:rsidR="005D179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koeficients 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40;</w:t>
      </w:r>
    </w:p>
    <w:p w14:paraId="1FBAE1E1" w14:textId="72496D28" w:rsidR="007B2DDA" w:rsidRDefault="00A1081A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3.2. 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būtisks trūkums vai bojājums </w:t>
      </w:r>
      <w:r w:rsidR="000848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 </w:t>
      </w:r>
      <w:r w:rsidR="005D179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koeficients 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10;</w:t>
      </w:r>
    </w:p>
    <w:p w14:paraId="11422A06" w14:textId="05ED9198" w:rsidR="00D3081D" w:rsidRDefault="00A1081A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3.3. 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sīks trūkums vai bojājums </w:t>
      </w:r>
      <w:r w:rsidR="000848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 </w:t>
      </w:r>
      <w:r w:rsidR="005D179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koeficients 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</w:t>
      </w:r>
    </w:p>
    <w:p w14:paraId="2EA60D7F" w14:textId="77777777" w:rsidR="00D3081D" w:rsidRDefault="00D3081D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2F7A8B8" w14:textId="19D788DA" w:rsidR="00D3081D" w:rsidRDefault="00C846C3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4. 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Uzņēmuma (transportlīdzekļa) stāvokļa izmaiņas pa gadiem atspoguļo, izmantojot šādus koeficientus</w:t>
      </w:r>
      <w:r w:rsidR="002B437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</w:t>
      </w:r>
      <w:r w:rsidR="002B4370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piemēro tikai vispārējā riska novērtējuma aprēķināšanai</w:t>
      </w:r>
      <w:r w:rsidR="002B437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62105882" w14:textId="6AC7D484" w:rsidR="00D3081D" w:rsidRDefault="002B4370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4.1. </w:t>
      </w:r>
      <w:r w:rsidR="00D3081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C846C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iepriekšējie 12 mēneši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koeficients 3;</w:t>
      </w:r>
    </w:p>
    <w:p w14:paraId="42FB8426" w14:textId="62DB01B4" w:rsidR="00D3081D" w:rsidRDefault="002B4370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4.2.  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C846C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r w:rsidR="005D179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iepriekšējie 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13–24 mēneši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koeficients 2;</w:t>
      </w:r>
    </w:p>
    <w:p w14:paraId="639CA0CF" w14:textId="06DD3A80" w:rsidR="00D3081D" w:rsidRDefault="002B4370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4.3.  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846C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r w:rsidR="005D179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iepriekšējie 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25–36 mēneši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–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koeficients 1.</w:t>
      </w:r>
    </w:p>
    <w:p w14:paraId="33608699" w14:textId="77777777" w:rsidR="00D3081D" w:rsidRDefault="00D3081D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6D46A34" w14:textId="5A4EB301" w:rsidR="00891985" w:rsidRDefault="00C846C3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5. 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Riska novērtējumu aprēķina, izmantojot šādas formulas:</w:t>
      </w:r>
      <w:r w:rsidR="00891985" w:rsidRPr="0089198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036E69E8" w14:textId="079754BB" w:rsidR="00D3081D" w:rsidRDefault="00C846C3" w:rsidP="00FE740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5.1. 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vispārējā riska novērtējum</w:t>
      </w:r>
      <w:r w:rsidR="007430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D3081D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19185DAC" w14:textId="77777777" w:rsidR="00D3081D" w:rsidRDefault="00D3081D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B77803E" w14:textId="77777777" w:rsidR="00891985" w:rsidRDefault="00D3081D" w:rsidP="008F3C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7B2D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drawing>
          <wp:inline distT="0" distB="0" distL="0" distR="0" wp14:anchorId="1B0A708C" wp14:editId="59E014AF">
            <wp:extent cx="2786332" cy="399030"/>
            <wp:effectExtent l="0" t="0" r="0" b="1270"/>
            <wp:docPr id="3" name="Picture 3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73" cy="40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98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kur</w:t>
      </w:r>
    </w:p>
    <w:p w14:paraId="14964CFB" w14:textId="7B880011" w:rsidR="00D3081D" w:rsidRPr="00FE7408" w:rsidRDefault="00D3081D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</w:p>
    <w:p w14:paraId="64E3962D" w14:textId="65E1552C" w:rsidR="00D3081D" w:rsidRPr="00FE7408" w:rsidRDefault="00D3081D" w:rsidP="00FE740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lastRenderedPageBreak/>
        <w:t>RR – vispārējā riska novērtējuma pakāpe;</w:t>
      </w:r>
    </w:p>
    <w:p w14:paraId="03B9F2FB" w14:textId="65322CD3" w:rsidR="001D5C8C" w:rsidRPr="00FE7408" w:rsidRDefault="00D3081D" w:rsidP="00FE740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proofErr w:type="spellStart"/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D</w:t>
      </w: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vertAlign w:val="subscript"/>
          <w:lang w:eastAsia="lv-LV"/>
        </w:rPr>
        <w:t>Yi</w:t>
      </w:r>
      <w:proofErr w:type="spellEnd"/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lv-LV"/>
        </w:rPr>
        <w:t xml:space="preserve"> </w:t>
      </w: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– trūkumu vai bojājumu kopējais skaits 1., 2</w:t>
      </w:r>
      <w:r w:rsidR="00C846C3"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.</w:t>
      </w:r>
      <w:r w:rsidR="00A1081A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 xml:space="preserve"> </w:t>
      </w: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un 3</w:t>
      </w:r>
      <w:r w:rsidR="00C846C3"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. </w:t>
      </w: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gadā;</w:t>
      </w:r>
      <w:r w:rsidR="001D5C8C"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 xml:space="preserve"> </w:t>
      </w:r>
    </w:p>
    <w:p w14:paraId="42DFEFE6" w14:textId="258B039F" w:rsidR="00D3081D" w:rsidRPr="00FE7408" w:rsidRDefault="00D3081D" w:rsidP="008F3C71">
      <w:pPr>
        <w:spacing w:before="4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D</w:t>
      </w: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vertAlign w:val="subscript"/>
          <w:lang w:eastAsia="lv-LV"/>
        </w:rPr>
        <w:t>Y1</w:t>
      </w: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lv-LV"/>
        </w:rPr>
        <w:t xml:space="preserve"> </w:t>
      </w: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– </w:t>
      </w:r>
      <w:r w:rsidRPr="008F3C71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lv-LV"/>
        </w:rPr>
        <w:drawing>
          <wp:inline distT="0" distB="0" distL="0" distR="0" wp14:anchorId="1AD441A0" wp14:editId="2B5F4FD6">
            <wp:extent cx="2638365" cy="241540"/>
            <wp:effectExtent l="0" t="0" r="0" b="6350"/>
            <wp:docPr id="4" name="Picture 4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u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63" cy="24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1</w:t>
      </w:r>
      <w:r w:rsidR="00C846C3"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. </w:t>
      </w: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gadā;</w:t>
      </w:r>
    </w:p>
    <w:p w14:paraId="30E16B1A" w14:textId="283DE181" w:rsidR="001D5C8C" w:rsidRPr="00FE7408" w:rsidRDefault="00C21B15" w:rsidP="00FE740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 xml:space="preserve"># </w:t>
      </w:r>
      <w:r w:rsidR="00D3081D"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– skaits;</w:t>
      </w:r>
      <w:r w:rsidR="001D5C8C"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 xml:space="preserve"> </w:t>
      </w:r>
    </w:p>
    <w:p w14:paraId="169E31DF" w14:textId="3407F8D2" w:rsidR="00D3081D" w:rsidRPr="00FE7408" w:rsidRDefault="00D3081D" w:rsidP="00FE740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DD – bīstami trūkumi vai bojājumi;</w:t>
      </w:r>
    </w:p>
    <w:p w14:paraId="4DEBED5C" w14:textId="5627DC04" w:rsidR="00D3081D" w:rsidRPr="00FE7408" w:rsidRDefault="00D3081D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proofErr w:type="spellStart"/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MaD</w:t>
      </w:r>
      <w:proofErr w:type="spellEnd"/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 xml:space="preserve"> – būtiski trūkumi vai bojājumi;</w:t>
      </w:r>
    </w:p>
    <w:p w14:paraId="52305B18" w14:textId="42624FF1" w:rsidR="00D3081D" w:rsidRPr="00FE7408" w:rsidRDefault="00D3081D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proofErr w:type="spellStart"/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MiD</w:t>
      </w:r>
      <w:proofErr w:type="spellEnd"/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 xml:space="preserve"> – sīki trūkumi vai bojājumi;</w:t>
      </w:r>
    </w:p>
    <w:p w14:paraId="6EFDC8D9" w14:textId="45D5F906" w:rsidR="00D3081D" w:rsidRPr="00FE7408" w:rsidRDefault="00D3081D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C – pārbaudes (transportlīdzekļu tehniskās kontroles uz ceļiem vai valsts tehniskās apskates) 1., 2</w:t>
      </w:r>
      <w:r w:rsidR="00C846C3"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 xml:space="preserve">. </w:t>
      </w: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un 3</w:t>
      </w:r>
      <w:r w:rsidR="00C846C3"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. </w:t>
      </w: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gadā</w:t>
      </w:r>
      <w:r w:rsidR="001D5C8C"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;</w:t>
      </w:r>
    </w:p>
    <w:p w14:paraId="14C2F760" w14:textId="5EDD3DA9" w:rsidR="00891985" w:rsidRPr="007B2DDA" w:rsidRDefault="00C846C3" w:rsidP="00FE740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5.2. </w:t>
      </w:r>
      <w:r w:rsidR="00891985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 riska novērtējum</w:t>
      </w:r>
      <w:r w:rsidR="007430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A61B8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723D5242" w14:textId="624BE5FD" w:rsidR="00D3081D" w:rsidRDefault="00D3081D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589A2B7" w14:textId="6FBAA871" w:rsidR="00D3081D" w:rsidRDefault="00891985" w:rsidP="008F3C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7B2D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drawing>
          <wp:inline distT="0" distB="0" distL="0" distR="0" wp14:anchorId="4210BBF2" wp14:editId="3148A872">
            <wp:extent cx="3226279" cy="385821"/>
            <wp:effectExtent l="0" t="0" r="0" b="0"/>
            <wp:docPr id="5" name="Picture 5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u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667" cy="38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kur</w:t>
      </w:r>
    </w:p>
    <w:p w14:paraId="66DCE2B8" w14:textId="77777777" w:rsidR="00891985" w:rsidRPr="00FE7408" w:rsidRDefault="00891985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</w:p>
    <w:p w14:paraId="2DF87352" w14:textId="31A2BB30" w:rsidR="001D5C8C" w:rsidRPr="00FE7408" w:rsidRDefault="001D5C8C" w:rsidP="00FE740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AR – gada riska novērtējuma pakāpe;</w:t>
      </w:r>
    </w:p>
    <w:p w14:paraId="23666702" w14:textId="4C8E72AC" w:rsidR="001D5C8C" w:rsidRPr="00FE7408" w:rsidRDefault="001D5C8C" w:rsidP="00FE740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#</w:t>
      </w:r>
      <w:r w:rsidR="00A61B85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 xml:space="preserve"> </w:t>
      </w: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 xml:space="preserve">–  skaits; </w:t>
      </w:r>
    </w:p>
    <w:p w14:paraId="2A8A8FC5" w14:textId="77777777" w:rsidR="001D5C8C" w:rsidRPr="00FE7408" w:rsidRDefault="001D5C8C" w:rsidP="00FE740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DD – bīstami trūkumi vai bojājumi;</w:t>
      </w:r>
    </w:p>
    <w:p w14:paraId="20BA3C74" w14:textId="77777777" w:rsidR="001D5C8C" w:rsidRPr="00FE7408" w:rsidRDefault="001D5C8C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proofErr w:type="spellStart"/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MaD</w:t>
      </w:r>
      <w:proofErr w:type="spellEnd"/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 xml:space="preserve"> – būtiski trūkumi vai bojājumi;</w:t>
      </w:r>
    </w:p>
    <w:p w14:paraId="23ADF759" w14:textId="77777777" w:rsidR="001D5C8C" w:rsidRPr="00FE7408" w:rsidRDefault="001D5C8C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proofErr w:type="spellStart"/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MiD</w:t>
      </w:r>
      <w:proofErr w:type="spellEnd"/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 xml:space="preserve"> – sīki trūkumi vai bojājumi;</w:t>
      </w:r>
    </w:p>
    <w:p w14:paraId="63F6D690" w14:textId="55C7860C" w:rsidR="001D5C8C" w:rsidRPr="00FE7408" w:rsidRDefault="001D5C8C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</w:pPr>
      <w:r w:rsidRPr="00FE7408">
        <w:rPr>
          <w:rFonts w:ascii="Times New Roman" w:eastAsia="Times New Roman" w:hAnsi="Times New Roman" w:cs="Times New Roman"/>
          <w:color w:val="000000"/>
          <w:sz w:val="24"/>
          <w:szCs w:val="28"/>
          <w:lang w:eastAsia="lv-LV"/>
        </w:rPr>
        <w:t>C – pārbaudes (transportlīdzekļu tehniskās kontroles uz ceļiem vai valsts tehniskās apskates).</w:t>
      </w:r>
    </w:p>
    <w:p w14:paraId="7C342051" w14:textId="77777777" w:rsidR="00D3081D" w:rsidRDefault="00D3081D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6550F38" w14:textId="166AA493" w:rsidR="001D5C8C" w:rsidRPr="007B2DDA" w:rsidRDefault="00C846C3" w:rsidP="00FE740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6. </w:t>
      </w:r>
      <w:r w:rsidR="001D5C8C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Gada riska </w:t>
      </w:r>
      <w:r w:rsidR="00A61B85" w:rsidRPr="00A61B8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novērtējuma </w:t>
      </w:r>
      <w:r w:rsidR="001D5C8C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pakāpi izmanto, lai novērtētu uzņēmuma attīstību pa gadiem.</w:t>
      </w:r>
    </w:p>
    <w:p w14:paraId="3D4E8513" w14:textId="77777777" w:rsidR="001D5C8C" w:rsidRDefault="001D5C8C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596D422" w14:textId="7332354A" w:rsidR="001D5C8C" w:rsidRDefault="00C846C3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7. </w:t>
      </w:r>
      <w:r w:rsidR="000D03F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</w:t>
      </w:r>
      <w:r w:rsidR="000D03F7" w:rsidRPr="000D03F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ispārējā riska novērtējuma pakāp</w:t>
      </w:r>
      <w:r w:rsidR="000D03F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0D03F7" w:rsidRPr="000D03F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D03F7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izmanto, lai</w:t>
      </w:r>
      <w:r w:rsidR="000D03F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D03F7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klasifi</w:t>
      </w:r>
      <w:r w:rsidR="000D03F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cētu u</w:t>
      </w:r>
      <w:r w:rsidR="001D5C8C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zņēmumu</w:t>
      </w:r>
      <w:r w:rsidR="001D5C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1D5C8C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(transportlīdzekļu</w:t>
      </w:r>
      <w:r w:rsidR="001D5C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1D5C8C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), panāk</w:t>
      </w:r>
      <w:r w:rsidR="000D03F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ot</w:t>
      </w:r>
      <w:r w:rsidR="001D5C8C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šādu uzskait</w:t>
      </w:r>
      <w:r w:rsidR="006873F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ē</w:t>
      </w:r>
      <w:r w:rsidR="00A61B8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esošo</w:t>
      </w:r>
      <w:r w:rsidR="001D5C8C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uzņēmumu (transportlīdzekļu) sadalījumu:</w:t>
      </w:r>
    </w:p>
    <w:p w14:paraId="0DCC7769" w14:textId="6D4F5441" w:rsidR="00D3081D" w:rsidRDefault="00A61B85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7.1.  </w:t>
      </w:r>
      <w:r w:rsidR="001D5C8C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&lt; 30 % zems risks;</w:t>
      </w:r>
    </w:p>
    <w:p w14:paraId="5129FE7D" w14:textId="4B9FF1AB" w:rsidR="001D5C8C" w:rsidRDefault="00A61B85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7.2.  </w:t>
      </w:r>
      <w:r w:rsidR="001D5C8C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30–80 % vidējs risks;</w:t>
      </w:r>
    </w:p>
    <w:p w14:paraId="61E9DAE5" w14:textId="246624D2" w:rsidR="001D5C8C" w:rsidRDefault="00A61B85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7.3.  </w:t>
      </w:r>
      <w:r w:rsidR="001D5C8C" w:rsidRPr="007B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&gt; 80 % augsts risks.</w:t>
      </w:r>
      <w:r w:rsidR="006873F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</w:p>
    <w:p w14:paraId="0C3D508B" w14:textId="77777777" w:rsidR="001D5C8C" w:rsidRDefault="001D5C8C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089DE0A" w14:textId="77777777" w:rsidR="001D5C8C" w:rsidRDefault="001D5C8C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61F289E" w14:textId="77777777" w:rsidR="006873F3" w:rsidRDefault="006873F3" w:rsidP="00FE74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D7E0FCA" w14:textId="77777777" w:rsidR="00700961" w:rsidRPr="00700961" w:rsidRDefault="00700961" w:rsidP="00700961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0961">
        <w:rPr>
          <w:rFonts w:ascii="Times New Roman" w:hAnsi="Times New Roman" w:cs="Times New Roman"/>
          <w:sz w:val="28"/>
          <w:szCs w:val="28"/>
        </w:rPr>
        <w:t>Satiksmes ministra vietā –</w:t>
      </w:r>
    </w:p>
    <w:p w14:paraId="1830B358" w14:textId="77777777" w:rsidR="00700961" w:rsidRPr="00700961" w:rsidRDefault="00700961" w:rsidP="00700961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0961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1F5CED4B" w14:textId="77777777" w:rsidR="00700961" w:rsidRPr="00700961" w:rsidRDefault="00700961" w:rsidP="00700961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0961">
        <w:rPr>
          <w:rFonts w:ascii="Times New Roman" w:hAnsi="Times New Roman" w:cs="Times New Roman"/>
          <w:sz w:val="28"/>
          <w:szCs w:val="28"/>
        </w:rPr>
        <w:t xml:space="preserve">ekonomikas ministrs </w:t>
      </w:r>
      <w:r w:rsidRPr="00700961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700961">
        <w:rPr>
          <w:rFonts w:ascii="Times New Roman" w:hAnsi="Times New Roman" w:cs="Times New Roman"/>
          <w:sz w:val="28"/>
          <w:szCs w:val="28"/>
        </w:rPr>
        <w:t>Ašeradens</w:t>
      </w:r>
      <w:proofErr w:type="spellEnd"/>
      <w:r w:rsidRPr="00700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DFE67" w14:textId="04C3FAED" w:rsidR="000F1574" w:rsidRPr="00700961" w:rsidRDefault="000F1574" w:rsidP="00700961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0F1574" w:rsidRPr="00700961" w:rsidSect="007B2DDA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D6C98" w14:textId="77777777" w:rsidR="000F1574" w:rsidRDefault="000F1574" w:rsidP="000F1574">
      <w:pPr>
        <w:spacing w:after="0" w:line="240" w:lineRule="auto"/>
      </w:pPr>
      <w:r>
        <w:separator/>
      </w:r>
    </w:p>
  </w:endnote>
  <w:endnote w:type="continuationSeparator" w:id="0">
    <w:p w14:paraId="0EB29887" w14:textId="77777777" w:rsidR="000F1574" w:rsidRDefault="000F1574" w:rsidP="000F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73C8" w14:textId="2DCBD2E2" w:rsidR="000F1574" w:rsidRPr="000F1574" w:rsidRDefault="000F1574">
    <w:pPr>
      <w:pStyle w:val="Footer"/>
      <w:rPr>
        <w:rFonts w:ascii="Times New Roman" w:hAnsi="Times New Roman" w:cs="Times New Roman"/>
        <w:sz w:val="16"/>
        <w:szCs w:val="16"/>
      </w:rPr>
    </w:pPr>
    <w:r w:rsidRPr="000F1574">
      <w:rPr>
        <w:rFonts w:ascii="Times New Roman" w:hAnsi="Times New Roman" w:cs="Times New Roman"/>
        <w:sz w:val="16"/>
        <w:szCs w:val="16"/>
      </w:rPr>
      <w:t>N1200_7p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78C51" w14:textId="77777777" w:rsidR="000F1574" w:rsidRDefault="000F1574" w:rsidP="000F1574">
      <w:pPr>
        <w:spacing w:after="0" w:line="240" w:lineRule="auto"/>
      </w:pPr>
      <w:r>
        <w:separator/>
      </w:r>
    </w:p>
  </w:footnote>
  <w:footnote w:type="continuationSeparator" w:id="0">
    <w:p w14:paraId="51ED260A" w14:textId="77777777" w:rsidR="000F1574" w:rsidRDefault="000F1574" w:rsidP="000F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901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DFE4D6E" w14:textId="72336F55" w:rsidR="000F1574" w:rsidRPr="000F1574" w:rsidRDefault="000F1574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F1574">
          <w:rPr>
            <w:rFonts w:ascii="Times New Roman" w:hAnsi="Times New Roman" w:cs="Times New Roman"/>
            <w:sz w:val="24"/>
          </w:rPr>
          <w:fldChar w:fldCharType="begin"/>
        </w:r>
        <w:r w:rsidRPr="000F157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1574">
          <w:rPr>
            <w:rFonts w:ascii="Times New Roman" w:hAnsi="Times New Roman" w:cs="Times New Roman"/>
            <w:sz w:val="24"/>
          </w:rPr>
          <w:fldChar w:fldCharType="separate"/>
        </w:r>
        <w:r w:rsidR="001E222C">
          <w:rPr>
            <w:rFonts w:ascii="Times New Roman" w:hAnsi="Times New Roman" w:cs="Times New Roman"/>
            <w:noProof/>
            <w:sz w:val="24"/>
          </w:rPr>
          <w:t>2</w:t>
        </w:r>
        <w:r w:rsidRPr="000F157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85262C4" w14:textId="77777777" w:rsidR="000F1574" w:rsidRDefault="000F1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D"/>
    <w:rsid w:val="00021F6A"/>
    <w:rsid w:val="00084837"/>
    <w:rsid w:val="000D03F7"/>
    <w:rsid w:val="000F1574"/>
    <w:rsid w:val="0013112D"/>
    <w:rsid w:val="001D5C8C"/>
    <w:rsid w:val="001E222C"/>
    <w:rsid w:val="00271FD4"/>
    <w:rsid w:val="002B4370"/>
    <w:rsid w:val="002E38B0"/>
    <w:rsid w:val="005D179D"/>
    <w:rsid w:val="006873F3"/>
    <w:rsid w:val="00700961"/>
    <w:rsid w:val="007430A1"/>
    <w:rsid w:val="007A1E2C"/>
    <w:rsid w:val="007B2DDA"/>
    <w:rsid w:val="007C208A"/>
    <w:rsid w:val="00801C69"/>
    <w:rsid w:val="00891985"/>
    <w:rsid w:val="008F3C71"/>
    <w:rsid w:val="00A0775D"/>
    <w:rsid w:val="00A1081A"/>
    <w:rsid w:val="00A61B85"/>
    <w:rsid w:val="00C21B15"/>
    <w:rsid w:val="00C846C3"/>
    <w:rsid w:val="00CD4066"/>
    <w:rsid w:val="00D3081D"/>
    <w:rsid w:val="00D642AA"/>
    <w:rsid w:val="00F33CA6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7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74"/>
  </w:style>
  <w:style w:type="paragraph" w:styleId="Footer">
    <w:name w:val="footer"/>
    <w:basedOn w:val="Normal"/>
    <w:link w:val="FooterChar"/>
    <w:unhideWhenUsed/>
    <w:rsid w:val="000F1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1574"/>
  </w:style>
  <w:style w:type="paragraph" w:styleId="ListParagraph">
    <w:name w:val="List Paragraph"/>
    <w:basedOn w:val="Normal"/>
    <w:uiPriority w:val="34"/>
    <w:qFormat/>
    <w:rsid w:val="007B2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74"/>
  </w:style>
  <w:style w:type="paragraph" w:styleId="Footer">
    <w:name w:val="footer"/>
    <w:basedOn w:val="Normal"/>
    <w:link w:val="FooterChar"/>
    <w:unhideWhenUsed/>
    <w:rsid w:val="000F1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1574"/>
  </w:style>
  <w:style w:type="paragraph" w:styleId="ListParagraph">
    <w:name w:val="List Paragraph"/>
    <w:basedOn w:val="Normal"/>
    <w:uiPriority w:val="34"/>
    <w:qFormat/>
    <w:rsid w:val="007B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Pudelis</dc:creator>
  <cp:keywords/>
  <dc:description/>
  <cp:lastModifiedBy>Leontīne Babkina</cp:lastModifiedBy>
  <cp:revision>20</cp:revision>
  <cp:lastPrinted>2017-06-20T06:49:00Z</cp:lastPrinted>
  <dcterms:created xsi:type="dcterms:W3CDTF">2017-06-14T09:18:00Z</dcterms:created>
  <dcterms:modified xsi:type="dcterms:W3CDTF">2017-06-28T07:59:00Z</dcterms:modified>
</cp:coreProperties>
</file>