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894C55" w:rsidRPr="006D0631" w:rsidP="00894C55" w14:paraId="3A109F8B" w14:textId="28ADB710">
      <w:pPr>
        <w:shd w:val="clear" w:color="auto" w:fill="FFFFFF"/>
        <w:spacing w:after="0" w:line="240" w:lineRule="auto"/>
        <w:jc w:val="center"/>
        <w:rPr>
          <w:rFonts w:ascii="Times New Roman" w:eastAsia="Times New Roman" w:hAnsi="Times New Roman" w:cs="Times New Roman"/>
          <w:b/>
          <w:bCs/>
          <w:sz w:val="28"/>
          <w:szCs w:val="24"/>
          <w:lang w:eastAsia="lv-LV"/>
        </w:rPr>
      </w:pPr>
      <w:r w:rsidRPr="006D0631">
        <w:rPr>
          <w:rFonts w:ascii="Times New Roman" w:eastAsia="Times New Roman" w:hAnsi="Times New Roman" w:cs="Times New Roman"/>
          <w:b/>
          <w:bCs/>
          <w:sz w:val="28"/>
          <w:szCs w:val="24"/>
          <w:lang w:eastAsia="lv-LV"/>
        </w:rPr>
        <w:t xml:space="preserve">Ministru kabineta noteikumu </w:t>
      </w:r>
      <w:r w:rsidRPr="006D0631" w:rsidR="00C54B12">
        <w:rPr>
          <w:rFonts w:ascii="Times New Roman" w:eastAsia="Times New Roman" w:hAnsi="Times New Roman" w:cs="Times New Roman"/>
          <w:b/>
          <w:bCs/>
          <w:sz w:val="28"/>
          <w:szCs w:val="24"/>
          <w:lang w:eastAsia="lv-LV"/>
        </w:rPr>
        <w:t xml:space="preserve">projekta </w:t>
      </w:r>
      <w:r w:rsidRPr="006D0631" w:rsidR="00C54B12">
        <w:rPr>
          <w:rFonts w:ascii="Times New Roman" w:eastAsia="Times New Roman" w:hAnsi="Times New Roman" w:cs="Times New Roman"/>
          <w:b/>
          <w:bCs/>
          <w:sz w:val="28"/>
          <w:szCs w:val="24"/>
          <w:lang w:eastAsia="lv-LV"/>
        </w:rPr>
        <w:br/>
      </w:r>
      <w:r w:rsidRPr="006D0631">
        <w:rPr>
          <w:rFonts w:ascii="Times New Roman" w:eastAsia="Times New Roman" w:hAnsi="Times New Roman" w:cs="Times New Roman"/>
          <w:b/>
          <w:bCs/>
          <w:sz w:val="28"/>
          <w:szCs w:val="24"/>
          <w:lang w:eastAsia="lv-LV"/>
        </w:rPr>
        <w:t>“</w:t>
      </w:r>
      <w:r w:rsidRPr="006D0631" w:rsidR="00D52CCF">
        <w:rPr>
          <w:rFonts w:ascii="Times New Roman" w:eastAsia="Times New Roman" w:hAnsi="Times New Roman" w:cs="Times New Roman"/>
          <w:b/>
          <w:bCs/>
          <w:sz w:val="28"/>
          <w:szCs w:val="24"/>
          <w:lang w:eastAsia="lv-LV"/>
        </w:rPr>
        <w:t>Valsts pārvaldes e-pakalpojumu noteikumi</w:t>
      </w:r>
      <w:r w:rsidRPr="006D0631">
        <w:rPr>
          <w:rFonts w:ascii="Times New Roman" w:eastAsia="Times New Roman" w:hAnsi="Times New Roman" w:cs="Times New Roman"/>
          <w:b/>
          <w:bCs/>
          <w:sz w:val="28"/>
          <w:szCs w:val="24"/>
          <w:lang w:eastAsia="lv-LV"/>
        </w:rPr>
        <w:t xml:space="preserve">” </w:t>
      </w:r>
      <w:r w:rsidRPr="006D0631" w:rsidR="003B0BF9">
        <w:rPr>
          <w:rFonts w:ascii="Times New Roman" w:eastAsia="Times New Roman" w:hAnsi="Times New Roman" w:cs="Times New Roman"/>
          <w:b/>
          <w:bCs/>
          <w:sz w:val="28"/>
          <w:szCs w:val="24"/>
          <w:lang w:eastAsia="lv-LV"/>
        </w:rPr>
        <w:br/>
      </w:r>
      <w:r w:rsidRPr="006D0631">
        <w:rPr>
          <w:rFonts w:ascii="Times New Roman" w:eastAsia="Times New Roman" w:hAnsi="Times New Roman" w:cs="Times New Roman"/>
          <w:b/>
          <w:bCs/>
          <w:sz w:val="28"/>
          <w:szCs w:val="24"/>
          <w:lang w:eastAsia="lv-LV"/>
        </w:rPr>
        <w:t>sākotnējās ietekmes novērtējuma ziņojums (anotācija)</w:t>
      </w:r>
    </w:p>
    <w:p w:rsidR="00894C55" w:rsidRPr="006D0631" w:rsidP="00894C55" w14:paraId="3A109F8C"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tblPr>
      <w:tblGrid>
        <w:gridCol w:w="453"/>
        <w:gridCol w:w="2807"/>
        <w:gridCol w:w="5795"/>
      </w:tblGrid>
      <w:tr w14:paraId="3A109F8E" w14:textId="77777777" w:rsidTr="005025F2">
        <w:tblPrEx>
          <w:tblW w:w="5000" w:type="pct"/>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31" w:rsidP="0050178F" w14:paraId="3A109F8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I.</w:t>
            </w:r>
            <w:r w:rsidRPr="006D0631" w:rsidR="0050178F">
              <w:rPr>
                <w:rFonts w:ascii="Times New Roman" w:eastAsia="Times New Roman" w:hAnsi="Times New Roman" w:cs="Times New Roman"/>
                <w:b/>
                <w:bCs/>
                <w:sz w:val="24"/>
                <w:szCs w:val="24"/>
                <w:lang w:eastAsia="lv-LV"/>
              </w:rPr>
              <w:t> </w:t>
            </w:r>
            <w:r w:rsidRPr="006D0631">
              <w:rPr>
                <w:rFonts w:ascii="Times New Roman" w:eastAsia="Times New Roman" w:hAnsi="Times New Roman" w:cs="Times New Roman"/>
                <w:b/>
                <w:bCs/>
                <w:sz w:val="24"/>
                <w:szCs w:val="24"/>
                <w:lang w:eastAsia="lv-LV"/>
              </w:rPr>
              <w:t>Tiesību akta projekta izstrādes nepieciešamība</w:t>
            </w:r>
          </w:p>
        </w:tc>
      </w:tr>
      <w:tr w14:paraId="3A109F92" w14:textId="77777777" w:rsidTr="005025F2">
        <w:tblPrEx>
          <w:tblW w:w="5000" w:type="pct"/>
          <w:tblCellMar>
            <w:top w:w="23" w:type="dxa"/>
            <w:left w:w="85" w:type="dxa"/>
            <w:bottom w:w="23" w:type="dxa"/>
            <w:right w:w="85"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8F" w14:textId="7777777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90"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894C55" w:rsidRPr="006D0631" w:rsidP="00853BA0" w14:paraId="3A109F91" w14:textId="63C240D2">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Valsts pārvaldes iekārtas likuma 99. panta otrā daļa, Valsts pārvaldes iekārtas likuma Pārejas noteikumu 25. </w:t>
            </w:r>
            <w:r w:rsidRPr="006D0631" w:rsidR="00D148FB">
              <w:rPr>
                <w:rFonts w:ascii="Times New Roman" w:eastAsia="Times New Roman" w:hAnsi="Times New Roman" w:cs="Times New Roman"/>
                <w:sz w:val="24"/>
                <w:szCs w:val="24"/>
                <w:lang w:eastAsia="lv-LV"/>
              </w:rPr>
              <w:t>punkts</w:t>
            </w:r>
            <w:r w:rsidRPr="006D0631">
              <w:rPr>
                <w:rFonts w:ascii="Times New Roman" w:eastAsia="Times New Roman" w:hAnsi="Times New Roman" w:cs="Times New Roman"/>
                <w:sz w:val="24"/>
                <w:szCs w:val="24"/>
                <w:lang w:eastAsia="lv-LV"/>
              </w:rPr>
              <w:t>.</w:t>
            </w:r>
          </w:p>
        </w:tc>
      </w:tr>
      <w:tr w14:paraId="3A109F96" w14:textId="77777777" w:rsidTr="005025F2">
        <w:tblPrEx>
          <w:tblW w:w="5000" w:type="pct"/>
          <w:tblCellMar>
            <w:top w:w="23" w:type="dxa"/>
            <w:left w:w="85" w:type="dxa"/>
            <w:bottom w:w="23" w:type="dxa"/>
            <w:right w:w="85"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93" w14:textId="7777777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C2C8C" w:rsidRPr="006D0631" w:rsidP="00853BA0" w14:paraId="3A109F94" w14:textId="4E8AA3F3">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BC2C8C" w:rsidRPr="006D0631" w:rsidP="00BC2C8C" w14:paraId="43F4DC49" w14:textId="77777777">
            <w:pPr>
              <w:rPr>
                <w:rFonts w:ascii="Times New Roman" w:eastAsia="Times New Roman" w:hAnsi="Times New Roman" w:cs="Times New Roman"/>
                <w:sz w:val="24"/>
                <w:szCs w:val="24"/>
                <w:lang w:eastAsia="lv-LV"/>
              </w:rPr>
            </w:pPr>
          </w:p>
          <w:p w:rsidR="00BC2C8C" w:rsidRPr="006D0631" w:rsidP="00BC2C8C" w14:paraId="3FDDBF4D" w14:textId="77777777">
            <w:pPr>
              <w:rPr>
                <w:rFonts w:ascii="Times New Roman" w:eastAsia="Times New Roman" w:hAnsi="Times New Roman" w:cs="Times New Roman"/>
                <w:sz w:val="24"/>
                <w:szCs w:val="24"/>
                <w:lang w:eastAsia="lv-LV"/>
              </w:rPr>
            </w:pPr>
          </w:p>
          <w:p w:rsidR="00BC2C8C" w:rsidRPr="006D0631" w:rsidP="00BC2C8C" w14:paraId="6EACA1A9" w14:textId="77777777">
            <w:pPr>
              <w:rPr>
                <w:rFonts w:ascii="Times New Roman" w:eastAsia="Times New Roman" w:hAnsi="Times New Roman" w:cs="Times New Roman"/>
                <w:sz w:val="24"/>
                <w:szCs w:val="24"/>
                <w:lang w:eastAsia="lv-LV"/>
              </w:rPr>
            </w:pPr>
          </w:p>
          <w:p w:rsidR="00BC2C8C" w:rsidRPr="006D0631" w:rsidP="00BC2C8C" w14:paraId="2002CCBF" w14:textId="77777777">
            <w:pPr>
              <w:rPr>
                <w:rFonts w:ascii="Times New Roman" w:eastAsia="Times New Roman" w:hAnsi="Times New Roman" w:cs="Times New Roman"/>
                <w:sz w:val="24"/>
                <w:szCs w:val="24"/>
                <w:lang w:eastAsia="lv-LV"/>
              </w:rPr>
            </w:pPr>
          </w:p>
          <w:p w:rsidR="00BC2C8C" w:rsidRPr="006D0631" w:rsidP="00BC2C8C" w14:paraId="024D6469" w14:textId="77777777">
            <w:pPr>
              <w:rPr>
                <w:rFonts w:ascii="Times New Roman" w:eastAsia="Times New Roman" w:hAnsi="Times New Roman" w:cs="Times New Roman"/>
                <w:sz w:val="24"/>
                <w:szCs w:val="24"/>
                <w:lang w:eastAsia="lv-LV"/>
              </w:rPr>
            </w:pPr>
          </w:p>
          <w:p w:rsidR="00BC2C8C" w:rsidRPr="006D0631" w:rsidP="00BC2C8C" w14:paraId="38CFD05A" w14:textId="77777777">
            <w:pPr>
              <w:rPr>
                <w:rFonts w:ascii="Times New Roman" w:eastAsia="Times New Roman" w:hAnsi="Times New Roman" w:cs="Times New Roman"/>
                <w:sz w:val="24"/>
                <w:szCs w:val="24"/>
                <w:lang w:eastAsia="lv-LV"/>
              </w:rPr>
            </w:pPr>
          </w:p>
          <w:p w:rsidR="00BC2C8C" w:rsidRPr="006D0631" w:rsidP="00BC2C8C" w14:paraId="14F45EA6" w14:textId="77777777">
            <w:pPr>
              <w:rPr>
                <w:rFonts w:ascii="Times New Roman" w:eastAsia="Times New Roman" w:hAnsi="Times New Roman" w:cs="Times New Roman"/>
                <w:sz w:val="24"/>
                <w:szCs w:val="24"/>
                <w:lang w:eastAsia="lv-LV"/>
              </w:rPr>
            </w:pPr>
          </w:p>
          <w:p w:rsidR="00BC2C8C" w:rsidRPr="006D0631" w:rsidP="00BC2C8C" w14:paraId="0ED51211" w14:textId="77777777">
            <w:pPr>
              <w:rPr>
                <w:rFonts w:ascii="Times New Roman" w:eastAsia="Times New Roman" w:hAnsi="Times New Roman" w:cs="Times New Roman"/>
                <w:sz w:val="24"/>
                <w:szCs w:val="24"/>
                <w:lang w:eastAsia="lv-LV"/>
              </w:rPr>
            </w:pPr>
          </w:p>
          <w:p w:rsidR="00BC2C8C" w:rsidRPr="006D0631" w:rsidP="00BC2C8C" w14:paraId="16DDC37A" w14:textId="77777777">
            <w:pPr>
              <w:rPr>
                <w:rFonts w:ascii="Times New Roman" w:eastAsia="Times New Roman" w:hAnsi="Times New Roman" w:cs="Times New Roman"/>
                <w:sz w:val="24"/>
                <w:szCs w:val="24"/>
                <w:lang w:eastAsia="lv-LV"/>
              </w:rPr>
            </w:pPr>
          </w:p>
          <w:p w:rsidR="00BC2C8C" w:rsidRPr="006D0631" w:rsidP="00BC2C8C" w14:paraId="3BA94C6A" w14:textId="77777777">
            <w:pPr>
              <w:rPr>
                <w:rFonts w:ascii="Times New Roman" w:eastAsia="Times New Roman" w:hAnsi="Times New Roman" w:cs="Times New Roman"/>
                <w:sz w:val="24"/>
                <w:szCs w:val="24"/>
                <w:lang w:eastAsia="lv-LV"/>
              </w:rPr>
            </w:pPr>
          </w:p>
          <w:p w:rsidR="00BC2C8C" w:rsidRPr="006D0631" w:rsidP="00BC2C8C" w14:paraId="430D8DE6" w14:textId="77777777">
            <w:pPr>
              <w:rPr>
                <w:rFonts w:ascii="Times New Roman" w:eastAsia="Times New Roman" w:hAnsi="Times New Roman" w:cs="Times New Roman"/>
                <w:sz w:val="24"/>
                <w:szCs w:val="24"/>
                <w:lang w:eastAsia="lv-LV"/>
              </w:rPr>
            </w:pPr>
          </w:p>
          <w:p w:rsidR="00BC2C8C" w:rsidRPr="006D0631" w:rsidP="00BC2C8C" w14:paraId="5AC459B9" w14:textId="77777777">
            <w:pPr>
              <w:rPr>
                <w:rFonts w:ascii="Times New Roman" w:eastAsia="Times New Roman" w:hAnsi="Times New Roman" w:cs="Times New Roman"/>
                <w:sz w:val="24"/>
                <w:szCs w:val="24"/>
                <w:lang w:eastAsia="lv-LV"/>
              </w:rPr>
            </w:pPr>
          </w:p>
          <w:p w:rsidR="00BC2C8C" w:rsidRPr="006D0631" w:rsidP="00BC2C8C" w14:paraId="23FAB24E" w14:textId="77777777">
            <w:pPr>
              <w:rPr>
                <w:rFonts w:ascii="Times New Roman" w:eastAsia="Times New Roman" w:hAnsi="Times New Roman" w:cs="Times New Roman"/>
                <w:sz w:val="24"/>
                <w:szCs w:val="24"/>
                <w:lang w:eastAsia="lv-LV"/>
              </w:rPr>
            </w:pPr>
          </w:p>
          <w:p w:rsidR="00BC2C8C" w:rsidRPr="006D0631" w:rsidP="00BC2C8C" w14:paraId="351674F1" w14:textId="77777777">
            <w:pPr>
              <w:rPr>
                <w:rFonts w:ascii="Times New Roman" w:eastAsia="Times New Roman" w:hAnsi="Times New Roman" w:cs="Times New Roman"/>
                <w:sz w:val="24"/>
                <w:szCs w:val="24"/>
                <w:lang w:eastAsia="lv-LV"/>
              </w:rPr>
            </w:pPr>
          </w:p>
          <w:p w:rsidR="00BC2C8C" w:rsidRPr="006D0631" w:rsidP="00BC2C8C" w14:paraId="0E5622B2" w14:textId="77777777">
            <w:pPr>
              <w:rPr>
                <w:rFonts w:ascii="Times New Roman" w:eastAsia="Times New Roman" w:hAnsi="Times New Roman" w:cs="Times New Roman"/>
                <w:sz w:val="24"/>
                <w:szCs w:val="24"/>
                <w:lang w:eastAsia="lv-LV"/>
              </w:rPr>
            </w:pPr>
          </w:p>
          <w:p w:rsidR="00BC2C8C" w:rsidRPr="006D0631" w:rsidP="00BC2C8C" w14:paraId="05B71BA3" w14:textId="77777777">
            <w:pPr>
              <w:rPr>
                <w:rFonts w:ascii="Times New Roman" w:eastAsia="Times New Roman" w:hAnsi="Times New Roman" w:cs="Times New Roman"/>
                <w:sz w:val="24"/>
                <w:szCs w:val="24"/>
                <w:lang w:eastAsia="lv-LV"/>
              </w:rPr>
            </w:pPr>
          </w:p>
          <w:p w:rsidR="00BC2C8C" w:rsidRPr="006D0631" w:rsidP="00BC2C8C" w14:paraId="493440B3" w14:textId="77777777">
            <w:pPr>
              <w:rPr>
                <w:rFonts w:ascii="Times New Roman" w:eastAsia="Times New Roman" w:hAnsi="Times New Roman" w:cs="Times New Roman"/>
                <w:sz w:val="24"/>
                <w:szCs w:val="24"/>
                <w:lang w:eastAsia="lv-LV"/>
              </w:rPr>
            </w:pPr>
          </w:p>
          <w:p w:rsidR="00BC2C8C" w:rsidRPr="006D0631" w:rsidP="00BC2C8C" w14:paraId="29998FFE" w14:textId="77777777">
            <w:pPr>
              <w:rPr>
                <w:rFonts w:ascii="Times New Roman" w:eastAsia="Times New Roman" w:hAnsi="Times New Roman" w:cs="Times New Roman"/>
                <w:sz w:val="24"/>
                <w:szCs w:val="24"/>
                <w:lang w:eastAsia="lv-LV"/>
              </w:rPr>
            </w:pPr>
          </w:p>
          <w:p w:rsidR="00BC2C8C" w:rsidRPr="006D0631" w:rsidP="00BC2C8C" w14:paraId="44C0EF96" w14:textId="77777777">
            <w:pPr>
              <w:rPr>
                <w:rFonts w:ascii="Times New Roman" w:eastAsia="Times New Roman" w:hAnsi="Times New Roman" w:cs="Times New Roman"/>
                <w:sz w:val="24"/>
                <w:szCs w:val="24"/>
                <w:lang w:eastAsia="lv-LV"/>
              </w:rPr>
            </w:pPr>
          </w:p>
          <w:p w:rsidR="00BC2C8C" w:rsidRPr="006D0631" w:rsidP="00BC2C8C" w14:paraId="723911D8" w14:textId="77777777">
            <w:pPr>
              <w:rPr>
                <w:rFonts w:ascii="Times New Roman" w:eastAsia="Times New Roman" w:hAnsi="Times New Roman" w:cs="Times New Roman"/>
                <w:sz w:val="24"/>
                <w:szCs w:val="24"/>
                <w:lang w:eastAsia="lv-LV"/>
              </w:rPr>
            </w:pPr>
          </w:p>
          <w:p w:rsidR="00BC2C8C" w:rsidRPr="006D0631" w:rsidP="00BC2C8C" w14:paraId="37C0750C" w14:textId="126E8501">
            <w:pPr>
              <w:rPr>
                <w:rFonts w:ascii="Times New Roman" w:eastAsia="Times New Roman" w:hAnsi="Times New Roman" w:cs="Times New Roman"/>
                <w:sz w:val="24"/>
                <w:szCs w:val="24"/>
                <w:lang w:eastAsia="lv-LV"/>
              </w:rPr>
            </w:pPr>
          </w:p>
          <w:p w:rsidR="00894C55" w:rsidRPr="006D0631" w:rsidP="00BC2C8C" w14:paraId="34F142D1" w14:textId="77777777">
            <w:pPr>
              <w:jc w:val="right"/>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D21C5E" w:rsidRPr="006D0631" w:rsidP="00853BA0" w14:paraId="52C960C5" w14:textId="7B17BA9D">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Ministru kabineta 2002. gada 11. septembra rīkojums Nr. 496 “Par Latvijas e-pārvaldes koncepciju” </w:t>
            </w:r>
            <w:r w:rsidRPr="008D6752" w:rsidR="008D6752">
              <w:rPr>
                <w:rFonts w:ascii="Times New Roman" w:eastAsia="Times New Roman" w:hAnsi="Times New Roman" w:cs="Times New Roman"/>
                <w:sz w:val="24"/>
                <w:szCs w:val="24"/>
                <w:lang w:eastAsia="lv-LV"/>
              </w:rPr>
              <w:t xml:space="preserve">(turpmāk – </w:t>
            </w:r>
            <w:r w:rsidR="008D6752">
              <w:rPr>
                <w:rFonts w:ascii="Times New Roman" w:eastAsia="Times New Roman" w:hAnsi="Times New Roman" w:cs="Times New Roman"/>
                <w:sz w:val="24"/>
                <w:szCs w:val="24"/>
                <w:lang w:eastAsia="lv-LV"/>
              </w:rPr>
              <w:t xml:space="preserve">MK rīkojums Nr. 496) </w:t>
            </w:r>
            <w:r w:rsidRPr="006D0631" w:rsidR="00093D97">
              <w:rPr>
                <w:rFonts w:ascii="Times New Roman" w:eastAsia="Times New Roman" w:hAnsi="Times New Roman" w:cs="Times New Roman"/>
                <w:sz w:val="24"/>
                <w:szCs w:val="24"/>
                <w:lang w:eastAsia="lv-LV"/>
              </w:rPr>
              <w:t xml:space="preserve">bija pirmais būtiskais </w:t>
            </w:r>
            <w:r w:rsidRPr="006D0631" w:rsidR="00CA7506">
              <w:rPr>
                <w:rFonts w:ascii="Times New Roman" w:eastAsia="Times New Roman" w:hAnsi="Times New Roman" w:cs="Times New Roman"/>
                <w:sz w:val="24"/>
                <w:szCs w:val="24"/>
                <w:lang w:eastAsia="lv-LV"/>
              </w:rPr>
              <w:t>tiesību</w:t>
            </w:r>
            <w:r w:rsidRPr="006D0631" w:rsidR="00093D97">
              <w:rPr>
                <w:rFonts w:ascii="Times New Roman" w:eastAsia="Times New Roman" w:hAnsi="Times New Roman" w:cs="Times New Roman"/>
                <w:sz w:val="24"/>
                <w:szCs w:val="24"/>
                <w:lang w:eastAsia="lv-LV"/>
              </w:rPr>
              <w:t xml:space="preserve"> akts, kas </w:t>
            </w:r>
            <w:r w:rsidRPr="006D0631">
              <w:rPr>
                <w:rFonts w:ascii="Times New Roman" w:eastAsia="Times New Roman" w:hAnsi="Times New Roman" w:cs="Times New Roman"/>
                <w:sz w:val="24"/>
                <w:szCs w:val="24"/>
                <w:lang w:eastAsia="lv-LV"/>
              </w:rPr>
              <w:t xml:space="preserve">ļāva uzsākt valsts pārvaldes pakalpojumu </w:t>
            </w:r>
            <w:r w:rsidRPr="006D0631" w:rsidR="00DF4FDA">
              <w:rPr>
                <w:rFonts w:ascii="Times New Roman" w:eastAsia="Times New Roman" w:hAnsi="Times New Roman" w:cs="Times New Roman"/>
                <w:sz w:val="24"/>
                <w:szCs w:val="24"/>
                <w:lang w:eastAsia="lv-LV"/>
              </w:rPr>
              <w:t xml:space="preserve">(turpmāk – pakalpojums) </w:t>
            </w:r>
            <w:r w:rsidRPr="006D0631">
              <w:rPr>
                <w:rFonts w:ascii="Times New Roman" w:eastAsia="Times New Roman" w:hAnsi="Times New Roman" w:cs="Times New Roman"/>
                <w:sz w:val="24"/>
                <w:szCs w:val="24"/>
                <w:lang w:eastAsia="lv-LV"/>
              </w:rPr>
              <w:t>elektronizāciju</w:t>
            </w:r>
            <w:r w:rsidRPr="006D0631" w:rsidR="00093D97">
              <w:rPr>
                <w:rFonts w:ascii="Times New Roman" w:eastAsia="Times New Roman" w:hAnsi="Times New Roman" w:cs="Times New Roman"/>
                <w:sz w:val="24"/>
                <w:szCs w:val="24"/>
                <w:lang w:eastAsia="lv-LV"/>
              </w:rPr>
              <w:t xml:space="preserve">. </w:t>
            </w:r>
            <w:r w:rsidR="008D6752">
              <w:rPr>
                <w:rFonts w:ascii="Times New Roman" w:eastAsia="Times New Roman" w:hAnsi="Times New Roman" w:cs="Times New Roman"/>
                <w:sz w:val="24"/>
                <w:szCs w:val="24"/>
                <w:lang w:eastAsia="lv-LV"/>
              </w:rPr>
              <w:t>MK noteikumu rīkojums Nr. </w:t>
            </w:r>
            <w:r w:rsidRPr="008D6752" w:rsidR="008D6752">
              <w:rPr>
                <w:rFonts w:ascii="Times New Roman" w:eastAsia="Times New Roman" w:hAnsi="Times New Roman" w:cs="Times New Roman"/>
                <w:sz w:val="24"/>
                <w:szCs w:val="24"/>
                <w:lang w:eastAsia="lv-LV"/>
              </w:rPr>
              <w:t>496</w:t>
            </w:r>
            <w:r w:rsidR="008D6752">
              <w:rPr>
                <w:rFonts w:ascii="Times New Roman" w:eastAsia="Times New Roman" w:hAnsi="Times New Roman" w:cs="Times New Roman"/>
                <w:sz w:val="24"/>
                <w:szCs w:val="24"/>
                <w:lang w:eastAsia="lv-LV"/>
              </w:rPr>
              <w:t xml:space="preserve"> </w:t>
            </w:r>
            <w:r w:rsidRPr="006D0631" w:rsidR="00093D97">
              <w:rPr>
                <w:rFonts w:ascii="Times New Roman" w:eastAsia="Times New Roman" w:hAnsi="Times New Roman" w:cs="Times New Roman"/>
                <w:sz w:val="24"/>
                <w:szCs w:val="24"/>
                <w:lang w:eastAsia="lv-LV"/>
              </w:rPr>
              <w:t>aprakstīja pakalpojumu elektronizācijas nozīmi un iespējas valsts pārvaldes uzlabošanā.</w:t>
            </w:r>
            <w:r w:rsidRPr="006D0631">
              <w:rPr>
                <w:rFonts w:ascii="Times New Roman" w:eastAsia="Times New Roman" w:hAnsi="Times New Roman" w:cs="Times New Roman"/>
                <w:sz w:val="24"/>
                <w:szCs w:val="24"/>
                <w:lang w:eastAsia="lv-LV"/>
              </w:rPr>
              <w:t xml:space="preserve"> </w:t>
            </w:r>
            <w:r w:rsidRPr="006D0631" w:rsidR="00830C20">
              <w:rPr>
                <w:rFonts w:ascii="Times New Roman" w:eastAsia="Times New Roman" w:hAnsi="Times New Roman" w:cs="Times New Roman"/>
                <w:sz w:val="24"/>
                <w:szCs w:val="24"/>
                <w:lang w:eastAsia="lv-LV"/>
              </w:rPr>
              <w:t xml:space="preserve">Vides aizsardzības un reģionālās attīstības ministrija (turpmāk – ministrija) ar Ministru kabineta 2013. gada 14. oktobra rīkojumu Nr. 468 </w:t>
            </w:r>
            <w:r w:rsidRPr="006D0631" w:rsidR="001A2AF8">
              <w:rPr>
                <w:rFonts w:ascii="Times New Roman" w:eastAsia="Times New Roman" w:hAnsi="Times New Roman" w:cs="Times New Roman"/>
                <w:sz w:val="24"/>
                <w:szCs w:val="24"/>
                <w:lang w:eastAsia="lv-LV"/>
              </w:rPr>
              <w:t xml:space="preserve">“Par Informācijas sabiedrības attīstības pamatnostādnēm 2014.–2020. gadam” </w:t>
            </w:r>
            <w:r w:rsidRPr="006D0631" w:rsidR="00830C20">
              <w:rPr>
                <w:rFonts w:ascii="Times New Roman" w:eastAsia="Times New Roman" w:hAnsi="Times New Roman" w:cs="Times New Roman"/>
                <w:sz w:val="24"/>
                <w:szCs w:val="24"/>
                <w:lang w:eastAsia="lv-LV"/>
              </w:rPr>
              <w:t>ir noteikta kā atbildīgā institūcija, lai īstenotu</w:t>
            </w:r>
            <w:r w:rsidRPr="006D0631" w:rsidR="00F402F6">
              <w:rPr>
                <w:rFonts w:ascii="Times New Roman" w:eastAsia="Times New Roman" w:hAnsi="Times New Roman" w:cs="Times New Roman"/>
                <w:sz w:val="24"/>
                <w:szCs w:val="24"/>
                <w:lang w:eastAsia="lv-LV"/>
              </w:rPr>
              <w:t xml:space="preserve"> šīs pamatnostādnes</w:t>
            </w:r>
            <w:r w:rsidRPr="006D0631" w:rsidR="00080B13">
              <w:rPr>
                <w:rFonts w:ascii="Times New Roman" w:eastAsia="Times New Roman" w:hAnsi="Times New Roman" w:cs="Times New Roman"/>
                <w:sz w:val="24"/>
                <w:szCs w:val="24"/>
                <w:lang w:eastAsia="lv-LV"/>
              </w:rPr>
              <w:t xml:space="preserve">, kuras </w:t>
            </w:r>
            <w:r w:rsidRPr="006D0631" w:rsidR="00830C20">
              <w:rPr>
                <w:rFonts w:ascii="Times New Roman" w:eastAsia="Times New Roman" w:hAnsi="Times New Roman" w:cs="Times New Roman"/>
                <w:sz w:val="24"/>
                <w:szCs w:val="24"/>
                <w:lang w:eastAsia="lv-LV"/>
              </w:rPr>
              <w:t xml:space="preserve">loģiski turpina 2002. gada koncepcijas un tai sekojošo plānošanas dokumentu iezīmēto </w:t>
            </w:r>
            <w:r w:rsidRPr="006D0631" w:rsidR="00F402F6">
              <w:rPr>
                <w:rFonts w:ascii="Times New Roman" w:eastAsia="Times New Roman" w:hAnsi="Times New Roman" w:cs="Times New Roman"/>
                <w:sz w:val="24"/>
                <w:szCs w:val="24"/>
                <w:lang w:eastAsia="lv-LV"/>
              </w:rPr>
              <w:t>virzību</w:t>
            </w:r>
            <w:r w:rsidRPr="006D0631" w:rsidR="00830C20">
              <w:rPr>
                <w:rFonts w:ascii="Times New Roman" w:eastAsia="Times New Roman" w:hAnsi="Times New Roman" w:cs="Times New Roman"/>
                <w:sz w:val="24"/>
                <w:szCs w:val="24"/>
                <w:lang w:eastAsia="lv-LV"/>
              </w:rPr>
              <w:t xml:space="preserve"> uz valsts pārvaldes pakalpojumu maksimālu elektronizāciju.</w:t>
            </w:r>
          </w:p>
          <w:p w:rsidR="00640FA6" w:rsidRPr="006D0631" w:rsidP="008D6752" w14:paraId="25E2CED6" w14:textId="0CA5854E">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Šobrīd</w:t>
            </w:r>
            <w:r w:rsidRPr="006D0631" w:rsidR="00093D97">
              <w:rPr>
                <w:rFonts w:ascii="Times New Roman" w:eastAsia="Times New Roman" w:hAnsi="Times New Roman" w:cs="Times New Roman"/>
                <w:sz w:val="24"/>
                <w:szCs w:val="24"/>
                <w:lang w:eastAsia="lv-LV"/>
              </w:rPr>
              <w:t xml:space="preserve"> pakalpojumu elektroniskai sniegšanai ir izveidota stabila tiesiskā bāze. </w:t>
            </w:r>
            <w:r w:rsidRPr="006D0631" w:rsidR="0025004D">
              <w:rPr>
                <w:rFonts w:ascii="Times New Roman" w:eastAsia="Times New Roman" w:hAnsi="Times New Roman" w:cs="Times New Roman"/>
                <w:sz w:val="24"/>
                <w:szCs w:val="24"/>
                <w:lang w:eastAsia="lv-LV"/>
              </w:rPr>
              <w:t>N</w:t>
            </w:r>
            <w:r w:rsidRPr="006D0631" w:rsidR="00093D97">
              <w:rPr>
                <w:rFonts w:ascii="Times New Roman" w:eastAsia="Times New Roman" w:hAnsi="Times New Roman" w:cs="Times New Roman"/>
                <w:sz w:val="24"/>
                <w:szCs w:val="24"/>
                <w:lang w:eastAsia="lv-LV"/>
              </w:rPr>
              <w:t xml:space="preserve">ozīmīgākie normatīvie akti </w:t>
            </w:r>
            <w:r w:rsidRPr="006D0631" w:rsidR="0025004D">
              <w:rPr>
                <w:rFonts w:ascii="Times New Roman" w:eastAsia="Times New Roman" w:hAnsi="Times New Roman" w:cs="Times New Roman"/>
                <w:sz w:val="24"/>
                <w:szCs w:val="24"/>
                <w:lang w:eastAsia="lv-LV"/>
              </w:rPr>
              <w:t>ir</w:t>
            </w:r>
            <w:r w:rsidRPr="006D0631" w:rsidR="00093D97">
              <w:rPr>
                <w:rFonts w:ascii="Times New Roman" w:eastAsia="Times New Roman" w:hAnsi="Times New Roman" w:cs="Times New Roman"/>
                <w:sz w:val="24"/>
                <w:szCs w:val="24"/>
                <w:lang w:eastAsia="lv-LV"/>
              </w:rPr>
              <w:t xml:space="preserve"> Elektronisko dokumentu likums, Fizisko personu elektroniskās identifikācijas likums</w:t>
            </w:r>
            <w:r w:rsidRPr="006D0631" w:rsidR="00324C93">
              <w:rPr>
                <w:rFonts w:ascii="Times New Roman" w:eastAsia="Times New Roman" w:hAnsi="Times New Roman" w:cs="Times New Roman"/>
                <w:sz w:val="24"/>
                <w:szCs w:val="24"/>
                <w:lang w:eastAsia="lv-LV"/>
              </w:rPr>
              <w:t>, Valsts informācijas sistēmu likums</w:t>
            </w:r>
            <w:r w:rsidRPr="006D0631" w:rsidR="00C17B11">
              <w:rPr>
                <w:rFonts w:ascii="Times New Roman" w:eastAsia="Times New Roman" w:hAnsi="Times New Roman" w:cs="Times New Roman"/>
                <w:sz w:val="24"/>
                <w:szCs w:val="24"/>
                <w:lang w:eastAsia="lv-LV"/>
              </w:rPr>
              <w:t xml:space="preserve">, </w:t>
            </w:r>
            <w:r w:rsidRPr="006D0631" w:rsidR="00A71BF6">
              <w:rPr>
                <w:rFonts w:ascii="Times New Roman" w:eastAsia="Times New Roman" w:hAnsi="Times New Roman" w:cs="Times New Roman"/>
                <w:sz w:val="24"/>
                <w:szCs w:val="24"/>
                <w:lang w:eastAsia="lv-LV"/>
              </w:rPr>
              <w:t>Ministru kabineta 2012. gada 19. jūnija noteikumi Nr. 421 “Valsts informācijas sistēmu savietotāju un integrēto valsts informācijas sistēmu aizsardzības prasības”, Ministru kabineta 2016. gada 14. jūnija noteikumi Nr. 374 “Valsts informācijas sistēmu savietotāja noteikumi”</w:t>
            </w:r>
            <w:r w:rsidRPr="006D0631" w:rsidR="004068CD">
              <w:rPr>
                <w:rFonts w:ascii="Times New Roman" w:eastAsia="Times New Roman" w:hAnsi="Times New Roman" w:cs="Times New Roman"/>
                <w:sz w:val="24"/>
                <w:szCs w:val="24"/>
                <w:lang w:eastAsia="lv-LV"/>
              </w:rPr>
              <w:t>,</w:t>
            </w:r>
            <w:r w:rsidRPr="006D0631" w:rsidR="00A71BF6">
              <w:rPr>
                <w:rFonts w:ascii="Times New Roman" w:eastAsia="Times New Roman" w:hAnsi="Times New Roman" w:cs="Times New Roman"/>
                <w:sz w:val="24"/>
                <w:szCs w:val="24"/>
                <w:lang w:eastAsia="lv-LV"/>
              </w:rPr>
              <w:t xml:space="preserve"> Ministru kabineta 2015. gada 28. jūlija noteikumi Nr. 442 “Kārtība, kādā tiek nodrošināta informācijas un komunikācijas tehnoloģiju sistēmu atbilstība minimālajām drošības prasībām”</w:t>
            </w:r>
            <w:r w:rsidRPr="006D0631" w:rsidR="004068CD">
              <w:rPr>
                <w:rFonts w:ascii="Times New Roman" w:eastAsia="Times New Roman" w:hAnsi="Times New Roman" w:cs="Times New Roman"/>
                <w:sz w:val="24"/>
                <w:szCs w:val="24"/>
                <w:lang w:eastAsia="lv-LV"/>
              </w:rPr>
              <w:t xml:space="preserve"> un Ministru kabineta 2005. gada 11. oktobra noteikumi Nr. 764 “Valsts informācijas sistēmu vispārējās tehniskās prasības”</w:t>
            </w:r>
            <w:r w:rsidRPr="006D0631" w:rsidR="00A71BF6">
              <w:rPr>
                <w:rFonts w:ascii="Times New Roman" w:eastAsia="Times New Roman" w:hAnsi="Times New Roman" w:cs="Times New Roman"/>
                <w:sz w:val="24"/>
                <w:szCs w:val="24"/>
                <w:lang w:eastAsia="lv-LV"/>
              </w:rPr>
              <w:t>.</w:t>
            </w:r>
            <w:r w:rsidRPr="006D0631" w:rsidR="00A8041E">
              <w:rPr>
                <w:rFonts w:ascii="Times New Roman" w:eastAsia="Times New Roman" w:hAnsi="Times New Roman" w:cs="Times New Roman"/>
                <w:sz w:val="24"/>
                <w:szCs w:val="24"/>
                <w:lang w:eastAsia="lv-LV"/>
              </w:rPr>
              <w:t xml:space="preserve"> Vairākas valsts pārvaldes iestādes (piemēram, Valsts ieņēmumu dienests, Valsts sociālās apdrošināšanas aģentūra, Valsts zemes dienests) </w:t>
            </w:r>
            <w:r w:rsidRPr="006D0631" w:rsidR="00CC7E2B">
              <w:rPr>
                <w:rFonts w:ascii="Times New Roman" w:eastAsia="Times New Roman" w:hAnsi="Times New Roman" w:cs="Times New Roman"/>
                <w:sz w:val="24"/>
                <w:szCs w:val="24"/>
                <w:lang w:eastAsia="lv-LV"/>
              </w:rPr>
              <w:t>savos normatīvajos aktos ir</w:t>
            </w:r>
            <w:r w:rsidRPr="006D0631" w:rsidR="00CC7E2B">
              <w:rPr>
                <w:rFonts w:ascii="Times New Roman" w:eastAsia="Times New Roman" w:hAnsi="Times New Roman" w:cs="Times New Roman"/>
                <w:sz w:val="24"/>
                <w:szCs w:val="24"/>
                <w:lang w:eastAsia="lv-LV"/>
              </w:rPr>
              <w:t xml:space="preserve"> ieviesušas regulējumu</w:t>
            </w:r>
            <w:r w:rsidRPr="006D0631" w:rsidR="00CC7E2B">
              <w:rPr>
                <w:rFonts w:ascii="Times New Roman" w:eastAsia="Times New Roman" w:hAnsi="Times New Roman" w:cs="Times New Roman"/>
                <w:sz w:val="24"/>
                <w:szCs w:val="24"/>
                <w:lang w:eastAsia="lv-LV"/>
              </w:rPr>
              <w:t xml:space="preserve">, kas vienkāršo </w:t>
            </w:r>
            <w:r w:rsidRPr="006D0631" w:rsidR="00CA7506">
              <w:rPr>
                <w:rFonts w:ascii="Times New Roman" w:eastAsia="Times New Roman" w:hAnsi="Times New Roman" w:cs="Times New Roman"/>
                <w:sz w:val="24"/>
                <w:szCs w:val="24"/>
                <w:lang w:eastAsia="lv-LV"/>
              </w:rPr>
              <w:t>e-</w:t>
            </w:r>
            <w:r w:rsidRPr="006D0631" w:rsidR="00CC7E2B">
              <w:rPr>
                <w:rFonts w:ascii="Times New Roman" w:eastAsia="Times New Roman" w:hAnsi="Times New Roman" w:cs="Times New Roman"/>
                <w:sz w:val="24"/>
                <w:szCs w:val="24"/>
                <w:lang w:eastAsia="lv-LV"/>
              </w:rPr>
              <w:t xml:space="preserve">pakalpojumu sniegšanas procesu, piemēram, noteiktos pakalpojumos novēršot vajadzību </w:t>
            </w:r>
            <w:r w:rsidRPr="006D0631" w:rsidR="00CA7506">
              <w:rPr>
                <w:rFonts w:ascii="Times New Roman" w:eastAsia="Times New Roman" w:hAnsi="Times New Roman" w:cs="Times New Roman"/>
                <w:sz w:val="24"/>
                <w:szCs w:val="24"/>
                <w:lang w:eastAsia="lv-LV"/>
              </w:rPr>
              <w:t>identi</w:t>
            </w:r>
            <w:r w:rsidRPr="006D0631" w:rsidR="00CC7E2B">
              <w:rPr>
                <w:rFonts w:ascii="Times New Roman" w:eastAsia="Times New Roman" w:hAnsi="Times New Roman" w:cs="Times New Roman"/>
                <w:sz w:val="24"/>
                <w:szCs w:val="24"/>
                <w:lang w:eastAsia="lv-LV"/>
              </w:rPr>
              <w:t>ficētiem lietotājiem papildus lietot e-parakstu.</w:t>
            </w:r>
          </w:p>
          <w:p w:rsidR="00BA7142" w:rsidRPr="006D0631" w:rsidP="008D6752" w14:paraId="5C8B0BEA" w14:textId="30D39659">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Latvijā ir pieejami ērti tehniskie līdzekļi pakalpojumu saņēmēju</w:t>
            </w:r>
            <w:r w:rsidRPr="006D0631" w:rsidR="00CA7506">
              <w:rPr>
                <w:rFonts w:ascii="Times New Roman" w:eastAsia="Times New Roman" w:hAnsi="Times New Roman" w:cs="Times New Roman"/>
                <w:sz w:val="24"/>
                <w:szCs w:val="24"/>
                <w:lang w:eastAsia="lv-LV"/>
              </w:rPr>
              <w:t xml:space="preserve"> elektroniskai</w:t>
            </w:r>
            <w:r w:rsidRPr="006D0631">
              <w:rPr>
                <w:rFonts w:ascii="Times New Roman" w:eastAsia="Times New Roman" w:hAnsi="Times New Roman" w:cs="Times New Roman"/>
                <w:sz w:val="24"/>
                <w:szCs w:val="24"/>
                <w:lang w:eastAsia="lv-LV"/>
              </w:rPr>
              <w:t xml:space="preserve"> </w:t>
            </w:r>
            <w:r w:rsidRPr="006D0631" w:rsidR="00CA7506">
              <w:rPr>
                <w:rFonts w:ascii="Times New Roman" w:eastAsia="Times New Roman" w:hAnsi="Times New Roman" w:cs="Times New Roman"/>
                <w:sz w:val="24"/>
                <w:szCs w:val="24"/>
                <w:lang w:eastAsia="lv-LV"/>
              </w:rPr>
              <w:t>identi</w:t>
            </w:r>
            <w:r w:rsidRPr="006D0631">
              <w:rPr>
                <w:rFonts w:ascii="Times New Roman" w:eastAsia="Times New Roman" w:hAnsi="Times New Roman" w:cs="Times New Roman"/>
                <w:sz w:val="24"/>
                <w:szCs w:val="24"/>
                <w:lang w:eastAsia="lv-LV"/>
              </w:rPr>
              <w:t xml:space="preserve">fikācijai – gan </w:t>
            </w:r>
            <w:r w:rsidR="008D6752">
              <w:rPr>
                <w:rFonts w:ascii="Times New Roman" w:eastAsia="Times New Roman" w:hAnsi="Times New Roman" w:cs="Times New Roman"/>
                <w:sz w:val="24"/>
                <w:szCs w:val="24"/>
                <w:lang w:eastAsia="lv-LV"/>
              </w:rPr>
              <w:t xml:space="preserve">valsts akciju sabiedrības </w:t>
            </w:r>
            <w:r w:rsidRPr="008D6752" w:rsidR="008D6752">
              <w:rPr>
                <w:rFonts w:ascii="Times New Roman" w:eastAsia="Times New Roman" w:hAnsi="Times New Roman" w:cs="Times New Roman"/>
                <w:sz w:val="24"/>
                <w:szCs w:val="24"/>
                <w:lang w:eastAsia="lv-LV"/>
              </w:rPr>
              <w:t>“</w:t>
            </w:r>
            <w:r w:rsidRPr="006D0631">
              <w:rPr>
                <w:rFonts w:ascii="Times New Roman" w:eastAsia="Times New Roman" w:hAnsi="Times New Roman" w:cs="Times New Roman"/>
                <w:sz w:val="24"/>
                <w:szCs w:val="24"/>
                <w:lang w:eastAsia="lv-LV"/>
              </w:rPr>
              <w:t xml:space="preserve">Latvijas </w:t>
            </w:r>
            <w:r w:rsidR="008D6752">
              <w:rPr>
                <w:rFonts w:ascii="Times New Roman" w:eastAsia="Times New Roman" w:hAnsi="Times New Roman" w:cs="Times New Roman"/>
                <w:sz w:val="24"/>
                <w:szCs w:val="24"/>
                <w:lang w:eastAsia="lv-LV"/>
              </w:rPr>
              <w:t>V</w:t>
            </w:r>
            <w:r w:rsidRPr="006D0631" w:rsidR="00830C20">
              <w:rPr>
                <w:rFonts w:ascii="Times New Roman" w:eastAsia="Times New Roman" w:hAnsi="Times New Roman" w:cs="Times New Roman"/>
                <w:sz w:val="24"/>
                <w:szCs w:val="24"/>
                <w:lang w:eastAsia="lv-LV"/>
              </w:rPr>
              <w:t>alsts r</w:t>
            </w:r>
            <w:r w:rsidR="008D6752">
              <w:rPr>
                <w:rFonts w:ascii="Times New Roman" w:eastAsia="Times New Roman" w:hAnsi="Times New Roman" w:cs="Times New Roman"/>
                <w:sz w:val="24"/>
                <w:szCs w:val="24"/>
                <w:lang w:eastAsia="lv-LV"/>
              </w:rPr>
              <w:t>adio un televīzijas centrs</w:t>
            </w:r>
            <w:r w:rsidRPr="008D6752" w:rsidR="008D6752">
              <w:rPr>
                <w:rFonts w:ascii="Times New Roman" w:eastAsia="Times New Roman" w:hAnsi="Times New Roman" w:cs="Times New Roman"/>
                <w:sz w:val="24"/>
                <w:szCs w:val="24"/>
                <w:lang w:eastAsia="lv-LV"/>
              </w:rPr>
              <w:t>”</w:t>
            </w:r>
            <w:r w:rsidRPr="006D0631">
              <w:rPr>
                <w:rFonts w:ascii="Times New Roman" w:eastAsia="Times New Roman" w:hAnsi="Times New Roman" w:cs="Times New Roman"/>
                <w:sz w:val="24"/>
                <w:szCs w:val="24"/>
                <w:lang w:eastAsia="lv-LV"/>
              </w:rPr>
              <w:t xml:space="preserve"> uzturētā un Pilsonības un migrācijas lietu pārvaldes </w:t>
            </w:r>
            <w:r w:rsidRPr="00A616F8" w:rsidR="00A616F8">
              <w:rPr>
                <w:rFonts w:ascii="Times New Roman" w:eastAsia="Times New Roman" w:hAnsi="Times New Roman" w:cs="Times New Roman"/>
                <w:sz w:val="24"/>
                <w:szCs w:val="24"/>
                <w:lang w:eastAsia="lv-LV"/>
              </w:rPr>
              <w:t xml:space="preserve">Pilsonības un migrācijas lietu pārvaldes (turpmāk – </w:t>
            </w:r>
            <w:r w:rsidR="00A616F8">
              <w:rPr>
                <w:rFonts w:ascii="Times New Roman" w:eastAsia="Times New Roman" w:hAnsi="Times New Roman" w:cs="Times New Roman"/>
                <w:sz w:val="24"/>
                <w:szCs w:val="24"/>
                <w:lang w:eastAsia="lv-LV"/>
              </w:rPr>
              <w:t xml:space="preserve">PMLP) </w:t>
            </w:r>
            <w:r w:rsidRPr="006D0631">
              <w:rPr>
                <w:rFonts w:ascii="Times New Roman" w:eastAsia="Times New Roman" w:hAnsi="Times New Roman" w:cs="Times New Roman"/>
                <w:sz w:val="24"/>
                <w:szCs w:val="24"/>
                <w:lang w:eastAsia="lv-LV"/>
              </w:rPr>
              <w:t xml:space="preserve">izdotā </w:t>
            </w:r>
            <w:r w:rsidRPr="006D0631" w:rsidR="00830C20">
              <w:rPr>
                <w:rFonts w:ascii="Times New Roman" w:eastAsia="Times New Roman" w:hAnsi="Times New Roman" w:cs="Times New Roman"/>
                <w:sz w:val="24"/>
                <w:szCs w:val="24"/>
                <w:lang w:eastAsia="lv-LV"/>
              </w:rPr>
              <w:t>elektroniskā identifikācijas karte (</w:t>
            </w:r>
            <w:r w:rsidRPr="006D0631" w:rsidR="00830C20">
              <w:rPr>
                <w:rFonts w:ascii="Times New Roman" w:eastAsia="Times New Roman" w:hAnsi="Times New Roman" w:cs="Times New Roman"/>
                <w:sz w:val="24"/>
                <w:szCs w:val="24"/>
                <w:lang w:eastAsia="lv-LV"/>
              </w:rPr>
              <w:t>eID</w:t>
            </w:r>
            <w:r w:rsidRPr="006D0631" w:rsidR="00830C20">
              <w:rPr>
                <w:rFonts w:ascii="Times New Roman" w:eastAsia="Times New Roman" w:hAnsi="Times New Roman" w:cs="Times New Roman"/>
                <w:sz w:val="24"/>
                <w:szCs w:val="24"/>
                <w:lang w:eastAsia="lv-LV"/>
              </w:rPr>
              <w:t xml:space="preserve">), gan </w:t>
            </w:r>
            <w:r w:rsidRPr="006D0631" w:rsidR="00830C20">
              <w:rPr>
                <w:rFonts w:ascii="Times New Roman" w:eastAsia="Times New Roman" w:hAnsi="Times New Roman" w:cs="Times New Roman"/>
                <w:sz w:val="24"/>
                <w:szCs w:val="24"/>
                <w:lang w:eastAsia="lv-LV"/>
              </w:rPr>
              <w:t xml:space="preserve">komercbanku piedāvātie internetbanku </w:t>
            </w:r>
            <w:r w:rsidRPr="006D0631" w:rsidR="00CA7506">
              <w:rPr>
                <w:rFonts w:ascii="Times New Roman" w:eastAsia="Times New Roman" w:hAnsi="Times New Roman" w:cs="Times New Roman"/>
                <w:sz w:val="24"/>
                <w:szCs w:val="24"/>
                <w:lang w:eastAsia="lv-LV"/>
              </w:rPr>
              <w:t>identi</w:t>
            </w:r>
            <w:r w:rsidRPr="006D0631" w:rsidR="00830C20">
              <w:rPr>
                <w:rFonts w:ascii="Times New Roman" w:eastAsia="Times New Roman" w:hAnsi="Times New Roman" w:cs="Times New Roman"/>
                <w:sz w:val="24"/>
                <w:szCs w:val="24"/>
                <w:lang w:eastAsia="lv-LV"/>
              </w:rPr>
              <w:t>fikācijas līdzekļi.</w:t>
            </w:r>
          </w:p>
          <w:p w:rsidR="00830C20" w:rsidRPr="006D0631" w:rsidP="008D6752" w14:paraId="0F8D16B1" w14:textId="49676A06">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Valsts pārvaldes iestādes var brīvi izvēlēties tehnoloģijas savu pakalpojumu elektroniskai sniegšanai. Daļa iestāžu izmanto valsts pārvaldes pakalpojumu portālu </w:t>
            </w:r>
            <w:r>
              <w:fldChar w:fldCharType="begin"/>
            </w:r>
            <w:r>
              <w:instrText xml:space="preserve"> HYPERLINK "http://www.latvija.lv" </w:instrText>
            </w:r>
            <w:r>
              <w:fldChar w:fldCharType="separate"/>
            </w:r>
            <w:r w:rsidRPr="006D0631">
              <w:rPr>
                <w:rStyle w:val="Hyperlink"/>
                <w:rFonts w:ascii="Times New Roman" w:eastAsia="Times New Roman" w:hAnsi="Times New Roman" w:cs="Times New Roman"/>
                <w:color w:val="auto"/>
                <w:sz w:val="24"/>
                <w:szCs w:val="24"/>
                <w:lang w:eastAsia="lv-LV"/>
              </w:rPr>
              <w:t>www.latvija.lv</w:t>
            </w:r>
            <w:r>
              <w:fldChar w:fldCharType="end"/>
            </w:r>
            <w:r w:rsidRPr="006D0631">
              <w:rPr>
                <w:rFonts w:ascii="Times New Roman" w:eastAsia="Times New Roman" w:hAnsi="Times New Roman" w:cs="Times New Roman"/>
                <w:sz w:val="24"/>
                <w:szCs w:val="24"/>
                <w:lang w:eastAsia="lv-LV"/>
              </w:rPr>
              <w:t xml:space="preserve">, </w:t>
            </w:r>
            <w:r w:rsidRPr="006D0631" w:rsidR="00D56ED1">
              <w:rPr>
                <w:rFonts w:ascii="Times New Roman" w:eastAsia="Times New Roman" w:hAnsi="Times New Roman" w:cs="Times New Roman"/>
                <w:sz w:val="24"/>
                <w:szCs w:val="24"/>
                <w:lang w:eastAsia="lv-LV"/>
              </w:rPr>
              <w:t xml:space="preserve">(piemēram, Valsts darba inspekcija, Valsts sociālās apdrošināšanas aģentūra, Pārtikas un veterinārais dienests, Veselības inspekcija), </w:t>
            </w:r>
            <w:r w:rsidRPr="006D0631">
              <w:rPr>
                <w:rFonts w:ascii="Times New Roman" w:eastAsia="Times New Roman" w:hAnsi="Times New Roman" w:cs="Times New Roman"/>
                <w:sz w:val="24"/>
                <w:szCs w:val="24"/>
                <w:lang w:eastAsia="lv-LV"/>
              </w:rPr>
              <w:t>citas izvēlas veidot savas e-pakalpojumu platformas</w:t>
            </w:r>
            <w:r w:rsidRPr="006D0631" w:rsidR="00D56ED1">
              <w:rPr>
                <w:rFonts w:ascii="Times New Roman" w:eastAsia="Times New Roman" w:hAnsi="Times New Roman" w:cs="Times New Roman"/>
                <w:sz w:val="24"/>
                <w:szCs w:val="24"/>
                <w:lang w:eastAsia="lv-LV"/>
              </w:rPr>
              <w:t xml:space="preserve"> (piemēram, </w:t>
            </w:r>
            <w:r w:rsidRPr="006D0631">
              <w:rPr>
                <w:rFonts w:ascii="Times New Roman" w:eastAsia="Times New Roman" w:hAnsi="Times New Roman" w:cs="Times New Roman"/>
                <w:sz w:val="24"/>
                <w:szCs w:val="24"/>
                <w:lang w:eastAsia="lv-LV"/>
              </w:rPr>
              <w:t>Valsts ieņēmumu dienests, Valsts zemes dienests, Lauku atbalsta dienests</w:t>
            </w:r>
            <w:r w:rsidRPr="006D0631" w:rsidR="00D56ED1">
              <w:rPr>
                <w:rFonts w:ascii="Times New Roman" w:eastAsia="Times New Roman" w:hAnsi="Times New Roman" w:cs="Times New Roman"/>
                <w:sz w:val="24"/>
                <w:szCs w:val="24"/>
                <w:lang w:eastAsia="lv-LV"/>
              </w:rPr>
              <w:t xml:space="preserve">, </w:t>
            </w:r>
            <w:r w:rsidRPr="006D0631">
              <w:rPr>
                <w:rFonts w:ascii="Times New Roman" w:eastAsia="Times New Roman" w:hAnsi="Times New Roman" w:cs="Times New Roman"/>
                <w:sz w:val="24"/>
                <w:szCs w:val="24"/>
                <w:lang w:eastAsia="lv-LV"/>
              </w:rPr>
              <w:t>VAS “Ceļu satiksmes drošības direkcija”</w:t>
            </w:r>
            <w:r w:rsidRPr="006D0631" w:rsidR="006806EF">
              <w:rPr>
                <w:rFonts w:ascii="Times New Roman" w:eastAsia="Times New Roman" w:hAnsi="Times New Roman" w:cs="Times New Roman"/>
                <w:sz w:val="24"/>
                <w:szCs w:val="24"/>
                <w:lang w:eastAsia="lv-LV"/>
              </w:rPr>
              <w:t>, Rīgas dome</w:t>
            </w:r>
            <w:r w:rsidRPr="006D0631" w:rsidR="00D56ED1">
              <w:rPr>
                <w:rFonts w:ascii="Times New Roman" w:eastAsia="Times New Roman" w:hAnsi="Times New Roman" w:cs="Times New Roman"/>
                <w:sz w:val="24"/>
                <w:szCs w:val="24"/>
                <w:lang w:eastAsia="lv-LV"/>
              </w:rPr>
              <w:t>)</w:t>
            </w:r>
            <w:r w:rsidRPr="006D0631">
              <w:rPr>
                <w:rFonts w:ascii="Times New Roman" w:eastAsia="Times New Roman" w:hAnsi="Times New Roman" w:cs="Times New Roman"/>
                <w:sz w:val="24"/>
                <w:szCs w:val="24"/>
                <w:lang w:eastAsia="lv-LV"/>
              </w:rPr>
              <w:t>.</w:t>
            </w:r>
          </w:p>
          <w:p w:rsidR="000203B9" w:rsidRPr="006D0631" w:rsidP="008D6752" w14:paraId="02B05F7B"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Tomēr līdz šim nav bijis valstī kopīgs tiesiskais regulējums, kas noteiktu pakalpojumu elektronizācijas un e-pakalpojumu pieejamības kārtību, izveides un veicināšanas procesu, minimālās tehniskās un kvalitātes prasības, kā arī e-pakalpojumu parametru mērīšanu.</w:t>
            </w:r>
            <w:r w:rsidRPr="006D0631">
              <w:rPr>
                <w:rFonts w:ascii="Times New Roman" w:eastAsia="Times New Roman" w:hAnsi="Times New Roman" w:cs="Times New Roman"/>
                <w:sz w:val="24"/>
                <w:szCs w:val="24"/>
                <w:lang w:eastAsia="lv-LV"/>
              </w:rPr>
              <w:t xml:space="preserve"> </w:t>
            </w:r>
          </w:p>
          <w:p w:rsidR="008D6752" w:rsidP="008D6752" w14:paraId="5400B7A6" w14:textId="77777777">
            <w:pPr>
              <w:spacing w:after="0" w:line="240" w:lineRule="auto"/>
              <w:jc w:val="both"/>
              <w:rPr>
                <w:rFonts w:ascii="Times New Roman" w:eastAsia="Times New Roman" w:hAnsi="Times New Roman" w:cs="Times New Roman"/>
                <w:sz w:val="24"/>
                <w:szCs w:val="24"/>
                <w:lang w:eastAsia="lv-LV"/>
              </w:rPr>
            </w:pPr>
          </w:p>
          <w:p w:rsidR="002F62A3" w:rsidRPr="006D0631" w:rsidP="008D6752" w14:paraId="0D819339" w14:textId="55C8E6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w:t>
            </w:r>
            <w:r w:rsidRPr="006D0631" w:rsidR="000203B9">
              <w:rPr>
                <w:rFonts w:ascii="Times New Roman" w:eastAsia="Times New Roman" w:hAnsi="Times New Roman" w:cs="Times New Roman"/>
                <w:sz w:val="24"/>
                <w:szCs w:val="24"/>
                <w:lang w:eastAsia="lv-LV"/>
              </w:rPr>
              <w:t xml:space="preserve">oteikumu projekts </w:t>
            </w:r>
            <w:r w:rsidRPr="008D6752">
              <w:rPr>
                <w:rFonts w:ascii="Times New Roman" w:eastAsia="Times New Roman" w:hAnsi="Times New Roman" w:cs="Times New Roman"/>
                <w:bCs/>
                <w:sz w:val="24"/>
                <w:szCs w:val="24"/>
                <w:lang w:eastAsia="lv-LV"/>
              </w:rPr>
              <w:t>“Valsts pārvaldes e-pakalpojumu noteikumi” (turpmāk – noteikumu projekts)</w:t>
            </w:r>
            <w:r>
              <w:rPr>
                <w:rFonts w:ascii="Times New Roman" w:eastAsia="Times New Roman" w:hAnsi="Times New Roman" w:cs="Times New Roman"/>
                <w:b/>
                <w:bCs/>
                <w:sz w:val="24"/>
                <w:szCs w:val="24"/>
                <w:lang w:eastAsia="lv-LV"/>
              </w:rPr>
              <w:t xml:space="preserve"> </w:t>
            </w:r>
            <w:r w:rsidRPr="006D0631" w:rsidR="000203B9">
              <w:rPr>
                <w:rFonts w:ascii="Times New Roman" w:eastAsia="Times New Roman" w:hAnsi="Times New Roman" w:cs="Times New Roman"/>
                <w:sz w:val="24"/>
                <w:szCs w:val="24"/>
                <w:lang w:eastAsia="lv-LV"/>
              </w:rPr>
              <w:t xml:space="preserve">paredz iestādes atbildību regulāri pārlūkot savu pakalpojumu portfeli no iespējamas elektronizēšanas viedokļa. </w:t>
            </w:r>
            <w:r w:rsidRPr="006D0631" w:rsidR="00C838A6">
              <w:rPr>
                <w:rFonts w:ascii="Times New Roman" w:eastAsia="Times New Roman" w:hAnsi="Times New Roman" w:cs="Times New Roman"/>
                <w:sz w:val="24"/>
                <w:szCs w:val="24"/>
                <w:lang w:eastAsia="lv-LV"/>
              </w:rPr>
              <w:t xml:space="preserve">Elektronizācijas procesa rezultātā klātienē sniegts pakalpojums tiek pārveidots, lai to sniegtu elektroniski jeb attālinātā veidā. </w:t>
            </w:r>
            <w:r w:rsidRPr="006D0631">
              <w:rPr>
                <w:rFonts w:ascii="Times New Roman" w:eastAsia="Times New Roman" w:hAnsi="Times New Roman" w:cs="Times New Roman"/>
                <w:sz w:val="24"/>
                <w:szCs w:val="24"/>
                <w:lang w:eastAsia="lv-LV"/>
              </w:rPr>
              <w:t>Atbilstoši šo noteikumu projekta starpiestāžu darba grupas lēmumam, elektro</w:t>
            </w:r>
            <w:r w:rsidR="00F03CF7">
              <w:rPr>
                <w:rFonts w:ascii="Times New Roman" w:eastAsia="Times New Roman" w:hAnsi="Times New Roman" w:cs="Times New Roman"/>
                <w:sz w:val="24"/>
                <w:szCs w:val="24"/>
                <w:lang w:eastAsia="lv-LV"/>
              </w:rPr>
              <w:t xml:space="preserve">nizēšanai var izmantot ne tikai tādus paņēmienus kā </w:t>
            </w:r>
            <w:r w:rsidRPr="006D0631">
              <w:rPr>
                <w:rFonts w:ascii="Times New Roman" w:eastAsia="Times New Roman" w:hAnsi="Times New Roman" w:cs="Times New Roman"/>
                <w:sz w:val="24"/>
                <w:szCs w:val="24"/>
                <w:lang w:eastAsia="lv-LV"/>
              </w:rPr>
              <w:t>tīmekļa la</w:t>
            </w:r>
            <w:r w:rsidR="00F03CF7">
              <w:rPr>
                <w:rFonts w:ascii="Times New Roman" w:eastAsia="Times New Roman" w:hAnsi="Times New Roman" w:cs="Times New Roman"/>
                <w:sz w:val="24"/>
                <w:szCs w:val="24"/>
                <w:lang w:eastAsia="lv-LV"/>
              </w:rPr>
              <w:t>pas, e-pastu, mobilās lietotnes</w:t>
            </w:r>
            <w:r w:rsidRPr="006D0631">
              <w:rPr>
                <w:rFonts w:ascii="Times New Roman" w:eastAsia="Times New Roman" w:hAnsi="Times New Roman" w:cs="Times New Roman"/>
                <w:sz w:val="24"/>
                <w:szCs w:val="24"/>
                <w:lang w:eastAsia="lv-LV"/>
              </w:rPr>
              <w:t xml:space="preserve">, bet arī citus elektroniskos informācijas apmaiņas līdzekļus, t. sk. īsziņas un tūlītējo ziņojumapmaiņu (piemēram, </w:t>
            </w:r>
            <w:r w:rsidRPr="006D0631">
              <w:rPr>
                <w:rFonts w:ascii="Times New Roman" w:eastAsia="Times New Roman" w:hAnsi="Times New Roman" w:cs="Times New Roman"/>
                <w:i/>
                <w:sz w:val="24"/>
                <w:szCs w:val="24"/>
                <w:lang w:eastAsia="lv-LV"/>
              </w:rPr>
              <w:t>Skype</w:t>
            </w:r>
            <w:r w:rsidRPr="006D0631">
              <w:rPr>
                <w:rFonts w:ascii="Times New Roman" w:eastAsia="Times New Roman" w:hAnsi="Times New Roman" w:cs="Times New Roman"/>
                <w:sz w:val="24"/>
                <w:szCs w:val="24"/>
                <w:lang w:eastAsia="lv-LV"/>
              </w:rPr>
              <w:t xml:space="preserve">, </w:t>
            </w:r>
            <w:r w:rsidRPr="006D0631">
              <w:rPr>
                <w:rFonts w:ascii="Times New Roman" w:eastAsia="Times New Roman" w:hAnsi="Times New Roman" w:cs="Times New Roman"/>
                <w:i/>
                <w:sz w:val="24"/>
                <w:szCs w:val="24"/>
                <w:lang w:eastAsia="lv-LV"/>
              </w:rPr>
              <w:t>Messenger</w:t>
            </w:r>
            <w:r w:rsidRPr="006D0631">
              <w:rPr>
                <w:rFonts w:ascii="Times New Roman" w:eastAsia="Times New Roman" w:hAnsi="Times New Roman" w:cs="Times New Roman"/>
                <w:sz w:val="24"/>
                <w:szCs w:val="24"/>
                <w:lang w:eastAsia="lv-LV"/>
              </w:rPr>
              <w:t xml:space="preserve">). </w:t>
            </w:r>
            <w:r w:rsidRPr="006D0631" w:rsidR="002F3AB3">
              <w:rPr>
                <w:rFonts w:ascii="Times New Roman" w:eastAsia="Times New Roman" w:hAnsi="Times New Roman" w:cs="Times New Roman"/>
                <w:sz w:val="24"/>
                <w:szCs w:val="24"/>
                <w:lang w:eastAsia="lv-LV"/>
              </w:rPr>
              <w:t>Taču par e-pakalpojumiem netiek uzskatīta starpiestāžu datu apmaiņa vai elektroniskie procesi, kas notiek iestādē pakalpojuma apstrādes laikā, tikai pieteikuma saņemšana un pakalpojuma rezultāta nosūtīšana.</w:t>
            </w:r>
          </w:p>
          <w:p w:rsidR="00EB1C11" w:rsidRPr="006D0631" w:rsidP="00F03CF7" w14:paraId="12C66CE4" w14:textId="76A8B656">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w:t>
            </w:r>
            <w:r w:rsidRPr="006D0631" w:rsidR="000203B9">
              <w:rPr>
                <w:rFonts w:ascii="Times New Roman" w:eastAsia="Times New Roman" w:hAnsi="Times New Roman" w:cs="Times New Roman"/>
                <w:sz w:val="24"/>
                <w:szCs w:val="24"/>
                <w:lang w:eastAsia="lv-LV"/>
              </w:rPr>
              <w:t xml:space="preserve">akalpojuma elektronizācijas laikā </w:t>
            </w:r>
            <w:r w:rsidRPr="006D0631">
              <w:rPr>
                <w:rFonts w:ascii="Times New Roman" w:eastAsia="Times New Roman" w:hAnsi="Times New Roman" w:cs="Times New Roman"/>
                <w:sz w:val="24"/>
                <w:szCs w:val="24"/>
                <w:lang w:eastAsia="lv-LV"/>
              </w:rPr>
              <w:t xml:space="preserve">nepieciešams </w:t>
            </w:r>
            <w:r w:rsidRPr="006D0631" w:rsidR="000203B9">
              <w:rPr>
                <w:rFonts w:ascii="Times New Roman" w:eastAsia="Times New Roman" w:hAnsi="Times New Roman" w:cs="Times New Roman"/>
                <w:sz w:val="24"/>
                <w:szCs w:val="24"/>
                <w:lang w:eastAsia="lv-LV"/>
              </w:rPr>
              <w:t xml:space="preserve">veikt pakalpojuma sniegšanas procesa izvērtēšanu un optimizēšanu. Pakalpojumu elektronizācija ir jāveic saskaņā ar mūsdienīgiem </w:t>
            </w:r>
            <w:r w:rsidRPr="006D0631" w:rsidR="000203B9">
              <w:rPr>
                <w:rFonts w:ascii="Times New Roman" w:eastAsia="Times New Roman" w:hAnsi="Times New Roman" w:cs="Times New Roman"/>
                <w:sz w:val="24"/>
                <w:szCs w:val="24"/>
                <w:lang w:eastAsia="lv-LV"/>
              </w:rPr>
              <w:t>cilvēkorientētas</w:t>
            </w:r>
            <w:r w:rsidRPr="006D0631" w:rsidR="000203B9">
              <w:rPr>
                <w:rFonts w:ascii="Times New Roman" w:eastAsia="Times New Roman" w:hAnsi="Times New Roman" w:cs="Times New Roman"/>
                <w:sz w:val="24"/>
                <w:szCs w:val="24"/>
                <w:lang w:eastAsia="lv-LV"/>
              </w:rPr>
              <w:t xml:space="preserve"> projektēšanas principiem, visos </w:t>
            </w:r>
            <w:r w:rsidRPr="006D0631" w:rsidR="0080019B">
              <w:rPr>
                <w:rFonts w:ascii="Times New Roman" w:eastAsia="Times New Roman" w:hAnsi="Times New Roman" w:cs="Times New Roman"/>
                <w:sz w:val="24"/>
                <w:szCs w:val="24"/>
                <w:lang w:eastAsia="lv-LV"/>
              </w:rPr>
              <w:t>e-pakalpojuma izveides</w:t>
            </w:r>
            <w:r w:rsidRPr="006D0631" w:rsidR="000203B9">
              <w:rPr>
                <w:rFonts w:ascii="Times New Roman" w:eastAsia="Times New Roman" w:hAnsi="Times New Roman" w:cs="Times New Roman"/>
                <w:sz w:val="24"/>
                <w:szCs w:val="24"/>
                <w:lang w:eastAsia="lv-LV"/>
              </w:rPr>
              <w:t xml:space="preserve"> posmos iesaistot potenciālos pakalpojuma lietotājus.</w:t>
            </w:r>
            <w:r w:rsidRPr="006D0631" w:rsidR="00DF466A">
              <w:rPr>
                <w:rFonts w:ascii="Times New Roman" w:eastAsia="Times New Roman" w:hAnsi="Times New Roman" w:cs="Times New Roman"/>
                <w:sz w:val="24"/>
                <w:szCs w:val="24"/>
                <w:lang w:eastAsia="lv-LV"/>
              </w:rPr>
              <w:t xml:space="preserve"> </w:t>
            </w:r>
            <w:r w:rsidRPr="006D0631" w:rsidR="005608DD">
              <w:rPr>
                <w:rFonts w:ascii="Times New Roman" w:eastAsia="Times New Roman" w:hAnsi="Times New Roman" w:cs="Times New Roman"/>
                <w:sz w:val="24"/>
                <w:szCs w:val="24"/>
                <w:lang w:eastAsia="lv-LV"/>
              </w:rPr>
              <w:t>Jāveic informācijas apkopošana par informāciju par klienta mērķiem, vajadzībām, uzvedību un vēlmēm tādā apmērā, lai iegūtu pietiekamu priekšstatu par klientam veidojamā produkta nepieciešamo funkcionalitāti. Jāveic veidojamā produkta testēšana tādā apjomā, kas ļauj sasniegt pakalpojuma turētāja izvirzītos mērķus, izvairoties no divām galējībām</w:t>
            </w:r>
            <w:r w:rsidRPr="006D0631" w:rsidR="008F1F7B">
              <w:rPr>
                <w:rFonts w:ascii="Times New Roman" w:eastAsia="Times New Roman" w:hAnsi="Times New Roman" w:cs="Times New Roman"/>
                <w:sz w:val="24"/>
                <w:szCs w:val="24"/>
                <w:lang w:eastAsia="lv-LV"/>
              </w:rPr>
              <w:t> </w:t>
            </w:r>
            <w:r w:rsidRPr="006D0631" w:rsidR="005608DD">
              <w:rPr>
                <w:rFonts w:ascii="Times New Roman" w:eastAsia="Times New Roman" w:hAnsi="Times New Roman" w:cs="Times New Roman"/>
                <w:sz w:val="24"/>
                <w:szCs w:val="24"/>
                <w:lang w:eastAsia="lv-LV"/>
              </w:rPr>
              <w:t xml:space="preserve">– ka e-pakalpojums vispār netiek testēts ar reāliem lietotājiem pirms tā pabeigšanas un ka testēšanai tiek atvēlēts pārāk daudz laika un līdzekļu. </w:t>
            </w:r>
            <w:r w:rsidRPr="006D0631">
              <w:rPr>
                <w:rFonts w:ascii="Times New Roman" w:eastAsia="Times New Roman" w:hAnsi="Times New Roman" w:cs="Times New Roman"/>
                <w:sz w:val="24"/>
                <w:szCs w:val="24"/>
                <w:lang w:eastAsia="lv-LV"/>
              </w:rPr>
              <w:t xml:space="preserve">Noteikumu projekts nosaka šim nolūkam izmantot Latvijas nacionālo standartu LVS ISO 9241-210 “Cilvēka un sistēmas mijiedarbības </w:t>
            </w:r>
            <w:r w:rsidRPr="006D0631">
              <w:rPr>
                <w:rFonts w:ascii="Times New Roman" w:eastAsia="Times New Roman" w:hAnsi="Times New Roman" w:cs="Times New Roman"/>
                <w:sz w:val="24"/>
                <w:szCs w:val="24"/>
                <w:lang w:eastAsia="lv-LV"/>
              </w:rPr>
              <w:t xml:space="preserve">ergonomika. 210. daļa: </w:t>
            </w:r>
            <w:r w:rsidRPr="006D0631">
              <w:rPr>
                <w:rFonts w:ascii="Times New Roman" w:eastAsia="Times New Roman" w:hAnsi="Times New Roman" w:cs="Times New Roman"/>
                <w:sz w:val="24"/>
                <w:szCs w:val="24"/>
                <w:lang w:eastAsia="lv-LV"/>
              </w:rPr>
              <w:t>Cilvēkorientēta</w:t>
            </w:r>
            <w:r w:rsidRPr="006D0631">
              <w:rPr>
                <w:rFonts w:ascii="Times New Roman" w:eastAsia="Times New Roman" w:hAnsi="Times New Roman" w:cs="Times New Roman"/>
                <w:sz w:val="24"/>
                <w:szCs w:val="24"/>
                <w:lang w:eastAsia="lv-LV"/>
              </w:rPr>
              <w:t xml:space="preserve"> interaktīvo sistēmu projektēšana”, kurš ir iztulkots latviski un pieejams tīmekļvietnē </w:t>
            </w:r>
            <w:r>
              <w:fldChar w:fldCharType="begin"/>
            </w:r>
            <w:r>
              <w:instrText xml:space="preserve"> HYPERLINK "https://www.lvs.lv/lv/products/132665" </w:instrText>
            </w:r>
            <w:r>
              <w:fldChar w:fldCharType="separate"/>
            </w:r>
            <w:r w:rsidRPr="006D0631">
              <w:rPr>
                <w:rStyle w:val="Hyperlink"/>
                <w:rFonts w:ascii="Times New Roman" w:eastAsia="Times New Roman" w:hAnsi="Times New Roman" w:cs="Times New Roman"/>
                <w:sz w:val="24"/>
                <w:szCs w:val="24"/>
                <w:lang w:eastAsia="lv-LV"/>
              </w:rPr>
              <w:t>https://www.lvs.lv/lv/products/132665</w:t>
            </w:r>
            <w:r>
              <w:fldChar w:fldCharType="end"/>
            </w:r>
            <w:r w:rsidRPr="006D0631">
              <w:rPr>
                <w:rFonts w:ascii="Times New Roman" w:eastAsia="Times New Roman" w:hAnsi="Times New Roman" w:cs="Times New Roman"/>
                <w:sz w:val="24"/>
                <w:szCs w:val="24"/>
                <w:lang w:eastAsia="lv-LV"/>
              </w:rPr>
              <w:t xml:space="preserve"> (cena 34,98 EUR). </w:t>
            </w:r>
          </w:p>
          <w:p w:rsidR="005A1201" w:rsidRPr="006D0631" w:rsidP="00F03CF7" w14:paraId="0E89A867" w14:textId="0615638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Visu pakalpojuma elektronizācijas procesu nepieciešams dokumentēt, fiksējot pieņemtos lēmumus un citu info</w:t>
            </w:r>
            <w:r w:rsidR="00F03CF7">
              <w:rPr>
                <w:rFonts w:ascii="Times New Roman" w:eastAsia="Times New Roman" w:hAnsi="Times New Roman" w:cs="Times New Roman"/>
                <w:sz w:val="24"/>
                <w:szCs w:val="24"/>
                <w:lang w:eastAsia="lv-LV"/>
              </w:rPr>
              <w:t>rmāciju iestādes izvēlētā veidā, p</w:t>
            </w:r>
            <w:r w:rsidRPr="006D0631">
              <w:rPr>
                <w:rFonts w:ascii="Times New Roman" w:eastAsia="Times New Roman" w:hAnsi="Times New Roman" w:cs="Times New Roman"/>
                <w:sz w:val="24"/>
                <w:szCs w:val="24"/>
                <w:lang w:eastAsia="lv-LV"/>
              </w:rPr>
              <w:t xml:space="preserve">ierakstu uzglabāšanas ilgumu arī </w:t>
            </w:r>
            <w:r w:rsidRPr="006D0631" w:rsidR="008E5A1C">
              <w:rPr>
                <w:rFonts w:ascii="Times New Roman" w:eastAsia="Times New Roman" w:hAnsi="Times New Roman" w:cs="Times New Roman"/>
                <w:sz w:val="24"/>
                <w:szCs w:val="24"/>
                <w:lang w:eastAsia="lv-LV"/>
              </w:rPr>
              <w:t>izvēlas pati</w:t>
            </w:r>
            <w:r w:rsidRPr="006D0631">
              <w:rPr>
                <w:rFonts w:ascii="Times New Roman" w:eastAsia="Times New Roman" w:hAnsi="Times New Roman" w:cs="Times New Roman"/>
                <w:sz w:val="24"/>
                <w:szCs w:val="24"/>
                <w:lang w:eastAsia="lv-LV"/>
              </w:rPr>
              <w:t xml:space="preserve"> iestāde.</w:t>
            </w:r>
            <w:r w:rsidRPr="006D0631" w:rsidR="008E5A1C">
              <w:rPr>
                <w:rFonts w:ascii="Times New Roman" w:eastAsia="Times New Roman" w:hAnsi="Times New Roman" w:cs="Times New Roman"/>
                <w:sz w:val="24"/>
                <w:szCs w:val="24"/>
                <w:lang w:eastAsia="lv-LV"/>
              </w:rPr>
              <w:t xml:space="preserve"> </w:t>
            </w:r>
            <w:r w:rsidRPr="006D0631" w:rsidR="00EB1C11">
              <w:rPr>
                <w:rFonts w:ascii="Times New Roman" w:eastAsia="Times New Roman" w:hAnsi="Times New Roman" w:cs="Times New Roman"/>
                <w:sz w:val="24"/>
                <w:szCs w:val="24"/>
                <w:lang w:eastAsia="lv-LV"/>
              </w:rPr>
              <w:t xml:space="preserve">Atbilstoši iestādes izvēlei tie var būt sanāksmju protokoli, </w:t>
            </w:r>
            <w:r w:rsidRPr="006D0631" w:rsidR="00BD747E">
              <w:rPr>
                <w:rFonts w:ascii="Times New Roman" w:eastAsia="Times New Roman" w:hAnsi="Times New Roman" w:cs="Times New Roman"/>
                <w:sz w:val="24"/>
                <w:szCs w:val="24"/>
                <w:lang w:eastAsia="lv-LV"/>
              </w:rPr>
              <w:t xml:space="preserve">iekšējās kārtības un instrukcijas, </w:t>
            </w:r>
            <w:r w:rsidRPr="006D0631" w:rsidR="00EB1C11">
              <w:rPr>
                <w:rFonts w:ascii="Times New Roman" w:eastAsia="Times New Roman" w:hAnsi="Times New Roman" w:cs="Times New Roman"/>
                <w:sz w:val="24"/>
                <w:szCs w:val="24"/>
                <w:lang w:eastAsia="lv-LV"/>
              </w:rPr>
              <w:t xml:space="preserve">izstrādes saturiskie un kalendārie plāni, informācijas sistēmas arhitektūras skices u. tml. </w:t>
            </w:r>
            <w:r w:rsidRPr="006D0631" w:rsidR="008E5A1C">
              <w:rPr>
                <w:rFonts w:ascii="Times New Roman" w:eastAsia="Times New Roman" w:hAnsi="Times New Roman" w:cs="Times New Roman"/>
                <w:sz w:val="24"/>
                <w:szCs w:val="24"/>
                <w:lang w:eastAsia="lv-LV"/>
              </w:rPr>
              <w:t xml:space="preserve">Izstrādē jāizmanto iteratīvas izstrādes princips (lat. </w:t>
            </w:r>
            <w:r w:rsidRPr="006D0631" w:rsidR="008E5A1C">
              <w:rPr>
                <w:rFonts w:ascii="Times New Roman" w:eastAsia="Times New Roman" w:hAnsi="Times New Roman" w:cs="Times New Roman"/>
                <w:i/>
                <w:noProof/>
                <w:sz w:val="24"/>
                <w:szCs w:val="24"/>
                <w:lang w:eastAsia="lv-LV"/>
              </w:rPr>
              <w:t>iterare</w:t>
            </w:r>
            <w:r w:rsidRPr="006D0631" w:rsidR="001E0246">
              <w:rPr>
                <w:rFonts w:ascii="Times New Roman" w:eastAsia="Times New Roman" w:hAnsi="Times New Roman" w:cs="Times New Roman"/>
                <w:sz w:val="24"/>
                <w:szCs w:val="24"/>
                <w:lang w:eastAsia="lv-LV"/>
              </w:rPr>
              <w:t> </w:t>
            </w:r>
            <w:r w:rsidRPr="006D0631" w:rsidR="008E5A1C">
              <w:rPr>
                <w:rFonts w:ascii="Times New Roman" w:eastAsia="Times New Roman" w:hAnsi="Times New Roman" w:cs="Times New Roman"/>
                <w:sz w:val="24"/>
                <w:szCs w:val="24"/>
                <w:lang w:eastAsia="lv-LV"/>
              </w:rPr>
              <w:t>– atkārtot), kas nosaka, ka izstrāde notiek pakāpeniski un cikliski, katrā izstrādes posmā izvērtējot iegūtā produkta atbilstību izvirzītajām prasībām un nepieciešamības gadījumā veicot izmaiņas un attiecīgi atgriežoties uz posma sākumu.</w:t>
            </w:r>
          </w:p>
          <w:p w:rsidR="000C4DF2" w:rsidRPr="006D0631" w:rsidP="00F03CF7" w14:paraId="6C640B47" w14:textId="671D4AEB">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Noteikumu projekts piedāvā gan kvalitatīvus, gan kvantitatīvus elektronizācijas kritērijus, un elektronizāciju uzskatāma par pamatotu, ja izpildās vismaz viens no kritērijiem. To vidū ir arī </w:t>
            </w:r>
            <w:r w:rsidRPr="006D0631" w:rsidR="00224736">
              <w:rPr>
                <w:rFonts w:ascii="Times New Roman" w:eastAsia="Times New Roman" w:hAnsi="Times New Roman" w:cs="Times New Roman"/>
                <w:sz w:val="24"/>
                <w:szCs w:val="24"/>
                <w:lang w:eastAsia="lv-LV"/>
              </w:rPr>
              <w:t xml:space="preserve">saņemšanas </w:t>
            </w:r>
            <w:r w:rsidRPr="006D0631">
              <w:rPr>
                <w:rFonts w:ascii="Times New Roman" w:eastAsia="Times New Roman" w:hAnsi="Times New Roman" w:cs="Times New Roman"/>
                <w:sz w:val="24"/>
                <w:szCs w:val="24"/>
                <w:lang w:eastAsia="lv-LV"/>
              </w:rPr>
              <w:t>ērtums un vienlīdzības apsvērumi. “Ērtums” lietots Valsts pārvald</w:t>
            </w:r>
            <w:r w:rsidR="00F03CF7">
              <w:rPr>
                <w:rFonts w:ascii="Times New Roman" w:eastAsia="Times New Roman" w:hAnsi="Times New Roman" w:cs="Times New Roman"/>
                <w:sz w:val="24"/>
                <w:szCs w:val="24"/>
                <w:lang w:eastAsia="lv-LV"/>
              </w:rPr>
              <w:t xml:space="preserve">es iekārtas likuma 10. panta astotās </w:t>
            </w:r>
            <w:r w:rsidRPr="006D0631">
              <w:rPr>
                <w:rFonts w:ascii="Times New Roman" w:eastAsia="Times New Roman" w:hAnsi="Times New Roman" w:cs="Times New Roman"/>
                <w:sz w:val="24"/>
                <w:szCs w:val="24"/>
                <w:lang w:eastAsia="lv-LV"/>
              </w:rPr>
              <w:t>daļas izpratnē (“valsts pārvaldi organizē pēc iespējas ērti un pieejami privātpersonai”). “Vienlīdzības princips” lietots Satversmes 91. panta izpratnē (“cilvēka tiesības tiek īstenotas bez jebkādas diskriminācijas”).</w:t>
            </w:r>
          </w:p>
          <w:p w:rsidR="00CE2A99" w:rsidP="00CE2A99" w14:paraId="47B60C2B" w14:textId="77777777">
            <w:pPr>
              <w:spacing w:after="0" w:line="240" w:lineRule="auto"/>
              <w:jc w:val="both"/>
              <w:rPr>
                <w:rFonts w:ascii="Times New Roman" w:eastAsia="Times New Roman" w:hAnsi="Times New Roman" w:cs="Times New Roman"/>
                <w:sz w:val="24"/>
                <w:szCs w:val="24"/>
                <w:lang w:eastAsia="lv-LV"/>
              </w:rPr>
            </w:pPr>
          </w:p>
          <w:p w:rsidR="00080B13" w:rsidRPr="006D0631" w:rsidP="00CE2A99" w14:paraId="7705CDBC" w14:textId="1F77098D">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Noteikumu projekts paredz pakāpeniski ieviest vienotu e-pakalpojumu uzskaites sistēmu, lai rezultāti būtu pārskatāmi un savstarpēji salīdzināmi. E-pakalpojumiem tiks noteikti </w:t>
            </w:r>
            <w:r w:rsidRPr="006D0631" w:rsidR="008E58F5">
              <w:rPr>
                <w:rFonts w:ascii="Times New Roman" w:eastAsia="Times New Roman" w:hAnsi="Times New Roman" w:cs="Times New Roman"/>
                <w:sz w:val="24"/>
                <w:szCs w:val="24"/>
                <w:lang w:eastAsia="lv-LV"/>
              </w:rPr>
              <w:t>trīs</w:t>
            </w:r>
            <w:r w:rsidRPr="006D0631">
              <w:rPr>
                <w:rFonts w:ascii="Times New Roman" w:eastAsia="Times New Roman" w:hAnsi="Times New Roman" w:cs="Times New Roman"/>
                <w:sz w:val="24"/>
                <w:szCs w:val="24"/>
                <w:lang w:eastAsia="lv-LV"/>
              </w:rPr>
              <w:t xml:space="preserve"> specifiskie rādītāji, kas papildinās vispārējos pakalpojumu rādītājus, kuri noteikti saistīto Ministru kabineta noteikumu projektā “Valsts pārvaldes pakalpojumu uzskaites, sniegšanas un kvalitātes kontroles kārtība</w:t>
            </w:r>
            <w:r w:rsidRPr="006D0631" w:rsidR="00E23EF2">
              <w:rPr>
                <w:rFonts w:ascii="Times New Roman" w:eastAsia="Times New Roman" w:hAnsi="Times New Roman" w:cs="Times New Roman"/>
                <w:sz w:val="24"/>
                <w:szCs w:val="24"/>
                <w:lang w:eastAsia="lv-LV"/>
              </w:rPr>
              <w:t>”:</w:t>
            </w:r>
          </w:p>
          <w:p w:rsidR="009824E8" w:rsidP="009824E8" w14:paraId="7F56552C" w14:textId="77777777">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9824E8">
              <w:rPr>
                <w:rFonts w:ascii="Times New Roman" w:eastAsia="Times New Roman" w:hAnsi="Times New Roman" w:cs="Times New Roman"/>
                <w:sz w:val="24"/>
                <w:szCs w:val="24"/>
                <w:lang w:eastAsia="lv-LV"/>
              </w:rPr>
              <w:t>e-pakalpojuma izpildes veiksmīgums – pabeigšanas un uzsākšanas gadījumu skaita attiecība; to izsaka procentos; e-pakalpojumam pabeigšanas gadījums tiek reģistrēts, ja pilnībā tiek izpildīts pakalpojuma elektronizētais posms (sinhroniem e-pakalpojumiem jeb tūlītējas izpildes gadījumā – ja e-pakalpojums tiek izpildīts pilnībā, asinhroniem e-pakalpojumiem – ja, piemēram, tiek veiksmīgi iesniegts pieteikums vai veikts maksājums); ja pakalpojumam ir vairāki elektronizēti posmi, pakalpojuma turētājs uzskaita katru no tiem atsevišķi; attiecībā uz e-pastā nosūtītajiem pakalpojuma pieprasījumiem pakalpojuma turētājs var izvēlēties veiksmīgumu nemērīt, ņemot vērā šī apakškanāla tehniskos ierobežojumus;”</w:t>
            </w:r>
          </w:p>
          <w:p w:rsidR="00E23EF2" w:rsidRPr="006D0631" w:rsidP="009824E8" w14:paraId="3EB24C54" w14:textId="2E0E7DD5">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pakalpojuma elektroniskas lietošanas pakāpe – elektroniskā kanālā sniegto pakalpojuma gadījumu skaita attiecība pret visos kanālos sniegto pakalpojuma gadījumu skaitu;</w:t>
            </w:r>
          </w:p>
          <w:p w:rsidR="00E23EF2" w:rsidRPr="006D0631" w:rsidP="00E23EF2" w14:paraId="20C5BE32" w14:textId="526FD447">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e-pakalpojuma saņēmēja apmierinātība – e-pakalpojuma saņēmēja brīvprātīgs vērtējums piecu punktu sistēmā pēc iespējas par katru e-pakalpojuma sniegšanas gadījumu, kuru var papildināt e-pakalpojuma saņēmēja rakstiska atsauksme.</w:t>
            </w:r>
          </w:p>
          <w:p w:rsidR="00CE2A99" w:rsidP="00CE2A99" w14:paraId="2DFDB5D9" w14:textId="77777777">
            <w:pPr>
              <w:spacing w:after="0" w:line="240" w:lineRule="auto"/>
              <w:jc w:val="both"/>
              <w:rPr>
                <w:rFonts w:ascii="Times New Roman" w:eastAsia="Times New Roman" w:hAnsi="Times New Roman" w:cs="Times New Roman"/>
                <w:sz w:val="24"/>
                <w:szCs w:val="24"/>
                <w:lang w:eastAsia="lv-LV"/>
              </w:rPr>
            </w:pPr>
          </w:p>
          <w:p w:rsidR="00CE2A99" w:rsidP="00CE2A99" w14:paraId="2A789188"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w:t>
            </w:r>
            <w:r w:rsidRPr="006D0631" w:rsidR="005A1201">
              <w:rPr>
                <w:rFonts w:ascii="Times New Roman" w:eastAsia="Times New Roman" w:hAnsi="Times New Roman" w:cs="Times New Roman"/>
                <w:sz w:val="24"/>
                <w:szCs w:val="24"/>
                <w:lang w:eastAsia="lv-LV"/>
              </w:rPr>
              <w:t>ā noteiktas minimālās tehniskās prasības, kas jāievēro pakalpojum</w:t>
            </w:r>
            <w:r w:rsidRPr="006D0631" w:rsidR="00DF4FDA">
              <w:rPr>
                <w:rFonts w:ascii="Times New Roman" w:eastAsia="Times New Roman" w:hAnsi="Times New Roman" w:cs="Times New Roman"/>
                <w:sz w:val="24"/>
                <w:szCs w:val="24"/>
                <w:lang w:eastAsia="lv-LV"/>
              </w:rPr>
              <w:t>a</w:t>
            </w:r>
            <w:r w:rsidRPr="006D0631" w:rsidR="005A1201">
              <w:rPr>
                <w:rFonts w:ascii="Times New Roman" w:eastAsia="Times New Roman" w:hAnsi="Times New Roman" w:cs="Times New Roman"/>
                <w:sz w:val="24"/>
                <w:szCs w:val="24"/>
                <w:lang w:eastAsia="lv-LV"/>
              </w:rPr>
              <w:t xml:space="preserve"> turētājam un </w:t>
            </w:r>
            <w:r w:rsidRPr="006D0631" w:rsidR="008279EA">
              <w:rPr>
                <w:rFonts w:ascii="Times New Roman" w:eastAsia="Times New Roman" w:hAnsi="Times New Roman" w:cs="Times New Roman"/>
                <w:sz w:val="24"/>
                <w:szCs w:val="24"/>
                <w:lang w:eastAsia="lv-LV"/>
              </w:rPr>
              <w:t>e-pakalpojuma nodrošinātājam</w:t>
            </w:r>
            <w:r w:rsidRPr="006D0631" w:rsidR="005A1201">
              <w:rPr>
                <w:rFonts w:ascii="Times New Roman" w:eastAsia="Times New Roman" w:hAnsi="Times New Roman" w:cs="Times New Roman"/>
                <w:sz w:val="24"/>
                <w:szCs w:val="24"/>
                <w:lang w:eastAsia="lv-LV"/>
              </w:rPr>
              <w:t xml:space="preserve">. Ja iespējams, e-pakalpojumā ir jāizmanto Valsts reģionālās attīstības aģentūras pārziņā esošās koplietošanas komponentes. </w:t>
            </w:r>
            <w:r w:rsidRPr="006D0631" w:rsidR="002F62A3">
              <w:rPr>
                <w:rFonts w:ascii="Times New Roman" w:eastAsia="Times New Roman" w:hAnsi="Times New Roman" w:cs="Times New Roman"/>
                <w:sz w:val="24"/>
                <w:szCs w:val="24"/>
                <w:lang w:eastAsia="lv-LV"/>
              </w:rPr>
              <w:t xml:space="preserve">Šī norma paredz, ka pakalpojuma turētājam jāspēj pamatot, kāpēc kādas funkcionalitātes nodrošināšanai netiek izmantotas koplietošanas komponentes. </w:t>
            </w:r>
            <w:r w:rsidRPr="006D0631" w:rsidR="005A1201">
              <w:rPr>
                <w:rFonts w:ascii="Times New Roman" w:eastAsia="Times New Roman" w:hAnsi="Times New Roman" w:cs="Times New Roman"/>
                <w:sz w:val="24"/>
                <w:szCs w:val="24"/>
                <w:lang w:eastAsia="lv-LV"/>
              </w:rPr>
              <w:t xml:space="preserve">Lai pakalpojuma saņēmējam piegādātu pakalpojuma rezultātus, būs jāizmanto elektronisko adrešu informācijas sistēma. </w:t>
            </w:r>
          </w:p>
          <w:p w:rsidR="00D125A8" w:rsidRPr="006D0631" w:rsidP="00CE2A99" w14:paraId="00A50660" w14:textId="6E73D7E9">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Visiem e-pakalpojumiem jābūt pieejamiem, izmantojot tiešās saites (jeb “dziļās saites”), kas ļauj uzsākt konkrēto pakalpojumu bez papildu meklēšanas vai izvēlēšanās no saraksta.</w:t>
            </w:r>
            <w:r w:rsidRPr="006D0631">
              <w:rPr>
                <w:rFonts w:ascii="Times New Roman" w:eastAsia="Times New Roman" w:hAnsi="Times New Roman" w:cs="Times New Roman"/>
                <w:sz w:val="24"/>
                <w:szCs w:val="24"/>
                <w:lang w:eastAsia="lv-LV"/>
              </w:rPr>
              <w:t xml:space="preserve"> </w:t>
            </w:r>
          </w:p>
          <w:p w:rsidR="005A1201" w:rsidRPr="006D0631" w:rsidP="00CE2A99" w14:paraId="5FE9821F" w14:textId="7B62BD3B">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E-pakalpojumiem, kuriem izmanto tīmekļa lapas, nodrošina pieejamību arī mobilajās ierīcēs</w:t>
            </w:r>
            <w:r w:rsidR="00CE2A99">
              <w:rPr>
                <w:rFonts w:ascii="Times New Roman" w:eastAsia="Times New Roman" w:hAnsi="Times New Roman" w:cs="Times New Roman"/>
                <w:sz w:val="24"/>
                <w:szCs w:val="24"/>
                <w:lang w:eastAsia="lv-LV"/>
              </w:rPr>
              <w:t xml:space="preserve"> (sk. noteikumu projekta 9.4. apakšpunktu), tādējādi </w:t>
            </w:r>
            <w:r w:rsidRPr="006D0631">
              <w:rPr>
                <w:rFonts w:ascii="Times New Roman" w:eastAsia="Times New Roman" w:hAnsi="Times New Roman" w:cs="Times New Roman"/>
                <w:sz w:val="24"/>
                <w:szCs w:val="24"/>
                <w:lang w:eastAsia="lv-LV"/>
              </w:rPr>
              <w:t>paredz</w:t>
            </w:r>
            <w:r w:rsidR="00CE2A99">
              <w:rPr>
                <w:rFonts w:ascii="Times New Roman" w:eastAsia="Times New Roman" w:hAnsi="Times New Roman" w:cs="Times New Roman"/>
                <w:sz w:val="24"/>
                <w:szCs w:val="24"/>
                <w:lang w:eastAsia="lv-LV"/>
              </w:rPr>
              <w:t>ot</w:t>
            </w:r>
            <w:r w:rsidRPr="006D0631">
              <w:rPr>
                <w:rFonts w:ascii="Times New Roman" w:eastAsia="Times New Roman" w:hAnsi="Times New Roman" w:cs="Times New Roman"/>
                <w:sz w:val="24"/>
                <w:szCs w:val="24"/>
                <w:lang w:eastAsia="lv-LV"/>
              </w:rPr>
              <w:t xml:space="preserve"> e-pakalpojuma korektu attēlojumu mobilajā ierīcē, bet ne mobilās lietotnes izstrādi (kas informācijas attēlošanai var izmantot citus līdzekļus, ne tīmekļa lapas renderēšanu). Pieejamība mobilajās ierīcēs nozīmē gan informācijas reprezentācijas pielāgošanos atbilstoši adaptīvā/</w:t>
            </w:r>
            <w:r w:rsidRPr="006D0631">
              <w:rPr>
                <w:rFonts w:ascii="Times New Roman" w:eastAsia="Times New Roman" w:hAnsi="Times New Roman" w:cs="Times New Roman"/>
                <w:sz w:val="24"/>
                <w:szCs w:val="24"/>
                <w:lang w:eastAsia="lv-LV"/>
              </w:rPr>
              <w:t>responsīvā</w:t>
            </w:r>
            <w:r w:rsidRPr="006D0631">
              <w:rPr>
                <w:rFonts w:ascii="Times New Roman" w:eastAsia="Times New Roman" w:hAnsi="Times New Roman" w:cs="Times New Roman"/>
                <w:sz w:val="24"/>
                <w:szCs w:val="24"/>
                <w:lang w:eastAsia="lv-LV"/>
              </w:rPr>
              <w:t xml:space="preserve"> dizaina principiem, gan korektas funkcionalitātes (t. sk. elektroniskas identifikācijas) nodrošināšanu. </w:t>
            </w:r>
            <w:r w:rsidRPr="006D0631" w:rsidR="00D125A8">
              <w:rPr>
                <w:rFonts w:ascii="Times New Roman" w:eastAsia="Times New Roman" w:hAnsi="Times New Roman" w:cs="Times New Roman"/>
                <w:sz w:val="24"/>
                <w:szCs w:val="24"/>
                <w:lang w:eastAsia="lv-LV"/>
              </w:rPr>
              <w:t xml:space="preserve">E-pakalpojumiem jābūt </w:t>
            </w:r>
            <w:r w:rsidRPr="006D0631">
              <w:rPr>
                <w:rFonts w:ascii="Times New Roman" w:eastAsia="Times New Roman" w:hAnsi="Times New Roman" w:cs="Times New Roman"/>
                <w:sz w:val="24"/>
                <w:szCs w:val="24"/>
                <w:lang w:eastAsia="lv-LV"/>
              </w:rPr>
              <w:t xml:space="preserve">arī </w:t>
            </w:r>
            <w:r w:rsidRPr="006D0631" w:rsidR="00D125A8">
              <w:rPr>
                <w:rFonts w:ascii="Times New Roman" w:eastAsia="Times New Roman" w:hAnsi="Times New Roman" w:cs="Times New Roman"/>
                <w:sz w:val="24"/>
                <w:szCs w:val="24"/>
                <w:lang w:eastAsia="lv-LV"/>
              </w:rPr>
              <w:t xml:space="preserve">piekļūstamiem saskaņā ar </w:t>
            </w:r>
            <w:r w:rsidRPr="006D0631" w:rsidR="0062236C">
              <w:rPr>
                <w:rFonts w:ascii="Times New Roman" w:eastAsia="Times New Roman" w:hAnsi="Times New Roman" w:cs="Times New Roman"/>
                <w:sz w:val="24"/>
                <w:szCs w:val="24"/>
                <w:lang w:eastAsia="lv-LV"/>
              </w:rPr>
              <w:t xml:space="preserve">tīmekļa vietņu </w:t>
            </w:r>
            <w:r w:rsidRPr="006D0631" w:rsidR="0062236C">
              <w:rPr>
                <w:rFonts w:ascii="Times New Roman" w:eastAsia="Times New Roman" w:hAnsi="Times New Roman" w:cs="Times New Roman"/>
                <w:sz w:val="24"/>
                <w:szCs w:val="24"/>
                <w:lang w:eastAsia="lv-LV"/>
              </w:rPr>
              <w:t>piekļūstamības</w:t>
            </w:r>
            <w:r w:rsidRPr="006D0631" w:rsidR="0062236C">
              <w:rPr>
                <w:rFonts w:ascii="Times New Roman" w:eastAsia="Times New Roman" w:hAnsi="Times New Roman" w:cs="Times New Roman"/>
                <w:sz w:val="24"/>
                <w:szCs w:val="24"/>
                <w:lang w:eastAsia="lv-LV"/>
              </w:rPr>
              <w:t xml:space="preserve"> prasībām atbilstoši </w:t>
            </w:r>
            <w:r w:rsidRPr="006D0631" w:rsidR="00363CFF">
              <w:rPr>
                <w:rFonts w:ascii="Times New Roman" w:eastAsia="Times New Roman" w:hAnsi="Times New Roman" w:cs="Times New Roman"/>
                <w:sz w:val="24"/>
                <w:szCs w:val="24"/>
                <w:lang w:eastAsia="lv-LV"/>
              </w:rPr>
              <w:t>Eiropas standarta</w:t>
            </w:r>
            <w:r w:rsidRPr="006D0631" w:rsidR="0062236C">
              <w:rPr>
                <w:rFonts w:ascii="Times New Roman" w:eastAsia="Times New Roman" w:hAnsi="Times New Roman" w:cs="Times New Roman"/>
                <w:sz w:val="24"/>
                <w:szCs w:val="24"/>
                <w:lang w:eastAsia="lv-LV"/>
              </w:rPr>
              <w:t xml:space="preserve">m, kas pārņemts kā Latvijas nacionālais standarts EN 301549:2017 “IKT produktu un pakalpojumu </w:t>
            </w:r>
            <w:r w:rsidRPr="006D0631" w:rsidR="0062236C">
              <w:rPr>
                <w:rFonts w:ascii="Times New Roman" w:eastAsia="Times New Roman" w:hAnsi="Times New Roman" w:cs="Times New Roman"/>
                <w:sz w:val="24"/>
                <w:szCs w:val="24"/>
                <w:lang w:eastAsia="lv-LV"/>
              </w:rPr>
              <w:t>piekļūstamības</w:t>
            </w:r>
            <w:r w:rsidRPr="006D0631" w:rsidR="0062236C">
              <w:rPr>
                <w:rFonts w:ascii="Times New Roman" w:eastAsia="Times New Roman" w:hAnsi="Times New Roman" w:cs="Times New Roman"/>
                <w:sz w:val="24"/>
                <w:szCs w:val="24"/>
                <w:lang w:eastAsia="lv-LV"/>
              </w:rPr>
              <w:t xml:space="preserve"> prasības Eiropas publiskajos iepirkumos”. Standarts ir tulkots latviski un pieejams tīmekļvietnē </w:t>
            </w:r>
            <w:r>
              <w:fldChar w:fldCharType="begin"/>
            </w:r>
            <w:r>
              <w:instrText xml:space="preserve"> HYPERLINK "https://www.lvs.lv/lv/products/133571" </w:instrText>
            </w:r>
            <w:r>
              <w:fldChar w:fldCharType="separate"/>
            </w:r>
            <w:r w:rsidRPr="006D0631" w:rsidR="0062236C">
              <w:rPr>
                <w:rStyle w:val="Hyperlink"/>
                <w:rFonts w:ascii="Times New Roman" w:eastAsia="Times New Roman" w:hAnsi="Times New Roman" w:cs="Times New Roman"/>
                <w:sz w:val="24"/>
                <w:szCs w:val="24"/>
                <w:lang w:eastAsia="lv-LV"/>
              </w:rPr>
              <w:t>https://www.lvs.lv/lv/products/133571</w:t>
            </w:r>
            <w:r>
              <w:fldChar w:fldCharType="end"/>
            </w:r>
            <w:r w:rsidRPr="006D0631" w:rsidR="0062236C">
              <w:rPr>
                <w:rFonts w:ascii="Times New Roman" w:eastAsia="Times New Roman" w:hAnsi="Times New Roman" w:cs="Times New Roman"/>
                <w:sz w:val="24"/>
                <w:szCs w:val="24"/>
                <w:lang w:eastAsia="lv-LV"/>
              </w:rPr>
              <w:t xml:space="preserve"> (cena 53,69 EUR).</w:t>
            </w:r>
          </w:p>
          <w:p w:rsidR="00D125A8" w:rsidRPr="006D0631" w:rsidP="00CE2A99" w14:paraId="1D6BF426" w14:textId="3CAA49F2">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Noteikumu projekts paredz atvērt e-pakalpojumus trešo pušu lietojumiem un rīkiem, prasot veidot </w:t>
            </w:r>
            <w:r w:rsidRPr="006D0631">
              <w:rPr>
                <w:rFonts w:ascii="Times New Roman" w:eastAsia="Times New Roman" w:hAnsi="Times New Roman" w:cs="Times New Roman"/>
                <w:i/>
                <w:sz w:val="24"/>
                <w:szCs w:val="24"/>
                <w:lang w:eastAsia="lv-LV"/>
              </w:rPr>
              <w:t>REST</w:t>
            </w:r>
            <w:r w:rsidRPr="006D0631">
              <w:rPr>
                <w:rFonts w:ascii="Times New Roman" w:eastAsia="Times New Roman" w:hAnsi="Times New Roman" w:cs="Times New Roman"/>
                <w:sz w:val="24"/>
                <w:szCs w:val="24"/>
                <w:lang w:eastAsia="lv-LV"/>
              </w:rPr>
              <w:t xml:space="preserve"> </w:t>
            </w:r>
            <w:r w:rsidRPr="006D0631">
              <w:rPr>
                <w:rFonts w:ascii="Times New Roman" w:eastAsia="Times New Roman" w:hAnsi="Times New Roman" w:cs="Times New Roman"/>
                <w:sz w:val="24"/>
                <w:szCs w:val="24"/>
                <w:lang w:eastAsia="lv-LV"/>
              </w:rPr>
              <w:t>programmsaskarnes</w:t>
            </w:r>
            <w:r w:rsidRPr="006D0631">
              <w:rPr>
                <w:rFonts w:ascii="Times New Roman" w:eastAsia="Times New Roman" w:hAnsi="Times New Roman" w:cs="Times New Roman"/>
                <w:sz w:val="24"/>
                <w:szCs w:val="24"/>
                <w:lang w:eastAsia="lv-LV"/>
              </w:rPr>
              <w:t xml:space="preserve"> (</w:t>
            </w:r>
            <w:r w:rsidRPr="006D0631" w:rsidR="00DF4FDA">
              <w:rPr>
                <w:rFonts w:ascii="Times New Roman" w:eastAsia="Times New Roman" w:hAnsi="Times New Roman" w:cs="Times New Roman"/>
                <w:i/>
                <w:sz w:val="24"/>
                <w:szCs w:val="24"/>
                <w:lang w:eastAsia="lv-LV"/>
              </w:rPr>
              <w:t xml:space="preserve">REST </w:t>
            </w:r>
            <w:r w:rsidRPr="006D0631">
              <w:rPr>
                <w:rFonts w:ascii="Times New Roman" w:eastAsia="Times New Roman" w:hAnsi="Times New Roman" w:cs="Times New Roman"/>
                <w:i/>
                <w:sz w:val="24"/>
                <w:szCs w:val="24"/>
                <w:lang w:eastAsia="lv-LV"/>
              </w:rPr>
              <w:t>API</w:t>
            </w:r>
            <w:r w:rsidRPr="006D0631">
              <w:rPr>
                <w:rFonts w:ascii="Times New Roman" w:eastAsia="Times New Roman" w:hAnsi="Times New Roman" w:cs="Times New Roman"/>
                <w:sz w:val="24"/>
                <w:szCs w:val="24"/>
                <w:lang w:eastAsia="lv-LV"/>
              </w:rPr>
              <w:t xml:space="preserve">), tā veicinot </w:t>
            </w:r>
            <w:r w:rsidRPr="006D0631" w:rsidR="00DF4FDA">
              <w:rPr>
                <w:rFonts w:ascii="Times New Roman" w:eastAsia="Times New Roman" w:hAnsi="Times New Roman" w:cs="Times New Roman"/>
                <w:sz w:val="24"/>
                <w:szCs w:val="24"/>
                <w:lang w:eastAsia="lv-LV"/>
              </w:rPr>
              <w:t>e-pakalpojumu</w:t>
            </w:r>
            <w:r w:rsidRPr="006D0631">
              <w:rPr>
                <w:rFonts w:ascii="Times New Roman" w:eastAsia="Times New Roman" w:hAnsi="Times New Roman" w:cs="Times New Roman"/>
                <w:sz w:val="24"/>
                <w:szCs w:val="24"/>
                <w:lang w:eastAsia="lv-LV"/>
              </w:rPr>
              <w:t xml:space="preserve"> plašāku izmantošanu un </w:t>
            </w:r>
            <w:r w:rsidRPr="006D0631">
              <w:rPr>
                <w:rFonts w:ascii="Times New Roman" w:eastAsia="Times New Roman" w:hAnsi="Times New Roman" w:cs="Times New Roman"/>
                <w:sz w:val="24"/>
                <w:szCs w:val="24"/>
                <w:lang w:eastAsia="lv-LV"/>
              </w:rPr>
              <w:t>atkalizmantošanu</w:t>
            </w:r>
            <w:r w:rsidRPr="006D0631">
              <w:rPr>
                <w:rFonts w:ascii="Times New Roman" w:eastAsia="Times New Roman" w:hAnsi="Times New Roman" w:cs="Times New Roman"/>
                <w:sz w:val="24"/>
                <w:szCs w:val="24"/>
                <w:lang w:eastAsia="lv-LV"/>
              </w:rPr>
              <w:t>.</w:t>
            </w:r>
            <w:r w:rsidRPr="006D0631" w:rsidR="004462CD">
              <w:rPr>
                <w:rFonts w:ascii="Times New Roman" w:eastAsia="Times New Roman" w:hAnsi="Times New Roman" w:cs="Times New Roman"/>
                <w:sz w:val="24"/>
                <w:szCs w:val="24"/>
                <w:lang w:eastAsia="lv-LV"/>
              </w:rPr>
              <w:t xml:space="preserve"> </w:t>
            </w:r>
            <w:r w:rsidRPr="006D0631" w:rsidR="004462CD">
              <w:rPr>
                <w:rFonts w:ascii="Times New Roman" w:hAnsi="Times New Roman" w:cs="Times New Roman"/>
                <w:bCs/>
                <w:sz w:val="24"/>
                <w:szCs w:val="24"/>
              </w:rPr>
              <w:t>Programmsaskarne</w:t>
            </w:r>
            <w:r w:rsidRPr="006D0631" w:rsidR="004462CD">
              <w:rPr>
                <w:rFonts w:ascii="Times New Roman" w:hAnsi="Times New Roman" w:cs="Times New Roman"/>
                <w:sz w:val="24"/>
                <w:szCs w:val="24"/>
              </w:rPr>
              <w:t xml:space="preserve"> jeb </w:t>
            </w:r>
            <w:r w:rsidRPr="006D0631" w:rsidR="004462CD">
              <w:rPr>
                <w:rFonts w:ascii="Times New Roman" w:hAnsi="Times New Roman" w:cs="Times New Roman"/>
                <w:bCs/>
                <w:i/>
                <w:sz w:val="24"/>
                <w:szCs w:val="24"/>
              </w:rPr>
              <w:t>API</w:t>
            </w:r>
            <w:r w:rsidRPr="006D0631" w:rsidR="004462CD">
              <w:rPr>
                <w:rFonts w:ascii="Times New Roman" w:hAnsi="Times New Roman" w:cs="Times New Roman"/>
                <w:sz w:val="24"/>
                <w:szCs w:val="24"/>
              </w:rPr>
              <w:t xml:space="preserve"> (</w:t>
            </w:r>
            <w:r w:rsidRPr="006D0631" w:rsidR="004462CD">
              <w:rPr>
                <w:rFonts w:ascii="Times New Roman" w:hAnsi="Times New Roman" w:cs="Times New Roman"/>
                <w:sz w:val="24"/>
                <w:szCs w:val="24"/>
              </w:rPr>
              <w:t>angl</w:t>
            </w:r>
            <w:r w:rsidRPr="006D0631" w:rsidR="004462CD">
              <w:rPr>
                <w:rFonts w:ascii="Times New Roman" w:hAnsi="Times New Roman" w:cs="Times New Roman"/>
                <w:sz w:val="24"/>
                <w:szCs w:val="24"/>
              </w:rPr>
              <w:t xml:space="preserve">. </w:t>
            </w:r>
            <w:r w:rsidRPr="006D0631" w:rsidR="004462CD">
              <w:rPr>
                <w:rFonts w:ascii="Times New Roman" w:hAnsi="Times New Roman" w:cs="Times New Roman"/>
                <w:i/>
                <w:iCs/>
                <w:sz w:val="24"/>
                <w:szCs w:val="24"/>
              </w:rPr>
              <w:t>application</w:t>
            </w:r>
            <w:r w:rsidRPr="006D0631" w:rsidR="004462CD">
              <w:rPr>
                <w:rFonts w:ascii="Times New Roman" w:hAnsi="Times New Roman" w:cs="Times New Roman"/>
                <w:i/>
                <w:iCs/>
                <w:sz w:val="24"/>
                <w:szCs w:val="24"/>
              </w:rPr>
              <w:t xml:space="preserve"> </w:t>
            </w:r>
            <w:r w:rsidRPr="006D0631" w:rsidR="004462CD">
              <w:rPr>
                <w:rFonts w:ascii="Times New Roman" w:hAnsi="Times New Roman" w:cs="Times New Roman"/>
                <w:i/>
                <w:iCs/>
                <w:sz w:val="24"/>
                <w:szCs w:val="24"/>
              </w:rPr>
              <w:t>programming</w:t>
            </w:r>
            <w:r w:rsidRPr="006D0631" w:rsidR="004462CD">
              <w:rPr>
                <w:rFonts w:ascii="Times New Roman" w:hAnsi="Times New Roman" w:cs="Times New Roman"/>
                <w:i/>
                <w:iCs/>
                <w:sz w:val="24"/>
                <w:szCs w:val="24"/>
              </w:rPr>
              <w:t xml:space="preserve"> </w:t>
            </w:r>
            <w:r w:rsidRPr="006D0631" w:rsidR="004462CD">
              <w:rPr>
                <w:rFonts w:ascii="Times New Roman" w:hAnsi="Times New Roman" w:cs="Times New Roman"/>
                <w:i/>
                <w:iCs/>
                <w:sz w:val="24"/>
                <w:szCs w:val="24"/>
              </w:rPr>
              <w:t>interface</w:t>
            </w:r>
            <w:r w:rsidRPr="006D0631" w:rsidR="004462CD">
              <w:rPr>
                <w:rFonts w:ascii="Times New Roman" w:hAnsi="Times New Roman" w:cs="Times New Roman"/>
                <w:sz w:val="24"/>
                <w:szCs w:val="24"/>
              </w:rPr>
              <w:t xml:space="preserve">; sinonīmi – programmatūras saskarne, </w:t>
            </w:r>
            <w:r w:rsidRPr="006D0631" w:rsidR="004462CD">
              <w:rPr>
                <w:rFonts w:ascii="Times New Roman" w:hAnsi="Times New Roman" w:cs="Times New Roman"/>
                <w:i/>
                <w:sz w:val="24"/>
                <w:szCs w:val="24"/>
              </w:rPr>
              <w:t>API</w:t>
            </w:r>
            <w:r w:rsidRPr="006D0631" w:rsidR="004462CD">
              <w:rPr>
                <w:rFonts w:ascii="Times New Roman" w:hAnsi="Times New Roman" w:cs="Times New Roman"/>
                <w:sz w:val="24"/>
                <w:szCs w:val="24"/>
              </w:rPr>
              <w:t xml:space="preserve"> saskarne, lietojumprogrammu saskarne) ir programmatūras un protokolu kopums, kas nodrošina mijiedarbību starp diviem programmproduktiem vai programmatūras moduļiem. Parasti </w:t>
            </w:r>
            <w:r w:rsidRPr="006D0631" w:rsidR="004462CD">
              <w:rPr>
                <w:rFonts w:ascii="Times New Roman" w:hAnsi="Times New Roman" w:cs="Times New Roman"/>
                <w:sz w:val="24"/>
                <w:szCs w:val="24"/>
              </w:rPr>
              <w:t>programmsaskarni</w:t>
            </w:r>
            <w:r w:rsidRPr="006D0631" w:rsidR="004462CD">
              <w:rPr>
                <w:rFonts w:ascii="Times New Roman" w:hAnsi="Times New Roman" w:cs="Times New Roman"/>
                <w:sz w:val="24"/>
                <w:szCs w:val="24"/>
              </w:rPr>
              <w:t xml:space="preserve"> </w:t>
            </w:r>
            <w:r w:rsidRPr="006D0631" w:rsidR="004462CD">
              <w:rPr>
                <w:rFonts w:ascii="Times New Roman" w:hAnsi="Times New Roman" w:cs="Times New Roman"/>
                <w:sz w:val="24"/>
                <w:szCs w:val="24"/>
              </w:rPr>
              <w:t>izmanto datu apmaiņai starp diviem programmproduktiem vai noteiktu funkciju veikšanai vienā programmproduktā, izmantojot citu programmproduktu.</w:t>
            </w:r>
            <w:r w:rsidRPr="006D0631" w:rsidR="00B82F2C">
              <w:rPr>
                <w:rFonts w:ascii="Times New Roman" w:hAnsi="Times New Roman" w:cs="Times New Roman"/>
                <w:sz w:val="24"/>
                <w:szCs w:val="24"/>
              </w:rPr>
              <w:t xml:space="preserve"> Savukārt </w:t>
            </w:r>
            <w:r w:rsidRPr="006D0631" w:rsidR="00B82F2C">
              <w:rPr>
                <w:rFonts w:ascii="Times New Roman" w:hAnsi="Times New Roman" w:cs="Times New Roman"/>
                <w:i/>
                <w:sz w:val="24"/>
                <w:szCs w:val="24"/>
              </w:rPr>
              <w:t>REST</w:t>
            </w:r>
            <w:r w:rsidRPr="006D0631" w:rsidR="00B82F2C">
              <w:rPr>
                <w:rFonts w:ascii="Times New Roman" w:hAnsi="Times New Roman" w:cs="Times New Roman"/>
                <w:sz w:val="24"/>
                <w:szCs w:val="24"/>
              </w:rPr>
              <w:t xml:space="preserve"> saskarne (</w:t>
            </w:r>
            <w:r w:rsidRPr="006D0631" w:rsidR="00B82F2C">
              <w:rPr>
                <w:rFonts w:ascii="Times New Roman" w:hAnsi="Times New Roman" w:cs="Times New Roman"/>
                <w:i/>
                <w:sz w:val="24"/>
                <w:szCs w:val="24"/>
              </w:rPr>
              <w:t>REST API</w:t>
            </w:r>
            <w:r w:rsidRPr="006D0631" w:rsidR="00B82F2C">
              <w:rPr>
                <w:rFonts w:ascii="Times New Roman" w:hAnsi="Times New Roman" w:cs="Times New Roman"/>
                <w:sz w:val="24"/>
                <w:szCs w:val="24"/>
              </w:rPr>
              <w:t xml:space="preserve">) ir </w:t>
            </w:r>
            <w:r w:rsidRPr="006D0631" w:rsidR="00B82F2C">
              <w:rPr>
                <w:rFonts w:ascii="Times New Roman" w:hAnsi="Times New Roman" w:cs="Times New Roman"/>
                <w:sz w:val="24"/>
                <w:szCs w:val="24"/>
              </w:rPr>
              <w:t>programmsaskarne</w:t>
            </w:r>
            <w:r w:rsidRPr="006D0631" w:rsidR="00B82F2C">
              <w:rPr>
                <w:rFonts w:ascii="Times New Roman" w:hAnsi="Times New Roman" w:cs="Times New Roman"/>
                <w:sz w:val="24"/>
                <w:szCs w:val="24"/>
              </w:rPr>
              <w:t xml:space="preserve">, kurā datu apmaiņai izmanto </w:t>
            </w:r>
            <w:r w:rsidRPr="006D0631" w:rsidR="00B82F2C">
              <w:rPr>
                <w:rFonts w:ascii="Times New Roman" w:hAnsi="Times New Roman" w:cs="Times New Roman"/>
                <w:i/>
                <w:sz w:val="24"/>
                <w:szCs w:val="24"/>
              </w:rPr>
              <w:t>HTTP</w:t>
            </w:r>
            <w:r w:rsidRPr="006D0631" w:rsidR="00B82F2C">
              <w:rPr>
                <w:rFonts w:ascii="Times New Roman" w:hAnsi="Times New Roman" w:cs="Times New Roman"/>
                <w:sz w:val="24"/>
                <w:szCs w:val="24"/>
              </w:rPr>
              <w:t xml:space="preserve"> protokolu un reprezentatīvo stāvokļu pārraides (</w:t>
            </w:r>
            <w:r w:rsidRPr="006D0631" w:rsidR="00B82F2C">
              <w:rPr>
                <w:rFonts w:ascii="Times New Roman" w:hAnsi="Times New Roman" w:cs="Times New Roman"/>
                <w:i/>
                <w:sz w:val="24"/>
                <w:szCs w:val="24"/>
              </w:rPr>
              <w:t>representational</w:t>
            </w:r>
            <w:r w:rsidRPr="006D0631" w:rsidR="00B82F2C">
              <w:rPr>
                <w:rFonts w:ascii="Times New Roman" w:hAnsi="Times New Roman" w:cs="Times New Roman"/>
                <w:i/>
                <w:sz w:val="24"/>
                <w:szCs w:val="24"/>
              </w:rPr>
              <w:t xml:space="preserve"> </w:t>
            </w:r>
            <w:r w:rsidRPr="006D0631" w:rsidR="00B82F2C">
              <w:rPr>
                <w:rFonts w:ascii="Times New Roman" w:hAnsi="Times New Roman" w:cs="Times New Roman"/>
                <w:i/>
                <w:sz w:val="24"/>
                <w:szCs w:val="24"/>
              </w:rPr>
              <w:t>state</w:t>
            </w:r>
            <w:r w:rsidRPr="006D0631" w:rsidR="00B82F2C">
              <w:rPr>
                <w:rFonts w:ascii="Times New Roman" w:hAnsi="Times New Roman" w:cs="Times New Roman"/>
                <w:i/>
                <w:sz w:val="24"/>
                <w:szCs w:val="24"/>
              </w:rPr>
              <w:t xml:space="preserve"> </w:t>
            </w:r>
            <w:r w:rsidRPr="006D0631" w:rsidR="00B82F2C">
              <w:rPr>
                <w:rFonts w:ascii="Times New Roman" w:hAnsi="Times New Roman" w:cs="Times New Roman"/>
                <w:i/>
                <w:sz w:val="24"/>
                <w:szCs w:val="24"/>
              </w:rPr>
              <w:t>transfer</w:t>
            </w:r>
            <w:r w:rsidRPr="006D0631" w:rsidR="00B82F2C">
              <w:rPr>
                <w:rFonts w:ascii="Times New Roman" w:hAnsi="Times New Roman" w:cs="Times New Roman"/>
                <w:sz w:val="24"/>
                <w:szCs w:val="24"/>
              </w:rPr>
              <w:t xml:space="preserve">, </w:t>
            </w:r>
            <w:r w:rsidRPr="006D0631" w:rsidR="00B82F2C">
              <w:rPr>
                <w:rFonts w:ascii="Times New Roman" w:hAnsi="Times New Roman" w:cs="Times New Roman"/>
                <w:i/>
                <w:sz w:val="24"/>
                <w:szCs w:val="24"/>
              </w:rPr>
              <w:t>REST</w:t>
            </w:r>
            <w:r w:rsidRPr="006D0631" w:rsidR="00B82F2C">
              <w:rPr>
                <w:rFonts w:ascii="Times New Roman" w:hAnsi="Times New Roman" w:cs="Times New Roman"/>
                <w:sz w:val="24"/>
                <w:szCs w:val="24"/>
              </w:rPr>
              <w:t xml:space="preserve">) tehnoloģiju. Salīdzinājumā ar otru plaši izplatītu </w:t>
            </w:r>
            <w:r w:rsidRPr="006D0631" w:rsidR="00B82F2C">
              <w:rPr>
                <w:rFonts w:ascii="Times New Roman" w:hAnsi="Times New Roman" w:cs="Times New Roman"/>
                <w:sz w:val="24"/>
                <w:szCs w:val="24"/>
              </w:rPr>
              <w:t>programmsaskarņu</w:t>
            </w:r>
            <w:r w:rsidRPr="006D0631" w:rsidR="00B82F2C">
              <w:rPr>
                <w:rFonts w:ascii="Times New Roman" w:hAnsi="Times New Roman" w:cs="Times New Roman"/>
                <w:sz w:val="24"/>
                <w:szCs w:val="24"/>
              </w:rPr>
              <w:t xml:space="preserve"> veidu – </w:t>
            </w:r>
            <w:r w:rsidRPr="006D0631" w:rsidR="00B82F2C">
              <w:rPr>
                <w:rFonts w:ascii="Times New Roman" w:hAnsi="Times New Roman" w:cs="Times New Roman"/>
                <w:i/>
                <w:sz w:val="24"/>
                <w:szCs w:val="24"/>
              </w:rPr>
              <w:t>SOAP</w:t>
            </w:r>
            <w:r w:rsidRPr="006D0631" w:rsidR="00B82F2C">
              <w:rPr>
                <w:rFonts w:ascii="Times New Roman" w:hAnsi="Times New Roman" w:cs="Times New Roman"/>
                <w:sz w:val="24"/>
                <w:szCs w:val="24"/>
              </w:rPr>
              <w:t xml:space="preserve"> saskarnēm – </w:t>
            </w:r>
            <w:r w:rsidRPr="006D0631" w:rsidR="00B82F2C">
              <w:rPr>
                <w:rFonts w:ascii="Times New Roman" w:hAnsi="Times New Roman" w:cs="Times New Roman"/>
                <w:i/>
                <w:sz w:val="24"/>
                <w:szCs w:val="24"/>
              </w:rPr>
              <w:t>REST</w:t>
            </w:r>
            <w:r w:rsidRPr="006D0631" w:rsidR="00B82F2C">
              <w:rPr>
                <w:rFonts w:ascii="Times New Roman" w:hAnsi="Times New Roman" w:cs="Times New Roman"/>
                <w:sz w:val="24"/>
                <w:szCs w:val="24"/>
              </w:rPr>
              <w:t xml:space="preserve"> saskarnes datu apmaiņai</w:t>
            </w:r>
            <w:r w:rsidRPr="006D0631" w:rsidR="00001898">
              <w:rPr>
                <w:rFonts w:ascii="Times New Roman" w:hAnsi="Times New Roman" w:cs="Times New Roman"/>
                <w:sz w:val="24"/>
                <w:szCs w:val="24"/>
              </w:rPr>
              <w:t xml:space="preserve"> izmanto mazāku datu apjomu </w:t>
            </w:r>
            <w:r w:rsidRPr="006D0631" w:rsidR="007C4A8B">
              <w:rPr>
                <w:rFonts w:ascii="Times New Roman" w:hAnsi="Times New Roman" w:cs="Times New Roman"/>
                <w:sz w:val="24"/>
                <w:szCs w:val="24"/>
              </w:rPr>
              <w:t>un ir vienkāršāk programmējamas, līdz ar to piemērotākas plašākai izmantošanai, t. sk. mobilo lietotņu izstrādei.</w:t>
            </w:r>
          </w:p>
          <w:p w:rsidR="002C23D2" w:rsidRPr="006D0631" w:rsidP="00CE2A99" w14:paraId="00226883" w14:textId="1F1C5A6F">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Pakalpojuma turētājam un e-pakalpojuma nodrošinātājam jānodrošina e-pakalpojumu pastāvīga uzraudzība, darbspējas laiks jeb e-pakalpojuma darbība vismaz 98% mēnesī (ja vien speciālais normatīvais regulējums konkrētajam e-pakalpojuma</w:t>
            </w:r>
            <w:r w:rsidR="00C2360E">
              <w:rPr>
                <w:rFonts w:ascii="Times New Roman" w:eastAsia="Times New Roman" w:hAnsi="Times New Roman" w:cs="Times New Roman"/>
                <w:sz w:val="24"/>
                <w:szCs w:val="24"/>
                <w:lang w:eastAsia="lv-LV"/>
              </w:rPr>
              <w:t>m</w:t>
            </w:r>
            <w:r w:rsidRPr="006D0631">
              <w:rPr>
                <w:rFonts w:ascii="Times New Roman" w:eastAsia="Times New Roman" w:hAnsi="Times New Roman" w:cs="Times New Roman"/>
                <w:sz w:val="24"/>
                <w:szCs w:val="24"/>
                <w:lang w:eastAsia="lv-LV"/>
              </w:rPr>
              <w:t xml:space="preserve"> nenosaka citādi), </w:t>
            </w:r>
            <w:r w:rsidRPr="006D0631">
              <w:rPr>
                <w:rFonts w:ascii="Times New Roman" w:eastAsia="Times New Roman" w:hAnsi="Times New Roman" w:cs="Times New Roman"/>
                <w:sz w:val="24"/>
                <w:szCs w:val="24"/>
                <w:lang w:eastAsia="lv-LV"/>
              </w:rPr>
              <w:t>sekojot informācijas sistēmas resursu patēriņam</w:t>
            </w:r>
            <w:r w:rsidRPr="006D0631">
              <w:rPr>
                <w:rFonts w:ascii="Times New Roman" w:eastAsia="Times New Roman" w:hAnsi="Times New Roman" w:cs="Times New Roman"/>
                <w:sz w:val="24"/>
                <w:szCs w:val="24"/>
                <w:lang w:eastAsia="lv-LV"/>
              </w:rPr>
              <w:t xml:space="preserve"> un lietotāju skaita pieaugumam, savlaicīgi nodrošinot resursus e-pakalpojumu mērogošanai un pakalpojuma turētāja un e-pakalpojuma nodrošinātāja automatizētu brīdināšanu par veiktspējas problēmām vai apstāšanos. Būtiska daļa no šīs uzraudzības ir auditācijas pierakstu veidošana vismaz tādā apmērā, kas ļauj restaurēt un analizēt e-pakalpojuma sniegšanas katra gadījuma katru posmu, lai varētu kontrolēt e-pakalpojuma korektu izpildi un veikt nepieciešamās darbības konfliktsituāciju gadījumā (piemēram, analizējot maksājumu procesu). Auditācijas pieraksti ir ieraksti </w:t>
            </w:r>
            <w:r w:rsidRPr="006D0631">
              <w:rPr>
                <w:rFonts w:ascii="Times New Roman" w:eastAsia="Times New Roman" w:hAnsi="Times New Roman" w:cs="Times New Roman"/>
                <w:sz w:val="24"/>
                <w:szCs w:val="24"/>
                <w:lang w:eastAsia="lv-LV"/>
              </w:rPr>
              <w:t>datoratmiņā</w:t>
            </w:r>
            <w:r w:rsidRPr="006D0631">
              <w:rPr>
                <w:rFonts w:ascii="Times New Roman" w:eastAsia="Times New Roman" w:hAnsi="Times New Roman" w:cs="Times New Roman"/>
                <w:sz w:val="24"/>
                <w:szCs w:val="24"/>
                <w:lang w:eastAsia="lv-LV"/>
              </w:rPr>
              <w:t>, kas izdarīti dažādās informācijas apstrādes procesa stadijās ar nolūku, lai šos ierakstus varētu vēlāk noteiktā secībā pārskatīt un izsekot šī procesa norisei. Vienlaikus jānodrošina e-pakalpojuma sniegšanas statistikas uzkrāšana, saglabājot vismaz datus par katru e-pakalpojuma uzsākšanas gadījumu un šī noteikumu projekta 7. punktā minētos rādītājus.</w:t>
            </w:r>
          </w:p>
          <w:p w:rsidR="00C91471" w:rsidRPr="006D0631" w:rsidP="00CE2A99" w14:paraId="0D4A5A55" w14:textId="431016FF">
            <w:pPr>
              <w:spacing w:after="0" w:line="240" w:lineRule="auto"/>
              <w:jc w:val="both"/>
              <w:rPr>
                <w:rFonts w:ascii="Times New Roman" w:hAnsi="Times New Roman" w:cs="Times New Roman"/>
                <w:sz w:val="24"/>
                <w:szCs w:val="24"/>
              </w:rPr>
            </w:pPr>
            <w:r w:rsidRPr="006D0631">
              <w:rPr>
                <w:rFonts w:ascii="Times New Roman" w:eastAsia="Times New Roman" w:hAnsi="Times New Roman" w:cs="Times New Roman"/>
                <w:sz w:val="24"/>
                <w:szCs w:val="24"/>
                <w:lang w:eastAsia="lv-LV"/>
              </w:rPr>
              <w:t xml:space="preserve">Noteikumu projekts veicina tālāku </w:t>
            </w:r>
            <w:r w:rsidRPr="006D0631" w:rsidR="0031092A">
              <w:rPr>
                <w:rFonts w:ascii="Times New Roman" w:eastAsia="Times New Roman" w:hAnsi="Times New Roman" w:cs="Times New Roman"/>
                <w:sz w:val="24"/>
                <w:szCs w:val="24"/>
                <w:lang w:eastAsia="lv-LV"/>
              </w:rPr>
              <w:t>vienreizes</w:t>
            </w:r>
            <w:r w:rsidRPr="006D0631">
              <w:rPr>
                <w:rFonts w:ascii="Times New Roman" w:eastAsia="Times New Roman" w:hAnsi="Times New Roman" w:cs="Times New Roman"/>
                <w:sz w:val="24"/>
                <w:szCs w:val="24"/>
                <w:lang w:eastAsia="lv-LV"/>
              </w:rPr>
              <w:t xml:space="preserve"> principa ieviešanu</w:t>
            </w:r>
            <w:r w:rsidRPr="006D0631" w:rsidR="0031092A">
              <w:rPr>
                <w:rFonts w:ascii="Times New Roman" w:eastAsia="Times New Roman" w:hAnsi="Times New Roman" w:cs="Times New Roman"/>
                <w:sz w:val="24"/>
                <w:szCs w:val="24"/>
                <w:lang w:eastAsia="lv-LV"/>
              </w:rPr>
              <w:t>.</w:t>
            </w:r>
            <w:r w:rsidRPr="006D0631">
              <w:rPr>
                <w:rFonts w:ascii="Times New Roman" w:eastAsia="Times New Roman" w:hAnsi="Times New Roman" w:cs="Times New Roman"/>
                <w:sz w:val="24"/>
                <w:szCs w:val="24"/>
                <w:lang w:eastAsia="lv-LV"/>
              </w:rPr>
              <w:t xml:space="preserve"> </w:t>
            </w:r>
            <w:r w:rsidRPr="006D0631">
              <w:rPr>
                <w:rFonts w:ascii="Times New Roman" w:hAnsi="Times New Roman" w:cs="Times New Roman"/>
                <w:sz w:val="24"/>
                <w:szCs w:val="24"/>
              </w:rPr>
              <w:t>Termins “</w:t>
            </w:r>
            <w:r w:rsidRPr="006D0631">
              <w:rPr>
                <w:rFonts w:ascii="Times New Roman" w:hAnsi="Times New Roman" w:cs="Times New Roman"/>
                <w:sz w:val="24"/>
                <w:szCs w:val="24"/>
              </w:rPr>
              <w:t>vienreizes</w:t>
            </w:r>
            <w:r w:rsidRPr="006D0631">
              <w:rPr>
                <w:rFonts w:ascii="Times New Roman" w:hAnsi="Times New Roman" w:cs="Times New Roman"/>
                <w:sz w:val="24"/>
                <w:szCs w:val="24"/>
              </w:rPr>
              <w:t xml:space="preserve"> princips” ir LZA Terminoloģijas komisijas </w:t>
            </w:r>
            <w:r>
              <w:fldChar w:fldCharType="begin"/>
            </w:r>
            <w:r>
              <w:instrText xml:space="preserve"> HYPERLINK "http://termini.lza.lv/term.php?term=vienreizes%20princips&amp;lang=LV" </w:instrText>
            </w:r>
            <w:r>
              <w:fldChar w:fldCharType="separate"/>
            </w:r>
            <w:r w:rsidRPr="006D0631">
              <w:rPr>
                <w:rStyle w:val="Hyperlink"/>
                <w:rFonts w:ascii="Times New Roman" w:hAnsi="Times New Roman" w:cs="Times New Roman"/>
                <w:color w:val="auto"/>
                <w:sz w:val="24"/>
                <w:szCs w:val="24"/>
              </w:rPr>
              <w:t>ieteikta atbilsme</w:t>
            </w:r>
            <w:r>
              <w:fldChar w:fldCharType="end"/>
            </w:r>
            <w:r w:rsidRPr="006D0631">
              <w:rPr>
                <w:rFonts w:ascii="Times New Roman" w:hAnsi="Times New Roman" w:cs="Times New Roman"/>
                <w:sz w:val="24"/>
                <w:szCs w:val="24"/>
              </w:rPr>
              <w:t xml:space="preserve"> angļu terminam “</w:t>
            </w:r>
            <w:r w:rsidRPr="006D0631">
              <w:rPr>
                <w:rFonts w:ascii="Times New Roman" w:hAnsi="Times New Roman" w:cs="Times New Roman"/>
                <w:sz w:val="24"/>
                <w:szCs w:val="24"/>
              </w:rPr>
              <w:t>once</w:t>
            </w:r>
            <w:r w:rsidRPr="006D0631">
              <w:rPr>
                <w:rFonts w:ascii="Times New Roman" w:hAnsi="Times New Roman" w:cs="Times New Roman"/>
                <w:sz w:val="24"/>
                <w:szCs w:val="24"/>
              </w:rPr>
              <w:t xml:space="preserve"> </w:t>
            </w:r>
            <w:r w:rsidRPr="006D0631">
              <w:rPr>
                <w:rFonts w:ascii="Times New Roman" w:hAnsi="Times New Roman" w:cs="Times New Roman"/>
                <w:sz w:val="24"/>
                <w:szCs w:val="24"/>
              </w:rPr>
              <w:t>only</w:t>
            </w:r>
            <w:r w:rsidRPr="006D0631">
              <w:rPr>
                <w:rFonts w:ascii="Times New Roman" w:hAnsi="Times New Roman" w:cs="Times New Roman"/>
                <w:sz w:val="24"/>
                <w:szCs w:val="24"/>
              </w:rPr>
              <w:t xml:space="preserve">”, kurš latviski pazīstams arī kā “informē vienreiz princips”. Saskaņā ar Valsts pārvaldes iekārtas likuma 10. panta astoto daļu un Administratīvā procesa likuma 59. panta otro daļu informāciju, kura nepieciešama pārvaldes lēmuma pieņemšanai un kura ir citas institūcijas rīcībā, iestāde iegūst pati, nevis vēlreiz pieprasa no privātpersonas. </w:t>
            </w:r>
            <w:r w:rsidRPr="006D0631" w:rsidR="004F691F">
              <w:rPr>
                <w:rFonts w:ascii="Times New Roman" w:hAnsi="Times New Roman" w:cs="Times New Roman"/>
                <w:sz w:val="24"/>
                <w:szCs w:val="24"/>
              </w:rPr>
              <w:t xml:space="preserve">Lai nodrošinātu </w:t>
            </w:r>
            <w:r w:rsidRPr="006D0631" w:rsidR="004F691F">
              <w:rPr>
                <w:rFonts w:ascii="Times New Roman" w:hAnsi="Times New Roman" w:cs="Times New Roman"/>
                <w:sz w:val="24"/>
                <w:szCs w:val="24"/>
              </w:rPr>
              <w:t>vienreizes</w:t>
            </w:r>
            <w:r w:rsidRPr="006D0631" w:rsidR="004F691F">
              <w:rPr>
                <w:rFonts w:ascii="Times New Roman" w:hAnsi="Times New Roman" w:cs="Times New Roman"/>
                <w:sz w:val="24"/>
                <w:szCs w:val="24"/>
              </w:rPr>
              <w:t xml:space="preserve"> principa īstenošanu, pakalpojuma turētājam jāizmanto visi pieejamie datu avoti, to skaitā arī valsts informācijas sistēmās esošie dati, kas pieejami </w:t>
            </w:r>
            <w:r w:rsidRPr="006D0631" w:rsidR="004F691F">
              <w:rPr>
                <w:rFonts w:ascii="Times New Roman" w:hAnsi="Times New Roman" w:cs="Times New Roman"/>
                <w:sz w:val="24"/>
                <w:szCs w:val="24"/>
              </w:rPr>
              <w:t>pakalpju</w:t>
            </w:r>
            <w:r w:rsidRPr="006D0631" w:rsidR="004F691F">
              <w:rPr>
                <w:rFonts w:ascii="Times New Roman" w:hAnsi="Times New Roman" w:cs="Times New Roman"/>
                <w:sz w:val="24"/>
                <w:szCs w:val="24"/>
              </w:rPr>
              <w:t xml:space="preserve"> veidā Valsts informācijas sistēmu savietotājā.</w:t>
            </w:r>
          </w:p>
          <w:p w:rsidR="00ED7962" w:rsidRPr="006D0631" w:rsidP="00201169" w14:paraId="326CA886" w14:textId="1CF5364E">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w:t>
            </w:r>
            <w:r w:rsidRPr="006D0631" w:rsidR="0031092A">
              <w:rPr>
                <w:rFonts w:ascii="Times New Roman" w:eastAsia="Times New Roman" w:hAnsi="Times New Roman" w:cs="Times New Roman"/>
                <w:sz w:val="24"/>
                <w:szCs w:val="24"/>
                <w:lang w:eastAsia="lv-LV"/>
              </w:rPr>
              <w:t>s arī</w:t>
            </w:r>
            <w:r w:rsidRPr="006D0631" w:rsidR="00363CFF">
              <w:rPr>
                <w:rFonts w:ascii="Times New Roman" w:eastAsia="Times New Roman" w:hAnsi="Times New Roman" w:cs="Times New Roman"/>
                <w:sz w:val="24"/>
                <w:szCs w:val="24"/>
                <w:lang w:eastAsia="lv-LV"/>
              </w:rPr>
              <w:t xml:space="preserve"> risina</w:t>
            </w:r>
            <w:r w:rsidRPr="006D0631" w:rsidR="00170BF0">
              <w:rPr>
                <w:rFonts w:ascii="Times New Roman" w:eastAsia="Times New Roman" w:hAnsi="Times New Roman" w:cs="Times New Roman"/>
                <w:sz w:val="24"/>
                <w:szCs w:val="24"/>
                <w:lang w:eastAsia="lv-LV"/>
              </w:rPr>
              <w:t xml:space="preserve"> neskaidrības par pakalpojuma turētāja, </w:t>
            </w:r>
            <w:r w:rsidRPr="006D0631" w:rsidR="008279EA">
              <w:rPr>
                <w:rFonts w:ascii="Times New Roman" w:eastAsia="Times New Roman" w:hAnsi="Times New Roman" w:cs="Times New Roman"/>
                <w:sz w:val="24"/>
                <w:szCs w:val="24"/>
                <w:lang w:eastAsia="lv-LV"/>
              </w:rPr>
              <w:t>e-pakalpojuma nodrošinātāja</w:t>
            </w:r>
            <w:r w:rsidRPr="006D0631" w:rsidR="00170BF0">
              <w:rPr>
                <w:rFonts w:ascii="Times New Roman" w:eastAsia="Times New Roman" w:hAnsi="Times New Roman" w:cs="Times New Roman"/>
                <w:sz w:val="24"/>
                <w:szCs w:val="24"/>
                <w:lang w:eastAsia="lv-LV"/>
              </w:rPr>
              <w:t xml:space="preserve"> un </w:t>
            </w:r>
            <w:r w:rsidRPr="006D0631" w:rsidR="00170BF0">
              <w:rPr>
                <w:rFonts w:ascii="Times New Roman" w:eastAsia="Times New Roman" w:hAnsi="Times New Roman" w:cs="Times New Roman"/>
                <w:sz w:val="24"/>
                <w:szCs w:val="24"/>
                <w:lang w:eastAsia="lv-LV"/>
              </w:rPr>
              <w:t>saņēmēja tiesībām veikt e-pakalpojuma sniegšanai nepieciešamo datu apmaiņu.</w:t>
            </w:r>
            <w:r w:rsidRPr="006D0631">
              <w:rPr>
                <w:rFonts w:ascii="Times New Roman" w:eastAsia="Times New Roman" w:hAnsi="Times New Roman" w:cs="Times New Roman"/>
                <w:sz w:val="24"/>
                <w:szCs w:val="24"/>
                <w:lang w:eastAsia="lv-LV"/>
              </w:rPr>
              <w:t xml:space="preserve"> </w:t>
            </w:r>
          </w:p>
          <w:p w:rsidR="00D125A8" w:rsidRPr="006D0631" w:rsidP="00201169" w14:paraId="186F1679" w14:textId="3C024734">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w:t>
            </w:r>
            <w:r w:rsidRPr="006D0631" w:rsidR="00ED7962">
              <w:rPr>
                <w:rFonts w:ascii="Times New Roman" w:eastAsia="Times New Roman" w:hAnsi="Times New Roman" w:cs="Times New Roman"/>
                <w:sz w:val="24"/>
                <w:szCs w:val="24"/>
                <w:lang w:eastAsia="lv-LV"/>
              </w:rPr>
              <w:t xml:space="preserve">s veicina </w:t>
            </w:r>
            <w:r w:rsidRPr="006D0631" w:rsidR="00ED7962">
              <w:rPr>
                <w:rFonts w:ascii="Times New Roman" w:eastAsia="Times New Roman" w:hAnsi="Times New Roman" w:cs="Times New Roman"/>
                <w:sz w:val="24"/>
                <w:szCs w:val="24"/>
                <w:lang w:eastAsia="lv-LV"/>
              </w:rPr>
              <w:t>proaktīvu</w:t>
            </w:r>
            <w:r w:rsidRPr="006D0631" w:rsidR="00ED7962">
              <w:rPr>
                <w:rFonts w:ascii="Times New Roman" w:eastAsia="Times New Roman" w:hAnsi="Times New Roman" w:cs="Times New Roman"/>
                <w:sz w:val="24"/>
                <w:szCs w:val="24"/>
                <w:lang w:eastAsia="lv-LV"/>
              </w:rPr>
              <w:t xml:space="preserve"> pakalpojumu sniegšanu tiem e-pakalpojumu saņēmējiem, kas </w:t>
            </w:r>
            <w:r w:rsidRPr="006D0631" w:rsidR="00ED7962">
              <w:rPr>
                <w:rFonts w:ascii="Times New Roman" w:eastAsia="Times New Roman" w:hAnsi="Times New Roman" w:cs="Times New Roman"/>
                <w:sz w:val="24"/>
                <w:szCs w:val="24"/>
                <w:lang w:eastAsia="lv-LV"/>
              </w:rPr>
              <w:t>proaktīvai</w:t>
            </w:r>
            <w:r w:rsidRPr="006D0631" w:rsidR="00ED7962">
              <w:rPr>
                <w:rFonts w:ascii="Times New Roman" w:eastAsia="Times New Roman" w:hAnsi="Times New Roman" w:cs="Times New Roman"/>
                <w:sz w:val="24"/>
                <w:szCs w:val="24"/>
                <w:lang w:eastAsia="lv-LV"/>
              </w:rPr>
              <w:t xml:space="preserve"> informēšan</w:t>
            </w:r>
            <w:r w:rsidR="00A616F8">
              <w:rPr>
                <w:rFonts w:ascii="Times New Roman" w:eastAsia="Times New Roman" w:hAnsi="Times New Roman" w:cs="Times New Roman"/>
                <w:sz w:val="24"/>
                <w:szCs w:val="24"/>
                <w:lang w:eastAsia="lv-LV"/>
              </w:rPr>
              <w:t xml:space="preserve">ai vai sniegšanai ir piekrituši, kas </w:t>
            </w:r>
            <w:r w:rsidRPr="006D0631" w:rsidR="004B6957">
              <w:rPr>
                <w:rFonts w:ascii="Times New Roman" w:eastAsia="Times New Roman" w:hAnsi="Times New Roman" w:cs="Times New Roman"/>
                <w:sz w:val="24"/>
                <w:szCs w:val="24"/>
                <w:lang w:eastAsia="lv-LV"/>
              </w:rPr>
              <w:t>tiks iegūta atbilstoši Fizisko personu datu aizsardzības likumā definētajai “datu subjekta piekrišanai” (brīvi, nepārprotami izteikts gribas apliecinājums).</w:t>
            </w:r>
            <w:r w:rsidRPr="006D0631" w:rsidR="004B6957">
              <w:t xml:space="preserve"> </w:t>
            </w:r>
            <w:r w:rsidRPr="006D0631" w:rsidR="004B6957">
              <w:rPr>
                <w:rFonts w:ascii="Times New Roman" w:eastAsia="Times New Roman" w:hAnsi="Times New Roman" w:cs="Times New Roman"/>
                <w:sz w:val="24"/>
                <w:szCs w:val="24"/>
                <w:lang w:eastAsia="lv-LV"/>
              </w:rPr>
              <w:t xml:space="preserve">“Iespējamais pakalpojuma saņēmējs” ir pakalpojuma saņēmējs, kuram, iespējams, šis pakalpojums ir nepieciešams. Iespējamo pakalpojumu veidus vai konkrētos pakalpojumus varēs izvēlēties, piekrītot saņemt </w:t>
            </w:r>
            <w:r w:rsidRPr="006D0631" w:rsidR="004B6957">
              <w:rPr>
                <w:rFonts w:ascii="Times New Roman" w:eastAsia="Times New Roman" w:hAnsi="Times New Roman" w:cs="Times New Roman"/>
                <w:sz w:val="24"/>
                <w:szCs w:val="24"/>
                <w:lang w:eastAsia="lv-LV"/>
              </w:rPr>
              <w:t>proaktīvos</w:t>
            </w:r>
            <w:r w:rsidRPr="006D0631" w:rsidR="004B6957">
              <w:rPr>
                <w:rFonts w:ascii="Times New Roman" w:eastAsia="Times New Roman" w:hAnsi="Times New Roman" w:cs="Times New Roman"/>
                <w:sz w:val="24"/>
                <w:szCs w:val="24"/>
                <w:lang w:eastAsia="lv-LV"/>
              </w:rPr>
              <w:t xml:space="preserve"> paziņojumus.</w:t>
            </w:r>
          </w:p>
          <w:p w:rsidR="00ED7962" w:rsidRPr="006D0631" w:rsidP="00201169" w14:paraId="5F3C459C" w14:textId="611DBAD8">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w:t>
            </w:r>
            <w:r w:rsidRPr="006D0631">
              <w:rPr>
                <w:rFonts w:ascii="Times New Roman" w:eastAsia="Times New Roman" w:hAnsi="Times New Roman" w:cs="Times New Roman"/>
                <w:sz w:val="24"/>
                <w:szCs w:val="24"/>
                <w:lang w:eastAsia="lv-LV"/>
              </w:rPr>
              <w:t>s nosaka minimālo atbalstu e-pakalpojumu saņēmējam, tai skaitā informēšanu par jautājuma saņemšanu un atbildes sniegšanas termiņu.</w:t>
            </w:r>
          </w:p>
          <w:p w:rsidR="00ED7962" w:rsidRPr="006D0631" w:rsidP="00201169" w14:paraId="5A7B8264" w14:textId="6681E32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Noteikumu projekts apraksta </w:t>
            </w:r>
            <w:r w:rsidRPr="006D0631">
              <w:rPr>
                <w:rFonts w:ascii="Times New Roman" w:eastAsia="Times New Roman" w:hAnsi="Times New Roman" w:cs="Times New Roman"/>
                <w:sz w:val="24"/>
                <w:szCs w:val="24"/>
                <w:lang w:eastAsia="lv-LV"/>
              </w:rPr>
              <w:t xml:space="preserve">pakalpojuma turētāja un </w:t>
            </w:r>
            <w:r w:rsidRPr="006D0631">
              <w:rPr>
                <w:rFonts w:ascii="Times New Roman" w:eastAsia="Times New Roman" w:hAnsi="Times New Roman" w:cs="Times New Roman"/>
                <w:sz w:val="24"/>
                <w:szCs w:val="24"/>
                <w:lang w:eastAsia="lv-LV"/>
              </w:rPr>
              <w:t>e-pakalpojuma nodrošinātāja</w:t>
            </w:r>
            <w:r w:rsidRPr="006D0631">
              <w:rPr>
                <w:rFonts w:ascii="Times New Roman" w:eastAsia="Times New Roman" w:hAnsi="Times New Roman" w:cs="Times New Roman"/>
                <w:sz w:val="24"/>
                <w:szCs w:val="24"/>
                <w:lang w:eastAsia="lv-LV"/>
              </w:rPr>
              <w:t xml:space="preserve"> tiesības un pienākumus, tai skaitā</w:t>
            </w:r>
            <w:r w:rsidRPr="006D0631" w:rsidR="00FB0E94">
              <w:rPr>
                <w:rFonts w:ascii="Times New Roman" w:eastAsia="Times New Roman" w:hAnsi="Times New Roman" w:cs="Times New Roman"/>
                <w:sz w:val="24"/>
                <w:szCs w:val="24"/>
                <w:lang w:eastAsia="lv-LV"/>
              </w:rPr>
              <w:t xml:space="preserve"> nosakot e-pakalpojuma nodrošināšanu, uzturēšanu un attīstību, konsultatīvo atbalstu, e-pakalpojuma apturēšanas nosacījumiem un pārvaldības koordināciju.</w:t>
            </w:r>
          </w:p>
          <w:p w:rsidR="00E43315" w:rsidRPr="006D0631" w:rsidP="00201169" w14:paraId="6E237350" w14:textId="54995800">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Valsts pakalpojumu turētājiem j</w:t>
            </w:r>
            <w:r w:rsidR="00201169">
              <w:rPr>
                <w:rFonts w:ascii="Times New Roman" w:eastAsia="Times New Roman" w:hAnsi="Times New Roman" w:cs="Times New Roman"/>
                <w:sz w:val="24"/>
                <w:szCs w:val="24"/>
                <w:lang w:eastAsia="lv-LV"/>
              </w:rPr>
              <w:t>āņem vērā, ka ne vēlāk kā 2018. gada 29. </w:t>
            </w:r>
            <w:r w:rsidRPr="006D0631">
              <w:rPr>
                <w:rFonts w:ascii="Times New Roman" w:eastAsia="Times New Roman" w:hAnsi="Times New Roman" w:cs="Times New Roman"/>
                <w:sz w:val="24"/>
                <w:szCs w:val="24"/>
                <w:lang w:eastAsia="lv-LV"/>
              </w:rPr>
              <w:t xml:space="preserve">septembrī jānodrošina e-pakalpojumu pārrobežu pieejamība, izmantojot Eiropas </w:t>
            </w:r>
            <w:r w:rsidR="00201169">
              <w:rPr>
                <w:rFonts w:ascii="Times New Roman" w:eastAsia="Times New Roman" w:hAnsi="Times New Roman" w:cs="Times New Roman"/>
                <w:sz w:val="24"/>
                <w:szCs w:val="24"/>
                <w:lang w:eastAsia="lv-LV"/>
              </w:rPr>
              <w:t xml:space="preserve">Savienības </w:t>
            </w:r>
            <w:r w:rsidRPr="006D0631">
              <w:rPr>
                <w:rFonts w:ascii="Times New Roman" w:eastAsia="Times New Roman" w:hAnsi="Times New Roman" w:cs="Times New Roman"/>
                <w:sz w:val="24"/>
                <w:szCs w:val="24"/>
                <w:lang w:eastAsia="lv-LV"/>
              </w:rPr>
              <w:t>dalībvalstu piedāvātās autentifikācijas shēmas. Tiek plānots, ka šī iespēja tiks nodrošināta centralizēti, veicot izmaiņas V</w:t>
            </w:r>
            <w:r w:rsidR="00201169">
              <w:rPr>
                <w:rFonts w:ascii="Times New Roman" w:eastAsia="Times New Roman" w:hAnsi="Times New Roman" w:cs="Times New Roman"/>
                <w:sz w:val="24"/>
                <w:szCs w:val="24"/>
                <w:lang w:eastAsia="lv-LV"/>
              </w:rPr>
              <w:t xml:space="preserve">alsts reģionālās attīstības aģentūras (turpmāk </w:t>
            </w:r>
            <w:r w:rsidRPr="00201169" w:rsidR="00201169">
              <w:rPr>
                <w:rFonts w:ascii="Times New Roman" w:eastAsia="Times New Roman" w:hAnsi="Times New Roman" w:cs="Times New Roman"/>
                <w:sz w:val="24"/>
                <w:szCs w:val="24"/>
                <w:lang w:eastAsia="lv-LV"/>
              </w:rPr>
              <w:t>–</w:t>
            </w:r>
            <w:r w:rsidR="00201169">
              <w:rPr>
                <w:rFonts w:ascii="Times New Roman" w:eastAsia="Times New Roman" w:hAnsi="Times New Roman" w:cs="Times New Roman"/>
                <w:sz w:val="24"/>
                <w:szCs w:val="24"/>
                <w:lang w:eastAsia="lv-LV"/>
              </w:rPr>
              <w:t xml:space="preserve"> V</w:t>
            </w:r>
            <w:r w:rsidRPr="006D0631">
              <w:rPr>
                <w:rFonts w:ascii="Times New Roman" w:eastAsia="Times New Roman" w:hAnsi="Times New Roman" w:cs="Times New Roman"/>
                <w:sz w:val="24"/>
                <w:szCs w:val="24"/>
                <w:lang w:eastAsia="lv-LV"/>
              </w:rPr>
              <w:t>RAA</w:t>
            </w:r>
            <w:r w:rsidR="00201169">
              <w:rPr>
                <w:rFonts w:ascii="Times New Roman" w:eastAsia="Times New Roman" w:hAnsi="Times New Roman" w:cs="Times New Roman"/>
                <w:sz w:val="24"/>
                <w:szCs w:val="24"/>
                <w:lang w:eastAsia="lv-LV"/>
              </w:rPr>
              <w:t>)</w:t>
            </w:r>
            <w:r w:rsidRPr="006D0631">
              <w:rPr>
                <w:rFonts w:ascii="Times New Roman" w:eastAsia="Times New Roman" w:hAnsi="Times New Roman" w:cs="Times New Roman"/>
                <w:sz w:val="24"/>
                <w:szCs w:val="24"/>
                <w:lang w:eastAsia="lv-LV"/>
              </w:rPr>
              <w:t xml:space="preserve"> vienotās pieteikšanās (autentifikācijas) modulī. Izmaiņas tiks </w:t>
            </w:r>
            <w:r w:rsidRPr="006D0631">
              <w:rPr>
                <w:rFonts w:ascii="Times New Roman" w:eastAsia="Times New Roman" w:hAnsi="Times New Roman" w:cs="Times New Roman"/>
                <w:sz w:val="24"/>
                <w:szCs w:val="24"/>
                <w:lang w:eastAsia="lv-LV"/>
              </w:rPr>
              <w:t>veikts divu projektu</w:t>
            </w:r>
            <w:r w:rsidRPr="006D0631">
              <w:rPr>
                <w:rFonts w:ascii="Times New Roman" w:eastAsia="Times New Roman" w:hAnsi="Times New Roman" w:cs="Times New Roman"/>
                <w:sz w:val="24"/>
                <w:szCs w:val="24"/>
                <w:lang w:eastAsia="lv-LV"/>
              </w:rPr>
              <w:t xml:space="preserve"> (VRAA </w:t>
            </w:r>
            <w:r w:rsidRPr="006D0631">
              <w:rPr>
                <w:rFonts w:ascii="Times New Roman" w:eastAsia="Times New Roman" w:hAnsi="Times New Roman" w:cs="Times New Roman"/>
                <w:sz w:val="24"/>
                <w:szCs w:val="24"/>
                <w:lang w:eastAsia="lv-LV"/>
              </w:rPr>
              <w:t>eIDAS</w:t>
            </w:r>
            <w:r w:rsidRPr="006D0631">
              <w:rPr>
                <w:rFonts w:ascii="Times New Roman" w:eastAsia="Times New Roman" w:hAnsi="Times New Roman" w:cs="Times New Roman"/>
                <w:sz w:val="24"/>
                <w:szCs w:val="24"/>
                <w:lang w:eastAsia="lv-LV"/>
              </w:rPr>
              <w:t xml:space="preserve"> projekta un PMLP projekta “Fizisko personu datu pakalpojumu modernizācija”) sadarbības rezultātā. Šo projektu īstenošanas laikā tiks precizētas e-pakalpojumu izstrādātājiem un turētājiem ievērojamās prasības, un attiecīgi tiks papildināti šie Ministru kabineta noteikumi.</w:t>
            </w:r>
          </w:p>
          <w:p w:rsidR="00201169" w:rsidP="00201169" w14:paraId="5705AC78" w14:textId="77777777">
            <w:pPr>
              <w:spacing w:after="0" w:line="240" w:lineRule="auto"/>
              <w:jc w:val="both"/>
              <w:rPr>
                <w:rFonts w:ascii="Times New Roman" w:eastAsia="Times New Roman" w:hAnsi="Times New Roman" w:cs="Times New Roman"/>
                <w:sz w:val="24"/>
                <w:szCs w:val="24"/>
                <w:lang w:eastAsia="lv-LV"/>
              </w:rPr>
            </w:pPr>
          </w:p>
          <w:p w:rsidR="00E43315" w:rsidRPr="006D0631" w:rsidP="00201169" w14:paraId="42360BF2" w14:textId="7089E08D">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Fizisko personu elektron</w:t>
            </w:r>
            <w:r w:rsidR="005004A1">
              <w:rPr>
                <w:rFonts w:ascii="Times New Roman" w:eastAsia="Times New Roman" w:hAnsi="Times New Roman" w:cs="Times New Roman"/>
                <w:sz w:val="24"/>
                <w:szCs w:val="24"/>
                <w:lang w:eastAsia="lv-LV"/>
              </w:rPr>
              <w:t>iskās identifikācijas likuma 3. </w:t>
            </w:r>
            <w:r w:rsidRPr="006D0631">
              <w:rPr>
                <w:rFonts w:ascii="Times New Roman" w:eastAsia="Times New Roman" w:hAnsi="Times New Roman" w:cs="Times New Roman"/>
                <w:sz w:val="24"/>
                <w:szCs w:val="24"/>
                <w:lang w:eastAsia="lv-LV"/>
              </w:rPr>
              <w:t>panta trešā daļa nosaka gadījumus, kad elektroniskā identifikācija uzskatāma par notikušu un ir pielīdzināma fiziskās personas identitātes pārbaudei klātienē, uzrādot personu apliecinošu dokumentu.</w:t>
            </w:r>
          </w:p>
          <w:p w:rsidR="00E43315" w:rsidRPr="006D0631" w:rsidP="00201169" w14:paraId="2E751317" w14:textId="5094E4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Portālā </w:t>
            </w:r>
            <w:r>
              <w:fldChar w:fldCharType="begin"/>
            </w:r>
            <w:r>
              <w:instrText xml:space="preserve"> HYPERLINK "http://www.latvija.lv" </w:instrText>
            </w:r>
            <w:r>
              <w:fldChar w:fldCharType="separate"/>
            </w:r>
            <w:r w:rsidRPr="00D124F2">
              <w:rPr>
                <w:rStyle w:val="Hyperlink"/>
                <w:rFonts w:ascii="Times New Roman" w:eastAsia="Times New Roman" w:hAnsi="Times New Roman" w:cs="Times New Roman"/>
                <w:sz w:val="24"/>
                <w:szCs w:val="24"/>
                <w:lang w:eastAsia="lv-LV"/>
              </w:rPr>
              <w:t>www.latvija.lv</w:t>
            </w:r>
            <w:r>
              <w:fldChar w:fldCharType="end"/>
            </w:r>
            <w:r>
              <w:rPr>
                <w:rFonts w:ascii="Times New Roman" w:eastAsia="Times New Roman" w:hAnsi="Times New Roman" w:cs="Times New Roman"/>
                <w:sz w:val="24"/>
                <w:szCs w:val="24"/>
                <w:lang w:eastAsia="lv-LV"/>
              </w:rPr>
              <w:t xml:space="preserve"> </w:t>
            </w:r>
            <w:r w:rsidRPr="006D0631">
              <w:rPr>
                <w:rFonts w:ascii="Times New Roman" w:eastAsia="Times New Roman" w:hAnsi="Times New Roman" w:cs="Times New Roman"/>
                <w:sz w:val="24"/>
                <w:szCs w:val="24"/>
                <w:lang w:eastAsia="lv-LV"/>
              </w:rPr>
              <w:t xml:space="preserve">personu identifikācija dažādiem pakalpojumiem notiek, izmantojot atšķirīgas identifikācijas metodes, kurām ir atšķirīgs tiesiskais pamats, drošības līmenis un pielietojums. </w:t>
            </w:r>
            <w:r>
              <w:rPr>
                <w:rFonts w:ascii="Times New Roman" w:eastAsia="Times New Roman" w:hAnsi="Times New Roman" w:cs="Times New Roman"/>
                <w:sz w:val="24"/>
                <w:szCs w:val="24"/>
                <w:lang w:eastAsia="lv-LV"/>
              </w:rPr>
              <w:t xml:space="preserve">Viena no portālā </w:t>
            </w:r>
            <w:r>
              <w:fldChar w:fldCharType="begin"/>
            </w:r>
            <w:r>
              <w:instrText xml:space="preserve"> HYPERLINK "http://www.latvija.lv" </w:instrText>
            </w:r>
            <w:r>
              <w:fldChar w:fldCharType="separate"/>
            </w:r>
            <w:r w:rsidRPr="00D124F2">
              <w:rPr>
                <w:rStyle w:val="Hyperlink"/>
                <w:rFonts w:ascii="Times New Roman" w:eastAsia="Times New Roman" w:hAnsi="Times New Roman" w:cs="Times New Roman"/>
                <w:sz w:val="24"/>
                <w:szCs w:val="24"/>
                <w:lang w:eastAsia="lv-LV"/>
              </w:rPr>
              <w:t>www.latvija.lv</w:t>
            </w:r>
            <w:r>
              <w:fldChar w:fldCharType="end"/>
            </w:r>
            <w:r>
              <w:rPr>
                <w:rFonts w:ascii="Times New Roman" w:eastAsia="Times New Roman" w:hAnsi="Times New Roman" w:cs="Times New Roman"/>
                <w:sz w:val="24"/>
                <w:szCs w:val="24"/>
                <w:lang w:eastAsia="lv-LV"/>
              </w:rPr>
              <w:t xml:space="preserve"> </w:t>
            </w:r>
            <w:r w:rsidRPr="006D0631">
              <w:rPr>
                <w:rFonts w:ascii="Times New Roman" w:eastAsia="Times New Roman" w:hAnsi="Times New Roman" w:cs="Times New Roman"/>
                <w:sz w:val="24"/>
                <w:szCs w:val="24"/>
                <w:lang w:eastAsia="lv-LV"/>
              </w:rPr>
              <w:t>pieejamām identifikācijas metodēm ir banku identifikācijas rīki. Personu identifikācijā tie tiek izmantoti saskaņā ar Fizisko personu elektroniskās identifikāci</w:t>
            </w:r>
            <w:r w:rsidR="00C2360E">
              <w:rPr>
                <w:rFonts w:ascii="Times New Roman" w:eastAsia="Times New Roman" w:hAnsi="Times New Roman" w:cs="Times New Roman"/>
                <w:sz w:val="24"/>
                <w:szCs w:val="24"/>
                <w:lang w:eastAsia="lv-LV"/>
              </w:rPr>
              <w:t>jas likumu. Papildus pakalpojuma</w:t>
            </w:r>
            <w:r w:rsidRPr="006D0631">
              <w:rPr>
                <w:rFonts w:ascii="Times New Roman" w:eastAsia="Times New Roman" w:hAnsi="Times New Roman" w:cs="Times New Roman"/>
                <w:sz w:val="24"/>
                <w:szCs w:val="24"/>
                <w:lang w:eastAsia="lv-LV"/>
              </w:rPr>
              <w:t xml:space="preserve"> turētājs izvērtē, vai e-pakalpojuma iesniegtā informācija vai dokuments ir jāparaksta. Gadījumā, ja tiek pieņemts, ka pakalpojum</w:t>
            </w:r>
            <w:r w:rsidR="00C2360E">
              <w:rPr>
                <w:rFonts w:ascii="Times New Roman" w:eastAsia="Times New Roman" w:hAnsi="Times New Roman" w:cs="Times New Roman"/>
                <w:sz w:val="24"/>
                <w:szCs w:val="24"/>
                <w:lang w:eastAsia="lv-LV"/>
              </w:rPr>
              <w:t>a</w:t>
            </w:r>
            <w:r w:rsidRPr="006D0631">
              <w:rPr>
                <w:rFonts w:ascii="Times New Roman" w:eastAsia="Times New Roman" w:hAnsi="Times New Roman" w:cs="Times New Roman"/>
                <w:sz w:val="24"/>
                <w:szCs w:val="24"/>
                <w:lang w:eastAsia="lv-LV"/>
              </w:rPr>
              <w:t xml:space="preserve"> saņēmējam pakalpojumu saņemšanai var pietikt ar personas ide</w:t>
            </w:r>
            <w:r w:rsidR="00C2360E">
              <w:rPr>
                <w:rFonts w:ascii="Times New Roman" w:eastAsia="Times New Roman" w:hAnsi="Times New Roman" w:cs="Times New Roman"/>
                <w:sz w:val="24"/>
                <w:szCs w:val="24"/>
                <w:lang w:eastAsia="lv-LV"/>
              </w:rPr>
              <w:t>ntifikāciju, piemērojot papildu</w:t>
            </w:r>
            <w:r w:rsidRPr="006D0631">
              <w:rPr>
                <w:rFonts w:ascii="Times New Roman" w:eastAsia="Times New Roman" w:hAnsi="Times New Roman" w:cs="Times New Roman"/>
                <w:sz w:val="24"/>
                <w:szCs w:val="24"/>
                <w:lang w:eastAsia="lv-LV"/>
              </w:rPr>
              <w:t xml:space="preserve"> </w:t>
            </w:r>
            <w:r w:rsidRPr="006D0631">
              <w:rPr>
                <w:rFonts w:ascii="Times New Roman" w:eastAsia="Times New Roman" w:hAnsi="Times New Roman" w:cs="Times New Roman"/>
                <w:sz w:val="24"/>
                <w:szCs w:val="24"/>
                <w:lang w:eastAsia="lv-LV"/>
              </w:rPr>
              <w:t>organizatoriskās procedūras, kas fiksē personas gribu citā veidā, nevis</w:t>
            </w:r>
            <w:r>
              <w:rPr>
                <w:rFonts w:ascii="Times New Roman" w:eastAsia="Times New Roman" w:hAnsi="Times New Roman" w:cs="Times New Roman"/>
                <w:sz w:val="24"/>
                <w:szCs w:val="24"/>
                <w:lang w:eastAsia="lv-LV"/>
              </w:rPr>
              <w:t>,</w:t>
            </w:r>
            <w:r w:rsidRPr="006D0631">
              <w:rPr>
                <w:rFonts w:ascii="Times New Roman" w:eastAsia="Times New Roman" w:hAnsi="Times New Roman" w:cs="Times New Roman"/>
                <w:sz w:val="24"/>
                <w:szCs w:val="24"/>
                <w:lang w:eastAsia="lv-LV"/>
              </w:rPr>
              <w:t xml:space="preserve"> izmantojot drošu elektronisko parakstu, ir jāņem vērā šādi apsvērumi: </w:t>
            </w:r>
          </w:p>
          <w:p w:rsidR="00E43315" w:rsidRPr="006D0631" w:rsidP="00E43315" w14:paraId="5C6A1A77" w14:textId="46999866">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Internetbanku identifikācijas gadījumā izmantoto identifikācijas līdzekļu drošības risinājumi un līmeņi dažādu banku risinājumiem var atšķirties – šobrīd nepastāv vienotas drošības prasības nekvalificētiem identifikācijas līdzekļiem (t. sk. internetbanku), lai tos izmantotu personas identifikācijai publisko pakalpojumu sniegšanā. Fizisko personu elektroniskās identifikācijas likums nosaka prasības attiecībā tikai uz kvalificētiem vai kvalificētiem paaugstinātās drošības elektroniskās identifikācijas līdzekļiem. </w:t>
            </w:r>
          </w:p>
          <w:p w:rsidR="00E43315" w:rsidRPr="006D0631" w:rsidP="00E43315" w14:paraId="6D864183" w14:textId="3D88F8B0">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VRAA</w:t>
            </w:r>
            <w:r w:rsidRPr="006D0631">
              <w:rPr>
                <w:rFonts w:ascii="Times New Roman" w:eastAsia="Times New Roman" w:hAnsi="Times New Roman" w:cs="Times New Roman"/>
                <w:sz w:val="24"/>
                <w:szCs w:val="24"/>
                <w:lang w:eastAsia="lv-LV"/>
              </w:rPr>
              <w:t>, kas nodrošina centralizētu risinājumu internetbanku identifikācijas rīku izmantošanai valsts pārvaldes pakalpojumos, ar katru banku ir noslēgusi individuālu līgumu, kas, cita starpā, paredz, ka bankas sniedz piekrišanu par internetbankas identifikācijas līdzekļa izmantošanu konkrēta pakalpojuma sniegšanai. Tas nozīmē, ka internetbanku identifikācijas līdzekļu izmantošana nav universāli piemērojama visu pakalpojumu sniegšanai un saņemšanai.</w:t>
            </w:r>
          </w:p>
          <w:p w:rsidR="00E43315" w:rsidRPr="006D0631" w:rsidP="00E43315" w14:paraId="528C2936" w14:textId="5C5CD6BF">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Pakalpojuma </w:t>
            </w:r>
            <w:r w:rsidR="00C2360E">
              <w:rPr>
                <w:rFonts w:ascii="Times New Roman" w:eastAsia="Times New Roman" w:hAnsi="Times New Roman" w:cs="Times New Roman"/>
                <w:sz w:val="24"/>
                <w:szCs w:val="24"/>
                <w:lang w:eastAsia="lv-LV"/>
              </w:rPr>
              <w:t>turētājs</w:t>
            </w:r>
            <w:r w:rsidRPr="006D0631">
              <w:rPr>
                <w:rFonts w:ascii="Times New Roman" w:eastAsia="Times New Roman" w:hAnsi="Times New Roman" w:cs="Times New Roman"/>
                <w:sz w:val="24"/>
                <w:szCs w:val="24"/>
                <w:lang w:eastAsia="lv-LV"/>
              </w:rPr>
              <w:t>, izvērtējot pakalpojumu būtību un riskus, katrā konkrētā gadījumā sniedz priekšlikumus to noteikt ar speciālo regulējumu, atceļot prasību pēc rekvizīta “paraksts” nepieciešamību (piemēram, internetbanku autentifikācijas izmantošana Valsts ieņēmuma dienesta Elektroniskās deklarēšanas sistēmā ir noteikta likumā</w:t>
            </w:r>
            <w:r w:rsidRPr="006D0631" w:rsidR="00EA4B36">
              <w:rPr>
                <w:rFonts w:ascii="Times New Roman" w:eastAsia="Times New Roman" w:hAnsi="Times New Roman" w:cs="Times New Roman"/>
                <w:sz w:val="24"/>
                <w:szCs w:val="24"/>
                <w:lang w:eastAsia="lv-LV"/>
              </w:rPr>
              <w:t xml:space="preserve"> “Par nodokļiem un nodevām” 15. </w:t>
            </w:r>
            <w:r w:rsidRPr="006D0631">
              <w:rPr>
                <w:rFonts w:ascii="Times New Roman" w:eastAsia="Times New Roman" w:hAnsi="Times New Roman" w:cs="Times New Roman"/>
                <w:sz w:val="24"/>
                <w:szCs w:val="24"/>
                <w:lang w:eastAsia="lv-LV"/>
              </w:rPr>
              <w:t>panta pirmajā daļā).</w:t>
            </w:r>
          </w:p>
          <w:p w:rsidR="00E43315" w:rsidRPr="006D0631" w:rsidP="00201169" w14:paraId="6615E8BD"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Līdz ar to, ja tiek apsvērta iespēja iesniegt attiecīgo dokumentu vai informāciju elektroniski, izmantojot speciālās tiešsaistes formas, attiecīgi pakalpojumu turētājam katrā gadījumā atsevišķi būtu jāizvērtē iespējamie riski, nodrošinot pakalpojumu sniegšanu elektroniski ar internetbankas identifikācijas līdzekļiem, paredzot to izmantošanu speciālajā regulējumā, kā arī pirms tam vienojoties ar bankām par šādu rīku izmantošanu konkrēta pakalpojumu sniegšanā. </w:t>
            </w:r>
          </w:p>
          <w:p w:rsidR="00E43315" w:rsidRPr="006D0631" w:rsidP="00201169" w14:paraId="55371B80" w14:textId="718E789E">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Ņemot vērā, ka dažādiem pakalpojumiem ir sava specifika, atbildīgā iestāde kā pakalpojumu turētājs, </w:t>
            </w:r>
            <w:r w:rsidRPr="006D0631">
              <w:rPr>
                <w:rFonts w:ascii="Times New Roman" w:eastAsia="Times New Roman" w:hAnsi="Times New Roman" w:cs="Times New Roman"/>
                <w:sz w:val="24"/>
                <w:szCs w:val="24"/>
                <w:lang w:eastAsia="lv-LV"/>
              </w:rPr>
              <w:t>kas sniedz konkrēto pakalpojumu sabiedrībai, izvērtē un nosaka katra konkrētā pakalpojuma sniegšanai nepieciešamo elektronisko personas identifikācijas līdzekļa izmantošanu</w:t>
            </w:r>
            <w:r w:rsidRPr="006D0631">
              <w:rPr>
                <w:rFonts w:ascii="Times New Roman" w:eastAsia="Times New Roman" w:hAnsi="Times New Roman" w:cs="Times New Roman"/>
                <w:sz w:val="24"/>
                <w:szCs w:val="24"/>
                <w:lang w:eastAsia="lv-LV"/>
              </w:rPr>
              <w:t xml:space="preserve"> un var pieļaut rekvizīta “paraksts” neizmantošanu tikai tad, ja tas tiek noteikts speciālā tiesību normā (likuma līmenī).</w:t>
            </w:r>
          </w:p>
          <w:p w:rsidR="00894C55" w:rsidRPr="006D0631" w:rsidP="00201169" w14:paraId="2E097C84" w14:textId="41DBD7D2">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Lai veicinātu izveidoto e-pakalpojumu izmantošanu, noteikumu projekts apraksta iestādes pienākumus konkrētu </w:t>
            </w:r>
            <w:r w:rsidRPr="006D0631">
              <w:rPr>
                <w:rFonts w:ascii="Times New Roman" w:eastAsia="Times New Roman" w:hAnsi="Times New Roman" w:cs="Times New Roman"/>
                <w:sz w:val="24"/>
                <w:szCs w:val="24"/>
                <w:lang w:eastAsia="lv-LV"/>
              </w:rPr>
              <w:t xml:space="preserve">pasākumu veikšanā, tai skaitā iesakot noteikt elektroniskajiem kanāliem dažādas priekšrocības un izmantot dažādus līdzekļus, lai informētu </w:t>
            </w:r>
            <w:r w:rsidRPr="006D0631" w:rsidR="004B1D9D">
              <w:rPr>
                <w:rFonts w:ascii="Times New Roman" w:eastAsia="Times New Roman" w:hAnsi="Times New Roman" w:cs="Times New Roman"/>
                <w:sz w:val="24"/>
                <w:szCs w:val="24"/>
                <w:lang w:eastAsia="lv-LV"/>
              </w:rPr>
              <w:t xml:space="preserve">sabiedrību </w:t>
            </w:r>
            <w:r w:rsidRPr="006D0631">
              <w:rPr>
                <w:rFonts w:ascii="Times New Roman" w:eastAsia="Times New Roman" w:hAnsi="Times New Roman" w:cs="Times New Roman"/>
                <w:sz w:val="24"/>
                <w:szCs w:val="24"/>
                <w:lang w:eastAsia="lv-LV"/>
              </w:rPr>
              <w:t>par e-pakalpojuma esamību.</w:t>
            </w:r>
            <w:r w:rsidRPr="006D0631" w:rsidR="003242E3">
              <w:rPr>
                <w:rFonts w:ascii="Times New Roman" w:eastAsia="Times New Roman" w:hAnsi="Times New Roman" w:cs="Times New Roman"/>
                <w:sz w:val="24"/>
                <w:szCs w:val="24"/>
                <w:lang w:eastAsia="lv-LV"/>
              </w:rPr>
              <w:t xml:space="preserve"> Pakalpojuma turētāja pienākums ir veicināt radīto elektronisko iespēju izmantošanu.</w:t>
            </w:r>
            <w:r w:rsidRPr="006D0631" w:rsidR="0029728B">
              <w:rPr>
                <w:rFonts w:ascii="Times New Roman" w:eastAsia="Times New Roman" w:hAnsi="Times New Roman" w:cs="Times New Roman"/>
                <w:sz w:val="24"/>
                <w:szCs w:val="24"/>
                <w:lang w:eastAsia="lv-LV"/>
              </w:rPr>
              <w:t xml:space="preserve"> Papildus tam ministrija pašlaik izstrādā “Pakalpojumu vides pilnveides plānu” un gatavo atbilstošu informatīvo ziņojumu, kurā būs iekļauti priekšlikumi valsts pārvaldes pakalpojumu pilnveidei un noteikti iestāžu pienākumi.</w:t>
            </w:r>
          </w:p>
          <w:p w:rsidR="00FB0E94" w:rsidRPr="006D0631" w:rsidP="00201169" w14:paraId="611D299B" w14:textId="4A57EA62">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Noteikumu projekts paredz pārejas periodu dažām </w:t>
            </w:r>
            <w:r w:rsidRPr="006D0631" w:rsidR="0092346C">
              <w:rPr>
                <w:rFonts w:ascii="Times New Roman" w:eastAsia="Times New Roman" w:hAnsi="Times New Roman" w:cs="Times New Roman"/>
                <w:sz w:val="24"/>
                <w:szCs w:val="24"/>
                <w:lang w:eastAsia="lv-LV"/>
              </w:rPr>
              <w:t>noteikumu projekt</w:t>
            </w:r>
            <w:r w:rsidRPr="006D0631">
              <w:rPr>
                <w:rFonts w:ascii="Times New Roman" w:eastAsia="Times New Roman" w:hAnsi="Times New Roman" w:cs="Times New Roman"/>
                <w:sz w:val="24"/>
                <w:szCs w:val="24"/>
                <w:lang w:eastAsia="lv-LV"/>
              </w:rPr>
              <w:t xml:space="preserve">a normām, ņemot vērā iestāžu gatavību, tehniskās iespējas un </w:t>
            </w:r>
            <w:r w:rsidR="00A616F8">
              <w:rPr>
                <w:rFonts w:ascii="Times New Roman" w:eastAsia="Times New Roman" w:hAnsi="Times New Roman" w:cs="Times New Roman"/>
                <w:sz w:val="24"/>
                <w:szCs w:val="24"/>
                <w:lang w:eastAsia="lv-LV"/>
              </w:rPr>
              <w:t>VRAA</w:t>
            </w:r>
            <w:r w:rsidRPr="006D0631" w:rsidR="007E2007">
              <w:rPr>
                <w:rFonts w:ascii="Times New Roman" w:eastAsia="Times New Roman" w:hAnsi="Times New Roman" w:cs="Times New Roman"/>
                <w:sz w:val="24"/>
                <w:szCs w:val="24"/>
                <w:lang w:eastAsia="lv-LV"/>
              </w:rPr>
              <w:t xml:space="preserve"> projekta “Pakalpojumu sniegšanas un pārvaldības platforma” laik</w:t>
            </w:r>
            <w:r w:rsidR="00A616F8">
              <w:rPr>
                <w:rFonts w:ascii="Times New Roman" w:eastAsia="Times New Roman" w:hAnsi="Times New Roman" w:cs="Times New Roman"/>
                <w:sz w:val="24"/>
                <w:szCs w:val="24"/>
                <w:lang w:eastAsia="lv-LV"/>
              </w:rPr>
              <w:t xml:space="preserve">a </w:t>
            </w:r>
            <w:r w:rsidRPr="006D0631" w:rsidR="007E2007">
              <w:rPr>
                <w:rFonts w:ascii="Times New Roman" w:eastAsia="Times New Roman" w:hAnsi="Times New Roman" w:cs="Times New Roman"/>
                <w:sz w:val="24"/>
                <w:szCs w:val="24"/>
                <w:lang w:eastAsia="lv-LV"/>
              </w:rPr>
              <w:t>plānu.</w:t>
            </w:r>
            <w:r w:rsidRPr="006D0631" w:rsidR="0031092A">
              <w:rPr>
                <w:rFonts w:ascii="Times New Roman" w:eastAsia="Times New Roman" w:hAnsi="Times New Roman" w:cs="Times New Roman"/>
                <w:sz w:val="24"/>
                <w:szCs w:val="24"/>
                <w:lang w:eastAsia="lv-LV"/>
              </w:rPr>
              <w:t xml:space="preserve"> Tehniskās prasības piemēro no 2018.</w:t>
            </w:r>
            <w:r w:rsidRPr="006D0631" w:rsidR="00334CEA">
              <w:rPr>
                <w:rFonts w:ascii="Times New Roman" w:eastAsia="Times New Roman" w:hAnsi="Times New Roman" w:cs="Times New Roman"/>
                <w:sz w:val="24"/>
                <w:szCs w:val="24"/>
                <w:lang w:eastAsia="lv-LV"/>
              </w:rPr>
              <w:t> </w:t>
            </w:r>
            <w:r w:rsidRPr="006D0631" w:rsidR="0031092A">
              <w:rPr>
                <w:rFonts w:ascii="Times New Roman" w:eastAsia="Times New Roman" w:hAnsi="Times New Roman" w:cs="Times New Roman"/>
                <w:sz w:val="24"/>
                <w:szCs w:val="24"/>
                <w:lang w:eastAsia="lv-LV"/>
              </w:rPr>
              <w:t xml:space="preserve">gada 1. jūlija jaunajiem e-pakalpojumiem, kuru izstrāde vai pilnveidošana sākas pēc </w:t>
            </w:r>
            <w:r w:rsidRPr="006D0631" w:rsidR="00D73EF5">
              <w:rPr>
                <w:rFonts w:ascii="Times New Roman" w:eastAsia="Times New Roman" w:hAnsi="Times New Roman" w:cs="Times New Roman"/>
                <w:sz w:val="24"/>
                <w:szCs w:val="24"/>
                <w:lang w:eastAsia="lv-LV"/>
              </w:rPr>
              <w:t>2017. gada 1. jūlija, un no 2022</w:t>
            </w:r>
            <w:r w:rsidRPr="006D0631" w:rsidR="0031092A">
              <w:rPr>
                <w:rFonts w:ascii="Times New Roman" w:eastAsia="Times New Roman" w:hAnsi="Times New Roman" w:cs="Times New Roman"/>
                <w:sz w:val="24"/>
                <w:szCs w:val="24"/>
                <w:lang w:eastAsia="lv-LV"/>
              </w:rPr>
              <w:t xml:space="preserve">. gada 1. oktobra pārējiem (jau esošajiem) e-pakalpojumiem. Savukārt e-pakalpojumu veicināšanas prasības piemēro no </w:t>
            </w:r>
            <w:r w:rsidRPr="006D0631" w:rsidR="003242E3">
              <w:rPr>
                <w:rFonts w:ascii="Times New Roman" w:eastAsia="Times New Roman" w:hAnsi="Times New Roman" w:cs="Times New Roman"/>
                <w:sz w:val="24"/>
                <w:szCs w:val="24"/>
                <w:lang w:eastAsia="lv-LV"/>
              </w:rPr>
              <w:t xml:space="preserve">nākamā </w:t>
            </w:r>
            <w:r w:rsidR="00A616F8">
              <w:rPr>
                <w:rFonts w:ascii="Times New Roman" w:eastAsia="Times New Roman" w:hAnsi="Times New Roman" w:cs="Times New Roman"/>
                <w:sz w:val="24"/>
                <w:szCs w:val="24"/>
                <w:lang w:eastAsia="lv-LV"/>
              </w:rPr>
              <w:t>kalendārā gada sākuma – 2018. </w:t>
            </w:r>
            <w:r w:rsidRPr="006D0631" w:rsidR="0031092A">
              <w:rPr>
                <w:rFonts w:ascii="Times New Roman" w:eastAsia="Times New Roman" w:hAnsi="Times New Roman" w:cs="Times New Roman"/>
                <w:sz w:val="24"/>
                <w:szCs w:val="24"/>
                <w:lang w:eastAsia="lv-LV"/>
              </w:rPr>
              <w:t>gada 1. janvāra.</w:t>
            </w:r>
            <w:r w:rsidRPr="006D0631" w:rsidR="00272588">
              <w:rPr>
                <w:rFonts w:ascii="Times New Roman" w:eastAsia="Times New Roman" w:hAnsi="Times New Roman" w:cs="Times New Roman"/>
                <w:sz w:val="24"/>
                <w:szCs w:val="24"/>
                <w:lang w:eastAsia="lv-LV"/>
              </w:rPr>
              <w:t xml:space="preserve"> Pārejas periods ļauj īstenot noteikumu projektā noteiktās prasības pakāpeniski esošo </w:t>
            </w:r>
            <w:r w:rsidRPr="00B016B8" w:rsidR="00B016B8">
              <w:rPr>
                <w:rFonts w:ascii="Times New Roman" w:eastAsia="Times New Roman" w:hAnsi="Times New Roman" w:cs="Times New Roman"/>
                <w:sz w:val="24"/>
                <w:szCs w:val="24"/>
                <w:lang w:eastAsia="lv-LV"/>
              </w:rPr>
              <w:t xml:space="preserve">informāciju un komunikāciju tehnoloģiju </w:t>
            </w:r>
            <w:r w:rsidR="00B016B8">
              <w:rPr>
                <w:rFonts w:ascii="Times New Roman" w:eastAsia="Times New Roman" w:hAnsi="Times New Roman" w:cs="Times New Roman"/>
                <w:sz w:val="24"/>
                <w:szCs w:val="24"/>
                <w:lang w:eastAsia="lv-LV"/>
              </w:rPr>
              <w:t xml:space="preserve">(turpmāk – </w:t>
            </w:r>
            <w:r w:rsidRPr="006D0631" w:rsidR="00272588">
              <w:rPr>
                <w:rFonts w:ascii="Times New Roman" w:eastAsia="Times New Roman" w:hAnsi="Times New Roman" w:cs="Times New Roman"/>
                <w:sz w:val="24"/>
                <w:szCs w:val="24"/>
                <w:lang w:eastAsia="lv-LV"/>
              </w:rPr>
              <w:t>IKT</w:t>
            </w:r>
            <w:r w:rsidR="00B016B8">
              <w:rPr>
                <w:rFonts w:ascii="Times New Roman" w:eastAsia="Times New Roman" w:hAnsi="Times New Roman" w:cs="Times New Roman"/>
                <w:sz w:val="24"/>
                <w:szCs w:val="24"/>
                <w:lang w:eastAsia="lv-LV"/>
              </w:rPr>
              <w:t>)</w:t>
            </w:r>
            <w:r w:rsidRPr="006D0631" w:rsidR="00272588">
              <w:rPr>
                <w:rFonts w:ascii="Times New Roman" w:eastAsia="Times New Roman" w:hAnsi="Times New Roman" w:cs="Times New Roman"/>
                <w:sz w:val="24"/>
                <w:szCs w:val="24"/>
                <w:lang w:eastAsia="lv-LV"/>
              </w:rPr>
              <w:t xml:space="preserve"> sistēmu un e-pakalpojumu uzturēšanas un attīstības pasākumu ietvaros, kā arī ņemt vērā, veidojot jaunos e-pakalpojumus, izmantojot </w:t>
            </w:r>
            <w:r w:rsidRPr="00B016B8" w:rsidR="00B016B8">
              <w:rPr>
                <w:rFonts w:ascii="Times New Roman" w:eastAsia="Times New Roman" w:hAnsi="Times New Roman" w:cs="Times New Roman"/>
                <w:sz w:val="24"/>
                <w:szCs w:val="24"/>
                <w:lang w:eastAsia="lv-LV"/>
              </w:rPr>
              <w:t>Eiropas Reģionālās attīstības fonda (turpmāk – ERAF)</w:t>
            </w:r>
            <w:r w:rsidRPr="006D0631" w:rsidR="00272588">
              <w:rPr>
                <w:rFonts w:ascii="Times New Roman" w:eastAsia="Times New Roman" w:hAnsi="Times New Roman" w:cs="Times New Roman"/>
                <w:sz w:val="24"/>
                <w:szCs w:val="24"/>
                <w:lang w:eastAsia="lv-LV"/>
              </w:rPr>
              <w:t xml:space="preserve"> finansējumu.</w:t>
            </w:r>
          </w:p>
          <w:p w:rsidR="00EA4B36" w:rsidP="00B016B8" w14:paraId="627C1A2E"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VRAA projektā “Pakalpojumu sniegšanas un pārvaldības platforma” paredzēta e-pakalpojumu platformas attīstība, veidojot </w:t>
            </w:r>
            <w:r w:rsidRPr="006D0631" w:rsidR="00AC6E6A">
              <w:rPr>
                <w:rFonts w:ascii="Times New Roman" w:eastAsia="Times New Roman" w:hAnsi="Times New Roman" w:cs="Times New Roman"/>
                <w:sz w:val="24"/>
                <w:szCs w:val="24"/>
                <w:lang w:eastAsia="lv-LV"/>
              </w:rPr>
              <w:t xml:space="preserve">arī </w:t>
            </w:r>
            <w:r w:rsidRPr="006D0631">
              <w:rPr>
                <w:rFonts w:ascii="Times New Roman" w:eastAsia="Times New Roman" w:hAnsi="Times New Roman" w:cs="Times New Roman"/>
                <w:sz w:val="24"/>
                <w:szCs w:val="24"/>
                <w:lang w:eastAsia="lv-LV"/>
              </w:rPr>
              <w:t xml:space="preserve">koplietošanas komponentes, kas atvieglos noteikumu projektā </w:t>
            </w:r>
            <w:r w:rsidRPr="006D0631" w:rsidR="00AC6E6A">
              <w:rPr>
                <w:rFonts w:ascii="Times New Roman" w:eastAsia="Times New Roman" w:hAnsi="Times New Roman" w:cs="Times New Roman"/>
                <w:sz w:val="24"/>
                <w:szCs w:val="24"/>
                <w:lang w:eastAsia="lv-LV"/>
              </w:rPr>
              <w:t>paredzēto prasību īstenošanu esošajos un jaunajos e-pakalpojumos, t. sk. uzskaites rādītāju un apmierinātības rādītāju reģistrēšanu.</w:t>
            </w:r>
          </w:p>
          <w:p w:rsidR="00341014" w:rsidRPr="006D0631" w:rsidP="00B016B8" w14:paraId="3A109F95" w14:textId="5C2B00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noteikumu projektā noteiktos termiņus, </w:t>
            </w:r>
            <w:r w:rsidRPr="00341014">
              <w:rPr>
                <w:rFonts w:ascii="Times New Roman" w:eastAsia="Times New Roman" w:hAnsi="Times New Roman" w:cs="Times New Roman"/>
                <w:sz w:val="24"/>
                <w:szCs w:val="24"/>
                <w:lang w:eastAsia="lv-LV"/>
              </w:rPr>
              <w:t>pilna kalendārā gada atskaites pi</w:t>
            </w:r>
            <w:r>
              <w:rPr>
                <w:rFonts w:ascii="Times New Roman" w:eastAsia="Times New Roman" w:hAnsi="Times New Roman" w:cs="Times New Roman"/>
                <w:sz w:val="24"/>
                <w:szCs w:val="24"/>
                <w:lang w:eastAsia="lv-LV"/>
              </w:rPr>
              <w:t>rmoreiz būs jāpublicē par 2019. </w:t>
            </w:r>
            <w:r w:rsidRPr="00341014">
              <w:rPr>
                <w:rFonts w:ascii="Times New Roman" w:eastAsia="Times New Roman" w:hAnsi="Times New Roman" w:cs="Times New Roman"/>
                <w:sz w:val="24"/>
                <w:szCs w:val="24"/>
                <w:lang w:eastAsia="lv-LV"/>
              </w:rPr>
              <w:t>gadu līdz 2020. gada 1. aprīlim.</w:t>
            </w:r>
          </w:p>
        </w:tc>
      </w:tr>
      <w:tr w14:paraId="3A109F9A" w14:textId="77777777" w:rsidTr="005025F2">
        <w:tblPrEx>
          <w:tblW w:w="5000" w:type="pct"/>
          <w:tblCellMar>
            <w:top w:w="23" w:type="dxa"/>
            <w:left w:w="85" w:type="dxa"/>
            <w:bottom w:w="23" w:type="dxa"/>
            <w:right w:w="85"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97" w14:textId="7777777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98"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894C55" w:rsidRPr="006D0631" w:rsidP="00A616F8" w14:paraId="3A109F99" w14:textId="0AF974A4">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Saskaņā ar ministrijas 2016. gada 1. jūnija rīkojumu Nr. 173 </w:t>
            </w:r>
            <w:r w:rsidRPr="00A616F8" w:rsidR="00A616F8">
              <w:rPr>
                <w:rFonts w:ascii="Times New Roman" w:eastAsia="Times New Roman" w:hAnsi="Times New Roman" w:cs="Times New Roman"/>
                <w:sz w:val="24"/>
                <w:szCs w:val="24"/>
                <w:lang w:eastAsia="lv-LV"/>
              </w:rPr>
              <w:t>“</w:t>
            </w:r>
            <w:r w:rsidRPr="00A616F8" w:rsidR="00A616F8">
              <w:rPr>
                <w:rFonts w:ascii="Times New Roman" w:eastAsia="Times New Roman" w:hAnsi="Times New Roman" w:cs="Times New Roman"/>
                <w:iCs/>
                <w:sz w:val="24"/>
                <w:szCs w:val="24"/>
                <w:lang w:eastAsia="lv-LV"/>
              </w:rPr>
              <w:t xml:space="preserve">Par darba grupas izveidi Ministru kabineta noteikumu projekta izstrādei” </w:t>
            </w:r>
            <w:r w:rsidRPr="006D0631">
              <w:rPr>
                <w:rFonts w:ascii="Times New Roman" w:eastAsia="Times New Roman" w:hAnsi="Times New Roman" w:cs="Times New Roman"/>
                <w:sz w:val="24"/>
                <w:szCs w:val="24"/>
                <w:lang w:eastAsia="lv-LV"/>
              </w:rPr>
              <w:t xml:space="preserve">tika izveidota starpinstitucionāla darba grupa noteikumu projekta izstrādei. Darba grupā piedalījās ministrijas, Latvijas tirdzniecības un rūpniecības kameras, Rīgas domes, </w:t>
            </w:r>
            <w:r w:rsidR="00A616F8">
              <w:rPr>
                <w:rFonts w:ascii="Times New Roman" w:eastAsia="Times New Roman" w:hAnsi="Times New Roman" w:cs="Times New Roman"/>
                <w:sz w:val="24"/>
                <w:szCs w:val="24"/>
                <w:lang w:eastAsia="lv-LV"/>
              </w:rPr>
              <w:t>PMLP, VRAA</w:t>
            </w:r>
            <w:r w:rsidRPr="006D0631">
              <w:rPr>
                <w:rFonts w:ascii="Times New Roman" w:eastAsia="Times New Roman" w:hAnsi="Times New Roman" w:cs="Times New Roman"/>
                <w:sz w:val="24"/>
                <w:szCs w:val="24"/>
                <w:lang w:eastAsia="lv-LV"/>
              </w:rPr>
              <w:t xml:space="preserve">, </w:t>
            </w:r>
            <w:r w:rsidRPr="006D0631">
              <w:rPr>
                <w:rFonts w:ascii="Times New Roman" w:eastAsia="Times New Roman" w:hAnsi="Times New Roman" w:cs="Times New Roman"/>
                <w:sz w:val="24"/>
                <w:szCs w:val="24"/>
                <w:lang w:eastAsia="lv-LV"/>
              </w:rPr>
              <w:t>Latvijas ģeotelpiskās informācijas aģentūras</w:t>
            </w:r>
            <w:r w:rsidRPr="006D0631">
              <w:rPr>
                <w:rFonts w:ascii="Times New Roman" w:eastAsia="Times New Roman" w:hAnsi="Times New Roman" w:cs="Times New Roman"/>
                <w:sz w:val="24"/>
                <w:szCs w:val="24"/>
                <w:lang w:eastAsia="lv-LV"/>
              </w:rPr>
              <w:t>, Veselības ministrijas, Latvijas darba devēju konfederācijas, Latvijas Pašvaldības savienības, Ekonomikas ministrijas, Uzņēmumu reģistra, Valsts ieņēmumu dienesta, Nodarbinātības valsts aģentūras, Valsts zemes dienesta, Latvijas Informācijas un komunikācijas tehnoloģijas asociācijas, Valsts kancelejas, Liepājas domes un Labklājības ministrijas pārstāvji.</w:t>
            </w:r>
          </w:p>
        </w:tc>
      </w:tr>
      <w:tr w14:paraId="3A109F9F" w14:textId="77777777" w:rsidTr="005025F2">
        <w:tblPrEx>
          <w:tblW w:w="5000" w:type="pct"/>
          <w:tblCellMar>
            <w:top w:w="23" w:type="dxa"/>
            <w:left w:w="85" w:type="dxa"/>
            <w:bottom w:w="23" w:type="dxa"/>
            <w:right w:w="85"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9B" w14:textId="7777777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9C"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B4BB7" w:rsidRPr="006D0631" w:rsidP="00853BA0" w14:paraId="6138B0AC" w14:textId="0A30E33C">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Valsts pārvaldes iekārtas likums uzdod izstrādāt četrus savstarpēji tematiski saistītus Ministru kabineta noteikumus: </w:t>
            </w:r>
          </w:p>
          <w:p w:rsidR="00AB4BB7" w:rsidRPr="006D0631" w:rsidP="00853BA0" w14:paraId="56DE993D" w14:textId="1C921D9C">
            <w:pPr>
              <w:pStyle w:val="ListParagraph"/>
              <w:numPr>
                <w:ilvl w:val="0"/>
                <w:numId w:val="4"/>
              </w:numPr>
              <w:spacing w:after="0" w:line="240" w:lineRule="auto"/>
              <w:ind w:left="301" w:hanging="301"/>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97. pants nosaka izstrādāt valsts pārvaldes pakalpojumu uzskaites, kvalitātes kontroles un sniegšanas kārtību;</w:t>
            </w:r>
          </w:p>
          <w:p w:rsidR="00AB4BB7" w:rsidRPr="006D0631" w:rsidP="00853BA0" w14:paraId="34A9A26F" w14:textId="2BD1B5FD">
            <w:pPr>
              <w:pStyle w:val="ListParagraph"/>
              <w:numPr>
                <w:ilvl w:val="0"/>
                <w:numId w:val="4"/>
              </w:numPr>
              <w:spacing w:after="0" w:line="240" w:lineRule="auto"/>
              <w:ind w:left="301" w:hanging="301"/>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98. pants – noteikt valsts pārvaldes vienoto klientu apkalpošanas centru veidus, sniegto pakalpojumu apjomu un pakalpojumu sniegšanas kārtību;</w:t>
            </w:r>
          </w:p>
          <w:p w:rsidR="004A45EB" w:rsidRPr="006D0631" w:rsidP="00853BA0" w14:paraId="50698214" w14:textId="77777777">
            <w:pPr>
              <w:pStyle w:val="ListParagraph"/>
              <w:numPr>
                <w:ilvl w:val="0"/>
                <w:numId w:val="4"/>
              </w:numPr>
              <w:spacing w:after="0" w:line="240" w:lineRule="auto"/>
              <w:ind w:left="301" w:hanging="301"/>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99. pants – noteikt kārtību, kādā tiek veikta valsts pārvaldes pakalpojumu elektronizācija un nodrošināta e-pakalpojumu pieejamība;</w:t>
            </w:r>
          </w:p>
          <w:p w:rsidR="00894C55" w:rsidRPr="006D0631" w:rsidP="00853BA0" w14:paraId="3A109F9E" w14:textId="67695EDF">
            <w:pPr>
              <w:pStyle w:val="ListParagraph"/>
              <w:numPr>
                <w:ilvl w:val="0"/>
                <w:numId w:val="4"/>
              </w:numPr>
              <w:spacing w:after="0" w:line="240" w:lineRule="auto"/>
              <w:ind w:left="301" w:hanging="301"/>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100. pants – noteikt valsts pārvaldes pakalpojumu portāla pārzini, viņa pienākumus un atbildību, iestādes pienākumus un atbildību, valsts pārvaldes pakalpojumu portāla izmantošanas un pārvaldības kārtību, kā arī pakalpojumu kataloga vešanas kārtību un tajā ietveramo informāciju.</w:t>
            </w:r>
          </w:p>
        </w:tc>
      </w:tr>
    </w:tbl>
    <w:p w:rsidR="00894C55" w:rsidRPr="006D0631" w:rsidP="00853BA0" w14:paraId="3A109FA0" w14:textId="77777777">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tblPr>
      <w:tblGrid>
        <w:gridCol w:w="453"/>
        <w:gridCol w:w="2807"/>
        <w:gridCol w:w="5795"/>
      </w:tblGrid>
      <w:tr w14:paraId="3A109FA2" w14:textId="77777777" w:rsidTr="005025F2">
        <w:tblPrEx>
          <w:tblW w:w="5000" w:type="pct"/>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31" w:rsidP="00A616F8" w14:paraId="3A109FA1" w14:textId="77777777">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II.</w:t>
            </w:r>
            <w:r w:rsidRPr="006D0631" w:rsidR="0050178F">
              <w:rPr>
                <w:rFonts w:ascii="Times New Roman" w:eastAsia="Times New Roman" w:hAnsi="Times New Roman" w:cs="Times New Roman"/>
                <w:b/>
                <w:bCs/>
                <w:sz w:val="24"/>
                <w:szCs w:val="24"/>
                <w:lang w:eastAsia="lv-LV"/>
              </w:rPr>
              <w:t> </w:t>
            </w:r>
            <w:r w:rsidRPr="006D063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3A109FA6" w14:textId="77777777" w:rsidTr="005025F2">
        <w:tblPrEx>
          <w:tblW w:w="5000" w:type="pct"/>
          <w:tblCellMar>
            <w:top w:w="23" w:type="dxa"/>
            <w:left w:w="85" w:type="dxa"/>
            <w:bottom w:w="23" w:type="dxa"/>
            <w:right w:w="85"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A3"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A4"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894C55" w:rsidRPr="006D0631" w:rsidP="00853BA0" w14:paraId="3A109FA5" w14:textId="2262EB66">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Privātpersonas (fiziskās personas un privāto tiesību juridiskās personas), kā arī visas valsts pārvaldes</w:t>
            </w:r>
            <w:r w:rsidRPr="006D0631" w:rsidR="00F217EA">
              <w:rPr>
                <w:rFonts w:ascii="Times New Roman" w:eastAsia="Times New Roman" w:hAnsi="Times New Roman" w:cs="Times New Roman"/>
                <w:sz w:val="24"/>
                <w:szCs w:val="24"/>
                <w:lang w:eastAsia="lv-LV"/>
              </w:rPr>
              <w:t xml:space="preserve"> iestādes (valsts un pašvaldību</w:t>
            </w:r>
            <w:r w:rsidRPr="006D0631">
              <w:rPr>
                <w:rFonts w:ascii="Times New Roman" w:eastAsia="Times New Roman" w:hAnsi="Times New Roman" w:cs="Times New Roman"/>
                <w:sz w:val="24"/>
                <w:szCs w:val="24"/>
                <w:lang w:eastAsia="lv-LV"/>
              </w:rPr>
              <w:t xml:space="preserve"> institūcijas).</w:t>
            </w:r>
          </w:p>
        </w:tc>
      </w:tr>
      <w:tr w14:paraId="3A109FAA" w14:textId="77777777" w:rsidTr="005025F2">
        <w:tblPrEx>
          <w:tblW w:w="5000" w:type="pct"/>
          <w:tblCellMar>
            <w:top w:w="23" w:type="dxa"/>
            <w:left w:w="85" w:type="dxa"/>
            <w:bottom w:w="23" w:type="dxa"/>
            <w:right w:w="85"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A7"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A8"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2249E" w:rsidRPr="006D0631" w:rsidP="004B2ECA" w14:paraId="7DA632E9" w14:textId="7ED4390A">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w:t>
            </w:r>
            <w:r w:rsidRPr="006D0631">
              <w:rPr>
                <w:rFonts w:ascii="Times New Roman" w:eastAsia="Times New Roman" w:hAnsi="Times New Roman" w:cs="Times New Roman"/>
                <w:sz w:val="24"/>
                <w:szCs w:val="24"/>
                <w:lang w:eastAsia="lv-LV"/>
              </w:rPr>
              <w:t>s veicina pakalpojumu elektronizāciju un elektronizēto pakalpojumu plašāku izmantošanu, palielinot valsts pārvaldes pakalpojumu sniegšanas efektivitāti. Tas nosaka minimālās prasības kvalitātei un pārvaldībai, kas vidējā un ilgtermiņā sekmēs valsts pārvaldes e-pakalpojumu kvalitātes uzlabošanos.</w:t>
            </w:r>
          </w:p>
          <w:p w:rsidR="00894C55" w:rsidRPr="006D0631" w:rsidP="00A616F8" w14:paraId="38661581" w14:textId="55ADCA72">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w:t>
            </w:r>
            <w:r w:rsidRPr="006D0631" w:rsidR="004B2ECA">
              <w:rPr>
                <w:rFonts w:ascii="Times New Roman" w:eastAsia="Times New Roman" w:hAnsi="Times New Roman" w:cs="Times New Roman"/>
                <w:sz w:val="24"/>
                <w:szCs w:val="24"/>
                <w:lang w:eastAsia="lv-LV"/>
              </w:rPr>
              <w:t>s ne</w:t>
            </w:r>
            <w:r w:rsidR="00A616F8">
              <w:rPr>
                <w:rFonts w:ascii="Times New Roman" w:eastAsia="Times New Roman" w:hAnsi="Times New Roman" w:cs="Times New Roman"/>
                <w:sz w:val="24"/>
                <w:szCs w:val="24"/>
                <w:lang w:eastAsia="lv-LV"/>
              </w:rPr>
              <w:t>būtiski</w:t>
            </w:r>
            <w:r w:rsidRPr="006D0631" w:rsidR="004B2ECA">
              <w:rPr>
                <w:rFonts w:ascii="Times New Roman" w:eastAsia="Times New Roman" w:hAnsi="Times New Roman" w:cs="Times New Roman"/>
                <w:sz w:val="24"/>
                <w:szCs w:val="24"/>
                <w:lang w:eastAsia="lv-LV"/>
              </w:rPr>
              <w:t xml:space="preserve"> palielina iestāžu administratīv</w:t>
            </w:r>
            <w:r w:rsidRPr="006D0631" w:rsidR="00D65D53">
              <w:rPr>
                <w:rFonts w:ascii="Times New Roman" w:eastAsia="Times New Roman" w:hAnsi="Times New Roman" w:cs="Times New Roman"/>
                <w:sz w:val="24"/>
                <w:szCs w:val="24"/>
                <w:lang w:eastAsia="lv-LV"/>
              </w:rPr>
              <w:t>ās</w:t>
            </w:r>
            <w:r w:rsidRPr="006D0631" w:rsidR="004B2ECA">
              <w:rPr>
                <w:rFonts w:ascii="Times New Roman" w:eastAsia="Times New Roman" w:hAnsi="Times New Roman" w:cs="Times New Roman"/>
                <w:sz w:val="24"/>
                <w:szCs w:val="24"/>
                <w:lang w:eastAsia="lv-LV"/>
              </w:rPr>
              <w:t xml:space="preserve"> </w:t>
            </w:r>
            <w:r w:rsidRPr="006D0631" w:rsidR="00D65D53">
              <w:rPr>
                <w:rFonts w:ascii="Times New Roman" w:eastAsia="Times New Roman" w:hAnsi="Times New Roman" w:cs="Times New Roman"/>
                <w:sz w:val="24"/>
                <w:szCs w:val="24"/>
                <w:lang w:eastAsia="lv-LV"/>
              </w:rPr>
              <w:t>izmaksas</w:t>
            </w:r>
            <w:r w:rsidRPr="006D0631" w:rsidR="004B2ECA">
              <w:rPr>
                <w:rFonts w:ascii="Times New Roman" w:eastAsia="Times New Roman" w:hAnsi="Times New Roman" w:cs="Times New Roman"/>
                <w:sz w:val="24"/>
                <w:szCs w:val="24"/>
                <w:lang w:eastAsia="lv-LV"/>
              </w:rPr>
              <w:t>, jo izvirza papildu prasības pakalpojumu elektronizācijas mērķtiecīgai plānošanai</w:t>
            </w:r>
            <w:r w:rsidRPr="006D0631" w:rsidR="0082249E">
              <w:rPr>
                <w:rFonts w:ascii="Times New Roman" w:eastAsia="Times New Roman" w:hAnsi="Times New Roman" w:cs="Times New Roman"/>
                <w:sz w:val="24"/>
                <w:szCs w:val="24"/>
                <w:lang w:eastAsia="lv-LV"/>
              </w:rPr>
              <w:t>, uzskaitei</w:t>
            </w:r>
            <w:r w:rsidRPr="006D0631" w:rsidR="004B2ECA">
              <w:rPr>
                <w:rFonts w:ascii="Times New Roman" w:eastAsia="Times New Roman" w:hAnsi="Times New Roman" w:cs="Times New Roman"/>
                <w:sz w:val="24"/>
                <w:szCs w:val="24"/>
                <w:lang w:eastAsia="lv-LV"/>
              </w:rPr>
              <w:t xml:space="preserve"> un elektronizēto pakalpojumu uzlabošanai.</w:t>
            </w:r>
          </w:p>
          <w:p w:rsidR="0082249E" w:rsidRPr="006D0631" w:rsidP="00A616F8" w14:paraId="6026D89B" w14:textId="730CEC3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w:t>
            </w:r>
            <w:r w:rsidRPr="006D0631" w:rsidR="008279EA">
              <w:rPr>
                <w:rFonts w:ascii="Times New Roman" w:eastAsia="Times New Roman" w:hAnsi="Times New Roman" w:cs="Times New Roman"/>
                <w:sz w:val="24"/>
                <w:szCs w:val="24"/>
                <w:lang w:eastAsia="lv-LV"/>
              </w:rPr>
              <w:t>s regulē pakalpojuma turētāja</w:t>
            </w:r>
            <w:r w:rsidRPr="006D0631">
              <w:rPr>
                <w:rFonts w:ascii="Times New Roman" w:eastAsia="Times New Roman" w:hAnsi="Times New Roman" w:cs="Times New Roman"/>
                <w:sz w:val="24"/>
                <w:szCs w:val="24"/>
                <w:lang w:eastAsia="lv-LV"/>
              </w:rPr>
              <w:t xml:space="preserve">, </w:t>
            </w:r>
            <w:r w:rsidRPr="006D0631" w:rsidR="008279EA">
              <w:rPr>
                <w:rFonts w:ascii="Times New Roman" w:eastAsia="Times New Roman" w:hAnsi="Times New Roman" w:cs="Times New Roman"/>
                <w:sz w:val="24"/>
                <w:szCs w:val="24"/>
                <w:lang w:eastAsia="lv-LV"/>
              </w:rPr>
              <w:t>e-pakalpojuma nodrošinātāja un saņēmēja</w:t>
            </w:r>
            <w:r w:rsidRPr="006D0631">
              <w:rPr>
                <w:rFonts w:ascii="Times New Roman" w:eastAsia="Times New Roman" w:hAnsi="Times New Roman" w:cs="Times New Roman"/>
                <w:sz w:val="24"/>
                <w:szCs w:val="24"/>
                <w:lang w:eastAsia="lv-LV"/>
              </w:rPr>
              <w:t xml:space="preserve"> tiesības un pienākumus, kas samazinās administratīvo slogu, formulējot individuālas vienošanās un līgumus starp iesaistītajām pusēm.</w:t>
            </w:r>
          </w:p>
          <w:p w:rsidR="0082249E" w:rsidRPr="006D0631" w:rsidP="00A616F8" w14:paraId="3A109FA9" w14:textId="375E5582">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w:t>
            </w:r>
            <w:r w:rsidRPr="006D0631" w:rsidR="004B2ECA">
              <w:rPr>
                <w:rFonts w:ascii="Times New Roman" w:eastAsia="Times New Roman" w:hAnsi="Times New Roman" w:cs="Times New Roman"/>
                <w:sz w:val="24"/>
                <w:szCs w:val="24"/>
                <w:lang w:eastAsia="lv-LV"/>
              </w:rPr>
              <w:t>s samazina administratīvo slogu pakalpojumu saņēmējiem, jo veicina pakalpojumu pieejamību, samazinot to saņemšanai patērēto laiku un finansiālās izmaksas.</w:t>
            </w:r>
          </w:p>
        </w:tc>
      </w:tr>
      <w:tr w14:paraId="3A109FAE" w14:textId="77777777" w:rsidTr="005025F2">
        <w:tblPrEx>
          <w:tblW w:w="5000" w:type="pct"/>
          <w:tblCellMar>
            <w:top w:w="23" w:type="dxa"/>
            <w:left w:w="85" w:type="dxa"/>
            <w:bottom w:w="23" w:type="dxa"/>
            <w:right w:w="85"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B06CD3" w:rsidRPr="006D0631" w:rsidP="00B06CD3" w14:paraId="3A109FAB" w14:textId="3F53BCF8">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06CD3" w:rsidRPr="006D0631" w:rsidP="00B06CD3" w14:paraId="3A109FAC"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B06CD3" w:rsidRPr="006D0631" w:rsidP="00B06CD3" w14:paraId="684AF00C" w14:textId="329B1E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6D0631">
              <w:rPr>
                <w:rFonts w:ascii="Times New Roman" w:eastAsia="Times New Roman" w:hAnsi="Times New Roman" w:cs="Times New Roman"/>
                <w:sz w:val="24"/>
                <w:szCs w:val="24"/>
                <w:lang w:eastAsia="lv-LV"/>
              </w:rPr>
              <w:t xml:space="preserve">rojekts nepalielina administratīvās izmaksas fiziskām un juridiskām personām. </w:t>
            </w:r>
          </w:p>
          <w:p w:rsidR="00B06CD3" w:rsidRPr="006D0631" w:rsidP="00A616F8" w14:paraId="1DE7FD03" w14:textId="5FC81CB0">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Noteikumu projekts paredz minimālos pasākumus, lai tiktu nodrošināta kvalitatīva pakalpojumu sniegšanas pārvaldība, veicot tikai būtiskāko darbības rādītāju uzskaiti (kā norādīts Valsts kontroles </w:t>
            </w:r>
            <w:r>
              <w:fldChar w:fldCharType="begin"/>
            </w:r>
            <w:r>
              <w:instrText xml:space="preserve"> HYPERLINK "http://www.lrvk.gov.lv/revizija/vai-novadu-pasvaldibas-nodrosina-pakalpojumus-iedzivotajiem-par-samerigam-izmaksam/" </w:instrText>
            </w:r>
            <w:r>
              <w:fldChar w:fldCharType="separate"/>
            </w:r>
            <w:r w:rsidRPr="00A616F8">
              <w:rPr>
                <w:rFonts w:ascii="Times New Roman" w:hAnsi="Times New Roman" w:cs="Times New Roman"/>
                <w:sz w:val="24"/>
                <w:szCs w:val="24"/>
              </w:rPr>
              <w:t>ziņojumā</w:t>
            </w:r>
            <w:r>
              <w:fldChar w:fldCharType="end"/>
            </w:r>
            <w:r w:rsidRPr="00A616F8">
              <w:rPr>
                <w:rFonts w:ascii="Times New Roman" w:eastAsia="Times New Roman" w:hAnsi="Times New Roman" w:cs="Times New Roman"/>
                <w:sz w:val="24"/>
                <w:szCs w:val="24"/>
                <w:lang w:eastAsia="lv-LV"/>
              </w:rPr>
              <w:t xml:space="preserve"> par</w:t>
            </w:r>
            <w:r w:rsidRPr="006D0631">
              <w:rPr>
                <w:rFonts w:ascii="Times New Roman" w:eastAsia="Times New Roman" w:hAnsi="Times New Roman" w:cs="Times New Roman"/>
                <w:sz w:val="24"/>
                <w:szCs w:val="24"/>
                <w:lang w:eastAsia="lv-LV"/>
              </w:rPr>
              <w:t xml:space="preserve"> pakalpojumu pārvaldību pašvaldībās “Vai novadu pašvaldības nodrošina pakalpojumus iedzīvotājiem par samērīgām izmaksām?”, </w:t>
            </w:r>
            <w:r w:rsidRPr="006D0631">
              <w:rPr>
                <w:rFonts w:ascii="Times New Roman" w:eastAsia="Times New Roman" w:hAnsi="Times New Roman" w:cs="Times New Roman"/>
                <w:sz w:val="24"/>
                <w:szCs w:val="24"/>
                <w:lang w:eastAsia="lv-LV"/>
              </w:rPr>
              <w:t>tā ir nepieciešama pakalpojuma pārvaldību procesa</w:t>
            </w:r>
            <w:r w:rsidR="00A616F8">
              <w:rPr>
                <w:rFonts w:ascii="Times New Roman" w:eastAsia="Times New Roman" w:hAnsi="Times New Roman" w:cs="Times New Roman"/>
                <w:sz w:val="24"/>
                <w:szCs w:val="24"/>
                <w:lang w:eastAsia="lv-LV"/>
              </w:rPr>
              <w:t xml:space="preserve"> sastāvdaļa). Noteikumu p</w:t>
            </w:r>
            <w:r w:rsidRPr="006D0631">
              <w:rPr>
                <w:rFonts w:ascii="Times New Roman" w:eastAsia="Times New Roman" w:hAnsi="Times New Roman" w:cs="Times New Roman"/>
                <w:sz w:val="24"/>
                <w:szCs w:val="24"/>
                <w:lang w:eastAsia="lv-LV"/>
              </w:rPr>
              <w:t>rojekts paredz statistikas apkopošanu tikai reizi gadā, savukārt publicēšanas vajadzībām tiks izveidoti koplietošanas risinājumi, kurus iestādes varēs izmantot. Ilgtermiņā šāda procesa ieviešana nodrošinās pārredzamu un faktos balstītu informāciju, kas ļaus ietaupīt vai pārstrukturēt administratīvos resursus efektīvākai izmantošanai.</w:t>
            </w:r>
          </w:p>
          <w:p w:rsidR="00B06CD3" w:rsidRPr="006D0631" w:rsidP="00A616F8" w14:paraId="3A109FAD" w14:textId="565F2822">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E-pakalpojumu rādītāju uzskaite var radīt nelielu papildu administratīvo slogu, ja pakalpojuma turētājs līdz šim minēto radītāju uzskaiti nav veicis. Vienlaikus norādām, ka noteikumu projekts paredz uzskaitīt pamatrādītājus, bez kuru uzskaites nav iespējams nodrošināt kvalitatīvu pakalpojumu sniegšanu, un lielākā daļa pakalpojumu turētāju jau šobrīd veic šādu rādītāju uzskaiti.</w:t>
            </w:r>
          </w:p>
        </w:tc>
      </w:tr>
      <w:tr w14:paraId="3A109FB3" w14:textId="77777777" w:rsidTr="005025F2">
        <w:tblPrEx>
          <w:tblW w:w="5000" w:type="pct"/>
          <w:tblCellMar>
            <w:top w:w="23" w:type="dxa"/>
            <w:left w:w="85" w:type="dxa"/>
            <w:bottom w:w="23" w:type="dxa"/>
            <w:right w:w="85"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AF"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B0"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9FB2" w14:textId="520568CF">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Nav.</w:t>
            </w:r>
          </w:p>
        </w:tc>
      </w:tr>
    </w:tbl>
    <w:p w:rsidR="00894C55" w:rsidRPr="006D0631" w:rsidP="00853BA0" w14:paraId="3A109FB4" w14:textId="77777777">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907"/>
        <w:gridCol w:w="1000"/>
        <w:gridCol w:w="1365"/>
        <w:gridCol w:w="1262"/>
        <w:gridCol w:w="1262"/>
        <w:gridCol w:w="1259"/>
      </w:tblGrid>
      <w:tr w14:paraId="1EBF0D90" w14:textId="77777777" w:rsidTr="00F03CF7">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59A80B1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III. Tiesību akta projekta ietekme uz valsts budžetu un pašvaldību budžetiem</w:t>
            </w:r>
          </w:p>
        </w:tc>
      </w:tr>
      <w:tr w14:paraId="22F71BD8" w14:textId="77777777" w:rsidTr="00A616F8">
        <w:tblPrEx>
          <w:tblW w:w="5000" w:type="pct"/>
          <w:jc w:val="center"/>
          <w:tblCellMar>
            <w:top w:w="24" w:type="dxa"/>
            <w:left w:w="24" w:type="dxa"/>
            <w:bottom w:w="24" w:type="dxa"/>
            <w:right w:w="24" w:type="dxa"/>
          </w:tblCellMar>
          <w:tblLook w:val="04A0"/>
        </w:tblPrEx>
        <w:trPr>
          <w:jc w:val="center"/>
        </w:trPr>
        <w:tc>
          <w:tcPr>
            <w:tcW w:w="1605" w:type="pct"/>
            <w:vMerge w:val="restar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2277FF5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Rādītāji</w:t>
            </w:r>
          </w:p>
        </w:tc>
        <w:tc>
          <w:tcPr>
            <w:tcW w:w="130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708C798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2017. gads</w:t>
            </w:r>
          </w:p>
        </w:tc>
        <w:tc>
          <w:tcPr>
            <w:tcW w:w="2089" w:type="pct"/>
            <w:gridSpan w:val="3"/>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581E718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Turpmākie trīs gadi (</w:t>
            </w:r>
            <w:r w:rsidRPr="006D0631">
              <w:rPr>
                <w:rFonts w:ascii="Times New Roman" w:eastAsia="Times New Roman" w:hAnsi="Times New Roman" w:cs="Times New Roman"/>
                <w:i/>
                <w:iCs/>
                <w:sz w:val="24"/>
                <w:szCs w:val="24"/>
                <w:lang w:eastAsia="lv-LV"/>
              </w:rPr>
              <w:t>euro</w:t>
            </w:r>
            <w:r w:rsidRPr="006D0631">
              <w:rPr>
                <w:rFonts w:ascii="Times New Roman" w:eastAsia="Times New Roman" w:hAnsi="Times New Roman" w:cs="Times New Roman"/>
                <w:sz w:val="24"/>
                <w:szCs w:val="24"/>
                <w:lang w:eastAsia="lv-LV"/>
              </w:rPr>
              <w:t>)</w:t>
            </w:r>
          </w:p>
        </w:tc>
      </w:tr>
      <w:tr w14:paraId="2D824ADD" w14:textId="77777777" w:rsidTr="00A616F8">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7CF3FD57" w14:textId="77777777">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374AE492" w14:textId="77777777">
            <w:pPr>
              <w:spacing w:after="0" w:line="240" w:lineRule="auto"/>
              <w:rPr>
                <w:rFonts w:ascii="Times New Roman" w:eastAsia="Times New Roman" w:hAnsi="Times New Roman" w:cs="Times New Roman"/>
                <w:b/>
                <w:bCs/>
                <w:sz w:val="24"/>
                <w:szCs w:val="24"/>
                <w:lang w:eastAsia="lv-LV"/>
              </w:rPr>
            </w:pP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4F2F998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2018</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70214D0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2019</w:t>
            </w:r>
          </w:p>
        </w:tc>
        <w:tc>
          <w:tcPr>
            <w:tcW w:w="695"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4895950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2020</w:t>
            </w:r>
          </w:p>
        </w:tc>
      </w:tr>
      <w:tr w14:paraId="3BD4AB7E" w14:textId="77777777" w:rsidTr="00A616F8">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7A7ED1A7" w14:textId="77777777">
            <w:pPr>
              <w:spacing w:after="0" w:line="240" w:lineRule="auto"/>
              <w:rPr>
                <w:rFonts w:ascii="Times New Roman" w:eastAsia="Times New Roman" w:hAnsi="Times New Roman" w:cs="Times New Roman"/>
                <w:b/>
                <w:bCs/>
                <w:sz w:val="24"/>
                <w:szCs w:val="24"/>
                <w:lang w:eastAsia="lv-LV"/>
              </w:rPr>
            </w:pP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6E3DFDE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saskaņā ar valsts budžetu kārtējam gadam</w:t>
            </w:r>
          </w:p>
        </w:tc>
        <w:tc>
          <w:tcPr>
            <w:tcW w:w="754"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5B42B26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izmaiņas kārtējā gadā, salīdzinot ar valsts budžetu kārtējam gadam</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28C3F74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izmaiņas, salīdzinot ar kārtējo 2017. gadu</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00F17BE4"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izmaiņas, salīdzinot ar kārtējo 2017. gadu</w:t>
            </w:r>
          </w:p>
        </w:tc>
        <w:tc>
          <w:tcPr>
            <w:tcW w:w="695"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4B2A964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izmaiņas, salīdzinot ar kārtējo 2017. gadu</w:t>
            </w:r>
          </w:p>
        </w:tc>
      </w:tr>
      <w:tr w14:paraId="281DC198"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68C3C375" w14:textId="77777777">
            <w:pPr>
              <w:spacing w:before="100" w:beforeAutospacing="1" w:after="100" w:afterAutospacing="1" w:line="240" w:lineRule="auto"/>
              <w:jc w:val="center"/>
              <w:rPr>
                <w:rFonts w:ascii="Times New Roman" w:eastAsia="Times New Roman" w:hAnsi="Times New Roman" w:cs="Times New Roman"/>
                <w:sz w:val="20"/>
                <w:szCs w:val="24"/>
                <w:lang w:eastAsia="lv-LV"/>
              </w:rPr>
            </w:pPr>
            <w:r w:rsidRPr="006D0631">
              <w:rPr>
                <w:rFonts w:ascii="Times New Roman" w:eastAsia="Times New Roman" w:hAnsi="Times New Roman" w:cs="Times New Roman"/>
                <w:sz w:val="20"/>
                <w:szCs w:val="24"/>
                <w:lang w:eastAsia="lv-LV"/>
              </w:rPr>
              <w:t>1</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392E52AB" w14:textId="77777777">
            <w:pPr>
              <w:spacing w:before="100" w:beforeAutospacing="1" w:after="100" w:afterAutospacing="1" w:line="240" w:lineRule="auto"/>
              <w:jc w:val="center"/>
              <w:rPr>
                <w:rFonts w:ascii="Times New Roman" w:eastAsia="Times New Roman" w:hAnsi="Times New Roman" w:cs="Times New Roman"/>
                <w:sz w:val="20"/>
                <w:szCs w:val="24"/>
                <w:lang w:eastAsia="lv-LV"/>
              </w:rPr>
            </w:pPr>
            <w:r w:rsidRPr="006D0631">
              <w:rPr>
                <w:rFonts w:ascii="Times New Roman" w:eastAsia="Times New Roman" w:hAnsi="Times New Roman" w:cs="Times New Roman"/>
                <w:sz w:val="20"/>
                <w:szCs w:val="24"/>
                <w:lang w:eastAsia="lv-LV"/>
              </w:rPr>
              <w:t>2</w:t>
            </w:r>
          </w:p>
        </w:tc>
        <w:tc>
          <w:tcPr>
            <w:tcW w:w="754"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41264AEE" w14:textId="77777777">
            <w:pPr>
              <w:spacing w:before="100" w:beforeAutospacing="1" w:after="100" w:afterAutospacing="1" w:line="240" w:lineRule="auto"/>
              <w:jc w:val="center"/>
              <w:rPr>
                <w:rFonts w:ascii="Times New Roman" w:eastAsia="Times New Roman" w:hAnsi="Times New Roman" w:cs="Times New Roman"/>
                <w:sz w:val="20"/>
                <w:szCs w:val="24"/>
                <w:lang w:eastAsia="lv-LV"/>
              </w:rPr>
            </w:pPr>
            <w:r w:rsidRPr="006D0631">
              <w:rPr>
                <w:rFonts w:ascii="Times New Roman" w:eastAsia="Times New Roman" w:hAnsi="Times New Roman" w:cs="Times New Roman"/>
                <w:sz w:val="20"/>
                <w:szCs w:val="24"/>
                <w:lang w:eastAsia="lv-LV"/>
              </w:rPr>
              <w:t>3</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75155A02" w14:textId="77777777">
            <w:pPr>
              <w:spacing w:before="100" w:beforeAutospacing="1" w:after="100" w:afterAutospacing="1" w:line="240" w:lineRule="auto"/>
              <w:jc w:val="center"/>
              <w:rPr>
                <w:rFonts w:ascii="Times New Roman" w:eastAsia="Times New Roman" w:hAnsi="Times New Roman" w:cs="Times New Roman"/>
                <w:sz w:val="20"/>
                <w:szCs w:val="24"/>
                <w:lang w:eastAsia="lv-LV"/>
              </w:rPr>
            </w:pPr>
            <w:r w:rsidRPr="006D0631">
              <w:rPr>
                <w:rFonts w:ascii="Times New Roman" w:eastAsia="Times New Roman" w:hAnsi="Times New Roman" w:cs="Times New Roman"/>
                <w:sz w:val="20"/>
                <w:szCs w:val="24"/>
                <w:lang w:eastAsia="lv-LV"/>
              </w:rPr>
              <w:t>4</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4F2AFEDA" w14:textId="77777777">
            <w:pPr>
              <w:spacing w:before="100" w:beforeAutospacing="1" w:after="100" w:afterAutospacing="1" w:line="240" w:lineRule="auto"/>
              <w:jc w:val="center"/>
              <w:rPr>
                <w:rFonts w:ascii="Times New Roman" w:eastAsia="Times New Roman" w:hAnsi="Times New Roman" w:cs="Times New Roman"/>
                <w:sz w:val="20"/>
                <w:szCs w:val="24"/>
                <w:lang w:eastAsia="lv-LV"/>
              </w:rPr>
            </w:pPr>
            <w:r w:rsidRPr="006D0631">
              <w:rPr>
                <w:rFonts w:ascii="Times New Roman" w:eastAsia="Times New Roman" w:hAnsi="Times New Roman" w:cs="Times New Roman"/>
                <w:sz w:val="20"/>
                <w:szCs w:val="24"/>
                <w:lang w:eastAsia="lv-LV"/>
              </w:rPr>
              <w:t>5</w:t>
            </w:r>
          </w:p>
        </w:tc>
        <w:tc>
          <w:tcPr>
            <w:tcW w:w="695" w:type="pc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3F7FE26A" w14:textId="77777777">
            <w:pPr>
              <w:spacing w:before="100" w:beforeAutospacing="1" w:after="100" w:afterAutospacing="1" w:line="240" w:lineRule="auto"/>
              <w:jc w:val="center"/>
              <w:rPr>
                <w:rFonts w:ascii="Times New Roman" w:eastAsia="Times New Roman" w:hAnsi="Times New Roman" w:cs="Times New Roman"/>
                <w:sz w:val="20"/>
                <w:szCs w:val="24"/>
                <w:lang w:eastAsia="lv-LV"/>
              </w:rPr>
            </w:pPr>
            <w:r w:rsidRPr="006D0631">
              <w:rPr>
                <w:rFonts w:ascii="Times New Roman" w:eastAsia="Times New Roman" w:hAnsi="Times New Roman" w:cs="Times New Roman"/>
                <w:sz w:val="20"/>
                <w:szCs w:val="24"/>
                <w:lang w:eastAsia="lv-LV"/>
              </w:rPr>
              <w:t>6</w:t>
            </w:r>
          </w:p>
        </w:tc>
      </w:tr>
      <w:tr w14:paraId="0F121E03"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1898A9D4"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 Budžeta ieņēmumi:</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33B7FA0A"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34002B2C"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B06CD3" w:rsidRPr="006D0631" w:rsidP="00F03CF7" w14:paraId="05851326"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B06CD3" w:rsidRPr="006D0631" w:rsidP="00F03CF7" w14:paraId="5D3C5C50"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5" w:type="pct"/>
            <w:tcBorders>
              <w:top w:val="outset" w:sz="6" w:space="0" w:color="414142"/>
              <w:left w:val="outset" w:sz="6" w:space="0" w:color="414142"/>
              <w:bottom w:val="outset" w:sz="6" w:space="0" w:color="414142"/>
              <w:right w:val="outset" w:sz="6" w:space="0" w:color="414142"/>
            </w:tcBorders>
          </w:tcPr>
          <w:p w:rsidR="00B06CD3" w:rsidRPr="006D0631" w:rsidP="00F03CF7" w14:paraId="6FAE5C26"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r>
      <w:tr w14:paraId="7F1051EC"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5160479"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78B67650"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0AE5CB89"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B06CD3" w:rsidRPr="006D0631" w:rsidP="00F03CF7" w14:paraId="2CBDEC9C"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B06CD3" w:rsidRPr="006D0631" w:rsidP="00F03CF7" w14:paraId="0D2AEC19"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5" w:type="pct"/>
            <w:tcBorders>
              <w:top w:val="outset" w:sz="6" w:space="0" w:color="414142"/>
              <w:left w:val="outset" w:sz="6" w:space="0" w:color="414142"/>
              <w:bottom w:val="outset" w:sz="6" w:space="0" w:color="414142"/>
              <w:right w:val="outset" w:sz="6" w:space="0" w:color="414142"/>
            </w:tcBorders>
          </w:tcPr>
          <w:p w:rsidR="00B06CD3" w:rsidRPr="006D0631" w:rsidP="00F03CF7" w14:paraId="42B0433D"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r>
      <w:tr w14:paraId="136B7736"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3023D7FA"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1.2. valsts speciālais budžets</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6A21546E"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1BB0EC29"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B06CD3" w:rsidRPr="006D0631" w:rsidP="00F03CF7" w14:paraId="6D609F75"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B06CD3" w:rsidRPr="006D0631" w:rsidP="00F03CF7" w14:paraId="2ED23F0B"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5" w:type="pct"/>
            <w:tcBorders>
              <w:top w:val="outset" w:sz="6" w:space="0" w:color="414142"/>
              <w:left w:val="outset" w:sz="6" w:space="0" w:color="414142"/>
              <w:bottom w:val="outset" w:sz="6" w:space="0" w:color="414142"/>
              <w:right w:val="outset" w:sz="6" w:space="0" w:color="414142"/>
            </w:tcBorders>
          </w:tcPr>
          <w:p w:rsidR="00B06CD3" w:rsidRPr="006D0631" w:rsidP="00F03CF7" w14:paraId="52C9666E"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r>
      <w:tr w14:paraId="41EA732D"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1CC8FFA7"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1.3. pašvaldību budžets</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66046383"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516A7B1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B06CD3" w:rsidRPr="006D0631" w:rsidP="00F03CF7" w14:paraId="7D0228A1"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B06CD3" w:rsidRPr="006D0631" w:rsidP="00F03CF7" w14:paraId="56DD968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5" w:type="pct"/>
            <w:tcBorders>
              <w:top w:val="outset" w:sz="6" w:space="0" w:color="414142"/>
              <w:left w:val="outset" w:sz="6" w:space="0" w:color="414142"/>
              <w:bottom w:val="outset" w:sz="6" w:space="0" w:color="414142"/>
              <w:right w:val="outset" w:sz="6" w:space="0" w:color="414142"/>
            </w:tcBorders>
          </w:tcPr>
          <w:p w:rsidR="00B06CD3" w:rsidRPr="006D0631" w:rsidP="00F03CF7" w14:paraId="0DE5BF59"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r>
      <w:tr w14:paraId="7A82ADF3"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A5167E1"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 Budžeta izdevumi:</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000AF71D"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3FB6B4E1"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F45EF0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18F0F954"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F99CE0D"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5E5BDF1B"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02582C68"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2.1. valsts pamatbudžets</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0BAC3F44"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6A03D0F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2F75A770"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FA531F4"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0F7A354F"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34F468A5"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058AEC9F"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2.2. valsts speciālais budžets</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3DA4531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6415B16A"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2F441197"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1639EC7"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5CF18BA"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r>
      <w:tr w14:paraId="5852DA04"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1F5F49F3"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2.3. pašvaldību budžets</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25A4B81C"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3B37D2EE"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7A3B63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0E937B29"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AE8996D"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439C3BD1"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7D82A91C"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 Finansiālā ietekme:</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189E9953"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176CCC43"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3E4E847"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3FAFBFA3"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457B3DE"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3FA8D627"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BAF978B"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3.1. valsts pamatbudžets</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7A55886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3E5FFB77"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033EE8DD"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1F781797"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D2DC343"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15DC508A"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B2C76D3"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3.2. speciālais budžets</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03D762A2"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78EF9C7E"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1B537E18"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D191CFB"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7779C736"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r>
      <w:tr w14:paraId="25F355D4"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00A8397"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3.3. pašvaldību budžets</w:t>
            </w:r>
          </w:p>
        </w:tc>
        <w:tc>
          <w:tcPr>
            <w:tcW w:w="552" w:type="pct"/>
            <w:tcBorders>
              <w:top w:val="outset" w:sz="6" w:space="0" w:color="414142"/>
              <w:left w:val="outset" w:sz="6" w:space="0" w:color="414142"/>
              <w:bottom w:val="outset" w:sz="6" w:space="0" w:color="414142"/>
              <w:right w:val="outset" w:sz="6" w:space="0" w:color="414142"/>
            </w:tcBorders>
          </w:tcPr>
          <w:p w:rsidR="00B06CD3" w:rsidRPr="006D0631" w:rsidP="00F03CF7" w14:paraId="6E67204E"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754" w:type="pct"/>
            <w:tcBorders>
              <w:top w:val="outset" w:sz="6" w:space="0" w:color="414142"/>
              <w:left w:val="outset" w:sz="6" w:space="0" w:color="414142"/>
              <w:bottom w:val="outset" w:sz="6" w:space="0" w:color="414142"/>
              <w:right w:val="outset" w:sz="6" w:space="0" w:color="414142"/>
            </w:tcBorders>
          </w:tcPr>
          <w:p w:rsidR="00B06CD3" w:rsidRPr="006D0631" w:rsidP="00F03CF7" w14:paraId="054F321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A428463"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74DD9B7C"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74A2D5DC"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484E92D2" w14:textId="77777777" w:rsidTr="00F15E3F">
        <w:tblPrEx>
          <w:tblW w:w="5000" w:type="pct"/>
          <w:jc w:val="center"/>
          <w:tblCellMar>
            <w:top w:w="24" w:type="dxa"/>
            <w:left w:w="24" w:type="dxa"/>
            <w:bottom w:w="24" w:type="dxa"/>
            <w:right w:w="24" w:type="dxa"/>
          </w:tblCellMar>
          <w:tblLook w:val="04A0"/>
        </w:tblPrEx>
        <w:trPr>
          <w:trHeight w:val="804"/>
          <w:jc w:val="center"/>
        </w:trPr>
        <w:tc>
          <w:tcPr>
            <w:tcW w:w="1605" w:type="pct"/>
            <w:vMerge w:val="restart"/>
            <w:tcBorders>
              <w:top w:val="outset" w:sz="6" w:space="0" w:color="414142"/>
              <w:left w:val="outset" w:sz="6" w:space="0" w:color="414142"/>
              <w:bottom w:val="outset" w:sz="6" w:space="0" w:color="414142"/>
              <w:right w:val="outset" w:sz="6" w:space="0" w:color="414142"/>
            </w:tcBorders>
            <w:hideMark/>
          </w:tcPr>
          <w:p w:rsidR="00A616F8" w:rsidRPr="006D0631" w:rsidP="00F03CF7" w14:paraId="03307811"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4. Finanšu līdzekļi papildu izdevumu finansēšanai</w:t>
            </w:r>
            <w:r w:rsidRPr="006D0631">
              <w:rPr>
                <w:rFonts w:ascii="Times New Roman" w:eastAsia="Times New Roman" w:hAnsi="Times New Roman" w:cs="Times New Roman"/>
                <w:sz w:val="24"/>
                <w:szCs w:val="24"/>
                <w:lang w:eastAsia="lv-LV"/>
              </w:rPr>
              <w:t xml:space="preserve"> (kompensējošu izdevumu samazinājumu norāda ar "+" zīmi)</w:t>
            </w:r>
          </w:p>
        </w:tc>
        <w:tc>
          <w:tcPr>
            <w:tcW w:w="552" w:type="pct"/>
            <w:vMerge w:val="restart"/>
            <w:tcBorders>
              <w:top w:val="outset" w:sz="6" w:space="0" w:color="414142"/>
              <w:left w:val="outset" w:sz="6" w:space="0" w:color="414142"/>
              <w:bottom w:val="outset" w:sz="6" w:space="0" w:color="414142"/>
              <w:right w:val="outset" w:sz="6" w:space="0" w:color="414142"/>
            </w:tcBorders>
            <w:hideMark/>
          </w:tcPr>
          <w:p w:rsidR="00A616F8" w:rsidRPr="006D0631" w:rsidP="00F03CF7" w14:paraId="757AD3A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X</w:t>
            </w:r>
          </w:p>
        </w:tc>
        <w:tc>
          <w:tcPr>
            <w:tcW w:w="754" w:type="pct"/>
            <w:tcBorders>
              <w:top w:val="outset" w:sz="6" w:space="0" w:color="414142"/>
              <w:left w:val="outset" w:sz="6" w:space="0" w:color="414142"/>
              <w:right w:val="outset" w:sz="6" w:space="0" w:color="414142"/>
            </w:tcBorders>
            <w:hideMark/>
          </w:tcPr>
          <w:p w:rsidR="00A616F8" w:rsidRPr="006D0631" w:rsidP="00F03CF7" w14:paraId="04179A33" w14:textId="77777777">
            <w:pPr>
              <w:spacing w:after="0" w:line="240" w:lineRule="auto"/>
              <w:rPr>
                <w:rFonts w:ascii="Times New Roman" w:eastAsia="Times New Roman" w:hAnsi="Times New Roman" w:cs="Times New Roman"/>
                <w:sz w:val="24"/>
                <w:szCs w:val="24"/>
                <w:lang w:eastAsia="lv-LV"/>
              </w:rPr>
            </w:pPr>
          </w:p>
        </w:tc>
        <w:tc>
          <w:tcPr>
            <w:tcW w:w="697" w:type="pct"/>
            <w:tcBorders>
              <w:top w:val="outset" w:sz="6" w:space="0" w:color="414142"/>
              <w:left w:val="outset" w:sz="6" w:space="0" w:color="414142"/>
              <w:right w:val="outset" w:sz="6" w:space="0" w:color="414142"/>
            </w:tcBorders>
            <w:hideMark/>
          </w:tcPr>
          <w:p w:rsidR="00A616F8" w:rsidRPr="006D0631" w:rsidP="00F03CF7" w14:paraId="188354CC" w14:textId="77777777">
            <w:pPr>
              <w:spacing w:after="0" w:line="240" w:lineRule="auto"/>
              <w:rPr>
                <w:rFonts w:ascii="Times New Roman" w:eastAsia="Times New Roman" w:hAnsi="Times New Roman" w:cs="Times New Roman"/>
                <w:sz w:val="24"/>
                <w:szCs w:val="24"/>
                <w:lang w:eastAsia="lv-LV"/>
              </w:rPr>
            </w:pPr>
          </w:p>
        </w:tc>
        <w:tc>
          <w:tcPr>
            <w:tcW w:w="697" w:type="pct"/>
            <w:tcBorders>
              <w:top w:val="outset" w:sz="6" w:space="0" w:color="414142"/>
              <w:left w:val="outset" w:sz="6" w:space="0" w:color="414142"/>
              <w:right w:val="outset" w:sz="6" w:space="0" w:color="414142"/>
            </w:tcBorders>
            <w:hideMark/>
          </w:tcPr>
          <w:p w:rsidR="00A616F8" w:rsidRPr="006D0631" w:rsidP="00F03CF7" w14:paraId="0158C76B" w14:textId="77777777">
            <w:pPr>
              <w:spacing w:after="0" w:line="240" w:lineRule="auto"/>
              <w:rPr>
                <w:rFonts w:ascii="Times New Roman" w:eastAsia="Times New Roman" w:hAnsi="Times New Roman" w:cs="Times New Roman"/>
                <w:sz w:val="24"/>
                <w:szCs w:val="24"/>
                <w:lang w:eastAsia="lv-LV"/>
              </w:rPr>
            </w:pPr>
          </w:p>
        </w:tc>
        <w:tc>
          <w:tcPr>
            <w:tcW w:w="695" w:type="pct"/>
            <w:tcBorders>
              <w:top w:val="outset" w:sz="6" w:space="0" w:color="414142"/>
              <w:left w:val="outset" w:sz="6" w:space="0" w:color="414142"/>
              <w:right w:val="outset" w:sz="6" w:space="0" w:color="414142"/>
            </w:tcBorders>
            <w:hideMark/>
          </w:tcPr>
          <w:p w:rsidR="00A616F8" w:rsidRPr="006D0631" w:rsidP="00F03CF7" w14:paraId="45E6F4EA" w14:textId="77777777">
            <w:pPr>
              <w:spacing w:after="0" w:line="240" w:lineRule="auto"/>
              <w:rPr>
                <w:rFonts w:ascii="Times New Roman" w:eastAsia="Times New Roman" w:hAnsi="Times New Roman" w:cs="Times New Roman"/>
                <w:sz w:val="24"/>
                <w:szCs w:val="24"/>
                <w:lang w:eastAsia="lv-LV"/>
              </w:rPr>
            </w:pPr>
          </w:p>
        </w:tc>
      </w:tr>
      <w:tr w14:paraId="39C9D5F4" w14:textId="77777777" w:rsidTr="00A616F8">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08049F92" w14:textId="7777777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346A58A4" w14:textId="77777777">
            <w:pPr>
              <w:spacing w:after="0" w:line="240" w:lineRule="auto"/>
              <w:rPr>
                <w:rFonts w:ascii="Times New Roman" w:eastAsia="Times New Roman" w:hAnsi="Times New Roman" w:cs="Times New Roman"/>
                <w:sz w:val="24"/>
                <w:szCs w:val="24"/>
                <w:lang w:eastAsia="lv-LV"/>
              </w:rPr>
            </w:pPr>
          </w:p>
        </w:tc>
        <w:tc>
          <w:tcPr>
            <w:tcW w:w="754"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ED752A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58BEBE0"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73E4C438"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2A487C00"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r>
      <w:tr w14:paraId="05389764"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0F21D633"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5. Precizēta finansiālā ietekme:</w:t>
            </w:r>
          </w:p>
        </w:tc>
        <w:tc>
          <w:tcPr>
            <w:tcW w:w="552" w:type="pct"/>
            <w:vMerge w:val="restart"/>
            <w:tcBorders>
              <w:top w:val="outset" w:sz="6" w:space="0" w:color="414142"/>
              <w:left w:val="outset" w:sz="6" w:space="0" w:color="414142"/>
              <w:bottom w:val="outset" w:sz="6" w:space="0" w:color="414142"/>
              <w:right w:val="outset" w:sz="6" w:space="0" w:color="414142"/>
            </w:tcBorders>
            <w:hideMark/>
          </w:tcPr>
          <w:p w:rsidR="00B06CD3" w:rsidRPr="006D0631" w:rsidP="00F03CF7" w14:paraId="20230CD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X</w:t>
            </w:r>
          </w:p>
        </w:tc>
        <w:tc>
          <w:tcPr>
            <w:tcW w:w="754"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7BB145C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AD019F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7C8238F4"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2ACFE95E"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230416B3"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7147B71"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17D08D06" w14:textId="77777777">
            <w:pPr>
              <w:spacing w:after="0" w:line="240" w:lineRule="auto"/>
              <w:rPr>
                <w:rFonts w:ascii="Times New Roman" w:eastAsia="Times New Roman" w:hAnsi="Times New Roman" w:cs="Times New Roman"/>
                <w:sz w:val="24"/>
                <w:szCs w:val="24"/>
                <w:lang w:eastAsia="lv-LV"/>
              </w:rPr>
            </w:pPr>
          </w:p>
        </w:tc>
        <w:tc>
          <w:tcPr>
            <w:tcW w:w="754"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36BED308"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1B2A80E"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DE60C3C"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0D7029E6"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487C769C"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EE7A911"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484DDB6D" w14:textId="77777777">
            <w:pPr>
              <w:spacing w:after="0" w:line="240" w:lineRule="auto"/>
              <w:rPr>
                <w:rFonts w:ascii="Times New Roman" w:eastAsia="Times New Roman" w:hAnsi="Times New Roman" w:cs="Times New Roman"/>
                <w:sz w:val="24"/>
                <w:szCs w:val="24"/>
                <w:lang w:eastAsia="lv-LV"/>
              </w:rPr>
            </w:pPr>
          </w:p>
        </w:tc>
        <w:tc>
          <w:tcPr>
            <w:tcW w:w="754"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DE7ADF3"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C093CCF"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396EC304"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93C46FE"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r>
      <w:tr w14:paraId="34C0467D"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9DF0D92"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2D187E25" w14:textId="77777777">
            <w:pPr>
              <w:spacing w:after="0" w:line="240" w:lineRule="auto"/>
              <w:rPr>
                <w:rFonts w:ascii="Times New Roman" w:eastAsia="Times New Roman" w:hAnsi="Times New Roman" w:cs="Times New Roman"/>
                <w:sz w:val="24"/>
                <w:szCs w:val="24"/>
                <w:lang w:eastAsia="lv-LV"/>
              </w:rPr>
            </w:pPr>
          </w:p>
        </w:tc>
        <w:tc>
          <w:tcPr>
            <w:tcW w:w="754"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1FAC1EB2"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2922508E" w14:textId="77777777">
            <w:pPr>
              <w:spacing w:after="0" w:line="240" w:lineRule="auto"/>
              <w:jc w:val="center"/>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0</w:t>
            </w:r>
          </w:p>
        </w:tc>
        <w:tc>
          <w:tcPr>
            <w:tcW w:w="697"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247932C7"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c>
          <w:tcPr>
            <w:tcW w:w="69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89DB1F1" w14:textId="77777777">
            <w:pPr>
              <w:spacing w:after="0" w:line="240" w:lineRule="auto"/>
              <w:rPr>
                <w:rFonts w:ascii="Times New Roman" w:eastAsia="Times New Roman" w:hAnsi="Times New Roman" w:cs="Times New Roman"/>
                <w:sz w:val="24"/>
                <w:szCs w:val="24"/>
                <w:lang w:eastAsia="lv-LV"/>
              </w:rPr>
            </w:pPr>
            <w:r w:rsidRPr="006D0631">
              <w:rPr>
                <w:rFonts w:ascii="Times New Roman" w:hAnsi="Times New Roman" w:cs="Times New Roman"/>
                <w:sz w:val="24"/>
                <w:szCs w:val="24"/>
              </w:rPr>
              <w:t>Nav precīzi aprēķināms</w:t>
            </w:r>
          </w:p>
        </w:tc>
      </w:tr>
      <w:tr w14:paraId="7E21773A"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4F5CFE61"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3D97A854" w14:textId="77777777">
            <w:pPr>
              <w:spacing w:after="0" w:line="240" w:lineRule="auto"/>
              <w:rPr>
                <w:rFonts w:ascii="Times New Roman" w:eastAsia="Times New Roman" w:hAnsi="Times New Roman" w:cs="Times New Roman"/>
                <w:sz w:val="24"/>
                <w:szCs w:val="24"/>
                <w:lang w:eastAsia="lv-LV"/>
              </w:rPr>
            </w:pPr>
          </w:p>
        </w:tc>
      </w:tr>
      <w:tr w14:paraId="3866DA35"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64E7EEAB"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30BC070A" w14:textId="77777777">
            <w:pPr>
              <w:spacing w:after="0" w:line="240" w:lineRule="auto"/>
              <w:rPr>
                <w:rFonts w:ascii="Times New Roman" w:eastAsia="Times New Roman" w:hAnsi="Times New Roman" w:cs="Times New Roman"/>
                <w:sz w:val="24"/>
                <w:szCs w:val="24"/>
                <w:lang w:eastAsia="lv-LV"/>
              </w:rPr>
            </w:pPr>
          </w:p>
        </w:tc>
      </w:tr>
      <w:tr w14:paraId="0A924E30" w14:textId="77777777" w:rsidTr="00A616F8">
        <w:tblPrEx>
          <w:tblW w:w="5000" w:type="pct"/>
          <w:jc w:val="center"/>
          <w:tblCellMar>
            <w:top w:w="24" w:type="dxa"/>
            <w:left w:w="24" w:type="dxa"/>
            <w:bottom w:w="24" w:type="dxa"/>
            <w:right w:w="24" w:type="dxa"/>
          </w:tblCellMar>
          <w:tblLook w:val="04A0"/>
        </w:tblPrEx>
        <w:trPr>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5CCDF958"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B06CD3" w:rsidRPr="006D0631" w:rsidP="00F03CF7" w14:paraId="64E399DB" w14:textId="77777777">
            <w:pPr>
              <w:spacing w:after="0" w:line="240" w:lineRule="auto"/>
              <w:rPr>
                <w:rFonts w:ascii="Times New Roman" w:eastAsia="Times New Roman" w:hAnsi="Times New Roman" w:cs="Times New Roman"/>
                <w:sz w:val="24"/>
                <w:szCs w:val="24"/>
                <w:lang w:eastAsia="lv-LV"/>
              </w:rPr>
            </w:pPr>
          </w:p>
        </w:tc>
      </w:tr>
      <w:tr w14:paraId="2CFEB7DE" w14:textId="77777777" w:rsidTr="00A616F8">
        <w:tblPrEx>
          <w:tblW w:w="5000" w:type="pct"/>
          <w:jc w:val="center"/>
          <w:tblCellMar>
            <w:top w:w="24" w:type="dxa"/>
            <w:left w:w="24" w:type="dxa"/>
            <w:bottom w:w="24" w:type="dxa"/>
            <w:right w:w="24" w:type="dxa"/>
          </w:tblCellMar>
          <w:tblLook w:val="04A0"/>
        </w:tblPrEx>
        <w:trPr>
          <w:trHeight w:val="444"/>
          <w:jc w:val="center"/>
        </w:trPr>
        <w:tc>
          <w:tcPr>
            <w:tcW w:w="1605" w:type="pct"/>
            <w:tcBorders>
              <w:top w:val="outset" w:sz="6" w:space="0" w:color="414142"/>
              <w:left w:val="outset" w:sz="6" w:space="0" w:color="414142"/>
              <w:bottom w:val="outset" w:sz="6" w:space="0" w:color="414142"/>
              <w:right w:val="outset" w:sz="6" w:space="0" w:color="414142"/>
            </w:tcBorders>
            <w:hideMark/>
          </w:tcPr>
          <w:p w:rsidR="00B06CD3" w:rsidRPr="006D0631" w:rsidP="00F03CF7" w14:paraId="29CE42EF" w14:textId="77777777">
            <w:pPr>
              <w:spacing w:after="0" w:line="240" w:lineRule="auto"/>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7. Cita informācija</w:t>
            </w:r>
          </w:p>
        </w:tc>
        <w:tc>
          <w:tcPr>
            <w:tcW w:w="3395" w:type="pct"/>
            <w:gridSpan w:val="5"/>
            <w:tcBorders>
              <w:top w:val="outset" w:sz="6" w:space="0" w:color="414142"/>
              <w:left w:val="outset" w:sz="6" w:space="0" w:color="414142"/>
              <w:bottom w:val="outset" w:sz="6" w:space="0" w:color="414142"/>
              <w:right w:val="outset" w:sz="6" w:space="0" w:color="414142"/>
            </w:tcBorders>
            <w:hideMark/>
          </w:tcPr>
          <w:p w:rsidR="00B06CD3" w:rsidRPr="006D0631" w:rsidP="00F03CF7" w14:paraId="68EA86D7"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Tiek prognozēts, ka, valsts pārvaldes pakalpojumu sistēmai pilnvērtīgi darbojoties, tiks mazinātas un ar laiku novērstas pārklājošās investīcijas. Efektīvi plānojot un</w:t>
            </w:r>
            <w:r w:rsidRPr="006D0631">
              <w:rPr>
                <w:rFonts w:ascii="Times New Roman" w:eastAsia="Times New Roman" w:hAnsi="Times New Roman" w:cs="Times New Roman"/>
                <w:sz w:val="24"/>
                <w:szCs w:val="24"/>
                <w:lang w:eastAsia="lv-LV"/>
              </w:rPr>
              <w:t xml:space="preserve"> salāgojot pakalpojumu sniegšanas procesus</w:t>
            </w:r>
            <w:r w:rsidRPr="006D0631">
              <w:rPr>
                <w:rFonts w:ascii="Times New Roman" w:eastAsia="Times New Roman" w:hAnsi="Times New Roman" w:cs="Times New Roman"/>
                <w:sz w:val="24"/>
                <w:szCs w:val="24"/>
                <w:lang w:eastAsia="lv-LV"/>
              </w:rPr>
              <w:t xml:space="preserve">, būs iespējams iegūt ne vien no atsevišķu iestāžu vai vairāku viena resora iestāžu sadarbības, bet arī no ciešākas sadarbības </w:t>
            </w:r>
            <w:r w:rsidRPr="006D0631">
              <w:rPr>
                <w:rFonts w:ascii="Times New Roman" w:eastAsia="Times New Roman" w:hAnsi="Times New Roman" w:cs="Times New Roman"/>
                <w:sz w:val="24"/>
                <w:szCs w:val="24"/>
                <w:lang w:eastAsia="lv-LV"/>
              </w:rPr>
              <w:t>pārresoru</w:t>
            </w:r>
            <w:r w:rsidRPr="006D0631">
              <w:rPr>
                <w:rFonts w:ascii="Times New Roman" w:eastAsia="Times New Roman" w:hAnsi="Times New Roman" w:cs="Times New Roman"/>
                <w:sz w:val="24"/>
                <w:szCs w:val="24"/>
                <w:lang w:eastAsia="lv-LV"/>
              </w:rPr>
              <w:t xml:space="preserve"> līmenī.</w:t>
            </w:r>
          </w:p>
          <w:p w:rsidR="00B06CD3" w:rsidRPr="006D0631" w:rsidP="00B016B8" w14:paraId="0843D2E8" w14:textId="6A97B435">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Finansējums nepieciešamo izmaiņu veikšanai (tām noteikumu projektā noteikts pārejas laiks līdz 2022. gada 1. oktobrim) jāparedz </w:t>
            </w:r>
            <w:r w:rsidRPr="006D0631">
              <w:rPr>
                <w:rFonts w:ascii="Times New Roman" w:eastAsia="Times New Roman" w:hAnsi="Times New Roman" w:cs="Times New Roman"/>
                <w:sz w:val="24"/>
                <w:szCs w:val="24"/>
                <w:lang w:eastAsia="lv-LV"/>
              </w:rPr>
              <w:t>attiecīgo IKT sistēmu</w:t>
            </w:r>
            <w:r w:rsidRPr="006D0631">
              <w:rPr>
                <w:rFonts w:ascii="Times New Roman" w:eastAsia="Times New Roman" w:hAnsi="Times New Roman" w:cs="Times New Roman"/>
                <w:sz w:val="24"/>
                <w:szCs w:val="24"/>
                <w:lang w:eastAsia="lv-LV"/>
              </w:rPr>
              <w:t xml:space="preserve"> un e-pakalpojumu ikgadējās uzturēšanas un attīstības izmaksās, savukārt attiecībā uz jaunajiem e-pakalpojumiem noteikumu projektā paredzētās prasības jāīsteno to izstrādes laikā paredzētā finansējuma ietvaros. Esošo e-pakalpojumu uzturēšana un attīstība, kā arī jauno e-pakalpojumu izveide ir paredzēta valsts un pašvaldību budžetā un ar ERAF finansējumu, tāpēc papildu slogs uz valsts un pašvaldību budžetu nav precīzi aprēķināms, jo iestādēm ir dažāda situācija – daļa iestāžu izmaiņas e-pakalpojumos, ko nosaka dažādu normatīvo aktu izmaiņas, ir paredzējušas ikgadējās uzturēšanas izmaksās, savukārt vēl daļa iestāžu šīs izmaiņas plāno 2014.–2020. gada ERAF projektos, taču konkrētā finansējuma pieejamība atkarīga no projektu apstiprināšanas gaitas. Ja noteikumu projektā minēto darbību veikšanai atsevišķi pakalpojumu turētāji konstatēs, ka tiem var rasties papildu administratīvās izmaksas, jautājums par papildu līdzekļu piešķiršanu noteikumu projektā paredzēto pasākumu </w:t>
            </w:r>
            <w:r w:rsidRPr="006D0631">
              <w:rPr>
                <w:rFonts w:ascii="Times New Roman" w:eastAsia="Times New Roman" w:hAnsi="Times New Roman" w:cs="Times New Roman"/>
                <w:sz w:val="24"/>
                <w:szCs w:val="24"/>
                <w:lang w:eastAsia="lv-LV"/>
              </w:rPr>
              <w:t>īstenošanai 2019. gadam un turpmākajiem gadiem skatāms Ministru kabinetā vidēja termiņa un gadskārtējā valsts budžeta projekta sagatavošanas procesā vienlaikus ar visu ministriju un citu centrālo valsts iestāžu prioritāro pasākumu pieprasījumiem atbilstoši attiecīgā gada valsts budžeta finansiālajām iespējām.</w:t>
            </w:r>
          </w:p>
        </w:tc>
      </w:tr>
    </w:tbl>
    <w:p w:rsidR="000812E1" w:rsidRPr="006D0631" w:rsidP="000812E1" w14:paraId="50CAE4AD" w14:textId="77777777">
      <w:pPr>
        <w:shd w:val="clear" w:color="auto" w:fill="FFFFFF"/>
        <w:spacing w:after="0" w:line="240" w:lineRule="auto"/>
        <w:jc w:val="both"/>
        <w:rPr>
          <w:rFonts w:ascii="Times New Roman" w:eastAsia="Times New Roman" w:hAnsi="Times New Roman" w:cs="Times New Roman"/>
          <w:sz w:val="24"/>
          <w:szCs w:val="24"/>
          <w:lang w:eastAsia="lv-LV"/>
        </w:rPr>
      </w:pPr>
    </w:p>
    <w:p w:rsidR="000812E1" w:rsidRPr="006D0631" w:rsidP="00853BA0" w14:paraId="12B394EC" w14:textId="77777777">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tblPr>
      <w:tblGrid>
        <w:gridCol w:w="453"/>
        <w:gridCol w:w="2800"/>
        <w:gridCol w:w="5802"/>
      </w:tblGrid>
      <w:tr w14:paraId="3A10A063" w14:textId="77777777" w:rsidTr="005025F2">
        <w:tblPrEx>
          <w:tblW w:w="5000" w:type="pct"/>
          <w:jc w:val="center"/>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31" w:rsidP="00B016B8" w14:paraId="3A10A06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IV.</w:t>
            </w:r>
            <w:r w:rsidRPr="006D0631" w:rsidR="00BD4425">
              <w:rPr>
                <w:rFonts w:ascii="Times New Roman" w:eastAsia="Times New Roman" w:hAnsi="Times New Roman" w:cs="Times New Roman"/>
                <w:b/>
                <w:bCs/>
                <w:sz w:val="24"/>
                <w:szCs w:val="24"/>
                <w:lang w:eastAsia="lv-LV"/>
              </w:rPr>
              <w:t> </w:t>
            </w:r>
            <w:r w:rsidRPr="006D0631">
              <w:rPr>
                <w:rFonts w:ascii="Times New Roman" w:eastAsia="Times New Roman" w:hAnsi="Times New Roman" w:cs="Times New Roman"/>
                <w:b/>
                <w:bCs/>
                <w:sz w:val="24"/>
                <w:szCs w:val="24"/>
                <w:lang w:eastAsia="lv-LV"/>
              </w:rPr>
              <w:t>Tiesību akta projekta ietekme uz spēkā esošo tiesību normu sistēmu</w:t>
            </w:r>
          </w:p>
        </w:tc>
      </w:tr>
      <w:tr w14:paraId="3A10A067" w14:textId="77777777" w:rsidTr="005025F2">
        <w:tblPrEx>
          <w:tblW w:w="5000" w:type="pct"/>
          <w:jc w:val="center"/>
          <w:tblCellMar>
            <w:top w:w="23" w:type="dxa"/>
            <w:left w:w="85" w:type="dxa"/>
            <w:bottom w:w="23" w:type="dxa"/>
            <w:right w:w="85"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64"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65"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Nepieciešamie saistītie tiesību aktu projekti</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6D0631" w:rsidP="009831FD" w14:paraId="3A10A066" w14:textId="26E17C09">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Nav.</w:t>
            </w:r>
          </w:p>
        </w:tc>
      </w:tr>
      <w:tr w14:paraId="3A10A06B" w14:textId="77777777" w:rsidTr="005025F2">
        <w:tblPrEx>
          <w:tblW w:w="5000" w:type="pct"/>
          <w:jc w:val="center"/>
          <w:tblCellMar>
            <w:top w:w="23" w:type="dxa"/>
            <w:left w:w="85" w:type="dxa"/>
            <w:bottom w:w="23" w:type="dxa"/>
            <w:right w:w="85"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68"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69"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tcPr>
          <w:p w:rsidR="00894C55" w:rsidRPr="006D0631" w:rsidP="00853BA0" w14:paraId="3A10A06A" w14:textId="33601FF1">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Nav.</w:t>
            </w:r>
          </w:p>
        </w:tc>
      </w:tr>
      <w:tr w14:paraId="3A10A070" w14:textId="77777777" w:rsidTr="005025F2">
        <w:tblPrEx>
          <w:tblW w:w="5000" w:type="pct"/>
          <w:jc w:val="center"/>
          <w:tblCellMar>
            <w:top w:w="23" w:type="dxa"/>
            <w:left w:w="85" w:type="dxa"/>
            <w:bottom w:w="23" w:type="dxa"/>
            <w:right w:w="85"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6C"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6D"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rsidR="009831FD" w:rsidRPr="006D0631" w:rsidP="009831FD" w14:paraId="1E2D1147"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Noteikumu projekts tiks virzīts kopā ar šādiem Ministru kabineta noteikumu projektiem:</w:t>
            </w:r>
          </w:p>
          <w:p w:rsidR="009831FD" w:rsidRPr="006D0631" w:rsidP="009831FD" w14:paraId="41FC9EA5" w14:textId="32FF9FDE">
            <w:pPr>
              <w:pStyle w:val="ListParagraph"/>
              <w:numPr>
                <w:ilvl w:val="0"/>
                <w:numId w:val="5"/>
              </w:numPr>
              <w:spacing w:after="0" w:line="240" w:lineRule="auto"/>
              <w:ind w:left="301" w:hanging="301"/>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“Valsts pārvaldes pakalpojumu uzskaites, sniegšanas un kvalitātes kontrole</w:t>
            </w:r>
            <w:r w:rsidRPr="006D0631" w:rsidR="000425D8">
              <w:rPr>
                <w:rFonts w:ascii="Times New Roman" w:eastAsia="Times New Roman" w:hAnsi="Times New Roman" w:cs="Times New Roman"/>
                <w:sz w:val="24"/>
                <w:szCs w:val="24"/>
                <w:lang w:eastAsia="lv-LV"/>
              </w:rPr>
              <w:t>s kārtība</w:t>
            </w:r>
            <w:r w:rsidRPr="006D0631">
              <w:rPr>
                <w:rFonts w:ascii="Times New Roman" w:eastAsia="Times New Roman" w:hAnsi="Times New Roman" w:cs="Times New Roman"/>
                <w:sz w:val="24"/>
                <w:szCs w:val="24"/>
                <w:lang w:eastAsia="lv-LV"/>
              </w:rPr>
              <w:t>”</w:t>
            </w:r>
            <w:r w:rsidRPr="006D0631" w:rsidR="008E471C">
              <w:rPr>
                <w:rFonts w:ascii="Times New Roman" w:eastAsia="Times New Roman" w:hAnsi="Times New Roman" w:cs="Times New Roman"/>
                <w:sz w:val="24"/>
                <w:szCs w:val="24"/>
                <w:lang w:eastAsia="lv-LV"/>
              </w:rPr>
              <w:t xml:space="preserve"> </w:t>
            </w:r>
            <w:r w:rsidRPr="006D0631" w:rsidR="008E471C">
              <w:rPr>
                <w:rFonts w:ascii="Times New Roman" w:eastAsia="Times New Roman" w:hAnsi="Times New Roman" w:cs="Times New Roman"/>
                <w:noProof/>
                <w:sz w:val="24"/>
                <w:szCs w:val="24"/>
                <w:lang w:eastAsia="lv-LV"/>
              </w:rPr>
              <w:t>(VSS-1213)</w:t>
            </w:r>
            <w:r w:rsidRPr="006D0631">
              <w:rPr>
                <w:rFonts w:ascii="Times New Roman" w:eastAsia="Times New Roman" w:hAnsi="Times New Roman" w:cs="Times New Roman"/>
                <w:noProof/>
                <w:sz w:val="24"/>
                <w:szCs w:val="24"/>
                <w:lang w:eastAsia="lv-LV"/>
              </w:rPr>
              <w:t>;</w:t>
            </w:r>
          </w:p>
          <w:p w:rsidR="009831FD" w:rsidRPr="006D0631" w:rsidP="009831FD" w14:paraId="2927D5E4" w14:textId="13A4C924">
            <w:pPr>
              <w:pStyle w:val="ListParagraph"/>
              <w:numPr>
                <w:ilvl w:val="0"/>
                <w:numId w:val="5"/>
              </w:numPr>
              <w:spacing w:after="0" w:line="240" w:lineRule="auto"/>
              <w:ind w:left="301" w:hanging="301"/>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“Valsts pārvaldes pakalpojumu portāla noteikumi”</w:t>
            </w:r>
            <w:r w:rsidRPr="006D0631" w:rsidR="008E471C">
              <w:rPr>
                <w:rFonts w:ascii="Times New Roman" w:eastAsia="Times New Roman" w:hAnsi="Times New Roman" w:cs="Times New Roman"/>
                <w:sz w:val="24"/>
                <w:szCs w:val="24"/>
                <w:lang w:eastAsia="lv-LV"/>
              </w:rPr>
              <w:t xml:space="preserve"> </w:t>
            </w:r>
            <w:r w:rsidRPr="006D0631" w:rsidR="008E471C">
              <w:rPr>
                <w:rFonts w:ascii="Times New Roman" w:eastAsia="Times New Roman" w:hAnsi="Times New Roman" w:cs="Times New Roman"/>
                <w:noProof/>
                <w:sz w:val="24"/>
                <w:szCs w:val="24"/>
                <w:lang w:eastAsia="lv-LV"/>
              </w:rPr>
              <w:t>(VSS-1211)</w:t>
            </w:r>
            <w:r w:rsidRPr="006D0631">
              <w:rPr>
                <w:rFonts w:ascii="Times New Roman" w:eastAsia="Times New Roman" w:hAnsi="Times New Roman" w:cs="Times New Roman"/>
                <w:noProof/>
                <w:sz w:val="24"/>
                <w:szCs w:val="24"/>
                <w:lang w:eastAsia="lv-LV"/>
              </w:rPr>
              <w:t>;</w:t>
            </w:r>
          </w:p>
          <w:p w:rsidR="00894C55" w:rsidRPr="006D0631" w:rsidP="009831FD" w14:paraId="3A10A06F" w14:textId="50A5B7A7">
            <w:pPr>
              <w:pStyle w:val="ListParagraph"/>
              <w:numPr>
                <w:ilvl w:val="0"/>
                <w:numId w:val="5"/>
              </w:numPr>
              <w:spacing w:after="0" w:line="240" w:lineRule="auto"/>
              <w:ind w:left="301" w:hanging="301"/>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“Valsts un pašvaldību vienoto klientu apkalpošanas centru veidi, sniegto pakalpojumu apjoms un pakalpojumu sniegšanas kārtība”</w:t>
            </w:r>
            <w:r w:rsidRPr="006D0631" w:rsidR="008E471C">
              <w:rPr>
                <w:rFonts w:ascii="Times New Roman" w:eastAsia="Times New Roman" w:hAnsi="Times New Roman" w:cs="Times New Roman"/>
                <w:sz w:val="24"/>
                <w:szCs w:val="24"/>
                <w:lang w:eastAsia="lv-LV"/>
              </w:rPr>
              <w:t xml:space="preserve"> </w:t>
            </w:r>
            <w:r w:rsidRPr="006D0631" w:rsidR="008E471C">
              <w:rPr>
                <w:rFonts w:ascii="Times New Roman" w:eastAsia="Times New Roman" w:hAnsi="Times New Roman" w:cs="Times New Roman"/>
                <w:noProof/>
                <w:sz w:val="24"/>
                <w:szCs w:val="24"/>
                <w:lang w:eastAsia="lv-LV"/>
              </w:rPr>
              <w:t>(VSS-1212)</w:t>
            </w:r>
            <w:r w:rsidRPr="006D0631">
              <w:rPr>
                <w:rFonts w:ascii="Times New Roman" w:eastAsia="Times New Roman" w:hAnsi="Times New Roman" w:cs="Times New Roman"/>
                <w:noProof/>
                <w:sz w:val="24"/>
                <w:szCs w:val="24"/>
                <w:lang w:eastAsia="lv-LV"/>
              </w:rPr>
              <w:t>.</w:t>
            </w:r>
          </w:p>
        </w:tc>
      </w:tr>
    </w:tbl>
    <w:p w:rsidR="00894C55" w:rsidRPr="006D0631" w:rsidP="00853BA0" w14:paraId="3A10A071" w14:textId="77777777">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tblPr>
      <w:tblGrid>
        <w:gridCol w:w="452"/>
        <w:gridCol w:w="2802"/>
        <w:gridCol w:w="5801"/>
      </w:tblGrid>
      <w:tr w14:paraId="3A10A0C4" w14:textId="77777777" w:rsidTr="005025F2">
        <w:tblPrEx>
          <w:tblW w:w="5000" w:type="pct"/>
          <w:jc w:val="center"/>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31" w:rsidP="00853BA0" w14:paraId="3A10A0C3" w14:textId="77777777">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VI.</w:t>
            </w:r>
            <w:r w:rsidRPr="006D0631" w:rsidR="00816C11">
              <w:rPr>
                <w:rFonts w:ascii="Times New Roman" w:eastAsia="Times New Roman" w:hAnsi="Times New Roman" w:cs="Times New Roman"/>
                <w:b/>
                <w:bCs/>
                <w:sz w:val="24"/>
                <w:szCs w:val="24"/>
                <w:lang w:eastAsia="lv-LV"/>
              </w:rPr>
              <w:t> </w:t>
            </w:r>
            <w:r w:rsidRPr="006D0631">
              <w:rPr>
                <w:rFonts w:ascii="Times New Roman" w:eastAsia="Times New Roman" w:hAnsi="Times New Roman" w:cs="Times New Roman"/>
                <w:b/>
                <w:bCs/>
                <w:sz w:val="24"/>
                <w:szCs w:val="24"/>
                <w:lang w:eastAsia="lv-LV"/>
              </w:rPr>
              <w:t>Sabiedrības līdzdalība un komunikācijas aktivitātes</w:t>
            </w:r>
          </w:p>
        </w:tc>
      </w:tr>
      <w:tr w14:paraId="3A10A0C8" w14:textId="77777777" w:rsidTr="005025F2">
        <w:tblPrEx>
          <w:tblW w:w="5000" w:type="pct"/>
          <w:jc w:val="center"/>
          <w:tblCellMar>
            <w:top w:w="23" w:type="dxa"/>
            <w:left w:w="85" w:type="dxa"/>
            <w:bottom w:w="23" w:type="dxa"/>
            <w:right w:w="85"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C5"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C6"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tcPr>
          <w:p w:rsidR="00894C55" w:rsidRPr="006D0631" w:rsidP="00012E61" w14:paraId="3A10A0C7" w14:textId="05DC38E8">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Ministrijas tīmekļvietnē </w:t>
            </w:r>
            <w:r>
              <w:fldChar w:fldCharType="begin"/>
            </w:r>
            <w:r>
              <w:instrText xml:space="preserve"> HYPERLINK "http://www.varam.gov.lv" </w:instrText>
            </w:r>
            <w:r>
              <w:fldChar w:fldCharType="separate"/>
            </w:r>
            <w:r w:rsidRPr="00B016B8">
              <w:rPr>
                <w:rStyle w:val="Hyperlink"/>
                <w:rFonts w:ascii="Times New Roman" w:eastAsia="Times New Roman" w:hAnsi="Times New Roman" w:cs="Times New Roman"/>
                <w:sz w:val="24"/>
                <w:szCs w:val="24"/>
                <w:lang w:eastAsia="lv-LV"/>
              </w:rPr>
              <w:t>www.varam.gov.lv</w:t>
            </w:r>
            <w:r>
              <w:fldChar w:fldCharType="end"/>
            </w:r>
            <w:r w:rsidRPr="006D0631">
              <w:rPr>
                <w:rFonts w:ascii="Times New Roman" w:eastAsia="Times New Roman" w:hAnsi="Times New Roman" w:cs="Times New Roman"/>
                <w:sz w:val="24"/>
                <w:szCs w:val="24"/>
                <w:lang w:eastAsia="lv-LV"/>
              </w:rPr>
              <w:t xml:space="preserve"> sadaļā “Normatīvo aktu projekti” </w:t>
            </w:r>
            <w:r w:rsidRPr="006D0631">
              <w:rPr>
                <w:rFonts w:ascii="Times New Roman" w:eastAsia="Times New Roman" w:hAnsi="Times New Roman" w:cs="Times New Roman"/>
                <w:sz w:val="24"/>
                <w:szCs w:val="24"/>
                <w:lang w:eastAsia="lv-LV"/>
              </w:rPr>
              <w:t>2016.</w:t>
            </w:r>
            <w:r w:rsidR="00B016B8">
              <w:rPr>
                <w:rFonts w:ascii="Times New Roman" w:eastAsia="Times New Roman" w:hAnsi="Times New Roman" w:cs="Times New Roman"/>
                <w:sz w:val="24"/>
                <w:szCs w:val="24"/>
                <w:lang w:eastAsia="lv-LV"/>
              </w:rPr>
              <w:t>gada</w:t>
            </w:r>
            <w:r w:rsidR="00B016B8">
              <w:rPr>
                <w:rFonts w:ascii="Times New Roman" w:eastAsia="Times New Roman" w:hAnsi="Times New Roman" w:cs="Times New Roman"/>
                <w:sz w:val="24"/>
                <w:szCs w:val="24"/>
                <w:lang w:eastAsia="lv-LV"/>
              </w:rPr>
              <w:t xml:space="preserve"> 30. novembrī</w:t>
            </w:r>
            <w:r w:rsidRPr="006D0631">
              <w:rPr>
                <w:rFonts w:ascii="Times New Roman" w:eastAsia="Times New Roman" w:hAnsi="Times New Roman" w:cs="Times New Roman"/>
                <w:sz w:val="24"/>
                <w:szCs w:val="24"/>
                <w:lang w:eastAsia="lv-LV"/>
              </w:rPr>
              <w:t xml:space="preserve"> tika publicēts paziņojums par sabiedrības līdzdalības iespējām.</w:t>
            </w:r>
          </w:p>
        </w:tc>
      </w:tr>
      <w:tr w14:paraId="3A10A0CC" w14:textId="77777777" w:rsidTr="005025F2">
        <w:tblPrEx>
          <w:tblW w:w="5000" w:type="pct"/>
          <w:jc w:val="center"/>
          <w:tblCellMar>
            <w:top w:w="23" w:type="dxa"/>
            <w:left w:w="85" w:type="dxa"/>
            <w:bottom w:w="23" w:type="dxa"/>
            <w:right w:w="85"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C9"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rsidR="0089139A" w:rsidRPr="006D0631" w:rsidP="00853BA0" w14:paraId="3A10A0CA" w14:textId="1BA37C51">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Sabiedrības līdzdalība projekta izstrādē</w:t>
            </w:r>
          </w:p>
          <w:p w:rsidR="00894C55" w:rsidRPr="006D0631" w:rsidP="0089139A" w14:paraId="69E4E55F" w14:textId="77777777">
            <w:pPr>
              <w:jc w:val="center"/>
              <w:rPr>
                <w:rFonts w:ascii="Times New Roman" w:eastAsia="Times New Roman" w:hAnsi="Times New Roman" w:cs="Times New Roman"/>
                <w:sz w:val="24"/>
                <w:szCs w:val="24"/>
                <w:lang w:eastAsia="lv-LV"/>
              </w:rPr>
            </w:pPr>
          </w:p>
        </w:tc>
        <w:tc>
          <w:tcPr>
            <w:tcW w:w="3204" w:type="pct"/>
            <w:tcBorders>
              <w:top w:val="outset" w:sz="6" w:space="0" w:color="414142"/>
              <w:left w:val="outset" w:sz="6" w:space="0" w:color="414142"/>
              <w:bottom w:val="outset" w:sz="6" w:space="0" w:color="414142"/>
              <w:right w:val="outset" w:sz="6" w:space="0" w:color="414142"/>
            </w:tcBorders>
          </w:tcPr>
          <w:p w:rsidR="00894C55" w:rsidRPr="006D0631" w:rsidP="00012E61" w14:paraId="3A10A0CB" w14:textId="789AE29A">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Noteikumu projekts kopā ar sākotnējās ietekmes novērtējuma ziņojumu (anotāciju) </w:t>
            </w:r>
            <w:r w:rsidR="00B016B8">
              <w:rPr>
                <w:rFonts w:ascii="Times New Roman" w:eastAsia="Times New Roman" w:hAnsi="Times New Roman" w:cs="Times New Roman"/>
                <w:sz w:val="24"/>
                <w:szCs w:val="24"/>
                <w:lang w:eastAsia="lv-LV"/>
              </w:rPr>
              <w:t>2</w:t>
            </w:r>
            <w:r w:rsidRPr="006D0631">
              <w:rPr>
                <w:rFonts w:ascii="Times New Roman" w:eastAsia="Times New Roman" w:hAnsi="Times New Roman" w:cs="Times New Roman"/>
                <w:sz w:val="24"/>
                <w:szCs w:val="24"/>
                <w:lang w:eastAsia="lv-LV"/>
              </w:rPr>
              <w:t>016.</w:t>
            </w:r>
            <w:r w:rsidR="00B016B8">
              <w:rPr>
                <w:rFonts w:ascii="Times New Roman" w:eastAsia="Times New Roman" w:hAnsi="Times New Roman" w:cs="Times New Roman"/>
                <w:sz w:val="24"/>
                <w:szCs w:val="24"/>
                <w:lang w:eastAsia="lv-LV"/>
              </w:rPr>
              <w:t> gada 30. novembrī</w:t>
            </w:r>
            <w:r w:rsidRPr="006D0631">
              <w:rPr>
                <w:rFonts w:ascii="Times New Roman" w:eastAsia="Times New Roman" w:hAnsi="Times New Roman" w:cs="Times New Roman"/>
                <w:sz w:val="24"/>
                <w:szCs w:val="24"/>
                <w:lang w:eastAsia="lv-LV"/>
              </w:rPr>
              <w:t xml:space="preserve"> ievietots ministrijas tīmekļvietnē </w:t>
            </w:r>
            <w:r>
              <w:fldChar w:fldCharType="begin"/>
            </w:r>
            <w:r>
              <w:instrText xml:space="preserve"> HYPERLINK "http://www.varam.gov.lv" </w:instrText>
            </w:r>
            <w:r>
              <w:fldChar w:fldCharType="separate"/>
            </w:r>
            <w:r w:rsidRPr="00B016B8">
              <w:rPr>
                <w:rStyle w:val="Hyperlink"/>
                <w:rFonts w:ascii="Times New Roman" w:eastAsia="Times New Roman" w:hAnsi="Times New Roman" w:cs="Times New Roman"/>
                <w:sz w:val="24"/>
                <w:szCs w:val="24"/>
                <w:lang w:eastAsia="lv-LV"/>
              </w:rPr>
              <w:t>www.varam.gov.lv</w:t>
            </w:r>
            <w:r>
              <w:fldChar w:fldCharType="end"/>
            </w:r>
            <w:r w:rsidRPr="006D0631">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w:t>
            </w:r>
            <w:r w:rsidRPr="006D0631" w:rsidR="00B50584">
              <w:rPr>
                <w:rFonts w:ascii="Times New Roman" w:eastAsia="Times New Roman" w:hAnsi="Times New Roman" w:cs="Times New Roman"/>
                <w:sz w:val="24"/>
                <w:szCs w:val="24"/>
                <w:lang w:eastAsia="lv-LV"/>
              </w:rPr>
              <w:t xml:space="preserve"> Informācija publicēta arī sociālajā tīklā </w:t>
            </w:r>
            <w:r w:rsidRPr="006D0631" w:rsidR="00B50584">
              <w:rPr>
                <w:rFonts w:ascii="Times New Roman" w:eastAsia="Times New Roman" w:hAnsi="Times New Roman" w:cs="Times New Roman"/>
                <w:sz w:val="24"/>
                <w:szCs w:val="24"/>
                <w:lang w:eastAsia="lv-LV"/>
              </w:rPr>
              <w:t>Twitter</w:t>
            </w:r>
            <w:r w:rsidRPr="006D0631" w:rsidR="00B50584">
              <w:rPr>
                <w:rFonts w:ascii="Times New Roman" w:eastAsia="Times New Roman" w:hAnsi="Times New Roman" w:cs="Times New Roman"/>
                <w:sz w:val="24"/>
                <w:szCs w:val="24"/>
                <w:lang w:eastAsia="lv-LV"/>
              </w:rPr>
              <w:t xml:space="preserve"> https://t.co/dusYp6Fnd2.</w:t>
            </w:r>
          </w:p>
        </w:tc>
      </w:tr>
      <w:tr w14:paraId="3A10A0D0" w14:textId="77777777" w:rsidTr="005025F2">
        <w:tblPrEx>
          <w:tblW w:w="5000" w:type="pct"/>
          <w:jc w:val="center"/>
          <w:tblCellMar>
            <w:top w:w="23" w:type="dxa"/>
            <w:left w:w="85" w:type="dxa"/>
            <w:bottom w:w="23" w:type="dxa"/>
            <w:right w:w="85"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CD"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CE"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tcPr>
          <w:p w:rsidR="00894C55" w:rsidRPr="006D0631" w:rsidP="00853BA0" w14:paraId="3A10A0CF" w14:textId="40DE241A">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No sabiedrības pārstāvjiem iebildumi un priekšlikumi nav saņemti.</w:t>
            </w:r>
          </w:p>
        </w:tc>
      </w:tr>
      <w:tr w14:paraId="3A10A0D5" w14:textId="77777777" w:rsidTr="005025F2">
        <w:tblPrEx>
          <w:tblW w:w="5000" w:type="pct"/>
          <w:jc w:val="center"/>
          <w:tblCellMar>
            <w:top w:w="23" w:type="dxa"/>
            <w:left w:w="85" w:type="dxa"/>
            <w:bottom w:w="23" w:type="dxa"/>
            <w:right w:w="85"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D1"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D2"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rsidR="00894C55" w:rsidRPr="006D0631" w:rsidP="00853BA0" w14:paraId="3A10A0D4" w14:textId="7A84BCF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Nav.</w:t>
            </w:r>
          </w:p>
        </w:tc>
      </w:tr>
    </w:tbl>
    <w:p w:rsidR="00894C55" w:rsidRPr="006D0631" w:rsidP="00853BA0" w14:paraId="3A10A0D6" w14:textId="77777777">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85" w:type="dxa"/>
          <w:bottom w:w="24" w:type="dxa"/>
          <w:right w:w="85" w:type="dxa"/>
        </w:tblCellMar>
        <w:tblLook w:val="04A0"/>
      </w:tblPr>
      <w:tblGrid>
        <w:gridCol w:w="453"/>
        <w:gridCol w:w="2800"/>
        <w:gridCol w:w="5802"/>
      </w:tblGrid>
      <w:tr w14:paraId="3A10A0D8" w14:textId="77777777" w:rsidTr="005025F2">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85" w:type="dxa"/>
            <w:bottom w:w="24" w:type="dxa"/>
            <w:right w:w="85"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D0631" w:rsidP="00853BA0" w14:paraId="3A10A0D7" w14:textId="77777777">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6D0631">
              <w:rPr>
                <w:rFonts w:ascii="Times New Roman" w:eastAsia="Times New Roman" w:hAnsi="Times New Roman" w:cs="Times New Roman"/>
                <w:b/>
                <w:bCs/>
                <w:sz w:val="24"/>
                <w:szCs w:val="24"/>
                <w:lang w:eastAsia="lv-LV"/>
              </w:rPr>
              <w:t>VII.</w:t>
            </w:r>
            <w:r w:rsidRPr="006D0631" w:rsidR="00816C11">
              <w:rPr>
                <w:rFonts w:ascii="Times New Roman" w:eastAsia="Times New Roman" w:hAnsi="Times New Roman" w:cs="Times New Roman"/>
                <w:b/>
                <w:bCs/>
                <w:sz w:val="24"/>
                <w:szCs w:val="24"/>
                <w:lang w:eastAsia="lv-LV"/>
              </w:rPr>
              <w:t> </w:t>
            </w:r>
            <w:r w:rsidRPr="006D0631">
              <w:rPr>
                <w:rFonts w:ascii="Times New Roman" w:eastAsia="Times New Roman" w:hAnsi="Times New Roman" w:cs="Times New Roman"/>
                <w:b/>
                <w:bCs/>
                <w:sz w:val="24"/>
                <w:szCs w:val="24"/>
                <w:lang w:eastAsia="lv-LV"/>
              </w:rPr>
              <w:t>Tiesību akta projekta izpildes nodrošināšana un tās ietekme uz institūcijām</w:t>
            </w:r>
          </w:p>
        </w:tc>
      </w:tr>
      <w:tr w14:paraId="3A10A0DC" w14:textId="77777777" w:rsidTr="005025F2">
        <w:tblPrEx>
          <w:tblW w:w="5000" w:type="pct"/>
          <w:jc w:val="center"/>
          <w:tblCellMar>
            <w:top w:w="24" w:type="dxa"/>
            <w:left w:w="85" w:type="dxa"/>
            <w:bottom w:w="24" w:type="dxa"/>
            <w:right w:w="85"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D9"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DA"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tcPr>
          <w:p w:rsidR="00894C55" w:rsidRPr="006D0631" w:rsidP="00853BA0" w14:paraId="3A10A0DB" w14:textId="7B4E48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 VRAA</w:t>
            </w:r>
            <w:r w:rsidRPr="006D0631" w:rsidR="00CC4D96">
              <w:rPr>
                <w:rFonts w:ascii="Times New Roman" w:eastAsia="Times New Roman" w:hAnsi="Times New Roman" w:cs="Times New Roman"/>
                <w:sz w:val="24"/>
                <w:szCs w:val="24"/>
                <w:lang w:eastAsia="lv-LV"/>
              </w:rPr>
              <w:t>, visas valsts pārvaldes iestādes (valst</w:t>
            </w:r>
            <w:r w:rsidRPr="006D0631" w:rsidR="00F217EA">
              <w:rPr>
                <w:rFonts w:ascii="Times New Roman" w:eastAsia="Times New Roman" w:hAnsi="Times New Roman" w:cs="Times New Roman"/>
                <w:sz w:val="24"/>
                <w:szCs w:val="24"/>
                <w:lang w:eastAsia="lv-LV"/>
              </w:rPr>
              <w:t>s un pašvaldību</w:t>
            </w:r>
            <w:r w:rsidRPr="006D0631" w:rsidR="00CC4D96">
              <w:rPr>
                <w:rFonts w:ascii="Times New Roman" w:eastAsia="Times New Roman" w:hAnsi="Times New Roman" w:cs="Times New Roman"/>
                <w:sz w:val="24"/>
                <w:szCs w:val="24"/>
                <w:lang w:eastAsia="lv-LV"/>
              </w:rPr>
              <w:t xml:space="preserve"> institūcijas).</w:t>
            </w:r>
            <w:r w:rsidRPr="006D0631" w:rsidR="004070D5">
              <w:rPr>
                <w:rFonts w:ascii="Times New Roman" w:eastAsia="Times New Roman" w:hAnsi="Times New Roman" w:cs="Times New Roman"/>
                <w:sz w:val="24"/>
                <w:szCs w:val="24"/>
                <w:lang w:eastAsia="lv-LV"/>
              </w:rPr>
              <w:t xml:space="preserve"> Par valsts pārvaldes pakalpojumiem neuzskata darbības, kuras regulētas speciālajās tiesību normās un skar, piemēram, ārstniecību un kriminālsodu izpildi, arī probāciju.</w:t>
            </w:r>
          </w:p>
        </w:tc>
      </w:tr>
      <w:tr w14:paraId="3A10A0E1" w14:textId="77777777" w:rsidTr="005025F2">
        <w:tblPrEx>
          <w:tblW w:w="5000" w:type="pct"/>
          <w:jc w:val="center"/>
          <w:tblCellMar>
            <w:top w:w="24" w:type="dxa"/>
            <w:left w:w="85" w:type="dxa"/>
            <w:bottom w:w="24" w:type="dxa"/>
            <w:right w:w="85"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DD"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D0631" w:rsidP="00853BA0" w14:paraId="3A10A0DE"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Projekta izpildes ietekme uz pārvaldes funkcijām un institucionālo struktūru.</w:t>
            </w:r>
          </w:p>
          <w:p w:rsidR="00894C55" w:rsidRPr="006D0631" w:rsidP="00853BA0" w14:paraId="3A10A0DF" w14:textId="7777777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tcPr>
          <w:p w:rsidR="001A2AF8" w:rsidRPr="006D0631" w:rsidP="00853BA0" w14:paraId="71B880F0"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 xml:space="preserve">Noteikumu projekts neietekmēs pārvaldes funkcijas un institucionālo struktūru. </w:t>
            </w:r>
          </w:p>
          <w:p w:rsidR="00894C55" w:rsidRPr="006D0631" w:rsidP="00B016B8" w14:paraId="3A10A0E0" w14:textId="0441AAAF">
            <w:pPr>
              <w:spacing w:after="0" w:line="240" w:lineRule="auto"/>
              <w:jc w:val="both"/>
              <w:rPr>
                <w:rFonts w:ascii="Times New Roman" w:eastAsia="Times New Roman" w:hAnsi="Times New Roman" w:cs="Times New Roman"/>
                <w:sz w:val="24"/>
                <w:szCs w:val="24"/>
                <w:lang w:eastAsia="lv-LV"/>
              </w:rPr>
            </w:pPr>
            <w:bookmarkStart w:id="0" w:name="_GoBack"/>
            <w:bookmarkEnd w:id="0"/>
            <w:r w:rsidRPr="006D0631">
              <w:rPr>
                <w:rFonts w:ascii="Times New Roman" w:eastAsia="Times New Roman" w:hAnsi="Times New Roman" w:cs="Times New Roman"/>
                <w:sz w:val="24"/>
                <w:szCs w:val="24"/>
                <w:lang w:eastAsia="lv-LV"/>
              </w:rPr>
              <w:t>Nebūs nepieciešama jaunu institūciju izveide, esošu institūciju likvidācija vai reorganizācija.</w:t>
            </w:r>
          </w:p>
        </w:tc>
      </w:tr>
      <w:tr w14:paraId="3A10A0E6" w14:textId="77777777" w:rsidTr="005025F2">
        <w:tblPrEx>
          <w:tblW w:w="5000" w:type="pct"/>
          <w:jc w:val="center"/>
          <w:tblCellMar>
            <w:top w:w="24" w:type="dxa"/>
            <w:left w:w="85" w:type="dxa"/>
            <w:bottom w:w="24" w:type="dxa"/>
            <w:right w:w="85"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B06CD3" w:rsidRPr="006D0631" w:rsidP="00B06CD3" w14:paraId="3A10A0E2"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B06CD3" w:rsidRPr="006D0631" w:rsidP="00B06CD3" w14:paraId="3A10A0E3" w14:textId="77777777">
            <w:pPr>
              <w:spacing w:after="0" w:line="240" w:lineRule="auto"/>
              <w:jc w:val="both"/>
              <w:rPr>
                <w:rFonts w:ascii="Times New Roman" w:eastAsia="Times New Roman" w:hAnsi="Times New Roman" w:cs="Times New Roman"/>
                <w:sz w:val="24"/>
                <w:szCs w:val="24"/>
                <w:lang w:eastAsia="lv-LV"/>
              </w:rPr>
            </w:pPr>
            <w:r w:rsidRPr="006D0631">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rsidR="00B06CD3" w:rsidRPr="006D0631" w:rsidP="00B06CD3" w14:paraId="3A10A0E5" w14:textId="02E62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RPr="006D0631" w:rsidP="00853BA0" w14:paraId="3A10A0E7" w14:textId="77777777">
      <w:pPr>
        <w:spacing w:after="0" w:line="240" w:lineRule="auto"/>
        <w:jc w:val="both"/>
        <w:rPr>
          <w:rFonts w:ascii="Times New Roman" w:hAnsi="Times New Roman" w:cs="Times New Roman"/>
          <w:sz w:val="24"/>
          <w:szCs w:val="24"/>
        </w:rPr>
      </w:pPr>
    </w:p>
    <w:p w:rsidR="00C54B12" w:rsidRPr="006D0631" w:rsidP="00327320" w14:paraId="63DF3418" w14:textId="18CC5461">
      <w:pPr>
        <w:tabs>
          <w:tab w:val="right" w:pos="9057"/>
        </w:tabs>
        <w:spacing w:after="0" w:line="240" w:lineRule="auto"/>
        <w:rPr>
          <w:rFonts w:ascii="Times New Roman" w:hAnsi="Times New Roman" w:cs="Times New Roman"/>
          <w:sz w:val="24"/>
          <w:szCs w:val="24"/>
        </w:rPr>
      </w:pPr>
      <w:r w:rsidRPr="006D0631">
        <w:rPr>
          <w:rFonts w:ascii="Times New Roman" w:hAnsi="Times New Roman" w:cs="Times New Roman"/>
          <w:sz w:val="24"/>
          <w:szCs w:val="24"/>
        </w:rPr>
        <w:t>Anotācijas V sadaļa – projekts š</w:t>
      </w:r>
      <w:r w:rsidRPr="006D0631" w:rsidR="00C733B2">
        <w:rPr>
          <w:rFonts w:ascii="Times New Roman" w:hAnsi="Times New Roman" w:cs="Times New Roman"/>
          <w:sz w:val="24"/>
          <w:szCs w:val="24"/>
        </w:rPr>
        <w:t>o jomu</w:t>
      </w:r>
      <w:r w:rsidRPr="006D0631">
        <w:rPr>
          <w:rFonts w:ascii="Times New Roman" w:hAnsi="Times New Roman" w:cs="Times New Roman"/>
          <w:sz w:val="24"/>
          <w:szCs w:val="24"/>
        </w:rPr>
        <w:t xml:space="preserve"> neskar.</w:t>
      </w:r>
    </w:p>
    <w:p w:rsidR="00C54B12" w:rsidRPr="006D0631" w:rsidP="00327320" w14:paraId="57F48059" w14:textId="5B226F13">
      <w:pPr>
        <w:tabs>
          <w:tab w:val="right" w:pos="9057"/>
        </w:tabs>
        <w:spacing w:after="0" w:line="240" w:lineRule="auto"/>
        <w:rPr>
          <w:rFonts w:ascii="Times New Roman" w:hAnsi="Times New Roman" w:cs="Times New Roman"/>
          <w:sz w:val="24"/>
          <w:szCs w:val="24"/>
        </w:rPr>
      </w:pPr>
    </w:p>
    <w:p w:rsidR="00C54B12" w:rsidRPr="006D0631" w:rsidP="00327320" w14:paraId="530C1C72" w14:textId="0B58F13A">
      <w:pPr>
        <w:tabs>
          <w:tab w:val="right" w:pos="9057"/>
        </w:tabs>
        <w:spacing w:after="0" w:line="240" w:lineRule="auto"/>
        <w:rPr>
          <w:rFonts w:ascii="Times New Roman" w:hAnsi="Times New Roman" w:cs="Times New Roman"/>
          <w:sz w:val="24"/>
          <w:szCs w:val="24"/>
        </w:rPr>
      </w:pPr>
    </w:p>
    <w:p w:rsidR="00327320" w:rsidRPr="006D0631" w:rsidP="00327320" w14:paraId="0A849552" w14:textId="7C41040A">
      <w:pPr>
        <w:tabs>
          <w:tab w:val="right" w:pos="9057"/>
        </w:tabs>
        <w:spacing w:after="0" w:line="240" w:lineRule="auto"/>
        <w:rPr>
          <w:rFonts w:ascii="Times New Roman" w:hAnsi="Times New Roman" w:cs="Times New Roman"/>
          <w:sz w:val="24"/>
          <w:szCs w:val="24"/>
        </w:rPr>
      </w:pPr>
      <w:r w:rsidRPr="006D0631">
        <w:rPr>
          <w:rFonts w:ascii="Times New Roman" w:hAnsi="Times New Roman" w:cs="Times New Roman"/>
          <w:sz w:val="24"/>
          <w:szCs w:val="24"/>
        </w:rPr>
        <w:t xml:space="preserve">Vides aizsardzības </w:t>
      </w:r>
    </w:p>
    <w:p w:rsidR="00327320" w:rsidRPr="006D0631" w:rsidP="00327320" w14:paraId="1B612097" w14:textId="3DB37849">
      <w:pPr>
        <w:tabs>
          <w:tab w:val="right" w:pos="9057"/>
        </w:tabs>
        <w:spacing w:after="0" w:line="240" w:lineRule="auto"/>
        <w:rPr>
          <w:rFonts w:ascii="Times New Roman" w:hAnsi="Times New Roman" w:cs="Times New Roman"/>
          <w:sz w:val="24"/>
          <w:szCs w:val="24"/>
        </w:rPr>
      </w:pPr>
      <w:r w:rsidRPr="006D0631">
        <w:rPr>
          <w:rFonts w:ascii="Times New Roman" w:hAnsi="Times New Roman" w:cs="Times New Roman"/>
          <w:sz w:val="24"/>
          <w:szCs w:val="24"/>
        </w:rPr>
        <w:t>un reģionālās attīstības ministrs</w:t>
      </w:r>
      <w:r w:rsidRPr="006D0631">
        <w:rPr>
          <w:rFonts w:ascii="Times New Roman" w:hAnsi="Times New Roman" w:cs="Times New Roman"/>
          <w:sz w:val="24"/>
          <w:szCs w:val="24"/>
        </w:rPr>
        <w:tab/>
      </w:r>
      <w:r w:rsidRPr="006D0631" w:rsidR="0062083A">
        <w:rPr>
          <w:rFonts w:ascii="Times New Roman" w:hAnsi="Times New Roman" w:cs="Times New Roman"/>
          <w:sz w:val="24"/>
          <w:szCs w:val="24"/>
        </w:rPr>
        <w:t>K. </w:t>
      </w:r>
      <w:r w:rsidRPr="006D0631">
        <w:rPr>
          <w:rFonts w:ascii="Times New Roman" w:hAnsi="Times New Roman" w:cs="Times New Roman"/>
          <w:sz w:val="24"/>
          <w:szCs w:val="24"/>
        </w:rPr>
        <w:t>Gerhards</w:t>
      </w:r>
    </w:p>
    <w:p w:rsidR="00327320" w:rsidRPr="006D0631" w:rsidP="00327320" w14:paraId="782C045D" w14:textId="77777777">
      <w:pPr>
        <w:tabs>
          <w:tab w:val="right" w:pos="9057"/>
        </w:tabs>
        <w:spacing w:after="0" w:line="240" w:lineRule="auto"/>
        <w:rPr>
          <w:rFonts w:ascii="Times New Roman" w:hAnsi="Times New Roman" w:cs="Times New Roman"/>
          <w:sz w:val="24"/>
          <w:szCs w:val="24"/>
        </w:rPr>
      </w:pPr>
    </w:p>
    <w:p w:rsidR="00205DB8" w:rsidRPr="006D0631" w:rsidP="00327320" w14:paraId="3874D1E2" w14:textId="77777777">
      <w:pPr>
        <w:tabs>
          <w:tab w:val="right" w:pos="9057"/>
        </w:tabs>
        <w:spacing w:after="0" w:line="240" w:lineRule="auto"/>
        <w:rPr>
          <w:rFonts w:ascii="Times New Roman" w:hAnsi="Times New Roman" w:cs="Times New Roman"/>
          <w:sz w:val="24"/>
          <w:szCs w:val="24"/>
        </w:rPr>
      </w:pPr>
    </w:p>
    <w:p w:rsidR="008D6752" w:rsidP="00327320" w14:paraId="6CA4E108" w14:textId="77777777">
      <w:pPr>
        <w:tabs>
          <w:tab w:val="right" w:pos="9057"/>
        </w:tabs>
        <w:spacing w:after="0" w:line="240" w:lineRule="auto"/>
        <w:rPr>
          <w:rFonts w:ascii="Times New Roman" w:hAnsi="Times New Roman" w:cs="Times New Roman"/>
          <w:sz w:val="24"/>
          <w:szCs w:val="24"/>
        </w:rPr>
      </w:pPr>
      <w:r w:rsidRPr="006D0631">
        <w:rPr>
          <w:rFonts w:ascii="Times New Roman" w:hAnsi="Times New Roman" w:cs="Times New Roman"/>
          <w:sz w:val="24"/>
          <w:szCs w:val="24"/>
        </w:rPr>
        <w:t>V</w:t>
      </w:r>
      <w:r>
        <w:rPr>
          <w:rFonts w:ascii="Times New Roman" w:hAnsi="Times New Roman" w:cs="Times New Roman"/>
          <w:sz w:val="24"/>
          <w:szCs w:val="24"/>
        </w:rPr>
        <w:t xml:space="preserve">ides aizsardzības un reģionālās attīstības ministrijas </w:t>
      </w:r>
    </w:p>
    <w:p w:rsidR="00327320" w:rsidRPr="006D0631" w:rsidP="00327320" w14:paraId="25C574A7" w14:textId="6FBF468A">
      <w:pPr>
        <w:tabs>
          <w:tab w:val="right" w:pos="9057"/>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6D0631">
        <w:rPr>
          <w:rFonts w:ascii="Times New Roman" w:hAnsi="Times New Roman" w:cs="Times New Roman"/>
          <w:sz w:val="24"/>
          <w:szCs w:val="24"/>
        </w:rPr>
        <w:t>alsts sekretārs</w:t>
      </w:r>
      <w:r w:rsidRPr="006D0631">
        <w:rPr>
          <w:rFonts w:ascii="Times New Roman" w:hAnsi="Times New Roman" w:cs="Times New Roman"/>
          <w:sz w:val="24"/>
          <w:szCs w:val="24"/>
        </w:rPr>
        <w:tab/>
      </w:r>
      <w:r w:rsidRPr="006D0631" w:rsidR="0062083A">
        <w:rPr>
          <w:rFonts w:ascii="Times New Roman" w:hAnsi="Times New Roman" w:cs="Times New Roman"/>
          <w:sz w:val="24"/>
          <w:szCs w:val="24"/>
        </w:rPr>
        <w:t>R. </w:t>
      </w:r>
      <w:r w:rsidRPr="006D0631">
        <w:rPr>
          <w:rFonts w:ascii="Times New Roman" w:hAnsi="Times New Roman" w:cs="Times New Roman"/>
          <w:sz w:val="24"/>
          <w:szCs w:val="24"/>
        </w:rPr>
        <w:t>Muciņš</w:t>
      </w:r>
    </w:p>
    <w:p w:rsidR="00894C55" w:rsidRPr="006D0631" w:rsidP="00C54B12" w14:paraId="3A10A0ED" w14:textId="77777777">
      <w:pPr>
        <w:tabs>
          <w:tab w:val="left" w:pos="6237"/>
        </w:tabs>
        <w:spacing w:after="0" w:line="240" w:lineRule="auto"/>
        <w:rPr>
          <w:rFonts w:ascii="Times New Roman" w:hAnsi="Times New Roman" w:cs="Times New Roman"/>
          <w:sz w:val="24"/>
          <w:szCs w:val="24"/>
        </w:rPr>
      </w:pPr>
    </w:p>
    <w:p w:rsidR="00894C55" w:rsidRPr="006D0631" w:rsidP="00C54B12" w14:paraId="3A10A0EF" w14:textId="23E84A72">
      <w:pPr>
        <w:tabs>
          <w:tab w:val="left" w:pos="6237"/>
        </w:tabs>
        <w:spacing w:after="0" w:line="240" w:lineRule="auto"/>
        <w:rPr>
          <w:rFonts w:ascii="Times New Roman" w:hAnsi="Times New Roman" w:cs="Times New Roman"/>
          <w:sz w:val="24"/>
          <w:szCs w:val="24"/>
        </w:rPr>
      </w:pPr>
    </w:p>
    <w:p w:rsidR="00C54B12" w:rsidRPr="006D0631" w:rsidP="00C54B12" w14:paraId="217CB768" w14:textId="77777777">
      <w:pPr>
        <w:tabs>
          <w:tab w:val="left" w:pos="6237"/>
        </w:tabs>
        <w:spacing w:after="0" w:line="240" w:lineRule="auto"/>
        <w:rPr>
          <w:rFonts w:ascii="Times New Roman" w:hAnsi="Times New Roman" w:cs="Times New Roman"/>
          <w:sz w:val="24"/>
          <w:szCs w:val="24"/>
        </w:rPr>
      </w:pPr>
    </w:p>
    <w:p w:rsidR="00894C55" w:rsidRPr="006D0631" w:rsidP="00894C55" w14:paraId="3A10A0F0" w14:textId="0F0DB9EE">
      <w:pPr>
        <w:tabs>
          <w:tab w:val="left" w:pos="6237"/>
        </w:tabs>
        <w:spacing w:after="0" w:line="240" w:lineRule="auto"/>
        <w:rPr>
          <w:rFonts w:ascii="Times New Roman" w:hAnsi="Times New Roman" w:cs="Times New Roman"/>
          <w:sz w:val="20"/>
          <w:szCs w:val="20"/>
        </w:rPr>
      </w:pPr>
      <w:r w:rsidRPr="006D0631">
        <w:rPr>
          <w:rFonts w:ascii="Times New Roman" w:hAnsi="Times New Roman" w:cs="Times New Roman"/>
          <w:sz w:val="20"/>
          <w:szCs w:val="20"/>
        </w:rPr>
        <w:t>Cauna</w:t>
      </w:r>
      <w:r w:rsidRPr="006D0631" w:rsidR="00D133F8">
        <w:rPr>
          <w:rFonts w:ascii="Times New Roman" w:hAnsi="Times New Roman" w:cs="Times New Roman"/>
          <w:sz w:val="20"/>
          <w:szCs w:val="20"/>
        </w:rPr>
        <w:t xml:space="preserve">, </w:t>
      </w:r>
      <w:r w:rsidRPr="006D0631">
        <w:rPr>
          <w:rFonts w:ascii="Times New Roman" w:hAnsi="Times New Roman" w:cs="Times New Roman"/>
          <w:sz w:val="20"/>
          <w:szCs w:val="20"/>
        </w:rPr>
        <w:t>67026549</w:t>
      </w:r>
    </w:p>
    <w:p w:rsidR="00894C55" w:rsidRPr="00A43874" w:rsidP="00894C55" w14:paraId="3A10A0F1" w14:textId="6D7AD216">
      <w:pPr>
        <w:tabs>
          <w:tab w:val="left" w:pos="6237"/>
        </w:tabs>
        <w:spacing w:after="0" w:line="240" w:lineRule="auto"/>
        <w:rPr>
          <w:rFonts w:ascii="Times New Roman" w:hAnsi="Times New Roman" w:cs="Times New Roman"/>
          <w:sz w:val="20"/>
          <w:szCs w:val="20"/>
        </w:rPr>
      </w:pPr>
      <w:r>
        <w:fldChar w:fldCharType="begin"/>
      </w:r>
      <w:r>
        <w:instrText xml:space="preserve"> HYPERLINK "mailto:eduards.cauna@varam.gov.lv" </w:instrText>
      </w:r>
      <w:r>
        <w:fldChar w:fldCharType="separate"/>
      </w:r>
      <w:r w:rsidRPr="0049257C" w:rsidR="008D6752">
        <w:rPr>
          <w:rStyle w:val="Hyperlink"/>
          <w:rFonts w:ascii="Times New Roman" w:hAnsi="Times New Roman" w:cs="Times New Roman"/>
          <w:sz w:val="20"/>
          <w:szCs w:val="20"/>
        </w:rPr>
        <w:t>eduards.cauna@varam.gov.lv</w:t>
      </w:r>
      <w:r>
        <w:fldChar w:fldCharType="end"/>
      </w:r>
      <w:r w:rsidR="008D6752">
        <w:rPr>
          <w:rFonts w:ascii="Times New Roman" w:hAnsi="Times New Roman" w:cs="Times New Roman"/>
          <w:sz w:val="20"/>
          <w:szCs w:val="20"/>
        </w:rPr>
        <w:t xml:space="preserve"> </w:t>
      </w:r>
    </w:p>
    <w:sectPr w:rsidSect="009A2654">
      <w:headerReference w:type="default" r:id="rId4"/>
      <w:footerReference w:type="even"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CF7" w:rsidP="00853BA0" w14:paraId="382C0480" w14:textId="77777777">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CF7" w:rsidRPr="005F2895" w:rsidP="008D6752" w14:paraId="3A10A0F7" w14:textId="1A7D601F">
    <w:pPr>
      <w:pStyle w:val="Footer"/>
      <w:jc w:val="both"/>
      <w:rPr>
        <w:rFonts w:ascii="Times New Roman" w:hAnsi="Times New Roman" w:cs="Times New Roman"/>
        <w:sz w:val="20"/>
        <w:szCs w:val="20"/>
      </w:rPr>
    </w:pPr>
    <w:r>
      <w:rPr>
        <w:rFonts w:ascii="Times New Roman" w:hAnsi="Times New Roman" w:cs="Times New Roman"/>
        <w:sz w:val="20"/>
        <w:szCs w:val="20"/>
      </w:rPr>
      <w:t xml:space="preserve">VARAManot_200617_EPAK;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CF7" w:rsidRPr="009A2654" w:rsidP="008D6752" w14:paraId="3A10A0F8" w14:textId="51ED5FB4">
    <w:pPr>
      <w:pStyle w:val="Footer"/>
      <w:jc w:val="both"/>
      <w:rPr>
        <w:rFonts w:ascii="Times New Roman" w:hAnsi="Times New Roman" w:cs="Times New Roman"/>
        <w:sz w:val="20"/>
        <w:szCs w:val="20"/>
      </w:rPr>
    </w:pPr>
    <w:r>
      <w:rPr>
        <w:rFonts w:ascii="Times New Roman" w:hAnsi="Times New Roman" w:cs="Times New Roman"/>
        <w:sz w:val="20"/>
        <w:szCs w:val="20"/>
      </w:rPr>
      <w:t xml:space="preserve">VARAManot_200617_EPAK;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0"/>
        <w:szCs w:val="20"/>
      </w:rPr>
      <w:id w:val="584811793"/>
      <w:docPartObj>
        <w:docPartGallery w:val="Page Numbers (Top of Page)"/>
        <w:docPartUnique/>
      </w:docPartObj>
    </w:sdtPr>
    <w:sdtEndPr>
      <w:rPr>
        <w:rFonts w:ascii="Times New Roman" w:hAnsi="Times New Roman" w:cs="Times New Roman"/>
        <w:noProof/>
        <w:sz w:val="24"/>
        <w:szCs w:val="24"/>
      </w:rPr>
    </w:sdtEndPr>
    <w:sdtContent>
      <w:p w:rsidR="00F03CF7" w:rsidRPr="008D6752" w:rsidP="008D6752" w14:paraId="3A10A0F6" w14:textId="1E6B606F">
        <w:pPr>
          <w:pStyle w:val="Header"/>
          <w:jc w:val="center"/>
          <w:rPr>
            <w:rFonts w:ascii="Times New Roman" w:hAnsi="Times New Roman" w:cs="Times New Roman"/>
            <w:sz w:val="24"/>
            <w:szCs w:val="24"/>
          </w:rPr>
        </w:pPr>
        <w:r w:rsidRPr="008D6752">
          <w:rPr>
            <w:rFonts w:ascii="Times New Roman" w:hAnsi="Times New Roman" w:cs="Times New Roman"/>
            <w:sz w:val="24"/>
            <w:szCs w:val="24"/>
          </w:rPr>
          <w:fldChar w:fldCharType="begin"/>
        </w:r>
        <w:r w:rsidRPr="008D6752">
          <w:rPr>
            <w:rFonts w:ascii="Times New Roman" w:hAnsi="Times New Roman" w:cs="Times New Roman"/>
            <w:sz w:val="24"/>
            <w:szCs w:val="24"/>
          </w:rPr>
          <w:instrText xml:space="preserve"> PAGE   \* MERGEFORMAT </w:instrText>
        </w:r>
        <w:r w:rsidRPr="008D6752">
          <w:rPr>
            <w:rFonts w:ascii="Times New Roman" w:hAnsi="Times New Roman" w:cs="Times New Roman"/>
            <w:sz w:val="24"/>
            <w:szCs w:val="24"/>
          </w:rPr>
          <w:fldChar w:fldCharType="separate"/>
        </w:r>
        <w:r w:rsidR="00B016B8">
          <w:rPr>
            <w:rFonts w:ascii="Times New Roman" w:hAnsi="Times New Roman" w:cs="Times New Roman"/>
            <w:noProof/>
            <w:sz w:val="24"/>
            <w:szCs w:val="24"/>
          </w:rPr>
          <w:t>13</w:t>
        </w:r>
        <w:r w:rsidRPr="008D675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201670"/>
    <w:multiLevelType w:val="hybridMultilevel"/>
    <w:tmpl w:val="12127C7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85CBE"/>
    <w:multiLevelType w:val="hybridMultilevel"/>
    <w:tmpl w:val="BB567714"/>
    <w:lvl w:ilvl="0">
      <w:start w:val="1"/>
      <w:numFmt w:val="decimal"/>
      <w:lvlText w:val="%1)"/>
      <w:lvlJc w:val="left"/>
      <w:pPr>
        <w:ind w:left="719" w:hanging="435"/>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248F3E43"/>
    <w:multiLevelType w:val="hybridMultilevel"/>
    <w:tmpl w:val="6CBE17C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nsid w:val="2C86453E"/>
    <w:multiLevelType w:val="hybridMultilevel"/>
    <w:tmpl w:val="E64ECA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9668FC"/>
    <w:multiLevelType w:val="hybridMultilevel"/>
    <w:tmpl w:val="E7786AD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7337B4"/>
    <w:multiLevelType w:val="hybridMultilevel"/>
    <w:tmpl w:val="57805C68"/>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nsid w:val="3FE4549E"/>
    <w:multiLevelType w:val="hybridMultilevel"/>
    <w:tmpl w:val="003089A8"/>
    <w:lvl w:ilvl="0">
      <w:start w:val="1"/>
      <w:numFmt w:val="decimal"/>
      <w:lvlText w:val="%1)"/>
      <w:lvlJc w:val="left"/>
      <w:pPr>
        <w:ind w:left="1003" w:hanging="435"/>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nsid w:val="6C460EFE"/>
    <w:multiLevelType w:val="hybridMultilevel"/>
    <w:tmpl w:val="A97ECD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8939F3"/>
    <w:multiLevelType w:val="hybridMultilevel"/>
    <w:tmpl w:val="D6063BA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0"/>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2720AD3-4404-4D3E-8D1C-A60D4B0B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08E3"/>
    <w:pPr>
      <w:ind w:left="720"/>
      <w:contextualSpacing/>
    </w:pPr>
  </w:style>
  <w:style w:type="character" w:styleId="CommentReference">
    <w:name w:val="annotation reference"/>
    <w:basedOn w:val="DefaultParagraphFont"/>
    <w:uiPriority w:val="99"/>
    <w:semiHidden/>
    <w:unhideWhenUsed/>
    <w:rsid w:val="00B63A3B"/>
    <w:rPr>
      <w:sz w:val="16"/>
      <w:szCs w:val="16"/>
    </w:rPr>
  </w:style>
  <w:style w:type="paragraph" w:styleId="CommentText">
    <w:name w:val="annotation text"/>
    <w:basedOn w:val="Normal"/>
    <w:link w:val="CommentTextChar"/>
    <w:uiPriority w:val="99"/>
    <w:semiHidden/>
    <w:unhideWhenUsed/>
    <w:rsid w:val="00B63A3B"/>
    <w:pPr>
      <w:spacing w:line="240" w:lineRule="auto"/>
    </w:pPr>
    <w:rPr>
      <w:sz w:val="20"/>
      <w:szCs w:val="20"/>
    </w:rPr>
  </w:style>
  <w:style w:type="character" w:customStyle="1" w:styleId="CommentTextChar">
    <w:name w:val="Comment Text Char"/>
    <w:basedOn w:val="DefaultParagraphFont"/>
    <w:link w:val="CommentText"/>
    <w:uiPriority w:val="99"/>
    <w:semiHidden/>
    <w:rsid w:val="00B63A3B"/>
    <w:rPr>
      <w:sz w:val="20"/>
      <w:szCs w:val="20"/>
    </w:rPr>
  </w:style>
  <w:style w:type="paragraph" w:styleId="CommentSubject">
    <w:name w:val="annotation subject"/>
    <w:basedOn w:val="CommentText"/>
    <w:next w:val="CommentText"/>
    <w:link w:val="CommentSubjectChar"/>
    <w:uiPriority w:val="99"/>
    <w:semiHidden/>
    <w:unhideWhenUsed/>
    <w:rsid w:val="00B63A3B"/>
    <w:rPr>
      <w:b/>
      <w:bCs/>
    </w:rPr>
  </w:style>
  <w:style w:type="character" w:customStyle="1" w:styleId="CommentSubjectChar">
    <w:name w:val="Comment Subject Char"/>
    <w:basedOn w:val="CommentTextChar"/>
    <w:link w:val="CommentSubject"/>
    <w:uiPriority w:val="99"/>
    <w:semiHidden/>
    <w:rsid w:val="00B63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19565</Words>
  <Characters>11153</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Eduards Cauna</dc:creator>
  <dc:description>67012345, vards.uzvards@mk.gov.lv</dc:description>
  <cp:lastModifiedBy>Madara Gaile</cp:lastModifiedBy>
  <cp:revision>10</cp:revision>
  <cp:lastPrinted>2017-05-19T09:32:00Z</cp:lastPrinted>
  <dcterms:created xsi:type="dcterms:W3CDTF">2017-06-12T06:53:00Z</dcterms:created>
  <dcterms:modified xsi:type="dcterms:W3CDTF">2017-06-20T10:48:00Z</dcterms:modified>
</cp:coreProperties>
</file>