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99B7" w14:textId="77777777" w:rsidR="00AC38AA" w:rsidRPr="007E4535" w:rsidRDefault="00AC38AA" w:rsidP="00AC38AA">
      <w:pPr>
        <w:jc w:val="center"/>
        <w:rPr>
          <w:b/>
          <w:bCs/>
          <w:sz w:val="28"/>
          <w:szCs w:val="28"/>
          <w:lang w:eastAsia="en-US"/>
        </w:rPr>
      </w:pPr>
      <w:bookmarkStart w:id="0" w:name="OLE_LINK6"/>
      <w:bookmarkStart w:id="1" w:name="OLE_LINK7"/>
      <w:r w:rsidRPr="007E4535">
        <w:rPr>
          <w:b/>
          <w:bCs/>
          <w:sz w:val="28"/>
          <w:szCs w:val="28"/>
          <w:lang w:eastAsia="en-US"/>
        </w:rPr>
        <w:t xml:space="preserve">Ministru kabineta sēdes protokollēmuma projekta </w:t>
      </w:r>
    </w:p>
    <w:p w14:paraId="1DC1B422" w14:textId="77777777" w:rsidR="00AC38AA" w:rsidRPr="007E4535" w:rsidRDefault="00AC38AA" w:rsidP="00AC38AA">
      <w:pPr>
        <w:jc w:val="center"/>
        <w:rPr>
          <w:b/>
          <w:bCs/>
          <w:sz w:val="28"/>
          <w:szCs w:val="28"/>
          <w:lang w:eastAsia="en-US"/>
        </w:rPr>
      </w:pPr>
      <w:r w:rsidRPr="007E4535">
        <w:rPr>
          <w:b/>
          <w:bCs/>
          <w:sz w:val="28"/>
          <w:szCs w:val="28"/>
          <w:lang w:eastAsia="en-US"/>
        </w:rPr>
        <w:t>“</w:t>
      </w:r>
      <w:r w:rsidR="00E93379" w:rsidRPr="007E4535">
        <w:rPr>
          <w:b/>
          <w:bCs/>
          <w:sz w:val="28"/>
          <w:szCs w:val="28"/>
          <w:lang w:eastAsia="en-US"/>
        </w:rPr>
        <w:t xml:space="preserve">Par </w:t>
      </w:r>
      <w:r w:rsidRPr="007E4535">
        <w:rPr>
          <w:b/>
          <w:bCs/>
          <w:sz w:val="28"/>
          <w:szCs w:val="28"/>
          <w:lang w:eastAsia="en-US"/>
        </w:rPr>
        <w:t xml:space="preserve">Ministru kabineta 2010. gada 28. decembra sēdes protokollēmuma (prot. Nr. 75 65. §) „Noteikumu projekts „Noteikumi par Pārtikas un veterinārā dienesta veikto valsts uzraudzības un kontroles darbību un sniegto maksas pakalpojumu samaksu”” </w:t>
      </w:r>
    </w:p>
    <w:p w14:paraId="2B284E1A" w14:textId="77777777" w:rsidR="00AC38AA" w:rsidRPr="007E4535" w:rsidRDefault="00AC38AA" w:rsidP="00AC38AA">
      <w:pPr>
        <w:jc w:val="center"/>
        <w:rPr>
          <w:b/>
          <w:bCs/>
          <w:sz w:val="28"/>
          <w:szCs w:val="28"/>
          <w:lang w:eastAsia="en-US"/>
        </w:rPr>
      </w:pPr>
      <w:r w:rsidRPr="007E4535">
        <w:rPr>
          <w:b/>
          <w:bCs/>
          <w:sz w:val="28"/>
          <w:szCs w:val="28"/>
          <w:lang w:eastAsia="en-US"/>
        </w:rPr>
        <w:t xml:space="preserve">2. punktā dotā uzdevuma </w:t>
      </w:r>
      <w:r w:rsidR="00397087" w:rsidRPr="007E4535">
        <w:rPr>
          <w:b/>
          <w:bCs/>
          <w:sz w:val="28"/>
          <w:szCs w:val="28"/>
          <w:lang w:eastAsia="en-US"/>
        </w:rPr>
        <w:t>izpildi</w:t>
      </w:r>
      <w:r w:rsidRPr="007E4535">
        <w:rPr>
          <w:b/>
          <w:bCs/>
          <w:sz w:val="28"/>
          <w:szCs w:val="28"/>
          <w:lang w:eastAsia="en-US"/>
        </w:rPr>
        <w:t xml:space="preserve">” </w:t>
      </w:r>
    </w:p>
    <w:p w14:paraId="4448F571" w14:textId="77777777" w:rsidR="00677A0F" w:rsidRPr="007E4535" w:rsidRDefault="00D968FD" w:rsidP="00AC38AA">
      <w:pPr>
        <w:jc w:val="center"/>
        <w:rPr>
          <w:b/>
          <w:bCs/>
          <w:sz w:val="28"/>
          <w:szCs w:val="28"/>
          <w:lang w:eastAsia="en-US"/>
        </w:rPr>
      </w:pPr>
      <w:r w:rsidRPr="007E4535">
        <w:rPr>
          <w:b/>
          <w:bCs/>
          <w:sz w:val="28"/>
          <w:szCs w:val="28"/>
          <w:lang w:eastAsia="en-US"/>
        </w:rPr>
        <w:t>sākotnējās ietekmes novērtējuma ziņojums (anotācija)</w:t>
      </w:r>
      <w:bookmarkEnd w:id="0"/>
      <w:bookmarkEnd w:id="1"/>
    </w:p>
    <w:p w14:paraId="3DFCBA28" w14:textId="77777777" w:rsidR="00AC38AA" w:rsidRPr="00AC38AA" w:rsidRDefault="00AC38AA" w:rsidP="00AC38AA">
      <w:pPr>
        <w:jc w:val="center"/>
        <w:rPr>
          <w:b/>
          <w:bCs/>
          <w:lang w:eastAsia="en-US"/>
        </w:rPr>
      </w:pPr>
      <w:bookmarkStart w:id="2" w:name="_GoBack"/>
      <w:bookmarkEnd w:id="2"/>
    </w:p>
    <w:tbl>
      <w:tblPr>
        <w:tblW w:w="8931" w:type="dxa"/>
        <w:tblInd w:w="11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54"/>
        <w:gridCol w:w="2240"/>
        <w:gridCol w:w="6237"/>
      </w:tblGrid>
      <w:tr w:rsidR="00D85230" w:rsidRPr="008D55BF" w14:paraId="41B587DA" w14:textId="77777777" w:rsidTr="007E4535">
        <w:trPr>
          <w:trHeight w:val="284"/>
        </w:trPr>
        <w:tc>
          <w:tcPr>
            <w:tcW w:w="8931" w:type="dxa"/>
            <w:gridSpan w:val="3"/>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14:paraId="237E5CA9" w14:textId="77777777" w:rsidR="00D85230" w:rsidRPr="008D55BF" w:rsidRDefault="00D85230" w:rsidP="00D85230">
            <w:pPr>
              <w:jc w:val="center"/>
              <w:rPr>
                <w:b/>
                <w:bCs/>
              </w:rPr>
            </w:pPr>
            <w:r w:rsidRPr="008D55BF">
              <w:rPr>
                <w:b/>
                <w:bCs/>
              </w:rPr>
              <w:t>I. Tiesību akta projekta izstrādes nepieciešamība</w:t>
            </w:r>
          </w:p>
        </w:tc>
      </w:tr>
      <w:tr w:rsidR="00D85230" w:rsidRPr="008D55BF" w14:paraId="39FD3EF2" w14:textId="77777777" w:rsidTr="007E4535">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6C298278" w14:textId="77777777" w:rsidR="00D85230" w:rsidRPr="008D55BF" w:rsidRDefault="00D85230" w:rsidP="00D9025C">
            <w:r w:rsidRPr="008D55BF">
              <w:t>1.</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0F7F325A" w14:textId="77777777" w:rsidR="00D85230" w:rsidRPr="008D55BF" w:rsidRDefault="00D85230" w:rsidP="00D9025C">
            <w:r w:rsidRPr="008D55BF">
              <w:t>Pamatojums</w:t>
            </w:r>
          </w:p>
        </w:tc>
        <w:tc>
          <w:tcPr>
            <w:tcW w:w="6237" w:type="dxa"/>
            <w:tcBorders>
              <w:top w:val="outset" w:sz="6" w:space="0" w:color="000000"/>
              <w:left w:val="outset" w:sz="6" w:space="0" w:color="000000"/>
              <w:bottom w:val="outset" w:sz="6" w:space="0" w:color="000000"/>
            </w:tcBorders>
            <w:tcMar>
              <w:top w:w="0" w:type="dxa"/>
              <w:left w:w="113" w:type="dxa"/>
              <w:bottom w:w="0" w:type="dxa"/>
              <w:right w:w="113" w:type="dxa"/>
            </w:tcMar>
          </w:tcPr>
          <w:p w14:paraId="1DBB6ACF" w14:textId="02BC1B73" w:rsidR="006D657E" w:rsidRPr="003D6225" w:rsidRDefault="006B1F47" w:rsidP="00CF7DB6">
            <w:pPr>
              <w:pStyle w:val="Pamatteksts"/>
              <w:outlineLvl w:val="0"/>
              <w:rPr>
                <w:sz w:val="24"/>
                <w:szCs w:val="24"/>
                <w:lang w:val="lv-LV"/>
              </w:rPr>
            </w:pPr>
            <w:r w:rsidRPr="006B1F47">
              <w:rPr>
                <w:sz w:val="24"/>
                <w:szCs w:val="24"/>
                <w:lang w:val="lv-LV"/>
              </w:rPr>
              <w:t>Ministru kabineta 2010. gada 28. decembra sēdes protokollēmuma (prot. Nr. 75 65. §) „Noteikumu projekts „Noteikumi par Pārtikas un veterinārā dienesta veikto valsts uzraudzības un kontroles darbību un sniegto maksas pakalpojumu samaksu””, kas grozīts ar Ministru kabineta 2015.</w:t>
            </w:r>
            <w:r w:rsidR="00E93379">
              <w:rPr>
                <w:sz w:val="24"/>
                <w:szCs w:val="24"/>
                <w:lang w:val="lv-LV"/>
              </w:rPr>
              <w:t> </w:t>
            </w:r>
            <w:r w:rsidRPr="006B1F47">
              <w:rPr>
                <w:sz w:val="24"/>
                <w:szCs w:val="24"/>
                <w:lang w:val="lv-LV"/>
              </w:rPr>
              <w:t>gada 31.</w:t>
            </w:r>
            <w:r w:rsidR="00E93379">
              <w:rPr>
                <w:sz w:val="24"/>
                <w:szCs w:val="24"/>
                <w:lang w:val="lv-LV"/>
              </w:rPr>
              <w:t> </w:t>
            </w:r>
            <w:r w:rsidRPr="006B1F47">
              <w:rPr>
                <w:sz w:val="24"/>
                <w:szCs w:val="24"/>
                <w:lang w:val="lv-LV"/>
              </w:rPr>
              <w:t xml:space="preserve">marta sēdes </w:t>
            </w:r>
            <w:proofErr w:type="spellStart"/>
            <w:r w:rsidRPr="006B1F47">
              <w:rPr>
                <w:sz w:val="24"/>
                <w:szCs w:val="24"/>
                <w:lang w:val="lv-LV"/>
              </w:rPr>
              <w:t>protkollēmumu</w:t>
            </w:r>
            <w:proofErr w:type="spellEnd"/>
            <w:r w:rsidRPr="006B1F47">
              <w:rPr>
                <w:sz w:val="24"/>
                <w:szCs w:val="24"/>
                <w:lang w:val="lv-LV"/>
              </w:rPr>
              <w:t xml:space="preserve"> “Par Ministru kabineta 2010.</w:t>
            </w:r>
            <w:r w:rsidR="00E93379">
              <w:rPr>
                <w:sz w:val="24"/>
                <w:szCs w:val="24"/>
                <w:lang w:val="lv-LV"/>
              </w:rPr>
              <w:t> </w:t>
            </w:r>
            <w:r w:rsidRPr="006B1F47">
              <w:rPr>
                <w:sz w:val="24"/>
                <w:szCs w:val="24"/>
                <w:lang w:val="lv-LV"/>
              </w:rPr>
              <w:t>gada 28.</w:t>
            </w:r>
            <w:r w:rsidR="00E93379">
              <w:rPr>
                <w:sz w:val="24"/>
                <w:szCs w:val="24"/>
                <w:lang w:val="lv-LV"/>
              </w:rPr>
              <w:t> </w:t>
            </w:r>
            <w:r w:rsidRPr="006B1F47">
              <w:rPr>
                <w:sz w:val="24"/>
                <w:szCs w:val="24"/>
                <w:lang w:val="lv-LV"/>
              </w:rPr>
              <w:t>decembra sēdes protokollēmuma (prot. Nr.</w:t>
            </w:r>
            <w:r w:rsidR="00E93379">
              <w:rPr>
                <w:sz w:val="24"/>
                <w:szCs w:val="24"/>
                <w:lang w:val="lv-LV"/>
              </w:rPr>
              <w:t> </w:t>
            </w:r>
            <w:r w:rsidRPr="006B1F47">
              <w:rPr>
                <w:sz w:val="24"/>
                <w:szCs w:val="24"/>
                <w:lang w:val="lv-LV"/>
              </w:rPr>
              <w:t>75 65.</w:t>
            </w:r>
            <w:r w:rsidR="00E93379">
              <w:rPr>
                <w:sz w:val="24"/>
                <w:szCs w:val="24"/>
                <w:lang w:val="lv-LV"/>
              </w:rPr>
              <w:t> </w:t>
            </w:r>
            <w:r w:rsidRPr="006B1F47">
              <w:rPr>
                <w:sz w:val="24"/>
                <w:szCs w:val="24"/>
                <w:lang w:val="lv-LV"/>
              </w:rPr>
              <w:t>§) "Noteikumu projekts "Noteikumi par Pārtikas un veterinārā dienesta veikto valsts uzraudzības un kontroles darbību un sniegto maksas pakalpojumu samaksu"" 2.</w:t>
            </w:r>
            <w:r w:rsidR="00E93379">
              <w:rPr>
                <w:sz w:val="24"/>
                <w:szCs w:val="24"/>
                <w:lang w:val="lv-LV"/>
              </w:rPr>
              <w:t> </w:t>
            </w:r>
            <w:r w:rsidRPr="006B1F47">
              <w:rPr>
                <w:sz w:val="24"/>
                <w:szCs w:val="24"/>
                <w:lang w:val="lv-LV"/>
              </w:rPr>
              <w:t>punktā dotā uzdevu</w:t>
            </w:r>
            <w:r w:rsidR="00CF7DB6">
              <w:rPr>
                <w:sz w:val="24"/>
                <w:szCs w:val="24"/>
                <w:lang w:val="lv-LV"/>
              </w:rPr>
              <w:t>ma izpildi” (prot. Nr.</w:t>
            </w:r>
            <w:r w:rsidR="00E93379">
              <w:rPr>
                <w:sz w:val="24"/>
                <w:szCs w:val="24"/>
                <w:lang w:val="lv-LV"/>
              </w:rPr>
              <w:t> </w:t>
            </w:r>
            <w:r w:rsidR="00CF7DB6">
              <w:rPr>
                <w:sz w:val="24"/>
                <w:szCs w:val="24"/>
                <w:lang w:val="lv-LV"/>
              </w:rPr>
              <w:t>17 15.</w:t>
            </w:r>
            <w:r w:rsidR="00E93379">
              <w:rPr>
                <w:sz w:val="24"/>
                <w:szCs w:val="24"/>
                <w:lang w:val="lv-LV"/>
              </w:rPr>
              <w:t> </w:t>
            </w:r>
            <w:r w:rsidR="00CF7DB6">
              <w:rPr>
                <w:sz w:val="24"/>
                <w:szCs w:val="24"/>
                <w:lang w:val="lv-LV"/>
              </w:rPr>
              <w:t>§)</w:t>
            </w:r>
            <w:r w:rsidRPr="006B1F47">
              <w:rPr>
                <w:sz w:val="24"/>
                <w:szCs w:val="24"/>
                <w:lang w:val="lv-LV"/>
              </w:rPr>
              <w:t xml:space="preserve"> </w:t>
            </w:r>
            <w:r w:rsidR="00CF7DB6" w:rsidRPr="006B1F47">
              <w:rPr>
                <w:sz w:val="24"/>
                <w:szCs w:val="24"/>
                <w:lang w:val="lv-LV"/>
              </w:rPr>
              <w:t>(turpmāk</w:t>
            </w:r>
            <w:r w:rsidR="007303B2">
              <w:rPr>
                <w:sz w:val="24"/>
                <w:szCs w:val="24"/>
                <w:lang w:val="lv-LV"/>
              </w:rPr>
              <w:t> </w:t>
            </w:r>
            <w:r w:rsidR="00CF7DB6" w:rsidRPr="006B1F47">
              <w:rPr>
                <w:sz w:val="24"/>
                <w:szCs w:val="24"/>
                <w:lang w:val="lv-LV"/>
              </w:rPr>
              <w:t>– protokollēmums)</w:t>
            </w:r>
            <w:r w:rsidR="00CF7DB6">
              <w:rPr>
                <w:sz w:val="24"/>
                <w:szCs w:val="24"/>
                <w:lang w:val="lv-LV"/>
              </w:rPr>
              <w:t xml:space="preserve">, </w:t>
            </w:r>
            <w:r w:rsidRPr="006B1F47">
              <w:rPr>
                <w:sz w:val="24"/>
                <w:szCs w:val="24"/>
                <w:lang w:val="lv-LV"/>
              </w:rPr>
              <w:t>2.</w:t>
            </w:r>
            <w:r w:rsidR="007303B2">
              <w:rPr>
                <w:sz w:val="24"/>
                <w:szCs w:val="24"/>
                <w:lang w:val="lv-LV"/>
              </w:rPr>
              <w:t> </w:t>
            </w:r>
            <w:r w:rsidRPr="006B1F47">
              <w:rPr>
                <w:sz w:val="24"/>
                <w:szCs w:val="24"/>
                <w:lang w:val="lv-LV"/>
              </w:rPr>
              <w:t xml:space="preserve">punktā noteikts, ka Zemkopības ministrijai jāizvērtē Pārtikas un veterinārā dienesta (turpmāk – dienests) sniegtie publiskie maksas pakalpojumi veterināro zāļu (turpmāk – zāles) aprites jomā un iespēja tos pārveidot par valsts nodevām, attiecīgi izdarot grozījumus Farmācijas likumā un likumā „Par nodokļiem un nodevām” </w:t>
            </w:r>
            <w:r w:rsidR="003F2B5A">
              <w:rPr>
                <w:sz w:val="24"/>
                <w:szCs w:val="24"/>
                <w:lang w:val="lv-LV"/>
              </w:rPr>
              <w:t xml:space="preserve">līdz 2016. gada 31. decembrim. </w:t>
            </w:r>
          </w:p>
        </w:tc>
      </w:tr>
      <w:tr w:rsidR="00D85230" w:rsidRPr="008D55BF" w14:paraId="24FB0A95" w14:textId="77777777" w:rsidTr="007E4535">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4364A926" w14:textId="77777777" w:rsidR="00D85230" w:rsidRPr="008D55BF" w:rsidRDefault="00D85230" w:rsidP="00D9025C">
            <w:r>
              <w:t>2.</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07B9EB7A" w14:textId="77777777" w:rsidR="00D85230" w:rsidRPr="008D55BF" w:rsidRDefault="00D85230" w:rsidP="00D9025C">
            <w:r>
              <w:t>Pašreizējā situācija un problēmas, kuru risināšanai tiesību akta projekts izstrādāts, tiesiskā regulējuma mērķis</w:t>
            </w:r>
            <w:r w:rsidR="009F5056">
              <w:t xml:space="preserve"> </w:t>
            </w:r>
            <w:r>
              <w:t>un būtība</w:t>
            </w:r>
          </w:p>
        </w:tc>
        <w:tc>
          <w:tcPr>
            <w:tcW w:w="6237" w:type="dxa"/>
            <w:tcBorders>
              <w:top w:val="outset" w:sz="6" w:space="0" w:color="000000"/>
              <w:left w:val="outset" w:sz="6" w:space="0" w:color="000000"/>
              <w:bottom w:val="outset" w:sz="6" w:space="0" w:color="000000"/>
            </w:tcBorders>
            <w:tcMar>
              <w:top w:w="0" w:type="dxa"/>
              <w:left w:w="113" w:type="dxa"/>
              <w:bottom w:w="0" w:type="dxa"/>
              <w:right w:w="113" w:type="dxa"/>
            </w:tcMar>
          </w:tcPr>
          <w:p w14:paraId="028B648A" w14:textId="0575C274" w:rsidR="006B1F47" w:rsidRPr="006B1F47" w:rsidRDefault="006B1F47" w:rsidP="006B1F47">
            <w:pPr>
              <w:pStyle w:val="Pamatteksts"/>
              <w:outlineLvl w:val="0"/>
              <w:rPr>
                <w:sz w:val="24"/>
                <w:szCs w:val="24"/>
                <w:lang w:val="lv-LV"/>
              </w:rPr>
            </w:pPr>
            <w:r w:rsidRPr="006B1F47">
              <w:rPr>
                <w:sz w:val="24"/>
                <w:szCs w:val="24"/>
                <w:lang w:val="lv-LV"/>
              </w:rPr>
              <w:t>Zemkopības ministrija</w:t>
            </w:r>
            <w:r w:rsidR="00457339">
              <w:rPr>
                <w:sz w:val="24"/>
                <w:szCs w:val="24"/>
                <w:lang w:val="lv-LV"/>
              </w:rPr>
              <w:t>,</w:t>
            </w:r>
            <w:r w:rsidRPr="006B1F47">
              <w:rPr>
                <w:sz w:val="24"/>
                <w:szCs w:val="24"/>
                <w:lang w:val="lv-LV"/>
              </w:rPr>
              <w:t xml:space="preserve"> izvērtēj</w:t>
            </w:r>
            <w:r w:rsidR="00457339">
              <w:rPr>
                <w:sz w:val="24"/>
                <w:szCs w:val="24"/>
                <w:lang w:val="lv-LV"/>
              </w:rPr>
              <w:t>ot</w:t>
            </w:r>
            <w:r w:rsidRPr="006B1F47">
              <w:rPr>
                <w:sz w:val="24"/>
                <w:szCs w:val="24"/>
                <w:lang w:val="lv-LV"/>
              </w:rPr>
              <w:t xml:space="preserve"> dienesta sniegtos maksas pakalpojumu</w:t>
            </w:r>
            <w:r w:rsidR="001A5C72">
              <w:rPr>
                <w:sz w:val="24"/>
                <w:szCs w:val="24"/>
                <w:lang w:val="lv-LV"/>
              </w:rPr>
              <w:t xml:space="preserve">s zāļu aprites jomā saskaņā ar </w:t>
            </w:r>
            <w:r w:rsidR="00E93379" w:rsidRPr="006B1F47">
              <w:rPr>
                <w:sz w:val="24"/>
                <w:szCs w:val="24"/>
                <w:lang w:val="lv-LV"/>
              </w:rPr>
              <w:t>kritērijiem</w:t>
            </w:r>
            <w:r w:rsidR="00E93379">
              <w:rPr>
                <w:sz w:val="24"/>
                <w:szCs w:val="24"/>
                <w:lang w:val="lv-LV"/>
              </w:rPr>
              <w:t xml:space="preserve">, kuri minēti </w:t>
            </w:r>
            <w:r w:rsidR="001A5C72">
              <w:rPr>
                <w:sz w:val="24"/>
                <w:szCs w:val="24"/>
                <w:lang w:val="lv-LV"/>
              </w:rPr>
              <w:t>i</w:t>
            </w:r>
            <w:r w:rsidRPr="006B1F47">
              <w:rPr>
                <w:sz w:val="24"/>
                <w:szCs w:val="24"/>
                <w:lang w:val="lv-LV"/>
              </w:rPr>
              <w:t>nformatīvajā ziņojumā “Par valsts nodevu un maksas pakalpojumu nošķiršanu un n</w:t>
            </w:r>
            <w:r w:rsidR="00AC38AA">
              <w:rPr>
                <w:sz w:val="24"/>
                <w:szCs w:val="24"/>
                <w:lang w:val="lv-LV"/>
              </w:rPr>
              <w:t xml:space="preserve">odevu sistēmas pilnveidošanu””, kas apstiprināts ar </w:t>
            </w:r>
            <w:r w:rsidRPr="006B1F47">
              <w:rPr>
                <w:sz w:val="24"/>
                <w:szCs w:val="24"/>
                <w:lang w:val="lv-LV"/>
              </w:rPr>
              <w:t>Ministru kabineta 2012</w:t>
            </w:r>
            <w:r w:rsidR="00AC38AA">
              <w:rPr>
                <w:sz w:val="24"/>
                <w:szCs w:val="24"/>
                <w:lang w:val="lv-LV"/>
              </w:rPr>
              <w:t>. gada 20. marta sēdes protokolu Nr. 16 31.</w:t>
            </w:r>
            <w:r w:rsidR="00E93379">
              <w:rPr>
                <w:sz w:val="24"/>
                <w:szCs w:val="24"/>
                <w:lang w:val="lv-LV"/>
              </w:rPr>
              <w:t> </w:t>
            </w:r>
            <w:r w:rsidR="00AC38AA">
              <w:rPr>
                <w:sz w:val="24"/>
                <w:szCs w:val="24"/>
                <w:lang w:val="lv-LV"/>
              </w:rPr>
              <w:t>§,</w:t>
            </w:r>
            <w:r w:rsidRPr="006B1F47">
              <w:rPr>
                <w:sz w:val="24"/>
                <w:szCs w:val="24"/>
                <w:lang w:val="lv-LV"/>
              </w:rPr>
              <w:t xml:space="preserve"> (turpmāk – informatīvais ziņojums), liku</w:t>
            </w:r>
            <w:r w:rsidR="00E87614">
              <w:rPr>
                <w:sz w:val="24"/>
                <w:szCs w:val="24"/>
                <w:lang w:val="lv-LV"/>
              </w:rPr>
              <w:t>ma</w:t>
            </w:r>
            <w:r w:rsidRPr="006B1F47">
              <w:rPr>
                <w:sz w:val="24"/>
                <w:szCs w:val="24"/>
                <w:lang w:val="lv-LV"/>
              </w:rPr>
              <w:t xml:space="preserve"> „Par nodokļiem un nodevām” </w:t>
            </w:r>
            <w:r w:rsidR="008046AC">
              <w:rPr>
                <w:sz w:val="24"/>
                <w:szCs w:val="24"/>
                <w:lang w:val="lv-LV"/>
              </w:rPr>
              <w:t>1. panta 2.</w:t>
            </w:r>
            <w:r w:rsidR="007303B2">
              <w:rPr>
                <w:sz w:val="24"/>
                <w:szCs w:val="24"/>
                <w:lang w:val="lv-LV"/>
              </w:rPr>
              <w:t> </w:t>
            </w:r>
            <w:r w:rsidR="008046AC">
              <w:rPr>
                <w:sz w:val="24"/>
                <w:szCs w:val="24"/>
                <w:lang w:val="lv-LV"/>
              </w:rPr>
              <w:t xml:space="preserve">punktā </w:t>
            </w:r>
            <w:r w:rsidRPr="006B1F47">
              <w:rPr>
                <w:sz w:val="24"/>
                <w:szCs w:val="24"/>
                <w:lang w:val="lv-LV"/>
              </w:rPr>
              <w:t>noteikto valsts nodevas definīciju, kā arī Likum</w:t>
            </w:r>
            <w:r w:rsidR="00E87614">
              <w:rPr>
                <w:sz w:val="24"/>
                <w:szCs w:val="24"/>
                <w:lang w:val="lv-LV"/>
              </w:rPr>
              <w:t>a</w:t>
            </w:r>
            <w:r w:rsidRPr="006B1F47">
              <w:rPr>
                <w:sz w:val="24"/>
                <w:szCs w:val="24"/>
                <w:lang w:val="lv-LV"/>
              </w:rPr>
              <w:t xml:space="preserve"> par budžetu un finanšu vadību </w:t>
            </w:r>
            <w:r w:rsidR="00E87614">
              <w:rPr>
                <w:sz w:val="24"/>
                <w:szCs w:val="24"/>
                <w:lang w:val="lv-LV"/>
              </w:rPr>
              <w:t xml:space="preserve">I nodaļā </w:t>
            </w:r>
            <w:r w:rsidRPr="006B1F47">
              <w:rPr>
                <w:sz w:val="24"/>
                <w:szCs w:val="24"/>
                <w:lang w:val="lv-LV"/>
              </w:rPr>
              <w:t>noteikto maksas pakalpojuma definīciju</w:t>
            </w:r>
            <w:r w:rsidR="00457339">
              <w:rPr>
                <w:sz w:val="24"/>
                <w:szCs w:val="24"/>
                <w:lang w:val="lv-LV"/>
              </w:rPr>
              <w:t>, secina:</w:t>
            </w:r>
            <w:r w:rsidRPr="006B1F47">
              <w:rPr>
                <w:sz w:val="24"/>
                <w:szCs w:val="24"/>
                <w:lang w:val="lv-LV"/>
              </w:rPr>
              <w:t xml:space="preserve"> </w:t>
            </w:r>
          </w:p>
          <w:p w14:paraId="389CC4F8" w14:textId="77777777" w:rsidR="006B1F47" w:rsidRPr="006B1F47" w:rsidRDefault="006B1F47" w:rsidP="006B1F47">
            <w:pPr>
              <w:pStyle w:val="Pamatteksts"/>
              <w:outlineLvl w:val="0"/>
              <w:rPr>
                <w:sz w:val="24"/>
                <w:szCs w:val="24"/>
                <w:lang w:val="lv-LV"/>
              </w:rPr>
            </w:pPr>
            <w:r w:rsidRPr="006B1F47">
              <w:rPr>
                <w:sz w:val="24"/>
                <w:szCs w:val="24"/>
                <w:lang w:val="lv-LV"/>
              </w:rPr>
              <w:t>1) saskaņā ar Farmācijas likuma 17. panta pirmo daļu valstī atļauts izplatīt tikai Latvijas Republikā reģistrētas un Latvijas zāļu reģistrā vai Latvijas veterināro zāļu reģistrā iekļautas zāles. Savukārt Farmācijas likuma 25.</w:t>
            </w:r>
            <w:r w:rsidR="00E93379">
              <w:rPr>
                <w:sz w:val="24"/>
                <w:szCs w:val="24"/>
                <w:lang w:val="lv-LV"/>
              </w:rPr>
              <w:t> </w:t>
            </w:r>
            <w:r w:rsidRPr="006B1F47">
              <w:rPr>
                <w:sz w:val="24"/>
                <w:szCs w:val="24"/>
                <w:lang w:val="lv-LV"/>
              </w:rPr>
              <w:t>pantā noteikts: “Zāļu izgatavošana, ražošana un izplatīšana Latvijas Republikā ir atļauta tikai tad, ja saņemta speciāla atļauja (licence) attiecīgajam uzņēmējdarbības veidam</w:t>
            </w:r>
            <w:r w:rsidR="00E93379">
              <w:rPr>
                <w:sz w:val="24"/>
                <w:szCs w:val="24"/>
                <w:lang w:val="lv-LV"/>
              </w:rPr>
              <w:t>.</w:t>
            </w:r>
            <w:r w:rsidRPr="006B1F47">
              <w:rPr>
                <w:sz w:val="24"/>
                <w:szCs w:val="24"/>
                <w:lang w:val="lv-LV"/>
              </w:rPr>
              <w:t xml:space="preserve">” </w:t>
            </w:r>
          </w:p>
          <w:p w14:paraId="713D38D5" w14:textId="77777777" w:rsidR="006B1F47" w:rsidRPr="006B1F47" w:rsidRDefault="00E93379" w:rsidP="006B1F47">
            <w:pPr>
              <w:pStyle w:val="Pamatteksts"/>
              <w:outlineLvl w:val="0"/>
              <w:rPr>
                <w:sz w:val="24"/>
                <w:szCs w:val="24"/>
                <w:lang w:val="lv-LV"/>
              </w:rPr>
            </w:pPr>
            <w:r>
              <w:rPr>
                <w:sz w:val="24"/>
                <w:szCs w:val="24"/>
                <w:lang w:val="lv-LV"/>
              </w:rPr>
              <w:t>Tātad</w:t>
            </w:r>
            <w:r w:rsidR="006B1F47" w:rsidRPr="006B1F47">
              <w:rPr>
                <w:sz w:val="24"/>
                <w:szCs w:val="24"/>
                <w:lang w:val="lv-LV"/>
              </w:rPr>
              <w:t xml:space="preserve"> zāļu reģistrēšana</w:t>
            </w:r>
            <w:proofErr w:type="gramStart"/>
            <w:r w:rsidR="00250CCC">
              <w:rPr>
                <w:sz w:val="24"/>
                <w:szCs w:val="24"/>
                <w:lang w:val="lv-LV"/>
              </w:rPr>
              <w:t xml:space="preserve"> kā atsevišķs </w:t>
            </w:r>
            <w:r w:rsidR="006B1F47" w:rsidRPr="006B1F47">
              <w:rPr>
                <w:sz w:val="24"/>
                <w:szCs w:val="24"/>
                <w:lang w:val="lv-LV"/>
              </w:rPr>
              <w:t>lēmum</w:t>
            </w:r>
            <w:r w:rsidR="00310533">
              <w:rPr>
                <w:sz w:val="24"/>
                <w:szCs w:val="24"/>
                <w:lang w:val="lv-LV"/>
              </w:rPr>
              <w:t>s</w:t>
            </w:r>
            <w:r w:rsidR="006B1F47" w:rsidRPr="006B1F47">
              <w:rPr>
                <w:sz w:val="24"/>
                <w:szCs w:val="24"/>
                <w:lang w:val="lv-LV"/>
              </w:rPr>
              <w:t xml:space="preserve"> nedod iespēju personai laist tirgū attiecīgās zāles, jo persona </w:t>
            </w:r>
            <w:r w:rsidRPr="006B1F47">
              <w:rPr>
                <w:sz w:val="24"/>
                <w:szCs w:val="24"/>
                <w:lang w:val="lv-LV"/>
              </w:rPr>
              <w:t>nav</w:t>
            </w:r>
            <w:r>
              <w:rPr>
                <w:sz w:val="24"/>
                <w:szCs w:val="24"/>
                <w:lang w:val="lv-LV"/>
              </w:rPr>
              <w:t xml:space="preserve"> tiesīga</w:t>
            </w:r>
            <w:proofErr w:type="gramEnd"/>
            <w:r>
              <w:rPr>
                <w:sz w:val="24"/>
                <w:szCs w:val="24"/>
                <w:lang w:val="lv-LV"/>
              </w:rPr>
              <w:t xml:space="preserve"> ražot un izplatīt zāles</w:t>
            </w:r>
            <w:r w:rsidRPr="006B1F47">
              <w:rPr>
                <w:sz w:val="24"/>
                <w:szCs w:val="24"/>
                <w:lang w:val="lv-LV"/>
              </w:rPr>
              <w:t xml:space="preserve"> </w:t>
            </w:r>
            <w:r w:rsidR="006B1F47" w:rsidRPr="006B1F47">
              <w:rPr>
                <w:sz w:val="24"/>
                <w:szCs w:val="24"/>
                <w:lang w:val="lv-LV"/>
              </w:rPr>
              <w:t xml:space="preserve">bez atbilstošas speciālas atļaujas (licences) veterinārfarmaceitiskajai darbībai; </w:t>
            </w:r>
          </w:p>
          <w:p w14:paraId="54BA32F2" w14:textId="11B18E0C" w:rsidR="0023241D" w:rsidRDefault="006B1F47" w:rsidP="006B1F47">
            <w:pPr>
              <w:pStyle w:val="Pamatteksts"/>
              <w:outlineLvl w:val="0"/>
              <w:rPr>
                <w:sz w:val="24"/>
                <w:szCs w:val="24"/>
                <w:lang w:val="lv-LV"/>
              </w:rPr>
            </w:pPr>
            <w:r w:rsidRPr="006B1F47">
              <w:rPr>
                <w:sz w:val="24"/>
                <w:szCs w:val="24"/>
                <w:lang w:val="lv-LV"/>
              </w:rPr>
              <w:t xml:space="preserve">2) zāļu novērtēšana, reģistrēšana, pārreģistrēšana, izmaiņu </w:t>
            </w:r>
            <w:r w:rsidR="000633BB" w:rsidRPr="006B1F47">
              <w:rPr>
                <w:sz w:val="24"/>
                <w:szCs w:val="24"/>
                <w:lang w:val="lv-LV"/>
              </w:rPr>
              <w:t xml:space="preserve">apstiprināšana </w:t>
            </w:r>
            <w:r w:rsidRPr="006B1F47">
              <w:rPr>
                <w:sz w:val="24"/>
                <w:szCs w:val="24"/>
                <w:lang w:val="lv-LV"/>
              </w:rPr>
              <w:t xml:space="preserve">reģistrācijas dokumentācijā ir stingri </w:t>
            </w:r>
            <w:r w:rsidRPr="006B1F47">
              <w:rPr>
                <w:sz w:val="24"/>
                <w:szCs w:val="24"/>
                <w:lang w:val="lv-LV"/>
              </w:rPr>
              <w:lastRenderedPageBreak/>
              <w:t>reglamentēta ES normatīvajos aktos</w:t>
            </w:r>
            <w:r w:rsidR="00E93379">
              <w:rPr>
                <w:sz w:val="24"/>
                <w:szCs w:val="24"/>
                <w:lang w:val="lv-LV"/>
              </w:rPr>
              <w:t>,</w:t>
            </w:r>
            <w:r w:rsidRPr="006B1F47">
              <w:rPr>
                <w:sz w:val="24"/>
                <w:szCs w:val="24"/>
                <w:lang w:val="lv-LV"/>
              </w:rPr>
              <w:t xml:space="preserve"> un prasības tiek piemērotas visās ES valstīs vienoti, lai nodrošinātu drošu</w:t>
            </w:r>
            <w:r w:rsidR="002F6E78">
              <w:rPr>
                <w:sz w:val="24"/>
                <w:szCs w:val="24"/>
                <w:lang w:val="lv-LV"/>
              </w:rPr>
              <w:t>, efektīvu</w:t>
            </w:r>
            <w:r w:rsidRPr="006B1F47">
              <w:rPr>
                <w:sz w:val="24"/>
                <w:szCs w:val="24"/>
                <w:lang w:val="lv-LV"/>
              </w:rPr>
              <w:t xml:space="preserve"> un kvalitatīvu zāļu izplatīšanu visā ES. Zāļu novērtēšana var </w:t>
            </w:r>
            <w:r w:rsidR="00E93379">
              <w:rPr>
                <w:sz w:val="24"/>
                <w:szCs w:val="24"/>
                <w:lang w:val="lv-LV"/>
              </w:rPr>
              <w:t>no</w:t>
            </w:r>
            <w:r w:rsidRPr="006B1F47">
              <w:rPr>
                <w:sz w:val="24"/>
                <w:szCs w:val="24"/>
                <w:lang w:val="lv-LV"/>
              </w:rPr>
              <w:t>tikt četrās atšķirīgās procedūrās – nacionālajā procedūrā (zāles paredzētas tikai nacionālajam tirgum), savstarpējās atzīšanas procedūrā</w:t>
            </w:r>
            <w:r w:rsidR="000B3C4E">
              <w:rPr>
                <w:sz w:val="24"/>
                <w:szCs w:val="24"/>
                <w:lang w:val="lv-LV"/>
              </w:rPr>
              <w:t>,</w:t>
            </w:r>
            <w:r w:rsidRPr="006B1F47">
              <w:rPr>
                <w:sz w:val="24"/>
                <w:szCs w:val="24"/>
                <w:lang w:val="lv-LV"/>
              </w:rPr>
              <w:t xml:space="preserve"> decentralizētajā procedūrā (zāles paredzētas vairāku ES valstu tirgiem vienlai</w:t>
            </w:r>
            <w:r w:rsidR="00E93379">
              <w:rPr>
                <w:sz w:val="24"/>
                <w:szCs w:val="24"/>
                <w:lang w:val="lv-LV"/>
              </w:rPr>
              <w:t>kus</w:t>
            </w:r>
            <w:r w:rsidRPr="006B1F47">
              <w:rPr>
                <w:sz w:val="24"/>
                <w:szCs w:val="24"/>
                <w:lang w:val="lv-LV"/>
              </w:rPr>
              <w:t xml:space="preserve">) un centralizētajā procedūrā (zāles paredzētas visam ES tirgum). Tikai nacionālajā procedūrā dienests kā vienīgā kompetentā iestāde </w:t>
            </w:r>
            <w:r w:rsidR="00AC38AA">
              <w:rPr>
                <w:sz w:val="24"/>
                <w:szCs w:val="24"/>
                <w:lang w:val="lv-LV"/>
              </w:rPr>
              <w:t>ir tiesīg</w:t>
            </w:r>
            <w:r w:rsidR="007303B2">
              <w:rPr>
                <w:sz w:val="24"/>
                <w:szCs w:val="24"/>
                <w:lang w:val="lv-LV"/>
              </w:rPr>
              <w:t>s</w:t>
            </w:r>
            <w:r w:rsidR="00AC38AA">
              <w:rPr>
                <w:sz w:val="24"/>
                <w:szCs w:val="24"/>
                <w:lang w:val="lv-LV"/>
              </w:rPr>
              <w:t xml:space="preserve"> </w:t>
            </w:r>
            <w:r w:rsidRPr="006B1F47">
              <w:rPr>
                <w:sz w:val="24"/>
                <w:szCs w:val="24"/>
                <w:lang w:val="lv-LV"/>
              </w:rPr>
              <w:t>pieņem</w:t>
            </w:r>
            <w:r w:rsidR="00AC38AA">
              <w:rPr>
                <w:sz w:val="24"/>
                <w:szCs w:val="24"/>
                <w:lang w:val="lv-LV"/>
              </w:rPr>
              <w:t>t</w:t>
            </w:r>
            <w:r w:rsidRPr="006B1F47">
              <w:rPr>
                <w:sz w:val="24"/>
                <w:szCs w:val="24"/>
                <w:lang w:val="lv-LV"/>
              </w:rPr>
              <w:t xml:space="preserve"> lēmumu par zāļu reģistrēšanu</w:t>
            </w:r>
            <w:r w:rsidR="00AC38AA">
              <w:rPr>
                <w:sz w:val="24"/>
                <w:szCs w:val="24"/>
                <w:lang w:val="lv-LV"/>
              </w:rPr>
              <w:t xml:space="preserve">, </w:t>
            </w:r>
            <w:r w:rsidR="00E93379">
              <w:rPr>
                <w:sz w:val="24"/>
                <w:szCs w:val="24"/>
                <w:lang w:val="lv-LV"/>
              </w:rPr>
              <w:t xml:space="preserve">ja </w:t>
            </w:r>
            <w:r w:rsidR="00AC38AA">
              <w:rPr>
                <w:sz w:val="24"/>
                <w:szCs w:val="24"/>
                <w:lang w:val="lv-LV"/>
              </w:rPr>
              <w:t>nepieciešam</w:t>
            </w:r>
            <w:r w:rsidR="00E93379">
              <w:rPr>
                <w:sz w:val="24"/>
                <w:szCs w:val="24"/>
                <w:lang w:val="lv-LV"/>
              </w:rPr>
              <w:t>s,</w:t>
            </w:r>
            <w:r w:rsidR="00AC38AA">
              <w:rPr>
                <w:sz w:val="24"/>
                <w:szCs w:val="24"/>
                <w:lang w:val="lv-LV"/>
              </w:rPr>
              <w:t xml:space="preserve"> konsultējoties ar citu valstu kompetentajām zāļu novērtēšanas iestādēm</w:t>
            </w:r>
            <w:r w:rsidRPr="006B1F47">
              <w:rPr>
                <w:sz w:val="24"/>
                <w:szCs w:val="24"/>
                <w:lang w:val="lv-LV"/>
              </w:rPr>
              <w:t xml:space="preserve">. Gan savstarpējās atzīšanas, gan decentralizētajā procedūrā dienests pieņem lēmumu par zāļu reģistrēšanu, pārreģistrēšanu vai izmaiņu apstiprināšanu reģistrācijas dokumentācijā, </w:t>
            </w:r>
            <w:r w:rsidR="00CF7DB6">
              <w:rPr>
                <w:sz w:val="24"/>
                <w:szCs w:val="24"/>
                <w:lang w:val="lv-LV"/>
              </w:rPr>
              <w:t>pamatojoties</w:t>
            </w:r>
            <w:r w:rsidRPr="006B1F47">
              <w:rPr>
                <w:sz w:val="24"/>
                <w:szCs w:val="24"/>
                <w:lang w:val="lv-LV"/>
              </w:rPr>
              <w:t xml:space="preserve"> uz citu dalībvalstu kompetento iestāžu veikto zāļu izvērtējumu vai saskaņojumu</w:t>
            </w:r>
            <w:r w:rsidR="000006DD">
              <w:rPr>
                <w:sz w:val="24"/>
                <w:szCs w:val="24"/>
                <w:lang w:val="lv-LV"/>
              </w:rPr>
              <w:t>, savukārt centralizētajā procedūrā zā</w:t>
            </w:r>
            <w:r w:rsidR="00E93379">
              <w:rPr>
                <w:sz w:val="24"/>
                <w:szCs w:val="24"/>
                <w:lang w:val="lv-LV"/>
              </w:rPr>
              <w:t>les</w:t>
            </w:r>
            <w:r w:rsidR="000006DD">
              <w:rPr>
                <w:sz w:val="24"/>
                <w:szCs w:val="24"/>
                <w:lang w:val="lv-LV"/>
              </w:rPr>
              <w:t xml:space="preserve"> novērtē un lēmumu par zāļu reģistrēšanu, pārreģistrēšanu vai izmaiņu apstiprināšanu pieņem Eiropas Zāļu aģentūra</w:t>
            </w:r>
            <w:r w:rsidR="0023241D">
              <w:rPr>
                <w:sz w:val="24"/>
                <w:szCs w:val="24"/>
                <w:lang w:val="lv-LV"/>
              </w:rPr>
              <w:t xml:space="preserve">. </w:t>
            </w:r>
          </w:p>
          <w:p w14:paraId="06415997" w14:textId="77777777" w:rsidR="006B1F47" w:rsidRPr="006B1F47" w:rsidRDefault="0023241D" w:rsidP="006B1F47">
            <w:pPr>
              <w:pStyle w:val="Pamatteksts"/>
              <w:outlineLvl w:val="0"/>
              <w:rPr>
                <w:sz w:val="24"/>
                <w:szCs w:val="24"/>
                <w:lang w:val="lv-LV"/>
              </w:rPr>
            </w:pPr>
            <w:r>
              <w:rPr>
                <w:sz w:val="24"/>
                <w:szCs w:val="24"/>
                <w:lang w:val="lv-LV"/>
              </w:rPr>
              <w:t>Personai, kas vēlas saņemt veterināro zāļu reģistrācijas apliecību, ir tiesības izvēlēties, kura iest</w:t>
            </w:r>
            <w:r w:rsidR="00EF4DA6">
              <w:rPr>
                <w:sz w:val="24"/>
                <w:szCs w:val="24"/>
                <w:lang w:val="lv-LV"/>
              </w:rPr>
              <w:t xml:space="preserve">āde </w:t>
            </w:r>
            <w:r w:rsidR="00E93379">
              <w:rPr>
                <w:sz w:val="24"/>
                <w:szCs w:val="24"/>
                <w:lang w:val="lv-LV"/>
              </w:rPr>
              <w:t>novērtēs</w:t>
            </w:r>
            <w:r>
              <w:rPr>
                <w:sz w:val="24"/>
                <w:szCs w:val="24"/>
                <w:lang w:val="lv-LV"/>
              </w:rPr>
              <w:t xml:space="preserve"> attiecīg</w:t>
            </w:r>
            <w:r w:rsidR="00E93379">
              <w:rPr>
                <w:sz w:val="24"/>
                <w:szCs w:val="24"/>
                <w:lang w:val="lv-LV"/>
              </w:rPr>
              <w:t>ās</w:t>
            </w:r>
            <w:r>
              <w:rPr>
                <w:sz w:val="24"/>
                <w:szCs w:val="24"/>
                <w:lang w:val="lv-LV"/>
              </w:rPr>
              <w:t xml:space="preserve"> zā</w:t>
            </w:r>
            <w:r w:rsidR="00E93379">
              <w:rPr>
                <w:sz w:val="24"/>
                <w:szCs w:val="24"/>
                <w:lang w:val="lv-LV"/>
              </w:rPr>
              <w:t xml:space="preserve">les – </w:t>
            </w:r>
            <w:r w:rsidR="000633BB">
              <w:rPr>
                <w:sz w:val="24"/>
                <w:szCs w:val="24"/>
                <w:lang w:val="lv-LV"/>
              </w:rPr>
              <w:t>dienests</w:t>
            </w:r>
            <w:r>
              <w:rPr>
                <w:sz w:val="24"/>
                <w:szCs w:val="24"/>
                <w:lang w:val="lv-LV"/>
              </w:rPr>
              <w:t>, kompetentā iestāde citā valstī (</w:t>
            </w:r>
            <w:r w:rsidR="00EF4DA6">
              <w:rPr>
                <w:sz w:val="24"/>
                <w:szCs w:val="24"/>
                <w:lang w:val="lv-LV"/>
              </w:rPr>
              <w:t>šā</w:t>
            </w:r>
            <w:r w:rsidR="000633BB">
              <w:rPr>
                <w:sz w:val="24"/>
                <w:szCs w:val="24"/>
                <w:lang w:val="lv-LV"/>
              </w:rPr>
              <w:t>dā</w:t>
            </w:r>
            <w:r>
              <w:rPr>
                <w:sz w:val="24"/>
                <w:szCs w:val="24"/>
                <w:lang w:val="lv-LV"/>
              </w:rPr>
              <w:t xml:space="preserve"> gadījumā </w:t>
            </w:r>
            <w:r w:rsidR="000633BB">
              <w:rPr>
                <w:sz w:val="24"/>
                <w:szCs w:val="24"/>
                <w:lang w:val="lv-LV"/>
              </w:rPr>
              <w:t>dienestam</w:t>
            </w:r>
            <w:r>
              <w:rPr>
                <w:sz w:val="24"/>
                <w:szCs w:val="24"/>
                <w:lang w:val="lv-LV"/>
              </w:rPr>
              <w:t xml:space="preserve"> ir jāatzīst citas valsts kompetentās iestādes veiktai</w:t>
            </w:r>
            <w:r w:rsidR="00E93379">
              <w:rPr>
                <w:sz w:val="24"/>
                <w:szCs w:val="24"/>
                <w:lang w:val="lv-LV"/>
              </w:rPr>
              <w:t>s</w:t>
            </w:r>
            <w:r>
              <w:rPr>
                <w:sz w:val="24"/>
                <w:szCs w:val="24"/>
                <w:lang w:val="lv-LV"/>
              </w:rPr>
              <w:t xml:space="preserve"> novērtējums) vai Eiropas Zāļu aģentūr</w:t>
            </w:r>
            <w:r w:rsidR="000006DD">
              <w:rPr>
                <w:sz w:val="24"/>
                <w:szCs w:val="24"/>
                <w:lang w:val="lv-LV"/>
              </w:rPr>
              <w:t>a</w:t>
            </w:r>
            <w:r w:rsidR="000633BB">
              <w:rPr>
                <w:sz w:val="24"/>
                <w:szCs w:val="24"/>
                <w:lang w:val="lv-LV"/>
              </w:rPr>
              <w:t xml:space="preserve"> (šādā gadījumā </w:t>
            </w:r>
            <w:r w:rsidR="000006DD">
              <w:rPr>
                <w:sz w:val="24"/>
                <w:szCs w:val="24"/>
                <w:lang w:val="lv-LV"/>
              </w:rPr>
              <w:t xml:space="preserve">izsniegtā </w:t>
            </w:r>
            <w:r w:rsidR="000633BB">
              <w:rPr>
                <w:sz w:val="24"/>
                <w:szCs w:val="24"/>
                <w:lang w:val="lv-LV"/>
              </w:rPr>
              <w:t>zāļu reģistrācijas apliecība ir sa</w:t>
            </w:r>
            <w:r w:rsidR="000B3C4E">
              <w:rPr>
                <w:sz w:val="24"/>
                <w:szCs w:val="24"/>
                <w:lang w:val="lv-LV"/>
              </w:rPr>
              <w:t>is</w:t>
            </w:r>
            <w:r w:rsidR="000633BB">
              <w:rPr>
                <w:sz w:val="24"/>
                <w:szCs w:val="24"/>
                <w:lang w:val="lv-LV"/>
              </w:rPr>
              <w:t xml:space="preserve">toša arī dienestam). </w:t>
            </w:r>
            <w:r w:rsidR="00E93379">
              <w:rPr>
                <w:sz w:val="24"/>
                <w:szCs w:val="24"/>
                <w:lang w:val="lv-LV"/>
              </w:rPr>
              <w:t>Tas nozīmē, ka</w:t>
            </w:r>
            <w:r w:rsidR="000633BB">
              <w:rPr>
                <w:sz w:val="24"/>
                <w:szCs w:val="24"/>
                <w:lang w:val="lv-LV"/>
              </w:rPr>
              <w:t xml:space="preserve"> zāļu novērtēšan</w:t>
            </w:r>
            <w:r w:rsidR="000B3C4E">
              <w:rPr>
                <w:sz w:val="24"/>
                <w:szCs w:val="24"/>
                <w:lang w:val="lv-LV"/>
              </w:rPr>
              <w:t>ā</w:t>
            </w:r>
            <w:r w:rsidR="00EF4DA6">
              <w:rPr>
                <w:sz w:val="24"/>
                <w:szCs w:val="24"/>
                <w:lang w:val="lv-LV"/>
              </w:rPr>
              <w:t xml:space="preserve"> un</w:t>
            </w:r>
            <w:r w:rsidR="000633BB">
              <w:rPr>
                <w:sz w:val="24"/>
                <w:szCs w:val="24"/>
                <w:lang w:val="lv-LV"/>
              </w:rPr>
              <w:t xml:space="preserve"> reģistrācijas apliecības izsniegšan</w:t>
            </w:r>
            <w:r w:rsidR="000B3C4E">
              <w:rPr>
                <w:sz w:val="24"/>
                <w:szCs w:val="24"/>
                <w:lang w:val="lv-LV"/>
              </w:rPr>
              <w:t>ā dienestam nav monopola stāvoklis</w:t>
            </w:r>
            <w:r w:rsidR="000633BB">
              <w:rPr>
                <w:sz w:val="24"/>
                <w:szCs w:val="24"/>
                <w:lang w:val="lv-LV"/>
              </w:rPr>
              <w:t xml:space="preserve">; </w:t>
            </w:r>
          </w:p>
          <w:p w14:paraId="1416AA02" w14:textId="77777777" w:rsidR="006B1F47" w:rsidRPr="006B1F47" w:rsidRDefault="002E2B3C" w:rsidP="006B1F47">
            <w:pPr>
              <w:pStyle w:val="Pamatteksts"/>
              <w:outlineLvl w:val="0"/>
              <w:rPr>
                <w:sz w:val="24"/>
                <w:szCs w:val="24"/>
                <w:lang w:val="lv-LV"/>
              </w:rPr>
            </w:pPr>
            <w:r>
              <w:rPr>
                <w:sz w:val="24"/>
                <w:szCs w:val="24"/>
                <w:lang w:val="lv-LV"/>
              </w:rPr>
              <w:t>3) d</w:t>
            </w:r>
            <w:r w:rsidR="00EF4DA6" w:rsidRPr="006B1F47">
              <w:rPr>
                <w:sz w:val="24"/>
                <w:szCs w:val="24"/>
                <w:lang w:val="lv-LV"/>
              </w:rPr>
              <w:t xml:space="preserve">ienesta izdevumi par zāļu novērtēšanu </w:t>
            </w:r>
            <w:r w:rsidR="00EF4DA6">
              <w:rPr>
                <w:sz w:val="24"/>
                <w:szCs w:val="24"/>
                <w:lang w:val="lv-LV"/>
              </w:rPr>
              <w:t>var at</w:t>
            </w:r>
            <w:r w:rsidR="007303B2">
              <w:rPr>
                <w:sz w:val="24"/>
                <w:szCs w:val="24"/>
                <w:lang w:val="lv-LV"/>
              </w:rPr>
              <w:t>š</w:t>
            </w:r>
            <w:r w:rsidR="00EF4DA6">
              <w:rPr>
                <w:sz w:val="24"/>
                <w:szCs w:val="24"/>
                <w:lang w:val="lv-LV"/>
              </w:rPr>
              <w:t xml:space="preserve">ķirties, </w:t>
            </w:r>
            <w:r w:rsidR="00E93379">
              <w:rPr>
                <w:sz w:val="24"/>
                <w:szCs w:val="24"/>
                <w:lang w:val="lv-LV"/>
              </w:rPr>
              <w:t>jo</w:t>
            </w:r>
            <w:r w:rsidR="006B1F47" w:rsidRPr="006B1F47">
              <w:rPr>
                <w:sz w:val="24"/>
                <w:szCs w:val="24"/>
                <w:lang w:val="lv-LV"/>
              </w:rPr>
              <w:t xml:space="preserve"> zāļu novērtēšanas process ir sarežģīt</w:t>
            </w:r>
            <w:r w:rsidR="00B7130B">
              <w:rPr>
                <w:sz w:val="24"/>
                <w:szCs w:val="24"/>
                <w:lang w:val="lv-LV"/>
              </w:rPr>
              <w:t>s</w:t>
            </w:r>
            <w:r w:rsidR="006B1F47" w:rsidRPr="006B1F47">
              <w:rPr>
                <w:sz w:val="24"/>
                <w:szCs w:val="24"/>
                <w:lang w:val="lv-LV"/>
              </w:rPr>
              <w:t xml:space="preserve"> un diferencēts atbilstoši katrai reģistrācijas procedūrai, </w:t>
            </w:r>
            <w:r w:rsidR="00E93379">
              <w:rPr>
                <w:sz w:val="24"/>
                <w:szCs w:val="24"/>
                <w:lang w:val="lv-LV"/>
              </w:rPr>
              <w:t>turklāt ir</w:t>
            </w:r>
            <w:r w:rsidR="006B1F47" w:rsidRPr="006B1F47">
              <w:rPr>
                <w:sz w:val="24"/>
                <w:szCs w:val="24"/>
                <w:lang w:val="lv-LV"/>
              </w:rPr>
              <w:t xml:space="preserve"> </w:t>
            </w:r>
            <w:r w:rsidR="00E93379">
              <w:rPr>
                <w:sz w:val="24"/>
                <w:szCs w:val="24"/>
                <w:lang w:val="lv-LV"/>
              </w:rPr>
              <w:t>jā</w:t>
            </w:r>
            <w:r w:rsidR="006B1F47" w:rsidRPr="006B1F47">
              <w:rPr>
                <w:sz w:val="24"/>
                <w:szCs w:val="24"/>
                <w:lang w:val="lv-LV"/>
              </w:rPr>
              <w:t>nodrošin</w:t>
            </w:r>
            <w:r w:rsidR="00E93379">
              <w:rPr>
                <w:sz w:val="24"/>
                <w:szCs w:val="24"/>
                <w:lang w:val="lv-LV"/>
              </w:rPr>
              <w:t>a</w:t>
            </w:r>
            <w:r w:rsidR="006B1F47" w:rsidRPr="006B1F47">
              <w:rPr>
                <w:sz w:val="24"/>
                <w:szCs w:val="24"/>
                <w:lang w:val="lv-LV"/>
              </w:rPr>
              <w:t xml:space="preserve"> sadarbīb</w:t>
            </w:r>
            <w:r w:rsidR="00E93379">
              <w:rPr>
                <w:sz w:val="24"/>
                <w:szCs w:val="24"/>
                <w:lang w:val="lv-LV"/>
              </w:rPr>
              <w:t>a</w:t>
            </w:r>
            <w:r w:rsidR="006B1F47" w:rsidRPr="006B1F47">
              <w:rPr>
                <w:sz w:val="24"/>
                <w:szCs w:val="24"/>
                <w:lang w:val="lv-LV"/>
              </w:rPr>
              <w:t xml:space="preserve"> ar citu valstu kompetentajām iestādēm un </w:t>
            </w:r>
            <w:r w:rsidR="00E93379">
              <w:rPr>
                <w:sz w:val="24"/>
                <w:szCs w:val="24"/>
                <w:lang w:val="lv-LV"/>
              </w:rPr>
              <w:t xml:space="preserve">jāpiesaista </w:t>
            </w:r>
            <w:r w:rsidR="006B1F47" w:rsidRPr="006B1F47">
              <w:rPr>
                <w:sz w:val="24"/>
                <w:szCs w:val="24"/>
                <w:lang w:val="lv-LV"/>
              </w:rPr>
              <w:t>neatkarīg</w:t>
            </w:r>
            <w:r w:rsidR="00E93379">
              <w:rPr>
                <w:sz w:val="24"/>
                <w:szCs w:val="24"/>
                <w:lang w:val="lv-LV"/>
              </w:rPr>
              <w:t>i</w:t>
            </w:r>
            <w:r w:rsidR="006B1F47" w:rsidRPr="006B1F47">
              <w:rPr>
                <w:sz w:val="24"/>
                <w:szCs w:val="24"/>
                <w:lang w:val="lv-LV"/>
              </w:rPr>
              <w:t xml:space="preserve"> eksperti, </w:t>
            </w:r>
            <w:r w:rsidR="00E93379">
              <w:rPr>
                <w:sz w:val="24"/>
                <w:szCs w:val="24"/>
                <w:lang w:val="lv-LV"/>
              </w:rPr>
              <w:t xml:space="preserve">kā arī var būt </w:t>
            </w:r>
            <w:r w:rsidR="006B1F47" w:rsidRPr="006B1F47">
              <w:rPr>
                <w:sz w:val="24"/>
                <w:szCs w:val="24"/>
                <w:lang w:val="lv-LV"/>
              </w:rPr>
              <w:t xml:space="preserve">atšķirības novērtējamo veterināro zāļu veidā </w:t>
            </w:r>
            <w:proofErr w:type="gramStart"/>
            <w:r w:rsidR="006B1F47" w:rsidRPr="006B1F47">
              <w:rPr>
                <w:sz w:val="24"/>
                <w:szCs w:val="24"/>
                <w:lang w:val="lv-LV"/>
              </w:rPr>
              <w:t>(</w:t>
            </w:r>
            <w:proofErr w:type="gramEnd"/>
            <w:r w:rsidR="006B1F47" w:rsidRPr="006B1F47">
              <w:rPr>
                <w:sz w:val="24"/>
                <w:szCs w:val="24"/>
                <w:lang w:val="lv-LV"/>
              </w:rPr>
              <w:t xml:space="preserve">piemēram, zāles satur jaunu aktīvo vielu vai jau zināmu aktīvo vielu, zāles ir imunoloģiskās zāles vai </w:t>
            </w:r>
            <w:proofErr w:type="spellStart"/>
            <w:r w:rsidR="006B1F47" w:rsidRPr="006B1F47">
              <w:rPr>
                <w:sz w:val="24"/>
                <w:szCs w:val="24"/>
                <w:lang w:val="lv-LV"/>
              </w:rPr>
              <w:t>antimikrobiālās</w:t>
            </w:r>
            <w:proofErr w:type="spellEnd"/>
            <w:r w:rsidR="00EF4DA6">
              <w:rPr>
                <w:sz w:val="24"/>
                <w:szCs w:val="24"/>
                <w:lang w:val="lv-LV"/>
              </w:rPr>
              <w:t xml:space="preserve"> zāles), zāļu formā un stiprumā</w:t>
            </w:r>
            <w:r w:rsidR="006B1F47" w:rsidRPr="006B1F47">
              <w:rPr>
                <w:sz w:val="24"/>
                <w:szCs w:val="24"/>
                <w:lang w:val="lv-LV"/>
              </w:rPr>
              <w:t>. Zāļu novērtēšanas process ir sadalīts vairākos posmos, to nav iespējams noteikt kā vienu pakalpojumu ar vienu maksu par visu procesu no zāļu novērtēšanas līdz reģistrēšanai,</w:t>
            </w:r>
            <w:r w:rsidR="000633BB">
              <w:rPr>
                <w:sz w:val="24"/>
                <w:szCs w:val="24"/>
                <w:lang w:val="lv-LV"/>
              </w:rPr>
              <w:t xml:space="preserve"> </w:t>
            </w:r>
            <w:r w:rsidR="006B1F47" w:rsidRPr="006B1F47">
              <w:rPr>
                <w:sz w:val="24"/>
                <w:szCs w:val="24"/>
                <w:lang w:val="lv-LV"/>
              </w:rPr>
              <w:t>pārreģistrēšanai vai atšķirīga nozīmīguma izmaiņu apstiprināša</w:t>
            </w:r>
            <w:r w:rsidR="003C2B7F">
              <w:rPr>
                <w:sz w:val="24"/>
                <w:szCs w:val="24"/>
                <w:lang w:val="lv-LV"/>
              </w:rPr>
              <w:t>nai reģistrācijas dokumentācijā.</w:t>
            </w:r>
          </w:p>
          <w:p w14:paraId="4484D263" w14:textId="19787093" w:rsidR="0023241D" w:rsidRDefault="006B1F47" w:rsidP="0023241D">
            <w:pPr>
              <w:pStyle w:val="Pamatteksts"/>
              <w:outlineLvl w:val="0"/>
              <w:rPr>
                <w:sz w:val="24"/>
                <w:szCs w:val="24"/>
                <w:lang w:val="lv-LV"/>
              </w:rPr>
            </w:pPr>
            <w:r w:rsidRPr="006B1F47">
              <w:rPr>
                <w:sz w:val="24"/>
                <w:szCs w:val="24"/>
                <w:lang w:val="lv-LV"/>
              </w:rPr>
              <w:t xml:space="preserve">Ja zāļu novērtēšanas </w:t>
            </w:r>
            <w:r w:rsidR="00E93379">
              <w:rPr>
                <w:sz w:val="24"/>
                <w:szCs w:val="24"/>
                <w:lang w:val="lv-LV"/>
              </w:rPr>
              <w:t>laikā</w:t>
            </w:r>
            <w:r w:rsidRPr="006B1F47">
              <w:rPr>
                <w:sz w:val="24"/>
                <w:szCs w:val="24"/>
                <w:lang w:val="lv-LV"/>
              </w:rPr>
              <w:t xml:space="preserve"> dienests konstatē, ka zā</w:t>
            </w:r>
            <w:r w:rsidR="007303B2">
              <w:rPr>
                <w:sz w:val="24"/>
                <w:szCs w:val="24"/>
                <w:lang w:val="lv-LV"/>
              </w:rPr>
              <w:t>les</w:t>
            </w:r>
            <w:r w:rsidRPr="006B1F47">
              <w:rPr>
                <w:sz w:val="24"/>
                <w:szCs w:val="24"/>
                <w:lang w:val="lv-LV"/>
              </w:rPr>
              <w:t xml:space="preserve"> reģistrē</w:t>
            </w:r>
            <w:r w:rsidR="007303B2">
              <w:rPr>
                <w:sz w:val="24"/>
                <w:szCs w:val="24"/>
                <w:lang w:val="lv-LV"/>
              </w:rPr>
              <w:t>t</w:t>
            </w:r>
            <w:r w:rsidRPr="006B1F47">
              <w:rPr>
                <w:sz w:val="24"/>
                <w:szCs w:val="24"/>
                <w:lang w:val="lv-LV"/>
              </w:rPr>
              <w:t xml:space="preserve"> nav iespējam</w:t>
            </w:r>
            <w:r w:rsidR="007303B2">
              <w:rPr>
                <w:sz w:val="24"/>
                <w:szCs w:val="24"/>
                <w:lang w:val="lv-LV"/>
              </w:rPr>
              <w:t>s</w:t>
            </w:r>
            <w:r w:rsidRPr="006B1F47">
              <w:rPr>
                <w:sz w:val="24"/>
                <w:szCs w:val="24"/>
                <w:lang w:val="lv-LV"/>
              </w:rPr>
              <w:t xml:space="preserve">, jo, piemēram, nav pietiekama zinātniskā pamatojuma zāļu drošumam un efektivitātei, dienests var iekasēt samaksu tikai par paveikto darbu, lai samazinātu finansiālo un administratīvo </w:t>
            </w:r>
            <w:r w:rsidR="0023241D">
              <w:rPr>
                <w:sz w:val="24"/>
                <w:szCs w:val="24"/>
                <w:lang w:val="lv-LV"/>
              </w:rPr>
              <w:t>slogu reģistrācijas pretendentam</w:t>
            </w:r>
            <w:r w:rsidR="002E2B3C">
              <w:rPr>
                <w:sz w:val="24"/>
                <w:szCs w:val="24"/>
                <w:lang w:val="lv-LV"/>
              </w:rPr>
              <w:t>;</w:t>
            </w:r>
          </w:p>
          <w:p w14:paraId="3687FAA1" w14:textId="77777777" w:rsidR="002E2B3C" w:rsidRDefault="002E2B3C" w:rsidP="002E2B3C">
            <w:pPr>
              <w:pStyle w:val="Pamatteksts"/>
              <w:outlineLvl w:val="0"/>
              <w:rPr>
                <w:sz w:val="24"/>
                <w:szCs w:val="24"/>
                <w:lang w:val="lv-LV"/>
              </w:rPr>
            </w:pPr>
            <w:r>
              <w:rPr>
                <w:sz w:val="24"/>
                <w:szCs w:val="24"/>
                <w:lang w:val="lv-LV"/>
              </w:rPr>
              <w:t>4</w:t>
            </w:r>
            <w:r w:rsidRPr="002E2B3C">
              <w:rPr>
                <w:sz w:val="24"/>
                <w:szCs w:val="24"/>
                <w:lang w:val="lv-LV"/>
              </w:rPr>
              <w:t xml:space="preserve">) dienests sniedz zāļu novērtēšanas un </w:t>
            </w:r>
            <w:r>
              <w:rPr>
                <w:sz w:val="24"/>
                <w:szCs w:val="24"/>
                <w:lang w:val="lv-LV"/>
              </w:rPr>
              <w:t>reģistrēšanas, pārreģistrēšanas vai</w:t>
            </w:r>
            <w:r w:rsidRPr="002E2B3C">
              <w:rPr>
                <w:sz w:val="24"/>
                <w:szCs w:val="24"/>
                <w:lang w:val="lv-LV"/>
              </w:rPr>
              <w:t xml:space="preserve"> izmaiņu apstiprināšanas reģistrācijas dokumentācijā pakalpojumus, lai valstī būtu pieejamas drošas</w:t>
            </w:r>
            <w:r>
              <w:rPr>
                <w:sz w:val="24"/>
                <w:szCs w:val="24"/>
                <w:lang w:val="lv-LV"/>
              </w:rPr>
              <w:t>, iedarbīgas</w:t>
            </w:r>
            <w:r w:rsidRPr="002E2B3C">
              <w:rPr>
                <w:sz w:val="24"/>
                <w:szCs w:val="24"/>
                <w:lang w:val="lv-LV"/>
              </w:rPr>
              <w:t xml:space="preserve"> un kvalitatīvas zāles dzīvnieku slimību ārstēšanai un profilaksei, tād</w:t>
            </w:r>
            <w:r w:rsidR="00E93379">
              <w:rPr>
                <w:sz w:val="24"/>
                <w:szCs w:val="24"/>
                <w:lang w:val="lv-LV"/>
              </w:rPr>
              <w:t>ē</w:t>
            </w:r>
            <w:r w:rsidRPr="002E2B3C">
              <w:rPr>
                <w:sz w:val="24"/>
                <w:szCs w:val="24"/>
                <w:lang w:val="lv-LV"/>
              </w:rPr>
              <w:t xml:space="preserve">jādi nodrošinot sabiedrības vajadzību ievērošanu </w:t>
            </w:r>
            <w:r w:rsidR="00E93379">
              <w:rPr>
                <w:sz w:val="24"/>
                <w:szCs w:val="24"/>
                <w:lang w:val="lv-LV"/>
              </w:rPr>
              <w:t>–</w:t>
            </w:r>
            <w:r w:rsidRPr="002E2B3C">
              <w:rPr>
                <w:sz w:val="24"/>
                <w:szCs w:val="24"/>
                <w:lang w:val="lv-LV"/>
              </w:rPr>
              <w:t xml:space="preserve"> augstu dzīvnieku veselības, sabiedrības veselības </w:t>
            </w:r>
            <w:r w:rsidRPr="002E2B3C">
              <w:rPr>
                <w:sz w:val="24"/>
                <w:szCs w:val="24"/>
                <w:lang w:val="lv-LV"/>
              </w:rPr>
              <w:lastRenderedPageBreak/>
              <w:t xml:space="preserve">un vides aizsardzības līmeni </w:t>
            </w:r>
            <w:r>
              <w:rPr>
                <w:sz w:val="24"/>
                <w:szCs w:val="24"/>
                <w:lang w:val="lv-LV"/>
              </w:rPr>
              <w:t xml:space="preserve">un </w:t>
            </w:r>
            <w:r w:rsidRPr="002E2B3C">
              <w:rPr>
                <w:sz w:val="24"/>
                <w:szCs w:val="24"/>
                <w:lang w:val="lv-LV"/>
              </w:rPr>
              <w:t>nekaitīgas dzīvni</w:t>
            </w:r>
            <w:r>
              <w:rPr>
                <w:sz w:val="24"/>
                <w:szCs w:val="24"/>
                <w:lang w:val="lv-LV"/>
              </w:rPr>
              <w:t>eku izcelsmes pārtikas ražošanu.</w:t>
            </w:r>
            <w:r w:rsidRPr="002E2B3C">
              <w:rPr>
                <w:sz w:val="24"/>
                <w:szCs w:val="24"/>
                <w:lang w:val="lv-LV"/>
              </w:rPr>
              <w:t xml:space="preserve"> </w:t>
            </w:r>
          </w:p>
          <w:p w14:paraId="19A6C416" w14:textId="2E8D0BAA" w:rsidR="00227D0C" w:rsidRPr="00127A8E" w:rsidRDefault="00127A8E" w:rsidP="00227D0C">
            <w:pPr>
              <w:pStyle w:val="Pamatteksts"/>
              <w:rPr>
                <w:sz w:val="24"/>
                <w:szCs w:val="24"/>
                <w:lang w:val="lv-LV"/>
              </w:rPr>
            </w:pPr>
            <w:r w:rsidRPr="00127A8E">
              <w:rPr>
                <w:sz w:val="24"/>
                <w:szCs w:val="24"/>
                <w:lang w:val="lv-LV"/>
              </w:rPr>
              <w:t>5</w:t>
            </w:r>
            <w:r w:rsidR="00227D0C" w:rsidRPr="00127A8E">
              <w:rPr>
                <w:sz w:val="24"/>
                <w:szCs w:val="24"/>
                <w:lang w:val="lv-LV"/>
              </w:rPr>
              <w:t>) Ministru kabineta 2013. gada 8. oktobra noteikumu Nr.</w:t>
            </w:r>
            <w:r w:rsidR="007303B2">
              <w:rPr>
                <w:sz w:val="24"/>
                <w:szCs w:val="24"/>
                <w:lang w:val="lv-LV"/>
              </w:rPr>
              <w:t> </w:t>
            </w:r>
            <w:r w:rsidR="00227D0C" w:rsidRPr="00127A8E">
              <w:rPr>
                <w:sz w:val="24"/>
                <w:szCs w:val="24"/>
                <w:lang w:val="lv-LV"/>
              </w:rPr>
              <w:t xml:space="preserve">1083 "Kārtība, kādā veicama samaksa par Pārtikas un veterinārā dienesta valsts uzraudzības un kontroles darbībām un maksas pakalpojumiem" (turpmāk </w:t>
            </w:r>
            <w:r w:rsidR="007303B2">
              <w:rPr>
                <w:sz w:val="24"/>
                <w:szCs w:val="24"/>
                <w:lang w:val="lv-LV"/>
              </w:rPr>
              <w:t>–</w:t>
            </w:r>
            <w:r w:rsidR="00227D0C" w:rsidRPr="00127A8E">
              <w:rPr>
                <w:sz w:val="24"/>
                <w:szCs w:val="24"/>
                <w:lang w:val="lv-LV"/>
              </w:rPr>
              <w:t xml:space="preserve"> note</w:t>
            </w:r>
            <w:r w:rsidR="007303B2">
              <w:rPr>
                <w:sz w:val="24"/>
                <w:szCs w:val="24"/>
                <w:lang w:val="lv-LV"/>
              </w:rPr>
              <w:t>i</w:t>
            </w:r>
            <w:r w:rsidR="00227D0C" w:rsidRPr="00127A8E">
              <w:rPr>
                <w:sz w:val="24"/>
                <w:szCs w:val="24"/>
                <w:lang w:val="lv-LV"/>
              </w:rPr>
              <w:t xml:space="preserve">kumi Nr.1083) 5.pielikumā paredzētā atļauja valstī nereģistrētu zāļu ievešanai un izplatīšanai vai lietošanai </w:t>
            </w:r>
            <w:proofErr w:type="gramStart"/>
            <w:r w:rsidR="00227D0C" w:rsidRPr="00127A8E">
              <w:rPr>
                <w:sz w:val="24"/>
                <w:szCs w:val="24"/>
                <w:lang w:val="lv-LV"/>
              </w:rPr>
              <w:t>(</w:t>
            </w:r>
            <w:proofErr w:type="gramEnd"/>
            <w:r w:rsidR="00227D0C" w:rsidRPr="00127A8E">
              <w:rPr>
                <w:sz w:val="24"/>
                <w:szCs w:val="24"/>
                <w:lang w:val="lv-LV"/>
              </w:rPr>
              <w:t>turpmāk – ievešanas atļauja) tiek izsniegta par konkrētām zālēm, kas ir novērtētas un atzītas citā valstī. Dienests šo atļauju izsniedz personai, kas jau ir saņēmusi speciālo atļauju (licenci) veterināro zāļu izplatīšanai vairumtir</w:t>
            </w:r>
            <w:r w:rsidR="00227D0C" w:rsidRPr="0044489B">
              <w:rPr>
                <w:sz w:val="24"/>
                <w:szCs w:val="24"/>
                <w:lang w:val="lv-LV"/>
              </w:rPr>
              <w:t>d</w:t>
            </w:r>
            <w:r w:rsidR="00227D0C" w:rsidRPr="00127A8E">
              <w:rPr>
                <w:sz w:val="24"/>
                <w:szCs w:val="24"/>
                <w:lang w:val="lv-LV"/>
              </w:rPr>
              <w:t xml:space="preserve">zniecībā, ļaujot ievest valstī un izsniegt konkrētai </w:t>
            </w:r>
            <w:r w:rsidR="00227D0C" w:rsidRPr="0044489B">
              <w:rPr>
                <w:sz w:val="24"/>
                <w:szCs w:val="24"/>
                <w:lang w:val="lv-LV"/>
              </w:rPr>
              <w:t xml:space="preserve">veterinārmedicīnas prakses </w:t>
            </w:r>
            <w:r w:rsidR="00227D0C" w:rsidRPr="00127A8E">
              <w:rPr>
                <w:sz w:val="24"/>
                <w:szCs w:val="24"/>
                <w:lang w:val="lv-LV"/>
              </w:rPr>
              <w:t xml:space="preserve">iestādei </w:t>
            </w:r>
            <w:r w:rsidR="007303B2">
              <w:rPr>
                <w:sz w:val="24"/>
                <w:szCs w:val="24"/>
                <w:lang w:val="lv-LV"/>
              </w:rPr>
              <w:t>attiecīgās</w:t>
            </w:r>
            <w:r w:rsidR="00227D0C" w:rsidRPr="00127A8E">
              <w:rPr>
                <w:sz w:val="24"/>
                <w:szCs w:val="24"/>
                <w:lang w:val="lv-LV"/>
              </w:rPr>
              <w:t xml:space="preserve"> zāles noteiktā daudzumā</w:t>
            </w:r>
            <w:r w:rsidR="007303B2">
              <w:rPr>
                <w:sz w:val="24"/>
                <w:szCs w:val="24"/>
                <w:lang w:val="lv-LV"/>
              </w:rPr>
              <w:t>,</w:t>
            </w:r>
            <w:r w:rsidR="00227D0C" w:rsidRPr="00127A8E">
              <w:rPr>
                <w:sz w:val="24"/>
                <w:szCs w:val="24"/>
                <w:lang w:val="lv-LV"/>
              </w:rPr>
              <w:t xml:space="preserve"> vai atļauju izsniedz konkrētai veterinārmedicīniskās prakses iestādei, ļaujot pašai ievest valstī un lietot savas prakses nodrošināšanai attiecīgās zāles, ja valstī nav pieejamas dzīvniekiem nepieciešamās zāles. </w:t>
            </w:r>
          </w:p>
          <w:p w14:paraId="2DBD526A" w14:textId="77777777" w:rsidR="00227D0C" w:rsidRPr="00127A8E" w:rsidRDefault="00227D0C" w:rsidP="00227D0C">
            <w:pPr>
              <w:pStyle w:val="Pamatteksts"/>
              <w:rPr>
                <w:sz w:val="24"/>
                <w:szCs w:val="24"/>
                <w:lang w:val="lv-LV"/>
              </w:rPr>
            </w:pPr>
            <w:r w:rsidRPr="00127A8E">
              <w:rPr>
                <w:sz w:val="24"/>
                <w:szCs w:val="24"/>
                <w:lang w:val="lv-LV"/>
              </w:rPr>
              <w:t>Valstī nereģistrētu zāļu ievešana nav veterinārfarmaceitiskās darbības komersanta vai veterinārmedicīniskās prakses iestādes pamatdarbība.</w:t>
            </w:r>
          </w:p>
          <w:p w14:paraId="530F7EDA" w14:textId="74054209" w:rsidR="00227D0C" w:rsidRPr="00127A8E" w:rsidRDefault="00227D0C" w:rsidP="00227D0C">
            <w:pPr>
              <w:pStyle w:val="Pamatteksts"/>
              <w:rPr>
                <w:sz w:val="24"/>
                <w:szCs w:val="24"/>
                <w:lang w:val="lv-LV"/>
              </w:rPr>
            </w:pPr>
            <w:r w:rsidRPr="00127A8E">
              <w:rPr>
                <w:sz w:val="24"/>
                <w:szCs w:val="24"/>
                <w:lang w:val="lv-LV"/>
              </w:rPr>
              <w:t xml:space="preserve">Dienests atļauj ievest valstī nereģistrētas zāles, pamatojoties uz citas dalībvalsts kompetentās iestādes veiktu attiecīgo zāļu un to ražotāju atbilstības novērtējumu. </w:t>
            </w:r>
          </w:p>
          <w:p w14:paraId="148262F0" w14:textId="29F4C9F4" w:rsidR="00227D0C" w:rsidRPr="00127A8E" w:rsidRDefault="00227D0C" w:rsidP="00227D0C">
            <w:pPr>
              <w:pStyle w:val="Pamatteksts"/>
              <w:rPr>
                <w:sz w:val="24"/>
                <w:szCs w:val="24"/>
                <w:lang w:val="lv-LV"/>
              </w:rPr>
            </w:pPr>
            <w:r w:rsidRPr="00127A8E">
              <w:rPr>
                <w:sz w:val="24"/>
                <w:szCs w:val="24"/>
                <w:lang w:val="lv-LV"/>
              </w:rPr>
              <w:t>Atļauja ievest valstī nereģistrētās zāles ir izņēmums no normatīvo aktu prasībām,</w:t>
            </w:r>
            <w:r w:rsidRPr="0044489B">
              <w:rPr>
                <w:sz w:val="24"/>
                <w:szCs w:val="24"/>
                <w:lang w:val="lv-LV"/>
              </w:rPr>
              <w:t xml:space="preserve"> tā darbojas ļoti ierobežotu periodu (galvenokārt vienreizējai ievešan</w:t>
            </w:r>
            <w:r w:rsidR="007303B2">
              <w:rPr>
                <w:sz w:val="24"/>
                <w:szCs w:val="24"/>
                <w:lang w:val="lv-LV"/>
              </w:rPr>
              <w:t>a</w:t>
            </w:r>
            <w:r w:rsidRPr="0044489B">
              <w:rPr>
                <w:sz w:val="24"/>
                <w:szCs w:val="24"/>
                <w:lang w:val="lv-LV"/>
              </w:rPr>
              <w:t>i) un neparedz regulāru ilgstošu ievešanu. Atļauja tiek izsniegta</w:t>
            </w:r>
            <w:r w:rsidR="005970B7" w:rsidRPr="0044489B">
              <w:rPr>
                <w:sz w:val="24"/>
                <w:szCs w:val="24"/>
                <w:lang w:val="lv-LV"/>
              </w:rPr>
              <w:t xml:space="preserve">, </w:t>
            </w:r>
            <w:r w:rsidRPr="00127A8E">
              <w:rPr>
                <w:sz w:val="24"/>
                <w:szCs w:val="24"/>
                <w:lang w:val="lv-LV"/>
              </w:rPr>
              <w:t xml:space="preserve">lai valstī būtu pieejamas drošas un kvalitatīvas zāles dzīvnieku ārstēšanai steidzamības gadījumā. Saskaņā ar likumā “Par nodokļiem un nodevām” minēto valsts nodevas definīciju “valsts nodevas mērķis ir personu darbību regulēšana (kontrolēšana, veicināšana, ierobežošana)”, savukārt valstī nereģistrētu veterināro zāļu ievešanas atļaujas mērķis ir nodrošināt sabiedrības vajadzības </w:t>
            </w:r>
            <w:r w:rsidR="007303B2">
              <w:rPr>
                <w:sz w:val="24"/>
                <w:szCs w:val="24"/>
                <w:lang w:val="lv-LV"/>
              </w:rPr>
              <w:t>–</w:t>
            </w:r>
            <w:r w:rsidRPr="00127A8E">
              <w:rPr>
                <w:sz w:val="24"/>
                <w:szCs w:val="24"/>
                <w:lang w:val="lv-LV"/>
              </w:rPr>
              <w:t xml:space="preserve"> Eiropas Savienības prasībām atbilstošu zāļu pieejamību dzīvnieku ārstēšanai steidzamības gadījumā. Šo atļauju izsniegšan</w:t>
            </w:r>
            <w:r w:rsidRPr="0044489B">
              <w:rPr>
                <w:sz w:val="24"/>
                <w:szCs w:val="24"/>
                <w:lang w:val="lv-LV"/>
              </w:rPr>
              <w:t>a</w:t>
            </w:r>
            <w:r w:rsidRPr="00127A8E">
              <w:rPr>
                <w:sz w:val="24"/>
                <w:szCs w:val="24"/>
                <w:lang w:val="lv-LV"/>
              </w:rPr>
              <w:t xml:space="preserve">s mērķis nav kontrolēt un uzraudzīt </w:t>
            </w:r>
            <w:r w:rsidRPr="0044489B">
              <w:rPr>
                <w:sz w:val="24"/>
                <w:szCs w:val="24"/>
                <w:lang w:val="lv-LV"/>
              </w:rPr>
              <w:t>veterinārfar</w:t>
            </w:r>
            <w:r w:rsidRPr="00127A8E">
              <w:rPr>
                <w:sz w:val="24"/>
                <w:szCs w:val="24"/>
                <w:lang w:val="lv-LV"/>
              </w:rPr>
              <w:t xml:space="preserve">maceitiskās darbības komersanta, veterinārmedicīniskās prakses iestādes darbību. </w:t>
            </w:r>
          </w:p>
          <w:p w14:paraId="691A60AF" w14:textId="4C3B25DB" w:rsidR="00227D0C" w:rsidRPr="00127A8E" w:rsidRDefault="00227D0C" w:rsidP="00227D0C">
            <w:pPr>
              <w:pStyle w:val="Pamatteksts"/>
              <w:rPr>
                <w:sz w:val="24"/>
                <w:szCs w:val="24"/>
                <w:lang w:val="lv-LV"/>
              </w:rPr>
            </w:pPr>
            <w:r w:rsidRPr="00127A8E">
              <w:rPr>
                <w:sz w:val="24"/>
                <w:szCs w:val="24"/>
                <w:lang w:val="lv-LV"/>
              </w:rPr>
              <w:t>Ņemot vērā minēto, valstī nereģistrētu zāļu ievešanas atļaujas neatbilst valsts nodevas objekta kritērijiem</w:t>
            </w:r>
            <w:r w:rsidR="007303B2">
              <w:rPr>
                <w:sz w:val="24"/>
                <w:szCs w:val="24"/>
                <w:lang w:val="lv-LV"/>
              </w:rPr>
              <w:t>;</w:t>
            </w:r>
          </w:p>
          <w:p w14:paraId="33FC0F10" w14:textId="7198B6CF" w:rsidR="00310446" w:rsidRPr="00046B1D" w:rsidRDefault="00127A8E" w:rsidP="00127A8E">
            <w:pPr>
              <w:pStyle w:val="Pamatteksts"/>
              <w:rPr>
                <w:sz w:val="24"/>
                <w:szCs w:val="24"/>
                <w:lang w:val="lv-LV"/>
              </w:rPr>
            </w:pPr>
            <w:r>
              <w:rPr>
                <w:sz w:val="24"/>
                <w:szCs w:val="24"/>
                <w:lang w:val="lv-LV"/>
              </w:rPr>
              <w:t>6</w:t>
            </w:r>
            <w:r w:rsidRPr="00046B1D">
              <w:rPr>
                <w:sz w:val="24"/>
                <w:szCs w:val="24"/>
                <w:lang w:val="lv-LV"/>
              </w:rPr>
              <w:t xml:space="preserve">) </w:t>
            </w:r>
            <w:r w:rsidR="007303B2">
              <w:rPr>
                <w:sz w:val="24"/>
                <w:szCs w:val="24"/>
                <w:lang w:val="lv-LV"/>
              </w:rPr>
              <w:t>s</w:t>
            </w:r>
            <w:r w:rsidRPr="00046B1D">
              <w:rPr>
                <w:sz w:val="24"/>
                <w:szCs w:val="24"/>
                <w:lang w:val="lv-LV"/>
              </w:rPr>
              <w:t>peciālās atļaujas (licences) veterinārfarmaceitiskajai darbībai (ražošanai, tostarp importēšanai, izplatīšanai vairumtirdzniecībā un izplatīšanai mazumtirdzniecībā) tiek izsniegta</w:t>
            </w:r>
            <w:r w:rsidR="00310446" w:rsidRPr="00046B1D">
              <w:rPr>
                <w:sz w:val="24"/>
                <w:szCs w:val="24"/>
                <w:lang w:val="lv-LV"/>
              </w:rPr>
              <w:t xml:space="preserve">s, lai nodrošinātu </w:t>
            </w:r>
            <w:r w:rsidRPr="00046B1D">
              <w:rPr>
                <w:sz w:val="24"/>
                <w:szCs w:val="24"/>
                <w:lang w:val="lv-LV"/>
              </w:rPr>
              <w:t>attiecīgo personu v</w:t>
            </w:r>
            <w:r w:rsidR="00310446" w:rsidRPr="00046B1D">
              <w:rPr>
                <w:sz w:val="24"/>
                <w:szCs w:val="24"/>
                <w:lang w:val="lv-LV"/>
              </w:rPr>
              <w:t>eterinārfarmaceitiskās darbības uzraudzību un kontroli</w:t>
            </w:r>
            <w:r w:rsidR="007E4535">
              <w:rPr>
                <w:sz w:val="24"/>
                <w:szCs w:val="24"/>
                <w:lang w:val="lv-LV"/>
              </w:rPr>
              <w:t xml:space="preserve"> un šis darbības</w:t>
            </w:r>
            <w:r w:rsidR="00310446" w:rsidRPr="00046B1D">
              <w:rPr>
                <w:sz w:val="24"/>
                <w:szCs w:val="24"/>
                <w:lang w:val="lv-LV"/>
              </w:rPr>
              <w:t xml:space="preserve"> </w:t>
            </w:r>
            <w:r w:rsidRPr="00046B1D">
              <w:rPr>
                <w:sz w:val="24"/>
                <w:szCs w:val="24"/>
                <w:lang w:val="lv-LV"/>
              </w:rPr>
              <w:t>atbilst</w:t>
            </w:r>
            <w:r w:rsidR="00310446" w:rsidRPr="00046B1D">
              <w:rPr>
                <w:sz w:val="24"/>
                <w:szCs w:val="24"/>
                <w:lang w:val="lv-LV"/>
              </w:rPr>
              <w:t xml:space="preserve"> valsts nodevas objektam. T</w:t>
            </w:r>
            <w:r w:rsidRPr="00046B1D">
              <w:rPr>
                <w:sz w:val="24"/>
                <w:szCs w:val="24"/>
                <w:lang w:val="lv-LV"/>
              </w:rPr>
              <w:t>ādēļ par attiecīgo licenču izsniegšanu</w:t>
            </w:r>
            <w:r w:rsidR="00310446" w:rsidRPr="00046B1D">
              <w:rPr>
                <w:sz w:val="24"/>
                <w:szCs w:val="24"/>
                <w:lang w:val="lv-LV"/>
              </w:rPr>
              <w:t xml:space="preserve"> un pārreģistrēšanu</w:t>
            </w:r>
            <w:r w:rsidRPr="00046B1D">
              <w:rPr>
                <w:sz w:val="24"/>
                <w:szCs w:val="24"/>
                <w:lang w:val="lv-LV"/>
              </w:rPr>
              <w:t xml:space="preserve"> jau ir noteikta valsts nodeva saskaņā ar Ministru kabineta </w:t>
            </w:r>
            <w:proofErr w:type="gramStart"/>
            <w:r w:rsidRPr="00046B1D">
              <w:rPr>
                <w:sz w:val="24"/>
                <w:szCs w:val="24"/>
                <w:lang w:val="lv-LV"/>
              </w:rPr>
              <w:t>2007.gada</w:t>
            </w:r>
            <w:proofErr w:type="gramEnd"/>
            <w:r w:rsidRPr="00046B1D">
              <w:rPr>
                <w:sz w:val="24"/>
                <w:szCs w:val="24"/>
                <w:lang w:val="lv-LV"/>
              </w:rPr>
              <w:t xml:space="preserve"> 23.oktobra noteikum</w:t>
            </w:r>
            <w:r w:rsidR="001376EC">
              <w:rPr>
                <w:sz w:val="24"/>
                <w:szCs w:val="24"/>
                <w:lang w:val="lv-LV"/>
              </w:rPr>
              <w:t>iem</w:t>
            </w:r>
            <w:r w:rsidRPr="00046B1D">
              <w:rPr>
                <w:sz w:val="24"/>
                <w:szCs w:val="24"/>
                <w:lang w:val="lv-LV"/>
              </w:rPr>
              <w:t xml:space="preserve"> Nr.716 “Noteikumi par valsts nodevu par speciālās atļaujas (licences) izsniegšanu </w:t>
            </w:r>
            <w:r w:rsidRPr="00046B1D">
              <w:rPr>
                <w:sz w:val="24"/>
                <w:szCs w:val="24"/>
                <w:lang w:val="lv-LV"/>
              </w:rPr>
              <w:lastRenderedPageBreak/>
              <w:t>veterinārfarmaceitiskajai darbībai”</w:t>
            </w:r>
            <w:r w:rsidR="00457A81" w:rsidRPr="00046B1D">
              <w:rPr>
                <w:sz w:val="24"/>
                <w:szCs w:val="24"/>
                <w:lang w:val="lv-LV"/>
              </w:rPr>
              <w:t xml:space="preserve"> (turpmāk – noteikumi Nr.</w:t>
            </w:r>
            <w:r w:rsidR="001376EC">
              <w:rPr>
                <w:sz w:val="24"/>
                <w:szCs w:val="24"/>
                <w:lang w:val="lv-LV"/>
              </w:rPr>
              <w:t> </w:t>
            </w:r>
            <w:r w:rsidR="00457A81" w:rsidRPr="00046B1D">
              <w:rPr>
                <w:sz w:val="24"/>
                <w:szCs w:val="24"/>
                <w:lang w:val="lv-LV"/>
              </w:rPr>
              <w:t>716)</w:t>
            </w:r>
            <w:r w:rsidRPr="00046B1D">
              <w:rPr>
                <w:sz w:val="24"/>
                <w:szCs w:val="24"/>
                <w:lang w:val="lv-LV"/>
              </w:rPr>
              <w:t xml:space="preserve">. </w:t>
            </w:r>
          </w:p>
          <w:p w14:paraId="67DAAB75" w14:textId="196F6A87" w:rsidR="00127A8E" w:rsidRPr="00046B1D" w:rsidRDefault="00127A8E" w:rsidP="00127A8E">
            <w:pPr>
              <w:pStyle w:val="Pamatteksts"/>
              <w:rPr>
                <w:sz w:val="24"/>
                <w:szCs w:val="24"/>
                <w:lang w:val="lv-LV"/>
              </w:rPr>
            </w:pPr>
            <w:proofErr w:type="spellStart"/>
            <w:r w:rsidRPr="00046B1D">
              <w:rPr>
                <w:sz w:val="24"/>
                <w:szCs w:val="24"/>
                <w:lang w:val="lv-LV"/>
              </w:rPr>
              <w:t>Citidienesta</w:t>
            </w:r>
            <w:proofErr w:type="spellEnd"/>
            <w:r w:rsidRPr="00046B1D">
              <w:rPr>
                <w:sz w:val="24"/>
                <w:szCs w:val="24"/>
                <w:lang w:val="lv-LV"/>
              </w:rPr>
              <w:t xml:space="preserve"> maksas pakalpojumi zāļu jomā tiek </w:t>
            </w:r>
            <w:r w:rsidR="00457A81" w:rsidRPr="00046B1D">
              <w:rPr>
                <w:sz w:val="24"/>
                <w:szCs w:val="24"/>
                <w:lang w:val="lv-LV"/>
              </w:rPr>
              <w:t>sniegti personām, kas ir saņēmušas speciālo atļauju (licenci) veterinārfarmaceitiskajai darbībai, un pakalpojumu mērķis ir</w:t>
            </w:r>
            <w:r w:rsidRPr="00046B1D">
              <w:rPr>
                <w:sz w:val="24"/>
                <w:szCs w:val="24"/>
                <w:lang w:val="lv-LV"/>
              </w:rPr>
              <w:t xml:space="preserve"> nodrošināt </w:t>
            </w:r>
            <w:r w:rsidR="00310446" w:rsidRPr="00046B1D">
              <w:rPr>
                <w:sz w:val="24"/>
                <w:szCs w:val="24"/>
                <w:lang w:val="lv-LV"/>
              </w:rPr>
              <w:t>sabiedrības vajadzības pēc kvalitatīvām un drošām</w:t>
            </w:r>
            <w:r w:rsidRPr="00046B1D">
              <w:rPr>
                <w:sz w:val="24"/>
                <w:szCs w:val="24"/>
                <w:lang w:val="lv-LV"/>
              </w:rPr>
              <w:t xml:space="preserve"> </w:t>
            </w:r>
            <w:r w:rsidR="007F78C3" w:rsidRPr="00046B1D">
              <w:rPr>
                <w:sz w:val="24"/>
                <w:szCs w:val="24"/>
                <w:lang w:val="lv-LV"/>
              </w:rPr>
              <w:t>zāl</w:t>
            </w:r>
            <w:r w:rsidR="00310446" w:rsidRPr="00046B1D">
              <w:rPr>
                <w:sz w:val="24"/>
                <w:szCs w:val="24"/>
                <w:lang w:val="lv-LV"/>
              </w:rPr>
              <w:t>ēm dzīvnieku ārstēšanai</w:t>
            </w:r>
            <w:r w:rsidR="007F78C3" w:rsidRPr="00046B1D">
              <w:rPr>
                <w:sz w:val="24"/>
                <w:szCs w:val="24"/>
                <w:lang w:val="lv-LV"/>
              </w:rPr>
              <w:t xml:space="preserve"> un drošu pārtiku un vidi</w:t>
            </w:r>
            <w:r w:rsidR="00310446" w:rsidRPr="00046B1D">
              <w:rPr>
                <w:sz w:val="24"/>
                <w:szCs w:val="24"/>
                <w:lang w:val="lv-LV"/>
              </w:rPr>
              <w:t>,</w:t>
            </w:r>
            <w:r w:rsidRPr="00046B1D">
              <w:rPr>
                <w:sz w:val="24"/>
                <w:szCs w:val="24"/>
                <w:lang w:val="lv-LV"/>
              </w:rPr>
              <w:t xml:space="preserve"> </w:t>
            </w:r>
            <w:r w:rsidR="00457A81" w:rsidRPr="00046B1D">
              <w:rPr>
                <w:sz w:val="24"/>
                <w:szCs w:val="24"/>
                <w:lang w:val="lv-LV"/>
              </w:rPr>
              <w:t xml:space="preserve">nevis </w:t>
            </w:r>
            <w:r w:rsidRPr="00046B1D">
              <w:rPr>
                <w:sz w:val="24"/>
                <w:szCs w:val="24"/>
                <w:lang w:val="lv-LV"/>
              </w:rPr>
              <w:t xml:space="preserve">uzraudzīt un kontrolēt </w:t>
            </w:r>
            <w:r w:rsidR="00310446" w:rsidRPr="00046B1D">
              <w:rPr>
                <w:sz w:val="24"/>
                <w:szCs w:val="24"/>
                <w:lang w:val="lv-LV"/>
              </w:rPr>
              <w:t>personu</w:t>
            </w:r>
            <w:r w:rsidRPr="00046B1D">
              <w:rPr>
                <w:sz w:val="24"/>
                <w:szCs w:val="24"/>
                <w:lang w:val="lv-LV"/>
              </w:rPr>
              <w:t xml:space="preserve"> darbību</w:t>
            </w:r>
            <w:r w:rsidR="00310446" w:rsidRPr="00046B1D">
              <w:rPr>
                <w:sz w:val="24"/>
                <w:szCs w:val="24"/>
                <w:lang w:val="lv-LV"/>
              </w:rPr>
              <w:t>.</w:t>
            </w:r>
            <w:r w:rsidR="00310446" w:rsidRPr="0044489B">
              <w:rPr>
                <w:lang w:val="lv-LV"/>
              </w:rPr>
              <w:t xml:space="preserve"> </w:t>
            </w:r>
          </w:p>
          <w:p w14:paraId="4AF08EC1" w14:textId="77777777" w:rsidR="00227D0C" w:rsidRPr="00127A8E" w:rsidRDefault="00227D0C" w:rsidP="00227D0C">
            <w:pPr>
              <w:pStyle w:val="Pamatteksts"/>
              <w:rPr>
                <w:sz w:val="24"/>
                <w:szCs w:val="24"/>
                <w:lang w:val="lv-LV"/>
              </w:rPr>
            </w:pPr>
          </w:p>
          <w:p w14:paraId="09A1677F" w14:textId="625679F5" w:rsidR="00227D0C" w:rsidRPr="00127A8E" w:rsidRDefault="00227D0C" w:rsidP="00227D0C">
            <w:pPr>
              <w:pStyle w:val="Pamatteksts"/>
              <w:rPr>
                <w:sz w:val="24"/>
                <w:szCs w:val="24"/>
                <w:lang w:val="lv-LV"/>
              </w:rPr>
            </w:pPr>
            <w:r w:rsidRPr="00127A8E">
              <w:rPr>
                <w:sz w:val="24"/>
                <w:szCs w:val="24"/>
                <w:lang w:val="lv-LV"/>
              </w:rPr>
              <w:t>Saskaņā ar informatīvā ziņojuma 1.5. nodaļas 4.</w:t>
            </w:r>
            <w:r w:rsidR="001376EC">
              <w:rPr>
                <w:sz w:val="24"/>
                <w:szCs w:val="24"/>
                <w:lang w:val="lv-LV"/>
              </w:rPr>
              <w:t> </w:t>
            </w:r>
            <w:r w:rsidRPr="00127A8E">
              <w:rPr>
                <w:sz w:val="24"/>
                <w:szCs w:val="24"/>
                <w:lang w:val="lv-LV"/>
              </w:rPr>
              <w:t>punktu “maksas pakalpojums ir pasākumu kopums, ko valsts budžeta iestāde ārējos normatīvajos aktos noteiktos gadījumos veic par samaksu, lai nodrošinātu sabiedrības vajadzību ievērošanu. Maksa par pakalpojumu nepārsniedz ar pakalpojuma sniegšanu saistītās izmaksas”.</w:t>
            </w:r>
          </w:p>
          <w:p w14:paraId="100C1D66" w14:textId="2A919FB2" w:rsidR="00227D0C" w:rsidRPr="00127A8E" w:rsidRDefault="00227D0C" w:rsidP="00227D0C">
            <w:pPr>
              <w:pStyle w:val="Pamatteksts"/>
              <w:rPr>
                <w:sz w:val="24"/>
                <w:szCs w:val="24"/>
                <w:lang w:val="lv-LV"/>
              </w:rPr>
            </w:pPr>
            <w:r w:rsidRPr="00127A8E">
              <w:rPr>
                <w:sz w:val="24"/>
                <w:szCs w:val="24"/>
                <w:lang w:val="lv-LV"/>
              </w:rPr>
              <w:t>Dienests bez valsts bud</w:t>
            </w:r>
            <w:r w:rsidRPr="0044489B">
              <w:rPr>
                <w:sz w:val="24"/>
                <w:szCs w:val="24"/>
                <w:lang w:val="lv-LV"/>
              </w:rPr>
              <w:t>žeta dotācijām pilda savus pienākumus</w:t>
            </w:r>
            <w:r w:rsidRPr="00127A8E">
              <w:rPr>
                <w:sz w:val="24"/>
                <w:szCs w:val="24"/>
                <w:lang w:val="lv-LV"/>
              </w:rPr>
              <w:t xml:space="preserve"> zāļu aprites jomā. Publiskie maksas pakalpojumi zāļu apritē sedz dienesta izdevumus, kas tiešā veidā ir saistīti ar attiecīgo pakalpojumu sniegšanu</w:t>
            </w:r>
          </w:p>
          <w:p w14:paraId="3BD0969D" w14:textId="77777777" w:rsidR="00457A81" w:rsidRDefault="00457A81" w:rsidP="00127A8E">
            <w:pPr>
              <w:pStyle w:val="Pamatteksts"/>
              <w:outlineLvl w:val="0"/>
              <w:rPr>
                <w:b/>
                <w:sz w:val="24"/>
                <w:szCs w:val="24"/>
                <w:lang w:val="lv-LV"/>
              </w:rPr>
            </w:pPr>
          </w:p>
          <w:p w14:paraId="4C2EE697" w14:textId="06FFA8B3" w:rsidR="00127A8E" w:rsidRPr="00046B1D" w:rsidRDefault="007F78C3" w:rsidP="00127A8E">
            <w:pPr>
              <w:pStyle w:val="Pamatteksts"/>
              <w:outlineLvl w:val="0"/>
              <w:rPr>
                <w:sz w:val="24"/>
                <w:szCs w:val="24"/>
                <w:lang w:val="lv-LV"/>
              </w:rPr>
            </w:pPr>
            <w:r w:rsidRPr="00046B1D">
              <w:rPr>
                <w:sz w:val="24"/>
                <w:szCs w:val="24"/>
                <w:lang w:val="lv-LV"/>
              </w:rPr>
              <w:t>I</w:t>
            </w:r>
            <w:r w:rsidR="00127A8E" w:rsidRPr="00046B1D">
              <w:rPr>
                <w:sz w:val="24"/>
                <w:szCs w:val="24"/>
                <w:lang w:val="lv-LV"/>
              </w:rPr>
              <w:t xml:space="preserve">zvērtējot dienesta sniegtos </w:t>
            </w:r>
            <w:r w:rsidR="00D620BB">
              <w:rPr>
                <w:sz w:val="24"/>
                <w:szCs w:val="24"/>
                <w:lang w:val="lv-LV"/>
              </w:rPr>
              <w:t xml:space="preserve">publiskos </w:t>
            </w:r>
            <w:r w:rsidR="00127A8E" w:rsidRPr="00046B1D">
              <w:rPr>
                <w:sz w:val="24"/>
                <w:szCs w:val="24"/>
                <w:lang w:val="lv-LV"/>
              </w:rPr>
              <w:t xml:space="preserve">maksas pakalpojumus zāļu jomā, secinājām, ka dienesta maksas pakalpojumi veterināro zāļu jomā, </w:t>
            </w:r>
            <w:proofErr w:type="gramStart"/>
            <w:r w:rsidR="00127A8E" w:rsidRPr="00046B1D">
              <w:rPr>
                <w:sz w:val="24"/>
                <w:szCs w:val="24"/>
                <w:lang w:val="lv-LV"/>
              </w:rPr>
              <w:t>izņemot speciālās</w:t>
            </w:r>
            <w:proofErr w:type="gramEnd"/>
            <w:r w:rsidR="00127A8E" w:rsidRPr="00046B1D">
              <w:rPr>
                <w:sz w:val="24"/>
                <w:szCs w:val="24"/>
                <w:lang w:val="lv-LV"/>
              </w:rPr>
              <w:t xml:space="preserve"> atļaujas (licences) veterinārfarmaceitiskajai darbībai (ražošanai, tostarp</w:t>
            </w:r>
            <w:r w:rsidR="001376EC">
              <w:rPr>
                <w:sz w:val="24"/>
                <w:szCs w:val="24"/>
                <w:lang w:val="lv-LV"/>
              </w:rPr>
              <w:t xml:space="preserve"> </w:t>
            </w:r>
            <w:r w:rsidR="00127A8E" w:rsidRPr="00046B1D">
              <w:rPr>
                <w:sz w:val="24"/>
                <w:szCs w:val="24"/>
                <w:lang w:val="lv-LV"/>
              </w:rPr>
              <w:t>importēšanai, izplatīšanai vairumtirdzniecībā un izplatīšanai mazumtirdzniecībā) izsniegšana un pārreģistrēšana, nav valsts nodevas objekts</w:t>
            </w:r>
            <w:r w:rsidR="009D08D1">
              <w:rPr>
                <w:sz w:val="24"/>
                <w:szCs w:val="24"/>
                <w:lang w:val="lv-LV"/>
              </w:rPr>
              <w:t>, tādēļ</w:t>
            </w:r>
            <w:r w:rsidR="00127A8E" w:rsidRPr="00046B1D">
              <w:rPr>
                <w:sz w:val="24"/>
                <w:szCs w:val="24"/>
                <w:lang w:val="lv-LV"/>
              </w:rPr>
              <w:t xml:space="preserve"> nav jā</w:t>
            </w:r>
            <w:r w:rsidR="001376EC">
              <w:rPr>
                <w:sz w:val="24"/>
                <w:szCs w:val="24"/>
                <w:lang w:val="lv-LV"/>
              </w:rPr>
              <w:t>izdara</w:t>
            </w:r>
            <w:r w:rsidR="00127A8E" w:rsidRPr="00046B1D">
              <w:rPr>
                <w:sz w:val="24"/>
                <w:szCs w:val="24"/>
                <w:lang w:val="lv-LV"/>
              </w:rPr>
              <w:t xml:space="preserve"> grozījum</w:t>
            </w:r>
            <w:r w:rsidR="001376EC">
              <w:rPr>
                <w:sz w:val="24"/>
                <w:szCs w:val="24"/>
                <w:lang w:val="lv-LV"/>
              </w:rPr>
              <w:t>i</w:t>
            </w:r>
            <w:r w:rsidR="00127A8E" w:rsidRPr="00046B1D">
              <w:rPr>
                <w:sz w:val="24"/>
                <w:szCs w:val="24"/>
                <w:lang w:val="lv-LV"/>
              </w:rPr>
              <w:t xml:space="preserve"> likumā “Par nodokļiem un nodevām” un Farmācijas likumā, lai papildinātu Ministru kabinetam doto pilnvarojumu noteikt valsts nodevu ap</w:t>
            </w:r>
            <w:r w:rsidR="001376EC">
              <w:rPr>
                <w:sz w:val="24"/>
                <w:szCs w:val="24"/>
                <w:lang w:val="lv-LV"/>
              </w:rPr>
              <w:t>mēru</w:t>
            </w:r>
            <w:r w:rsidR="00127A8E" w:rsidRPr="00046B1D">
              <w:rPr>
                <w:sz w:val="24"/>
                <w:szCs w:val="24"/>
                <w:lang w:val="lv-LV"/>
              </w:rPr>
              <w:t xml:space="preserve"> un to iekasēšanas kārtību. </w:t>
            </w:r>
          </w:p>
          <w:p w14:paraId="3E511BBA" w14:textId="5113E706" w:rsidR="00161C1C" w:rsidRPr="00310A11" w:rsidRDefault="007F78C3" w:rsidP="00127A8E">
            <w:pPr>
              <w:pStyle w:val="Pamatteksts"/>
              <w:outlineLvl w:val="0"/>
              <w:rPr>
                <w:sz w:val="24"/>
                <w:szCs w:val="24"/>
                <w:lang w:val="lv-LV"/>
              </w:rPr>
            </w:pPr>
            <w:r w:rsidRPr="00046B1D">
              <w:rPr>
                <w:sz w:val="24"/>
                <w:szCs w:val="24"/>
                <w:lang w:val="lv-LV"/>
              </w:rPr>
              <w:t>Tomēr</w:t>
            </w:r>
            <w:r w:rsidR="00046B1D" w:rsidRPr="00046B1D">
              <w:rPr>
                <w:sz w:val="24"/>
                <w:szCs w:val="24"/>
                <w:lang w:val="lv-LV"/>
              </w:rPr>
              <w:t xml:space="preserve">, ņemot vērā </w:t>
            </w:r>
            <w:r w:rsidR="00D620BB">
              <w:rPr>
                <w:sz w:val="24"/>
                <w:szCs w:val="24"/>
                <w:lang w:val="lv-LV"/>
              </w:rPr>
              <w:t>izvērtējuma rezultātus, secinājā</w:t>
            </w:r>
            <w:r w:rsidR="00046B1D" w:rsidRPr="00046B1D">
              <w:rPr>
                <w:sz w:val="24"/>
                <w:szCs w:val="24"/>
                <w:lang w:val="lv-LV"/>
              </w:rPr>
              <w:t>m, ka</w:t>
            </w:r>
            <w:r w:rsidRPr="00046B1D">
              <w:rPr>
                <w:sz w:val="24"/>
                <w:szCs w:val="24"/>
                <w:lang w:val="lv-LV"/>
              </w:rPr>
              <w:t xml:space="preserve"> ir</w:t>
            </w:r>
            <w:r w:rsidR="00127A8E" w:rsidRPr="00046B1D">
              <w:rPr>
                <w:sz w:val="24"/>
                <w:szCs w:val="24"/>
                <w:lang w:val="lv-LV"/>
              </w:rPr>
              <w:t xml:space="preserve"> </w:t>
            </w:r>
            <w:r w:rsidR="00310446" w:rsidRPr="00046B1D">
              <w:rPr>
                <w:sz w:val="24"/>
                <w:szCs w:val="24"/>
                <w:lang w:val="lv-LV"/>
              </w:rPr>
              <w:t>jāprecizē</w:t>
            </w:r>
            <w:r w:rsidR="00127A8E" w:rsidRPr="00046B1D">
              <w:rPr>
                <w:sz w:val="24"/>
                <w:szCs w:val="24"/>
                <w:lang w:val="lv-LV"/>
              </w:rPr>
              <w:t xml:space="preserve"> </w:t>
            </w:r>
            <w:r w:rsidRPr="00046B1D">
              <w:rPr>
                <w:sz w:val="24"/>
                <w:szCs w:val="24"/>
                <w:lang w:val="lv-LV"/>
              </w:rPr>
              <w:t>noteikumu Nr. 1083 5.pielikuma 12. punktā noteikt</w:t>
            </w:r>
            <w:r w:rsidR="001376EC">
              <w:rPr>
                <w:sz w:val="24"/>
                <w:szCs w:val="24"/>
                <w:lang w:val="lv-LV"/>
              </w:rPr>
              <w:t>ie</w:t>
            </w:r>
            <w:r w:rsidRPr="00046B1D">
              <w:rPr>
                <w:sz w:val="24"/>
                <w:szCs w:val="24"/>
                <w:lang w:val="lv-LV"/>
              </w:rPr>
              <w:t xml:space="preserve"> </w:t>
            </w:r>
            <w:r w:rsidR="00127A8E" w:rsidRPr="00046B1D">
              <w:rPr>
                <w:sz w:val="24"/>
                <w:szCs w:val="24"/>
                <w:lang w:val="lv-LV"/>
              </w:rPr>
              <w:t>dienesta maksas pakalpojum</w:t>
            </w:r>
            <w:r w:rsidR="001376EC">
              <w:rPr>
                <w:sz w:val="24"/>
                <w:szCs w:val="24"/>
                <w:lang w:val="lv-LV"/>
              </w:rPr>
              <w:t>i</w:t>
            </w:r>
            <w:r w:rsidR="00127A8E" w:rsidRPr="00046B1D">
              <w:rPr>
                <w:sz w:val="24"/>
                <w:szCs w:val="24"/>
                <w:lang w:val="lv-LV"/>
              </w:rPr>
              <w:t xml:space="preserve"> par veterinārfarmaceitiskās darbības uzņēmuma atbilstības novērtēšanu, objektu pārbaudi, dokumentu izvēr</w:t>
            </w:r>
            <w:r w:rsidRPr="00046B1D">
              <w:rPr>
                <w:sz w:val="24"/>
                <w:szCs w:val="24"/>
                <w:lang w:val="lv-LV"/>
              </w:rPr>
              <w:t xml:space="preserve">tēšanu un izmaiņu reģistrēšanu un šo pakalpojumu </w:t>
            </w:r>
            <w:r w:rsidR="00127A8E" w:rsidRPr="00046B1D">
              <w:rPr>
                <w:sz w:val="24"/>
                <w:szCs w:val="24"/>
                <w:lang w:val="lv-LV"/>
              </w:rPr>
              <w:t>atbils</w:t>
            </w:r>
            <w:r w:rsidRPr="00046B1D">
              <w:rPr>
                <w:sz w:val="24"/>
                <w:szCs w:val="24"/>
                <w:lang w:val="lv-LV"/>
              </w:rPr>
              <w:t>tību</w:t>
            </w:r>
            <w:r w:rsidR="00457A81" w:rsidRPr="00046B1D">
              <w:rPr>
                <w:sz w:val="24"/>
                <w:szCs w:val="24"/>
                <w:lang w:val="lv-LV"/>
              </w:rPr>
              <w:t xml:space="preserve"> noteik</w:t>
            </w:r>
            <w:r w:rsidR="001376EC">
              <w:rPr>
                <w:sz w:val="24"/>
                <w:szCs w:val="24"/>
                <w:lang w:val="lv-LV"/>
              </w:rPr>
              <w:t>u</w:t>
            </w:r>
            <w:r w:rsidR="00457A81" w:rsidRPr="00046B1D">
              <w:rPr>
                <w:sz w:val="24"/>
                <w:szCs w:val="24"/>
                <w:lang w:val="lv-LV"/>
              </w:rPr>
              <w:t>mos Nr.716 noteiktajai</w:t>
            </w:r>
            <w:r w:rsidRPr="00046B1D">
              <w:rPr>
                <w:sz w:val="24"/>
                <w:szCs w:val="24"/>
                <w:lang w:val="lv-LV"/>
              </w:rPr>
              <w:t xml:space="preserve"> valsts nodevai par speciālā</w:t>
            </w:r>
            <w:r w:rsidR="00127A8E" w:rsidRPr="00046B1D">
              <w:rPr>
                <w:sz w:val="24"/>
                <w:szCs w:val="24"/>
                <w:lang w:val="lv-LV"/>
              </w:rPr>
              <w:t xml:space="preserve">s atļaujas </w:t>
            </w:r>
            <w:proofErr w:type="gramStart"/>
            <w:r w:rsidR="00127A8E" w:rsidRPr="00046B1D">
              <w:rPr>
                <w:sz w:val="24"/>
                <w:szCs w:val="24"/>
                <w:lang w:val="lv-LV"/>
              </w:rPr>
              <w:t>(</w:t>
            </w:r>
            <w:proofErr w:type="gramEnd"/>
            <w:r w:rsidR="00127A8E" w:rsidRPr="00046B1D">
              <w:rPr>
                <w:sz w:val="24"/>
                <w:szCs w:val="24"/>
                <w:lang w:val="lv-LV"/>
              </w:rPr>
              <w:t xml:space="preserve">licences) izsniegšanu un </w:t>
            </w:r>
            <w:r w:rsidR="00127A8E" w:rsidRPr="00310A11">
              <w:rPr>
                <w:sz w:val="24"/>
                <w:szCs w:val="24"/>
                <w:lang w:val="lv-LV"/>
              </w:rPr>
              <w:t>pārreģistrēšanu</w:t>
            </w:r>
            <w:r w:rsidRPr="00310A11">
              <w:rPr>
                <w:sz w:val="24"/>
                <w:szCs w:val="24"/>
                <w:lang w:val="lv-LV"/>
              </w:rPr>
              <w:t>,</w:t>
            </w:r>
            <w:r w:rsidR="00046B1D" w:rsidRPr="00310A11">
              <w:rPr>
                <w:sz w:val="24"/>
                <w:szCs w:val="24"/>
                <w:lang w:val="lv-LV"/>
              </w:rPr>
              <w:t xml:space="preserve"> lai svītrotu tos maksas pakalpojumus, par kuriem ir </w:t>
            </w:r>
            <w:r w:rsidR="00F97380" w:rsidRPr="00310A11">
              <w:rPr>
                <w:sz w:val="24"/>
                <w:szCs w:val="24"/>
                <w:lang w:val="lv-LV"/>
              </w:rPr>
              <w:t>par</w:t>
            </w:r>
            <w:r w:rsidR="001376EC">
              <w:rPr>
                <w:sz w:val="24"/>
                <w:szCs w:val="24"/>
                <w:lang w:val="lv-LV"/>
              </w:rPr>
              <w:t>e</w:t>
            </w:r>
            <w:r w:rsidR="00F97380" w:rsidRPr="00310A11">
              <w:rPr>
                <w:sz w:val="24"/>
                <w:szCs w:val="24"/>
                <w:lang w:val="lv-LV"/>
              </w:rPr>
              <w:t>dzēta</w:t>
            </w:r>
            <w:r w:rsidR="00046B1D" w:rsidRPr="00310A11">
              <w:rPr>
                <w:sz w:val="24"/>
                <w:szCs w:val="24"/>
                <w:lang w:val="lv-LV"/>
              </w:rPr>
              <w:t xml:space="preserve"> valsts nodeva, </w:t>
            </w:r>
            <w:r w:rsidR="00F97380" w:rsidRPr="00310A11">
              <w:rPr>
                <w:sz w:val="24"/>
                <w:szCs w:val="24"/>
                <w:lang w:val="lv-LV"/>
              </w:rPr>
              <w:t>ievērojot</w:t>
            </w:r>
            <w:r w:rsidRPr="00310A11">
              <w:rPr>
                <w:sz w:val="24"/>
                <w:szCs w:val="24"/>
                <w:lang w:val="lv-LV"/>
              </w:rPr>
              <w:t xml:space="preserve"> </w:t>
            </w:r>
            <w:r w:rsidR="00127A8E" w:rsidRPr="00310A11">
              <w:rPr>
                <w:sz w:val="24"/>
                <w:szCs w:val="24"/>
                <w:lang w:val="lv-LV"/>
              </w:rPr>
              <w:t>informatīv</w:t>
            </w:r>
            <w:r w:rsidRPr="00310A11">
              <w:rPr>
                <w:sz w:val="24"/>
                <w:szCs w:val="24"/>
                <w:lang w:val="lv-LV"/>
              </w:rPr>
              <w:t>ajā ziņojumā minētos principus.</w:t>
            </w:r>
            <w:r w:rsidR="00046B1D" w:rsidRPr="00310A11">
              <w:rPr>
                <w:sz w:val="24"/>
                <w:szCs w:val="24"/>
                <w:lang w:val="lv-LV"/>
              </w:rPr>
              <w:t xml:space="preserve"> Savukārt </w:t>
            </w:r>
            <w:r w:rsidR="00F97380" w:rsidRPr="00310A11">
              <w:rPr>
                <w:sz w:val="24"/>
                <w:szCs w:val="24"/>
                <w:lang w:val="lv-LV"/>
              </w:rPr>
              <w:t>noteikumos Nr.716 jā</w:t>
            </w:r>
            <w:r w:rsidR="00046B1D" w:rsidRPr="00310A11">
              <w:rPr>
                <w:sz w:val="24"/>
                <w:szCs w:val="24"/>
                <w:lang w:val="lv-LV"/>
              </w:rPr>
              <w:t>preciz</w:t>
            </w:r>
            <w:r w:rsidR="00F97380" w:rsidRPr="00310A11">
              <w:rPr>
                <w:sz w:val="24"/>
                <w:szCs w:val="24"/>
                <w:lang w:val="lv-LV"/>
              </w:rPr>
              <w:t>ē</w:t>
            </w:r>
            <w:r w:rsidR="00046B1D" w:rsidRPr="00310A11">
              <w:rPr>
                <w:sz w:val="24"/>
                <w:szCs w:val="24"/>
                <w:lang w:val="lv-LV"/>
              </w:rPr>
              <w:t xml:space="preserve"> valsts nodevas apm</w:t>
            </w:r>
            <w:r w:rsidR="00F97380" w:rsidRPr="00310A11">
              <w:rPr>
                <w:sz w:val="24"/>
                <w:szCs w:val="24"/>
                <w:lang w:val="lv-LV"/>
              </w:rPr>
              <w:t>ērs</w:t>
            </w:r>
            <w:r w:rsidR="00046B1D" w:rsidRPr="00310A11">
              <w:rPr>
                <w:sz w:val="24"/>
                <w:szCs w:val="24"/>
                <w:lang w:val="lv-LV"/>
              </w:rPr>
              <w:t xml:space="preserve"> par speciālās atļaujas (licences) </w:t>
            </w:r>
            <w:proofErr w:type="spellStart"/>
            <w:r w:rsidR="00046B1D" w:rsidRPr="00310A11">
              <w:rPr>
                <w:sz w:val="24"/>
                <w:szCs w:val="24"/>
                <w:lang w:val="lv-LV"/>
              </w:rPr>
              <w:t>izniegšanu</w:t>
            </w:r>
            <w:proofErr w:type="spellEnd"/>
            <w:r w:rsidR="00046B1D" w:rsidRPr="00310A11">
              <w:rPr>
                <w:sz w:val="24"/>
                <w:szCs w:val="24"/>
                <w:lang w:val="lv-LV"/>
              </w:rPr>
              <w:t xml:space="preserve"> un pārreģistrēšanu, </w:t>
            </w:r>
            <w:r w:rsidR="00145513" w:rsidRPr="00310A11">
              <w:rPr>
                <w:sz w:val="24"/>
                <w:szCs w:val="24"/>
                <w:lang w:val="lv-LV"/>
              </w:rPr>
              <w:t>ņemot vērā</w:t>
            </w:r>
            <w:r w:rsidR="00F97380" w:rsidRPr="00310A11">
              <w:rPr>
                <w:sz w:val="24"/>
                <w:szCs w:val="24"/>
                <w:lang w:val="lv-LV"/>
              </w:rPr>
              <w:t xml:space="preserve"> grozījumus noteikumu Nr.1083 5.pielikumā, lai</w:t>
            </w:r>
            <w:r w:rsidR="00046B1D" w:rsidRPr="00310A11">
              <w:rPr>
                <w:sz w:val="24"/>
                <w:szCs w:val="24"/>
                <w:lang w:val="lv-LV"/>
              </w:rPr>
              <w:t xml:space="preserve"> nodrošinātu </w:t>
            </w:r>
            <w:r w:rsidR="00F97380" w:rsidRPr="00310A11">
              <w:rPr>
                <w:sz w:val="24"/>
                <w:szCs w:val="24"/>
                <w:lang w:val="lv-LV"/>
              </w:rPr>
              <w:t xml:space="preserve">atbilstošas </w:t>
            </w:r>
            <w:r w:rsidR="00046B1D" w:rsidRPr="00310A11">
              <w:rPr>
                <w:sz w:val="24"/>
                <w:szCs w:val="24"/>
                <w:lang w:val="lv-LV"/>
              </w:rPr>
              <w:t xml:space="preserve">valsts budžeta dotācijas </w:t>
            </w:r>
            <w:r w:rsidR="00F97380" w:rsidRPr="00310A11">
              <w:rPr>
                <w:sz w:val="24"/>
                <w:szCs w:val="24"/>
                <w:lang w:val="lv-LV"/>
              </w:rPr>
              <w:t>dienestam</w:t>
            </w:r>
            <w:r w:rsidR="00046B1D" w:rsidRPr="00310A11">
              <w:rPr>
                <w:sz w:val="24"/>
                <w:szCs w:val="24"/>
                <w:lang w:val="lv-LV"/>
              </w:rPr>
              <w:t xml:space="preserve"> par </w:t>
            </w:r>
            <w:r w:rsidR="00F97380" w:rsidRPr="00310A11">
              <w:rPr>
                <w:sz w:val="24"/>
                <w:szCs w:val="24"/>
                <w:lang w:val="lv-LV"/>
              </w:rPr>
              <w:t>speciālās atļaujas (licences)</w:t>
            </w:r>
            <w:r w:rsidR="00046B1D" w:rsidRPr="00310A11">
              <w:rPr>
                <w:sz w:val="24"/>
                <w:szCs w:val="24"/>
                <w:lang w:val="lv-LV"/>
              </w:rPr>
              <w:t xml:space="preserve"> licences </w:t>
            </w:r>
            <w:proofErr w:type="spellStart"/>
            <w:r w:rsidR="00046B1D" w:rsidRPr="00310A11">
              <w:rPr>
                <w:sz w:val="24"/>
                <w:szCs w:val="24"/>
                <w:lang w:val="lv-LV"/>
              </w:rPr>
              <w:t>izniegšanu</w:t>
            </w:r>
            <w:proofErr w:type="spellEnd"/>
            <w:r w:rsidR="00046B1D" w:rsidRPr="00310A11">
              <w:rPr>
                <w:sz w:val="24"/>
                <w:szCs w:val="24"/>
                <w:lang w:val="lv-LV"/>
              </w:rPr>
              <w:t xml:space="preserve"> un pārreģistrē</w:t>
            </w:r>
            <w:r w:rsidR="00F97380" w:rsidRPr="00310A11">
              <w:rPr>
                <w:sz w:val="24"/>
                <w:szCs w:val="24"/>
                <w:lang w:val="lv-LV"/>
              </w:rPr>
              <w:t>šanu</w:t>
            </w:r>
            <w:r w:rsidR="00046B1D" w:rsidRPr="00310A11">
              <w:rPr>
                <w:sz w:val="24"/>
                <w:szCs w:val="24"/>
                <w:lang w:val="lv-LV"/>
              </w:rPr>
              <w:t>.</w:t>
            </w:r>
          </w:p>
          <w:p w14:paraId="778ADADB" w14:textId="404BB9D1" w:rsidR="00127A8E" w:rsidRPr="0044489B" w:rsidRDefault="00127A8E" w:rsidP="007E4535">
            <w:pPr>
              <w:jc w:val="both"/>
            </w:pPr>
            <w:r w:rsidRPr="00310A11">
              <w:t>Tādēļ</w:t>
            </w:r>
            <w:r w:rsidR="00046B1D" w:rsidRPr="00310A11">
              <w:t xml:space="preserve"> </w:t>
            </w:r>
            <w:r w:rsidR="001376EC" w:rsidRPr="00310A11">
              <w:t>protokollēmu</w:t>
            </w:r>
            <w:r w:rsidR="001376EC">
              <w:t>ms ir</w:t>
            </w:r>
            <w:r w:rsidR="001376EC" w:rsidRPr="00310A11">
              <w:t xml:space="preserve"> </w:t>
            </w:r>
            <w:r w:rsidR="001376EC">
              <w:t>jā</w:t>
            </w:r>
            <w:r w:rsidR="00046B1D" w:rsidRPr="00310A11">
              <w:t>papildin</w:t>
            </w:r>
            <w:r w:rsidR="001376EC">
              <w:t>a</w:t>
            </w:r>
            <w:r w:rsidR="00046B1D" w:rsidRPr="00310A11">
              <w:t xml:space="preserve">, paredzot </w:t>
            </w:r>
            <w:r w:rsidRPr="00310A11">
              <w:rPr>
                <w:lang w:eastAsia="en-US"/>
              </w:rPr>
              <w:t xml:space="preserve">Zemkopības ministrijai līdz 2018. gada </w:t>
            </w:r>
            <w:r w:rsidR="00046B1D" w:rsidRPr="00310A11">
              <w:rPr>
                <w:lang w:eastAsia="en-US"/>
              </w:rPr>
              <w:t>1</w:t>
            </w:r>
            <w:r w:rsidRPr="00310A11">
              <w:rPr>
                <w:lang w:eastAsia="en-US"/>
              </w:rPr>
              <w:t xml:space="preserve">. </w:t>
            </w:r>
            <w:r w:rsidR="00046B1D" w:rsidRPr="00310A11">
              <w:rPr>
                <w:lang w:eastAsia="en-US"/>
              </w:rPr>
              <w:t>jūlijam</w:t>
            </w:r>
            <w:r w:rsidRPr="00310A11">
              <w:rPr>
                <w:lang w:eastAsia="en-US"/>
              </w:rPr>
              <w:t xml:space="preserve"> iesniegt Ministru kabinetā grozījumus </w:t>
            </w:r>
            <w:r w:rsidR="00046B1D" w:rsidRPr="00310A11">
              <w:rPr>
                <w:lang w:eastAsia="en-US"/>
              </w:rPr>
              <w:t>noteikumu</w:t>
            </w:r>
            <w:r w:rsidRPr="00310A11">
              <w:rPr>
                <w:lang w:eastAsia="en-US"/>
              </w:rPr>
              <w:t xml:space="preserve"> Nr.1083</w:t>
            </w:r>
            <w:r w:rsidR="009D08D1">
              <w:rPr>
                <w:lang w:eastAsia="en-US"/>
              </w:rPr>
              <w:t xml:space="preserve"> 5.pielikuma 12.punktā </w:t>
            </w:r>
            <w:r w:rsidRPr="00046B1D">
              <w:rPr>
                <w:lang w:eastAsia="en-US"/>
              </w:rPr>
              <w:t xml:space="preserve">un grozījumus </w:t>
            </w:r>
            <w:r w:rsidR="009D08D1">
              <w:rPr>
                <w:lang w:eastAsia="en-US"/>
              </w:rPr>
              <w:t>noteikumos Nr.716</w:t>
            </w:r>
            <w:r w:rsidR="00046B1D" w:rsidRPr="00046B1D">
              <w:rPr>
                <w:lang w:eastAsia="en-US"/>
              </w:rPr>
              <w:t>,</w:t>
            </w:r>
            <w:r w:rsidRPr="007E4535">
              <w:rPr>
                <w:lang w:eastAsia="en-US"/>
              </w:rPr>
              <w:t xml:space="preserve"> </w:t>
            </w:r>
            <w:r w:rsidRPr="00046B1D">
              <w:rPr>
                <w:lang w:eastAsia="en-US"/>
              </w:rPr>
              <w:t>lai precizētu valsts nodevas ap</w:t>
            </w:r>
            <w:r w:rsidR="001376EC">
              <w:rPr>
                <w:lang w:eastAsia="en-US"/>
              </w:rPr>
              <w:t>mēru</w:t>
            </w:r>
            <w:r w:rsidRPr="00046B1D">
              <w:rPr>
                <w:lang w:eastAsia="en-US"/>
              </w:rPr>
              <w:t xml:space="preserve"> par speciālās atļaujas (licences) </w:t>
            </w:r>
            <w:r w:rsidRPr="00046B1D">
              <w:rPr>
                <w:lang w:eastAsia="en-US"/>
              </w:rPr>
              <w:lastRenderedPageBreak/>
              <w:t>veterinārfarmaceitiskajai darbībai izsniegšanu un pārreģistrēšanu</w:t>
            </w:r>
            <w:r w:rsidR="00046B1D" w:rsidRPr="007E4535">
              <w:rPr>
                <w:lang w:eastAsia="en-US"/>
              </w:rPr>
              <w:t>.</w:t>
            </w:r>
          </w:p>
        </w:tc>
      </w:tr>
      <w:tr w:rsidR="009343BC" w:rsidRPr="008D55BF" w14:paraId="536B04E2" w14:textId="77777777" w:rsidTr="007E4535">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4DD1B5E4" w14:textId="77777777" w:rsidR="009343BC" w:rsidRDefault="009343BC" w:rsidP="00D9025C">
            <w:r>
              <w:lastRenderedPageBreak/>
              <w:t>3.</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013BDBC6" w14:textId="77777777" w:rsidR="009343BC" w:rsidRDefault="009343BC" w:rsidP="00D9025C">
            <w:r w:rsidRPr="009343BC">
              <w:t>Projekta izstrādē iesaistītās institūcijas</w:t>
            </w:r>
          </w:p>
        </w:tc>
        <w:tc>
          <w:tcPr>
            <w:tcW w:w="6237" w:type="dxa"/>
            <w:tcBorders>
              <w:top w:val="outset" w:sz="6" w:space="0" w:color="000000"/>
              <w:left w:val="outset" w:sz="6" w:space="0" w:color="000000"/>
              <w:bottom w:val="outset" w:sz="6" w:space="0" w:color="000000"/>
            </w:tcBorders>
            <w:tcMar>
              <w:top w:w="0" w:type="dxa"/>
              <w:left w:w="113" w:type="dxa"/>
              <w:bottom w:w="0" w:type="dxa"/>
              <w:right w:w="113" w:type="dxa"/>
            </w:tcMar>
          </w:tcPr>
          <w:p w14:paraId="706AFCA4" w14:textId="342464BD" w:rsidR="009343BC" w:rsidRPr="00DB0BF5" w:rsidRDefault="006B1F47" w:rsidP="002061A2">
            <w:pPr>
              <w:ind w:firstLine="170"/>
              <w:jc w:val="both"/>
            </w:pPr>
            <w:r>
              <w:t>Zemkopības ministrija</w:t>
            </w:r>
            <w:r w:rsidR="001376EC">
              <w:t xml:space="preserve"> un</w:t>
            </w:r>
            <w:r w:rsidR="0074291D">
              <w:t xml:space="preserve"> Pārtikas un veterinārais dienests</w:t>
            </w:r>
          </w:p>
        </w:tc>
      </w:tr>
      <w:tr w:rsidR="009343BC" w:rsidRPr="008D55BF" w14:paraId="21ECF2BD" w14:textId="77777777" w:rsidTr="007E4535">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14:paraId="4BA7274B" w14:textId="77777777" w:rsidR="009343BC" w:rsidRDefault="009343BC" w:rsidP="00D9025C">
            <w:r>
              <w:t>4.</w:t>
            </w:r>
          </w:p>
        </w:tc>
        <w:tc>
          <w:tcPr>
            <w:tcW w:w="2240"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14:paraId="669B563D" w14:textId="77777777" w:rsidR="009343BC" w:rsidRPr="009343BC" w:rsidRDefault="009343BC" w:rsidP="00D9025C">
            <w:r w:rsidRPr="009343BC">
              <w:t>Cita informācija</w:t>
            </w:r>
          </w:p>
        </w:tc>
        <w:tc>
          <w:tcPr>
            <w:tcW w:w="6237" w:type="dxa"/>
            <w:tcBorders>
              <w:top w:val="outset" w:sz="6" w:space="0" w:color="000000"/>
              <w:left w:val="outset" w:sz="6" w:space="0" w:color="000000"/>
              <w:bottom w:val="outset" w:sz="6" w:space="0" w:color="000000"/>
            </w:tcBorders>
            <w:tcMar>
              <w:top w:w="0" w:type="dxa"/>
              <w:left w:w="113" w:type="dxa"/>
              <w:bottom w:w="0" w:type="dxa"/>
              <w:right w:w="113" w:type="dxa"/>
            </w:tcMar>
          </w:tcPr>
          <w:p w14:paraId="704854DF" w14:textId="77777777" w:rsidR="009343BC" w:rsidRPr="009343BC" w:rsidRDefault="009343BC" w:rsidP="00D9025C">
            <w:pPr>
              <w:ind w:firstLine="170"/>
              <w:jc w:val="both"/>
            </w:pPr>
            <w:r w:rsidRPr="009343BC">
              <w:t>Nav</w:t>
            </w:r>
          </w:p>
        </w:tc>
      </w:tr>
    </w:tbl>
    <w:p w14:paraId="1A28FCBA" w14:textId="77777777" w:rsidR="00AC38AA" w:rsidRDefault="00AC38AA" w:rsidP="00AC38AA">
      <w:pPr>
        <w:jc w:val="both"/>
        <w:rPr>
          <w:lang w:eastAsia="en-US"/>
        </w:rPr>
      </w:pPr>
    </w:p>
    <w:p w14:paraId="31742AA9" w14:textId="77777777" w:rsidR="00D85230" w:rsidRPr="007E4535" w:rsidRDefault="002061A2" w:rsidP="00AC38AA">
      <w:pPr>
        <w:jc w:val="both"/>
        <w:rPr>
          <w:i/>
          <w:sz w:val="28"/>
          <w:szCs w:val="28"/>
          <w:lang w:eastAsia="en-US"/>
        </w:rPr>
      </w:pPr>
      <w:r w:rsidRPr="007E4535">
        <w:rPr>
          <w:i/>
          <w:sz w:val="28"/>
          <w:szCs w:val="28"/>
          <w:lang w:eastAsia="en-US"/>
        </w:rPr>
        <w:t>Anotācijas II</w:t>
      </w:r>
      <w:r w:rsidR="007F78C3" w:rsidRPr="007E4535">
        <w:rPr>
          <w:i/>
          <w:sz w:val="28"/>
          <w:szCs w:val="28"/>
          <w:lang w:eastAsia="en-US"/>
        </w:rPr>
        <w:t xml:space="preserve"> un III </w:t>
      </w:r>
      <w:r w:rsidR="006B24C8" w:rsidRPr="007E4535">
        <w:rPr>
          <w:i/>
          <w:sz w:val="28"/>
          <w:szCs w:val="28"/>
          <w:lang w:eastAsia="en-US"/>
        </w:rPr>
        <w:t>sadaļa – projekts šīs jomas neskar</w:t>
      </w:r>
      <w:r w:rsidR="007E0828" w:rsidRPr="007E4535">
        <w:rPr>
          <w:i/>
          <w:sz w:val="28"/>
          <w:szCs w:val="28"/>
          <w:lang w:eastAsia="en-US"/>
        </w:rPr>
        <w:t>.</w:t>
      </w:r>
    </w:p>
    <w:p w14:paraId="50956CFC" w14:textId="77777777" w:rsidR="00AC38AA" w:rsidRPr="007E4535" w:rsidRDefault="00AC38AA" w:rsidP="00AC38AA">
      <w:pPr>
        <w:pStyle w:val="naisf"/>
        <w:tabs>
          <w:tab w:val="left" w:pos="6840"/>
        </w:tabs>
        <w:spacing w:before="0" w:after="0"/>
        <w:ind w:firstLine="0"/>
        <w:rPr>
          <w:sz w:val="28"/>
          <w:szCs w:val="28"/>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576"/>
      </w:tblGrid>
      <w:tr w:rsidR="00310446" w:rsidRPr="001543F9" w14:paraId="2BCBC644" w14:textId="77777777" w:rsidTr="00457A81">
        <w:tc>
          <w:tcPr>
            <w:tcW w:w="5000" w:type="pct"/>
            <w:gridSpan w:val="2"/>
          </w:tcPr>
          <w:p w14:paraId="0F82E65A" w14:textId="77777777" w:rsidR="00310446" w:rsidRPr="001543F9" w:rsidRDefault="00310446" w:rsidP="00B8206F">
            <w:pPr>
              <w:jc w:val="both"/>
              <w:rPr>
                <w:color w:val="000000" w:themeColor="text1"/>
              </w:rPr>
            </w:pPr>
            <w:r w:rsidRPr="001543F9">
              <w:rPr>
                <w:b/>
                <w:bCs/>
                <w:color w:val="000000" w:themeColor="text1"/>
              </w:rPr>
              <w:t>IV. Tiesību akta projekta ietekme uz spēka esošo tiesību normu sistēmu</w:t>
            </w:r>
          </w:p>
        </w:tc>
      </w:tr>
      <w:tr w:rsidR="00310446" w:rsidRPr="006B1394" w14:paraId="46D96B39" w14:textId="77777777" w:rsidTr="00457A81">
        <w:tc>
          <w:tcPr>
            <w:tcW w:w="858" w:type="pct"/>
          </w:tcPr>
          <w:p w14:paraId="4381E1B0" w14:textId="77777777" w:rsidR="00310446" w:rsidRPr="006B1394" w:rsidRDefault="00310446" w:rsidP="00B8206F">
            <w:pPr>
              <w:jc w:val="both"/>
              <w:rPr>
                <w:color w:val="000000" w:themeColor="text1"/>
              </w:rPr>
            </w:pPr>
            <w:r>
              <w:rPr>
                <w:color w:val="000000" w:themeColor="text1"/>
              </w:rPr>
              <w:t>Nepieciešamie saistītie tiesību aktu projekti</w:t>
            </w:r>
          </w:p>
        </w:tc>
        <w:tc>
          <w:tcPr>
            <w:tcW w:w="4142" w:type="pct"/>
          </w:tcPr>
          <w:p w14:paraId="68BC059C" w14:textId="73396A05" w:rsidR="007F78C3" w:rsidRPr="00145513" w:rsidRDefault="007F78C3" w:rsidP="007F78C3">
            <w:pPr>
              <w:jc w:val="both"/>
              <w:rPr>
                <w:lang w:eastAsia="en-US"/>
              </w:rPr>
            </w:pPr>
            <w:r w:rsidRPr="00145513">
              <w:rPr>
                <w:lang w:eastAsia="en-US"/>
              </w:rPr>
              <w:t xml:space="preserve">Līdz 2018. </w:t>
            </w:r>
            <w:r w:rsidRPr="00B65C81">
              <w:rPr>
                <w:lang w:eastAsia="en-US"/>
              </w:rPr>
              <w:t xml:space="preserve">gada </w:t>
            </w:r>
            <w:r w:rsidR="00145513" w:rsidRPr="00B65C81">
              <w:rPr>
                <w:lang w:eastAsia="en-US"/>
              </w:rPr>
              <w:t>1.</w:t>
            </w:r>
            <w:r w:rsidRPr="00B65C81">
              <w:rPr>
                <w:lang w:eastAsia="en-US"/>
              </w:rPr>
              <w:t xml:space="preserve"> </w:t>
            </w:r>
            <w:r w:rsidR="00145513" w:rsidRPr="00B65C81">
              <w:rPr>
                <w:lang w:eastAsia="en-US"/>
              </w:rPr>
              <w:t>jūlijam</w:t>
            </w:r>
            <w:r w:rsidRPr="00B65C81">
              <w:rPr>
                <w:lang w:eastAsia="en-US"/>
              </w:rPr>
              <w:t xml:space="preserve"> iesniegt Ministru kabinetā š</w:t>
            </w:r>
            <w:r w:rsidR="001376EC">
              <w:rPr>
                <w:lang w:eastAsia="en-US"/>
              </w:rPr>
              <w:t>ā</w:t>
            </w:r>
            <w:r w:rsidRPr="00B65C81">
              <w:rPr>
                <w:lang w:eastAsia="en-US"/>
              </w:rPr>
              <w:t>dus Ministru kabineta noteikumu projektus:</w:t>
            </w:r>
          </w:p>
          <w:p w14:paraId="1030285D" w14:textId="66D4DA53" w:rsidR="007F78C3" w:rsidRPr="00145513" w:rsidRDefault="007F78C3" w:rsidP="007F78C3">
            <w:pPr>
              <w:jc w:val="both"/>
              <w:rPr>
                <w:lang w:eastAsia="en-US"/>
              </w:rPr>
            </w:pPr>
            <w:r w:rsidRPr="00145513">
              <w:rPr>
                <w:lang w:eastAsia="en-US"/>
              </w:rPr>
              <w:t xml:space="preserve">1) “Grozījumi Ministru kabineta 2013. gada 8. oktobra noteikumos Nr.1083 “Kārtība, kādā veicama samaksa par Pārtikas un veterinārā dienesta valsts uzraudzības un kontroles darbībām un maksas pakalpojumiem””, lai precizētu </w:t>
            </w:r>
            <w:r w:rsidR="00741027">
              <w:rPr>
                <w:lang w:eastAsia="en-US"/>
              </w:rPr>
              <w:t xml:space="preserve">5.pielikuma 12.punktā noteiktos </w:t>
            </w:r>
            <w:r w:rsidRPr="00145513">
              <w:rPr>
                <w:lang w:eastAsia="en-US"/>
              </w:rPr>
              <w:t>dienes</w:t>
            </w:r>
            <w:r w:rsidR="00741027">
              <w:rPr>
                <w:lang w:eastAsia="en-US"/>
              </w:rPr>
              <w:t>ta sniegtos maksas pakalpojumus</w:t>
            </w:r>
            <w:r w:rsidRPr="00145513">
              <w:rPr>
                <w:lang w:eastAsia="en-US"/>
              </w:rPr>
              <w:t>;</w:t>
            </w:r>
          </w:p>
          <w:p w14:paraId="01AF8DA4" w14:textId="37FE8DDF" w:rsidR="00310446" w:rsidRPr="006B1394" w:rsidRDefault="007F78C3" w:rsidP="00B8206F">
            <w:pPr>
              <w:jc w:val="both"/>
              <w:rPr>
                <w:color w:val="000000" w:themeColor="text1"/>
              </w:rPr>
            </w:pPr>
            <w:r w:rsidRPr="00145513">
              <w:rPr>
                <w:lang w:eastAsia="en-US"/>
              </w:rPr>
              <w:t xml:space="preserve">2) “Grozījumi Ministru kabineta </w:t>
            </w:r>
            <w:proofErr w:type="gramStart"/>
            <w:r w:rsidRPr="00145513">
              <w:rPr>
                <w:lang w:eastAsia="en-US"/>
              </w:rPr>
              <w:t>2007.gada</w:t>
            </w:r>
            <w:proofErr w:type="gramEnd"/>
            <w:r w:rsidRPr="00145513">
              <w:rPr>
                <w:lang w:eastAsia="en-US"/>
              </w:rPr>
              <w:t xml:space="preserve"> 23.oktobra noteikumos Nr.716  “Noteikumi par valsts nodevu par speciālās atļaujas (licences) izsniegšanu veterinārfarmaceitiskajai darbībai””, lai pre</w:t>
            </w:r>
            <w:r w:rsidR="00145513" w:rsidRPr="00145513">
              <w:rPr>
                <w:lang w:eastAsia="en-US"/>
              </w:rPr>
              <w:t>cizētu valsts nodevas ap</w:t>
            </w:r>
            <w:r w:rsidR="001376EC">
              <w:rPr>
                <w:lang w:eastAsia="en-US"/>
              </w:rPr>
              <w:t>mēru</w:t>
            </w:r>
            <w:r w:rsidR="00145513" w:rsidRPr="00145513">
              <w:rPr>
                <w:lang w:eastAsia="en-US"/>
              </w:rPr>
              <w:t xml:space="preserve"> </w:t>
            </w:r>
            <w:r w:rsidRPr="00145513">
              <w:rPr>
                <w:lang w:eastAsia="en-US"/>
              </w:rPr>
              <w:t>par speciālās atļaujas (licences) veterinārfarmaceitiskajai darbībai izsniegšanu un pārreģistrēšanu.</w:t>
            </w:r>
          </w:p>
        </w:tc>
      </w:tr>
      <w:tr w:rsidR="00310446" w:rsidRPr="006B1394" w14:paraId="46950BCD" w14:textId="77777777" w:rsidTr="00457A81">
        <w:tc>
          <w:tcPr>
            <w:tcW w:w="858" w:type="pct"/>
          </w:tcPr>
          <w:p w14:paraId="1DF34EB7" w14:textId="77777777" w:rsidR="00310446" w:rsidRPr="006B1394" w:rsidRDefault="00310446" w:rsidP="00B8206F">
            <w:pPr>
              <w:jc w:val="both"/>
              <w:rPr>
                <w:color w:val="000000" w:themeColor="text1"/>
              </w:rPr>
            </w:pPr>
            <w:r>
              <w:rPr>
                <w:color w:val="000000" w:themeColor="text1"/>
              </w:rPr>
              <w:t>Atbildīgā institūcija</w:t>
            </w:r>
          </w:p>
        </w:tc>
        <w:tc>
          <w:tcPr>
            <w:tcW w:w="4142" w:type="pct"/>
          </w:tcPr>
          <w:p w14:paraId="1A1F8744" w14:textId="77777777" w:rsidR="00310446" w:rsidRPr="006B1394" w:rsidRDefault="00310446" w:rsidP="00B8206F">
            <w:pPr>
              <w:jc w:val="both"/>
              <w:rPr>
                <w:color w:val="000000" w:themeColor="text1"/>
              </w:rPr>
            </w:pPr>
            <w:r>
              <w:rPr>
                <w:color w:val="000000" w:themeColor="text1"/>
              </w:rPr>
              <w:t>Zemkopības ministrija</w:t>
            </w:r>
          </w:p>
        </w:tc>
      </w:tr>
      <w:tr w:rsidR="00310446" w:rsidRPr="006B1394" w14:paraId="48BB84F5" w14:textId="77777777" w:rsidTr="00457A81">
        <w:tc>
          <w:tcPr>
            <w:tcW w:w="858" w:type="pct"/>
          </w:tcPr>
          <w:p w14:paraId="5EF297FB" w14:textId="77777777" w:rsidR="00310446" w:rsidRPr="006B1394" w:rsidRDefault="00310446" w:rsidP="00B8206F">
            <w:pPr>
              <w:jc w:val="both"/>
              <w:rPr>
                <w:color w:val="000000" w:themeColor="text1"/>
              </w:rPr>
            </w:pPr>
            <w:r w:rsidRPr="006B1394">
              <w:rPr>
                <w:color w:val="000000" w:themeColor="text1"/>
              </w:rPr>
              <w:t>Cita informācija</w:t>
            </w:r>
          </w:p>
        </w:tc>
        <w:tc>
          <w:tcPr>
            <w:tcW w:w="4142" w:type="pct"/>
          </w:tcPr>
          <w:p w14:paraId="1BBD503A" w14:textId="6D5DF027" w:rsidR="00310446" w:rsidRPr="006B1394" w:rsidRDefault="00310446">
            <w:pPr>
              <w:jc w:val="both"/>
              <w:rPr>
                <w:color w:val="000000" w:themeColor="text1"/>
              </w:rPr>
            </w:pPr>
            <w:r>
              <w:rPr>
                <w:color w:val="000000" w:themeColor="text1"/>
              </w:rPr>
              <w:t>Normatīvo aktu projektus</w:t>
            </w:r>
            <w:r w:rsidRPr="00921783">
              <w:rPr>
                <w:color w:val="000000" w:themeColor="text1"/>
              </w:rPr>
              <w:t xml:space="preserve"> </w:t>
            </w:r>
            <w:r w:rsidR="001376EC">
              <w:rPr>
                <w:color w:val="000000" w:themeColor="text1"/>
              </w:rPr>
              <w:t xml:space="preserve">Valsts kancelejā </w:t>
            </w:r>
            <w:r w:rsidRPr="00921783">
              <w:rPr>
                <w:color w:val="000000" w:themeColor="text1"/>
              </w:rPr>
              <w:t>paredzēts iesn</w:t>
            </w:r>
            <w:r>
              <w:rPr>
                <w:color w:val="000000" w:themeColor="text1"/>
              </w:rPr>
              <w:t xml:space="preserve">iegt </w:t>
            </w:r>
            <w:r w:rsidR="001376EC">
              <w:rPr>
                <w:color w:val="000000" w:themeColor="text1"/>
              </w:rPr>
              <w:t>reizē</w:t>
            </w:r>
            <w:r>
              <w:rPr>
                <w:color w:val="000000" w:themeColor="text1"/>
              </w:rPr>
              <w:t>.</w:t>
            </w:r>
          </w:p>
        </w:tc>
      </w:tr>
    </w:tbl>
    <w:p w14:paraId="5CE87435" w14:textId="77777777" w:rsidR="007F78C3" w:rsidRDefault="007F78C3" w:rsidP="007F78C3">
      <w:pPr>
        <w:jc w:val="both"/>
        <w:rPr>
          <w:i/>
          <w:lang w:eastAsia="en-US"/>
        </w:rPr>
      </w:pPr>
    </w:p>
    <w:p w14:paraId="5CBF00D9" w14:textId="47D30CCA" w:rsidR="007F78C3" w:rsidRPr="007E4535" w:rsidRDefault="007F78C3" w:rsidP="007F78C3">
      <w:pPr>
        <w:jc w:val="both"/>
        <w:rPr>
          <w:i/>
          <w:sz w:val="28"/>
          <w:szCs w:val="28"/>
          <w:lang w:eastAsia="en-US"/>
        </w:rPr>
      </w:pPr>
      <w:r w:rsidRPr="007E4535">
        <w:rPr>
          <w:i/>
          <w:sz w:val="28"/>
          <w:szCs w:val="28"/>
          <w:lang w:eastAsia="en-US"/>
        </w:rPr>
        <w:t>Anotācijas V</w:t>
      </w:r>
      <w:r w:rsidR="001376EC" w:rsidRPr="007E4535">
        <w:rPr>
          <w:i/>
          <w:sz w:val="28"/>
          <w:szCs w:val="28"/>
          <w:lang w:eastAsia="en-US"/>
        </w:rPr>
        <w:t xml:space="preserve"> un</w:t>
      </w:r>
      <w:r w:rsidRPr="007E4535">
        <w:rPr>
          <w:i/>
          <w:sz w:val="28"/>
          <w:szCs w:val="28"/>
          <w:lang w:eastAsia="en-US"/>
        </w:rPr>
        <w:t xml:space="preserve"> VI sadaļa – projekts šīs jomas neskar.</w:t>
      </w:r>
    </w:p>
    <w:p w14:paraId="26907EBE" w14:textId="77777777" w:rsidR="00B65C81" w:rsidRDefault="00B65C81" w:rsidP="007F78C3">
      <w:pPr>
        <w:jc w:val="both"/>
        <w:rPr>
          <w:i/>
          <w:lang w:eastAsia="en-US"/>
        </w:rPr>
      </w:pPr>
    </w:p>
    <w:tbl>
      <w:tblPr>
        <w:tblStyle w:val="Reatabula"/>
        <w:tblW w:w="9209" w:type="dxa"/>
        <w:tblLook w:val="04A0" w:firstRow="1" w:lastRow="0" w:firstColumn="1" w:lastColumn="0" w:noHBand="0" w:noVBand="1"/>
      </w:tblPr>
      <w:tblGrid>
        <w:gridCol w:w="562"/>
        <w:gridCol w:w="3544"/>
        <w:gridCol w:w="5103"/>
      </w:tblGrid>
      <w:tr w:rsidR="00310A11" w14:paraId="0F20E721" w14:textId="77777777" w:rsidTr="00D620BB">
        <w:tc>
          <w:tcPr>
            <w:tcW w:w="9209" w:type="dxa"/>
            <w:gridSpan w:val="3"/>
          </w:tcPr>
          <w:p w14:paraId="105B06CF" w14:textId="77777777" w:rsidR="00310A11" w:rsidRDefault="00310A11" w:rsidP="007F78C3">
            <w:pPr>
              <w:jc w:val="both"/>
              <w:rPr>
                <w:lang w:eastAsia="en-US"/>
              </w:rPr>
            </w:pPr>
            <w:r w:rsidRPr="00310A11">
              <w:rPr>
                <w:b/>
                <w:bCs/>
                <w:color w:val="414142"/>
              </w:rPr>
              <w:t>VII. Tiesību akta projekta izpildes nodrošināšana un tās ietekme uz institūcijām</w:t>
            </w:r>
          </w:p>
        </w:tc>
      </w:tr>
      <w:tr w:rsidR="00310A11" w14:paraId="42E82905" w14:textId="77777777" w:rsidTr="00D620BB">
        <w:tc>
          <w:tcPr>
            <w:tcW w:w="562" w:type="dxa"/>
          </w:tcPr>
          <w:p w14:paraId="7C4F8BBD" w14:textId="77777777" w:rsidR="00310A11" w:rsidRPr="00310A11" w:rsidRDefault="00310A11" w:rsidP="00310A11">
            <w:pPr>
              <w:rPr>
                <w:color w:val="414142"/>
              </w:rPr>
            </w:pPr>
            <w:r w:rsidRPr="00310A11">
              <w:rPr>
                <w:color w:val="414142"/>
              </w:rPr>
              <w:t>1.</w:t>
            </w:r>
          </w:p>
        </w:tc>
        <w:tc>
          <w:tcPr>
            <w:tcW w:w="3544" w:type="dxa"/>
          </w:tcPr>
          <w:p w14:paraId="12B0DF0E" w14:textId="77777777" w:rsidR="00310A11" w:rsidRPr="00741027" w:rsidRDefault="00310A11" w:rsidP="00310A11">
            <w:r w:rsidRPr="00741027">
              <w:t>Projekta izpildē iesaistītās institūcijas</w:t>
            </w:r>
          </w:p>
        </w:tc>
        <w:tc>
          <w:tcPr>
            <w:tcW w:w="5103" w:type="dxa"/>
          </w:tcPr>
          <w:p w14:paraId="2669C646" w14:textId="069E8EB5" w:rsidR="00310A11" w:rsidRDefault="00310A11" w:rsidP="00310A11">
            <w:pPr>
              <w:jc w:val="both"/>
              <w:rPr>
                <w:lang w:eastAsia="en-US"/>
              </w:rPr>
            </w:pPr>
            <w:r>
              <w:rPr>
                <w:lang w:eastAsia="en-US"/>
              </w:rPr>
              <w:t>Zemkopības ministrija</w:t>
            </w:r>
            <w:r w:rsidR="001376EC">
              <w:rPr>
                <w:lang w:eastAsia="en-US"/>
              </w:rPr>
              <w:t xml:space="preserve"> un</w:t>
            </w:r>
            <w:r>
              <w:rPr>
                <w:lang w:eastAsia="en-US"/>
              </w:rPr>
              <w:t xml:space="preserve"> Pārtikas un veterinārais dienests</w:t>
            </w:r>
          </w:p>
        </w:tc>
      </w:tr>
      <w:tr w:rsidR="00310A11" w14:paraId="341674FF" w14:textId="77777777" w:rsidTr="00D620BB">
        <w:tc>
          <w:tcPr>
            <w:tcW w:w="562" w:type="dxa"/>
          </w:tcPr>
          <w:p w14:paraId="5F7A8A7E" w14:textId="77777777" w:rsidR="00310A11" w:rsidRPr="00310A11" w:rsidRDefault="00310A11" w:rsidP="00310A11">
            <w:pPr>
              <w:rPr>
                <w:color w:val="414142"/>
              </w:rPr>
            </w:pPr>
            <w:r w:rsidRPr="00310A11">
              <w:rPr>
                <w:color w:val="414142"/>
              </w:rPr>
              <w:t>2.</w:t>
            </w:r>
          </w:p>
        </w:tc>
        <w:tc>
          <w:tcPr>
            <w:tcW w:w="3544" w:type="dxa"/>
          </w:tcPr>
          <w:p w14:paraId="7B1FF044" w14:textId="77777777" w:rsidR="00310A11" w:rsidRPr="00741027" w:rsidRDefault="00310A11" w:rsidP="00310A11">
            <w:r w:rsidRPr="00741027">
              <w:t xml:space="preserve">Projekta izpildes ietekme uz pārvaldes funkcijām un institucionālo struktūru. </w:t>
            </w:r>
          </w:p>
        </w:tc>
        <w:tc>
          <w:tcPr>
            <w:tcW w:w="5103" w:type="dxa"/>
          </w:tcPr>
          <w:p w14:paraId="13516182" w14:textId="77777777" w:rsidR="00310A11" w:rsidRDefault="00310A11" w:rsidP="00310A11">
            <w:pPr>
              <w:jc w:val="both"/>
              <w:rPr>
                <w:lang w:eastAsia="en-US"/>
              </w:rPr>
            </w:pPr>
            <w:r>
              <w:rPr>
                <w:lang w:eastAsia="en-US"/>
              </w:rPr>
              <w:t>Nav attiecināms.</w:t>
            </w:r>
          </w:p>
        </w:tc>
      </w:tr>
      <w:tr w:rsidR="00310A11" w14:paraId="125FFA69" w14:textId="77777777" w:rsidTr="00D620BB">
        <w:tc>
          <w:tcPr>
            <w:tcW w:w="562" w:type="dxa"/>
          </w:tcPr>
          <w:p w14:paraId="5C931A06" w14:textId="77777777" w:rsidR="00310A11" w:rsidRPr="00310A11" w:rsidRDefault="00310A11" w:rsidP="00310A11">
            <w:pPr>
              <w:rPr>
                <w:color w:val="414142"/>
              </w:rPr>
            </w:pPr>
            <w:r w:rsidRPr="00310A11">
              <w:rPr>
                <w:color w:val="414142"/>
              </w:rPr>
              <w:t>3.</w:t>
            </w:r>
          </w:p>
        </w:tc>
        <w:tc>
          <w:tcPr>
            <w:tcW w:w="3544" w:type="dxa"/>
          </w:tcPr>
          <w:p w14:paraId="125A4BA6" w14:textId="77777777" w:rsidR="00310A11" w:rsidRPr="00741027" w:rsidRDefault="00310A11" w:rsidP="00310A11">
            <w:r w:rsidRPr="00741027">
              <w:t>Cita informācija</w:t>
            </w:r>
          </w:p>
        </w:tc>
        <w:tc>
          <w:tcPr>
            <w:tcW w:w="5103" w:type="dxa"/>
          </w:tcPr>
          <w:p w14:paraId="2D14CF43" w14:textId="77777777" w:rsidR="00310A11" w:rsidRDefault="00310A11" w:rsidP="00310A11">
            <w:pPr>
              <w:jc w:val="both"/>
              <w:rPr>
                <w:lang w:eastAsia="en-US"/>
              </w:rPr>
            </w:pPr>
            <w:r>
              <w:rPr>
                <w:lang w:eastAsia="en-US"/>
              </w:rPr>
              <w:t>Nav.</w:t>
            </w:r>
          </w:p>
        </w:tc>
      </w:tr>
    </w:tbl>
    <w:p w14:paraId="0716430C" w14:textId="77777777" w:rsidR="00AC38AA" w:rsidRDefault="00AC38AA" w:rsidP="00AC38AA">
      <w:pPr>
        <w:pStyle w:val="naisf"/>
        <w:tabs>
          <w:tab w:val="left" w:pos="6840"/>
        </w:tabs>
        <w:spacing w:before="0" w:after="0"/>
        <w:ind w:firstLine="0"/>
        <w:rPr>
          <w:szCs w:val="28"/>
        </w:rPr>
      </w:pPr>
    </w:p>
    <w:p w14:paraId="7C16DFF9" w14:textId="77777777" w:rsidR="00AC38AA" w:rsidRDefault="00AC38AA" w:rsidP="00AC38AA">
      <w:pPr>
        <w:pStyle w:val="naisf"/>
        <w:tabs>
          <w:tab w:val="left" w:pos="6840"/>
        </w:tabs>
        <w:spacing w:before="0" w:after="0"/>
        <w:ind w:firstLine="0"/>
        <w:rPr>
          <w:szCs w:val="28"/>
        </w:rPr>
      </w:pPr>
    </w:p>
    <w:p w14:paraId="149B51A4" w14:textId="6405B822" w:rsidR="00643002" w:rsidRDefault="006B1F47" w:rsidP="00582A56">
      <w:pPr>
        <w:pStyle w:val="naisf"/>
        <w:tabs>
          <w:tab w:val="left" w:pos="6840"/>
        </w:tabs>
        <w:spacing w:before="0" w:after="0"/>
        <w:ind w:firstLine="720"/>
        <w:rPr>
          <w:sz w:val="28"/>
          <w:szCs w:val="28"/>
        </w:rPr>
      </w:pPr>
      <w:r w:rsidRPr="007E4535">
        <w:rPr>
          <w:sz w:val="28"/>
          <w:szCs w:val="28"/>
        </w:rPr>
        <w:t xml:space="preserve">Zemkopības </w:t>
      </w:r>
      <w:r w:rsidR="00643002" w:rsidRPr="007E4535">
        <w:rPr>
          <w:sz w:val="28"/>
          <w:szCs w:val="28"/>
        </w:rPr>
        <w:t>ministrs</w:t>
      </w:r>
      <w:r w:rsidR="00582A56">
        <w:rPr>
          <w:sz w:val="28"/>
          <w:szCs w:val="28"/>
        </w:rPr>
        <w:tab/>
      </w:r>
      <w:r w:rsidR="00643002" w:rsidRPr="007E4535">
        <w:rPr>
          <w:sz w:val="28"/>
          <w:szCs w:val="28"/>
        </w:rPr>
        <w:tab/>
      </w:r>
      <w:r w:rsidRPr="007E4535">
        <w:rPr>
          <w:sz w:val="28"/>
          <w:szCs w:val="28"/>
        </w:rPr>
        <w:t>J.</w:t>
      </w:r>
      <w:r w:rsidR="007E0828" w:rsidRPr="007E4535">
        <w:rPr>
          <w:sz w:val="28"/>
          <w:szCs w:val="28"/>
        </w:rPr>
        <w:t xml:space="preserve"> </w:t>
      </w:r>
      <w:r w:rsidRPr="007E4535">
        <w:rPr>
          <w:sz w:val="28"/>
          <w:szCs w:val="28"/>
        </w:rPr>
        <w:t>Dūklavs</w:t>
      </w:r>
    </w:p>
    <w:p w14:paraId="693AD9CD" w14:textId="77777777" w:rsidR="00582A56" w:rsidRDefault="00582A56" w:rsidP="00582A56">
      <w:pPr>
        <w:pStyle w:val="naisf"/>
        <w:tabs>
          <w:tab w:val="left" w:pos="6840"/>
        </w:tabs>
        <w:spacing w:before="0" w:after="0"/>
        <w:ind w:firstLine="720"/>
        <w:rPr>
          <w:sz w:val="28"/>
          <w:szCs w:val="28"/>
        </w:rPr>
      </w:pPr>
    </w:p>
    <w:p w14:paraId="11C27C5F" w14:textId="77777777" w:rsidR="00582A56" w:rsidRDefault="00582A56" w:rsidP="00582A56">
      <w:pPr>
        <w:pStyle w:val="naisf"/>
        <w:tabs>
          <w:tab w:val="left" w:pos="6840"/>
        </w:tabs>
        <w:spacing w:before="0" w:after="0"/>
        <w:ind w:firstLine="720"/>
        <w:rPr>
          <w:sz w:val="28"/>
          <w:szCs w:val="28"/>
        </w:rPr>
      </w:pPr>
    </w:p>
    <w:p w14:paraId="6D29F564" w14:textId="03C23C2B" w:rsidR="00582A56" w:rsidRPr="007E4535" w:rsidRDefault="00582A56" w:rsidP="00582A56">
      <w:pPr>
        <w:pStyle w:val="naisf"/>
        <w:tabs>
          <w:tab w:val="left" w:pos="6840"/>
        </w:tabs>
        <w:spacing w:before="0" w:after="0"/>
        <w:ind w:firstLine="720"/>
        <w:rPr>
          <w:sz w:val="28"/>
          <w:szCs w:val="28"/>
        </w:rPr>
      </w:pPr>
      <w:r w:rsidRPr="007E4535">
        <w:rPr>
          <w:sz w:val="28"/>
          <w:szCs w:val="28"/>
        </w:rPr>
        <w:t xml:space="preserve">Zemkopības </w:t>
      </w:r>
      <w:r>
        <w:rPr>
          <w:sz w:val="28"/>
          <w:szCs w:val="28"/>
        </w:rPr>
        <w:t>ministrijas valsts sekretāre</w:t>
      </w:r>
      <w:r>
        <w:rPr>
          <w:sz w:val="28"/>
          <w:szCs w:val="28"/>
        </w:rPr>
        <w:tab/>
      </w:r>
      <w:r>
        <w:rPr>
          <w:sz w:val="28"/>
          <w:szCs w:val="28"/>
        </w:rPr>
        <w:tab/>
        <w:t>D.Lucaua</w:t>
      </w:r>
    </w:p>
    <w:p w14:paraId="2597AF8F" w14:textId="77777777" w:rsidR="00AC38AA" w:rsidRDefault="00AC38AA" w:rsidP="00AC38AA">
      <w:pPr>
        <w:pStyle w:val="naisf"/>
        <w:tabs>
          <w:tab w:val="left" w:pos="6840"/>
        </w:tabs>
        <w:spacing w:before="0" w:after="0"/>
        <w:ind w:firstLine="0"/>
        <w:rPr>
          <w:szCs w:val="28"/>
        </w:rPr>
      </w:pPr>
    </w:p>
    <w:p w14:paraId="4736D684" w14:textId="77777777" w:rsidR="008A5B08" w:rsidRDefault="008A5B08" w:rsidP="00AC38AA">
      <w:pPr>
        <w:pStyle w:val="naisf"/>
        <w:tabs>
          <w:tab w:val="left" w:pos="6840"/>
        </w:tabs>
        <w:spacing w:before="0" w:after="0"/>
        <w:ind w:firstLine="0"/>
        <w:rPr>
          <w:szCs w:val="28"/>
        </w:rPr>
      </w:pPr>
    </w:p>
    <w:p w14:paraId="1DD0706E" w14:textId="77777777" w:rsidR="008A5B08" w:rsidRDefault="008A5B08" w:rsidP="00AC38AA">
      <w:pPr>
        <w:pStyle w:val="naisf"/>
        <w:tabs>
          <w:tab w:val="left" w:pos="6840"/>
        </w:tabs>
        <w:spacing w:before="0" w:after="0"/>
        <w:ind w:firstLine="0"/>
        <w:rPr>
          <w:szCs w:val="28"/>
        </w:rPr>
      </w:pPr>
    </w:p>
    <w:p w14:paraId="6075E3B5" w14:textId="77777777" w:rsidR="008A5B08" w:rsidRDefault="008A5B08" w:rsidP="00AC38AA">
      <w:pPr>
        <w:pStyle w:val="naisf"/>
        <w:tabs>
          <w:tab w:val="left" w:pos="6840"/>
        </w:tabs>
        <w:spacing w:before="0" w:after="0"/>
        <w:ind w:firstLine="0"/>
        <w:rPr>
          <w:szCs w:val="28"/>
        </w:rPr>
      </w:pPr>
    </w:p>
    <w:p w14:paraId="25AD75FD" w14:textId="77777777" w:rsidR="008A5B08" w:rsidRPr="004148CE" w:rsidRDefault="008A5B08" w:rsidP="00AC38AA">
      <w:pPr>
        <w:pStyle w:val="naisf"/>
        <w:tabs>
          <w:tab w:val="left" w:pos="6840"/>
        </w:tabs>
        <w:spacing w:before="0" w:after="0"/>
        <w:ind w:firstLine="0"/>
        <w:rPr>
          <w:szCs w:val="28"/>
        </w:rPr>
      </w:pPr>
    </w:p>
    <w:p w14:paraId="0A943F95" w14:textId="77777777" w:rsidR="0044489B" w:rsidRPr="007E4535" w:rsidRDefault="0044489B" w:rsidP="0044489B">
      <w:r w:rsidRPr="007E4535">
        <w:t xml:space="preserve">Krauja, 67027099 </w:t>
      </w:r>
    </w:p>
    <w:p w14:paraId="7457F458" w14:textId="77777777" w:rsidR="0044489B" w:rsidRPr="007E4535" w:rsidRDefault="0044489B" w:rsidP="0044489B">
      <w:r w:rsidRPr="007E4535">
        <w:t>inta.krauja@zm.gov.lv</w:t>
      </w:r>
    </w:p>
    <w:p w14:paraId="6D45BD2A" w14:textId="77777777" w:rsidR="00643002" w:rsidRPr="007F78C3" w:rsidRDefault="00643002" w:rsidP="0044489B">
      <w:pPr>
        <w:jc w:val="both"/>
        <w:rPr>
          <w:sz w:val="20"/>
          <w:szCs w:val="20"/>
        </w:rPr>
      </w:pPr>
    </w:p>
    <w:sectPr w:rsidR="00643002" w:rsidRPr="007F78C3" w:rsidSect="00582A56">
      <w:headerReference w:type="default" r:id="rId8"/>
      <w:footerReference w:type="default" r:id="rId9"/>
      <w:footerReference w:type="first" r:id="rId10"/>
      <w:pgSz w:w="11907" w:h="16839" w:code="9"/>
      <w:pgMar w:top="1418"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139" w14:textId="77777777" w:rsidR="009F5B06" w:rsidRDefault="009F5B06" w:rsidP="00677A0F">
      <w:r>
        <w:separator/>
      </w:r>
    </w:p>
  </w:endnote>
  <w:endnote w:type="continuationSeparator" w:id="0">
    <w:p w14:paraId="05517821" w14:textId="77777777" w:rsidR="009F5B06" w:rsidRDefault="009F5B06" w:rsidP="0067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44E6" w14:textId="137EB765" w:rsidR="009E7E30" w:rsidRPr="00582A56" w:rsidRDefault="00582A56" w:rsidP="00582A56">
    <w:pPr>
      <w:pStyle w:val="Kjene"/>
    </w:pPr>
    <w:r w:rsidRPr="00582A56">
      <w:rPr>
        <w:sz w:val="20"/>
        <w:szCs w:val="20"/>
      </w:rPr>
      <w:t>ZMAnot_080617_pvdcenr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DA31C" w14:textId="1EA85477" w:rsidR="009E7E30" w:rsidRPr="00582A56" w:rsidRDefault="00582A56" w:rsidP="00582A56">
    <w:pPr>
      <w:pStyle w:val="Kjene"/>
    </w:pPr>
    <w:r w:rsidRPr="00582A56">
      <w:rPr>
        <w:sz w:val="20"/>
        <w:szCs w:val="20"/>
      </w:rPr>
      <w:t>ZMAnot_080617_pvdcenr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F014" w14:textId="77777777" w:rsidR="009F5B06" w:rsidRDefault="009F5B06" w:rsidP="00677A0F">
      <w:r>
        <w:separator/>
      </w:r>
    </w:p>
  </w:footnote>
  <w:footnote w:type="continuationSeparator" w:id="0">
    <w:p w14:paraId="6B4C7FA6" w14:textId="77777777" w:rsidR="009F5B06" w:rsidRDefault="009F5B06" w:rsidP="0067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1132" w14:textId="6D4B52B3" w:rsidR="000A534E" w:rsidRDefault="00B9553B" w:rsidP="00DA4BF1">
    <w:pPr>
      <w:pStyle w:val="Galvene"/>
      <w:jc w:val="center"/>
    </w:pPr>
    <w:r>
      <w:fldChar w:fldCharType="begin"/>
    </w:r>
    <w:r w:rsidR="009E7E30">
      <w:instrText xml:space="preserve"> PAGE   \* MERGEFORMAT </w:instrText>
    </w:r>
    <w:r>
      <w:fldChar w:fldCharType="separate"/>
    </w:r>
    <w:r w:rsidR="00582A5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B2"/>
    <w:multiLevelType w:val="hybridMultilevel"/>
    <w:tmpl w:val="7B667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006DD"/>
    <w:rsid w:val="00000F98"/>
    <w:rsid w:val="00002B76"/>
    <w:rsid w:val="00004C9D"/>
    <w:rsid w:val="00004EE2"/>
    <w:rsid w:val="00013FE8"/>
    <w:rsid w:val="00027CE1"/>
    <w:rsid w:val="000303E2"/>
    <w:rsid w:val="00031DE7"/>
    <w:rsid w:val="00032FD1"/>
    <w:rsid w:val="000336B5"/>
    <w:rsid w:val="000340C3"/>
    <w:rsid w:val="00037288"/>
    <w:rsid w:val="000378E0"/>
    <w:rsid w:val="0004038D"/>
    <w:rsid w:val="0004397C"/>
    <w:rsid w:val="00046B1D"/>
    <w:rsid w:val="00047ACA"/>
    <w:rsid w:val="00050B47"/>
    <w:rsid w:val="00050D70"/>
    <w:rsid w:val="00052794"/>
    <w:rsid w:val="0005368A"/>
    <w:rsid w:val="000548B2"/>
    <w:rsid w:val="000633BB"/>
    <w:rsid w:val="0006693D"/>
    <w:rsid w:val="00066C04"/>
    <w:rsid w:val="000734E5"/>
    <w:rsid w:val="00080806"/>
    <w:rsid w:val="00084707"/>
    <w:rsid w:val="00092297"/>
    <w:rsid w:val="00095A74"/>
    <w:rsid w:val="000A45EB"/>
    <w:rsid w:val="000A4D9E"/>
    <w:rsid w:val="000A534E"/>
    <w:rsid w:val="000B3C4E"/>
    <w:rsid w:val="000B733B"/>
    <w:rsid w:val="000B7F63"/>
    <w:rsid w:val="000C09C3"/>
    <w:rsid w:val="000C51E6"/>
    <w:rsid w:val="000C717F"/>
    <w:rsid w:val="000C770E"/>
    <w:rsid w:val="000C7861"/>
    <w:rsid w:val="000D1982"/>
    <w:rsid w:val="000D379A"/>
    <w:rsid w:val="000D7960"/>
    <w:rsid w:val="000E04B3"/>
    <w:rsid w:val="000E1694"/>
    <w:rsid w:val="000E620F"/>
    <w:rsid w:val="000F1524"/>
    <w:rsid w:val="000F1FA5"/>
    <w:rsid w:val="000F3896"/>
    <w:rsid w:val="00100ADD"/>
    <w:rsid w:val="00101D24"/>
    <w:rsid w:val="00103240"/>
    <w:rsid w:val="0011206D"/>
    <w:rsid w:val="001135C3"/>
    <w:rsid w:val="00113B57"/>
    <w:rsid w:val="00117C58"/>
    <w:rsid w:val="00121B28"/>
    <w:rsid w:val="00125CDF"/>
    <w:rsid w:val="00126152"/>
    <w:rsid w:val="001266B7"/>
    <w:rsid w:val="00127A8E"/>
    <w:rsid w:val="00127D39"/>
    <w:rsid w:val="001376EC"/>
    <w:rsid w:val="00140291"/>
    <w:rsid w:val="00140F3E"/>
    <w:rsid w:val="00141F4C"/>
    <w:rsid w:val="00145513"/>
    <w:rsid w:val="00151946"/>
    <w:rsid w:val="00155881"/>
    <w:rsid w:val="0015717A"/>
    <w:rsid w:val="00161C1C"/>
    <w:rsid w:val="00163CAF"/>
    <w:rsid w:val="00170B1A"/>
    <w:rsid w:val="00175B1F"/>
    <w:rsid w:val="00181A0C"/>
    <w:rsid w:val="0018322F"/>
    <w:rsid w:val="001878AC"/>
    <w:rsid w:val="00187C10"/>
    <w:rsid w:val="00192280"/>
    <w:rsid w:val="00192473"/>
    <w:rsid w:val="001A0A18"/>
    <w:rsid w:val="001A0CF7"/>
    <w:rsid w:val="001A4945"/>
    <w:rsid w:val="001A5C72"/>
    <w:rsid w:val="001A6A43"/>
    <w:rsid w:val="001B0500"/>
    <w:rsid w:val="001B0905"/>
    <w:rsid w:val="001B199A"/>
    <w:rsid w:val="001B236B"/>
    <w:rsid w:val="001B595D"/>
    <w:rsid w:val="001C2E5A"/>
    <w:rsid w:val="001C429B"/>
    <w:rsid w:val="001C4DDC"/>
    <w:rsid w:val="001C5B61"/>
    <w:rsid w:val="001D0786"/>
    <w:rsid w:val="001D18A0"/>
    <w:rsid w:val="001D4FB8"/>
    <w:rsid w:val="001E0287"/>
    <w:rsid w:val="001E0562"/>
    <w:rsid w:val="001E084A"/>
    <w:rsid w:val="001F0F33"/>
    <w:rsid w:val="001F2826"/>
    <w:rsid w:val="001F3EDC"/>
    <w:rsid w:val="001F61A2"/>
    <w:rsid w:val="001F6ED2"/>
    <w:rsid w:val="002019F1"/>
    <w:rsid w:val="002061A2"/>
    <w:rsid w:val="00207E5A"/>
    <w:rsid w:val="002107E5"/>
    <w:rsid w:val="00211450"/>
    <w:rsid w:val="00216161"/>
    <w:rsid w:val="0022382D"/>
    <w:rsid w:val="00225C59"/>
    <w:rsid w:val="002265BE"/>
    <w:rsid w:val="00227D0C"/>
    <w:rsid w:val="0023241D"/>
    <w:rsid w:val="0023635C"/>
    <w:rsid w:val="00250CCC"/>
    <w:rsid w:val="002520BA"/>
    <w:rsid w:val="00252838"/>
    <w:rsid w:val="00257570"/>
    <w:rsid w:val="00267EBA"/>
    <w:rsid w:val="00272744"/>
    <w:rsid w:val="002749D5"/>
    <w:rsid w:val="002752F8"/>
    <w:rsid w:val="00281345"/>
    <w:rsid w:val="00283268"/>
    <w:rsid w:val="00294ABB"/>
    <w:rsid w:val="00295703"/>
    <w:rsid w:val="00297E8F"/>
    <w:rsid w:val="002A0E29"/>
    <w:rsid w:val="002A1D78"/>
    <w:rsid w:val="002A4390"/>
    <w:rsid w:val="002B0576"/>
    <w:rsid w:val="002B2E71"/>
    <w:rsid w:val="002B5D91"/>
    <w:rsid w:val="002C1511"/>
    <w:rsid w:val="002C6751"/>
    <w:rsid w:val="002C67C8"/>
    <w:rsid w:val="002C6BB1"/>
    <w:rsid w:val="002D1D0C"/>
    <w:rsid w:val="002D2D29"/>
    <w:rsid w:val="002E2B3C"/>
    <w:rsid w:val="002E4FF3"/>
    <w:rsid w:val="002F23ED"/>
    <w:rsid w:val="002F28F7"/>
    <w:rsid w:val="002F35D8"/>
    <w:rsid w:val="002F4377"/>
    <w:rsid w:val="002F6E78"/>
    <w:rsid w:val="00310446"/>
    <w:rsid w:val="00310533"/>
    <w:rsid w:val="00310A11"/>
    <w:rsid w:val="00310D76"/>
    <w:rsid w:val="0031718C"/>
    <w:rsid w:val="00325AC4"/>
    <w:rsid w:val="003315BA"/>
    <w:rsid w:val="00334393"/>
    <w:rsid w:val="00342410"/>
    <w:rsid w:val="0034376F"/>
    <w:rsid w:val="003547D3"/>
    <w:rsid w:val="00354A68"/>
    <w:rsid w:val="0036103B"/>
    <w:rsid w:val="00362F25"/>
    <w:rsid w:val="00372793"/>
    <w:rsid w:val="003737F0"/>
    <w:rsid w:val="00376852"/>
    <w:rsid w:val="00385554"/>
    <w:rsid w:val="00386855"/>
    <w:rsid w:val="00397087"/>
    <w:rsid w:val="00397AD8"/>
    <w:rsid w:val="003A0846"/>
    <w:rsid w:val="003A1DB8"/>
    <w:rsid w:val="003A62DD"/>
    <w:rsid w:val="003B2571"/>
    <w:rsid w:val="003B41B3"/>
    <w:rsid w:val="003C0CCD"/>
    <w:rsid w:val="003C2B7F"/>
    <w:rsid w:val="003C3CE0"/>
    <w:rsid w:val="003C43C6"/>
    <w:rsid w:val="003D59C6"/>
    <w:rsid w:val="003D74A8"/>
    <w:rsid w:val="003E19DE"/>
    <w:rsid w:val="003E5490"/>
    <w:rsid w:val="003F2B5A"/>
    <w:rsid w:val="003F326E"/>
    <w:rsid w:val="003F6B19"/>
    <w:rsid w:val="00405AC7"/>
    <w:rsid w:val="004130F8"/>
    <w:rsid w:val="004202D2"/>
    <w:rsid w:val="00421721"/>
    <w:rsid w:val="00426E17"/>
    <w:rsid w:val="00427060"/>
    <w:rsid w:val="0043078A"/>
    <w:rsid w:val="00442B21"/>
    <w:rsid w:val="0044489B"/>
    <w:rsid w:val="00450660"/>
    <w:rsid w:val="004526CD"/>
    <w:rsid w:val="00456C68"/>
    <w:rsid w:val="00457339"/>
    <w:rsid w:val="00457A3D"/>
    <w:rsid w:val="00457A81"/>
    <w:rsid w:val="0046189C"/>
    <w:rsid w:val="004642B2"/>
    <w:rsid w:val="00471C5E"/>
    <w:rsid w:val="00472501"/>
    <w:rsid w:val="00476469"/>
    <w:rsid w:val="00482C86"/>
    <w:rsid w:val="0048330E"/>
    <w:rsid w:val="00487A55"/>
    <w:rsid w:val="00497BC1"/>
    <w:rsid w:val="004A1C1D"/>
    <w:rsid w:val="004A7206"/>
    <w:rsid w:val="004B2210"/>
    <w:rsid w:val="004B5A33"/>
    <w:rsid w:val="004C05E4"/>
    <w:rsid w:val="004C1D0B"/>
    <w:rsid w:val="004D254A"/>
    <w:rsid w:val="004D36DA"/>
    <w:rsid w:val="004E0656"/>
    <w:rsid w:val="004E2DCC"/>
    <w:rsid w:val="004E478E"/>
    <w:rsid w:val="004F51E5"/>
    <w:rsid w:val="004F740C"/>
    <w:rsid w:val="004F773D"/>
    <w:rsid w:val="00503C00"/>
    <w:rsid w:val="005075AA"/>
    <w:rsid w:val="00511FFA"/>
    <w:rsid w:val="0051482F"/>
    <w:rsid w:val="00517233"/>
    <w:rsid w:val="005243FD"/>
    <w:rsid w:val="005248FA"/>
    <w:rsid w:val="0053388A"/>
    <w:rsid w:val="00535092"/>
    <w:rsid w:val="0053542D"/>
    <w:rsid w:val="00540953"/>
    <w:rsid w:val="005419AC"/>
    <w:rsid w:val="00542CF6"/>
    <w:rsid w:val="00552D9B"/>
    <w:rsid w:val="00561FBE"/>
    <w:rsid w:val="00570E40"/>
    <w:rsid w:val="00573BD1"/>
    <w:rsid w:val="00574A75"/>
    <w:rsid w:val="005766A0"/>
    <w:rsid w:val="00576AEA"/>
    <w:rsid w:val="00576C39"/>
    <w:rsid w:val="005805BC"/>
    <w:rsid w:val="00580F06"/>
    <w:rsid w:val="00581C23"/>
    <w:rsid w:val="00582A56"/>
    <w:rsid w:val="0059097F"/>
    <w:rsid w:val="0059152E"/>
    <w:rsid w:val="00594ECB"/>
    <w:rsid w:val="00596EB0"/>
    <w:rsid w:val="005970B7"/>
    <w:rsid w:val="005973E9"/>
    <w:rsid w:val="00597DA2"/>
    <w:rsid w:val="005A0DBB"/>
    <w:rsid w:val="005A13BC"/>
    <w:rsid w:val="005A1AED"/>
    <w:rsid w:val="005A4585"/>
    <w:rsid w:val="005A770F"/>
    <w:rsid w:val="005B2063"/>
    <w:rsid w:val="005B64DD"/>
    <w:rsid w:val="005C60A7"/>
    <w:rsid w:val="005D0CF0"/>
    <w:rsid w:val="005E1A1F"/>
    <w:rsid w:val="005E2749"/>
    <w:rsid w:val="005E31BC"/>
    <w:rsid w:val="005E3C79"/>
    <w:rsid w:val="005E500D"/>
    <w:rsid w:val="006019D4"/>
    <w:rsid w:val="0060324B"/>
    <w:rsid w:val="006043A4"/>
    <w:rsid w:val="0060477D"/>
    <w:rsid w:val="00604A43"/>
    <w:rsid w:val="00613EE2"/>
    <w:rsid w:val="00616420"/>
    <w:rsid w:val="006224BD"/>
    <w:rsid w:val="006268A8"/>
    <w:rsid w:val="00627CAA"/>
    <w:rsid w:val="00631CAF"/>
    <w:rsid w:val="006324EC"/>
    <w:rsid w:val="00632D97"/>
    <w:rsid w:val="0063355D"/>
    <w:rsid w:val="00634963"/>
    <w:rsid w:val="006410B1"/>
    <w:rsid w:val="00643002"/>
    <w:rsid w:val="00645243"/>
    <w:rsid w:val="00652349"/>
    <w:rsid w:val="00660911"/>
    <w:rsid w:val="00661740"/>
    <w:rsid w:val="00664C43"/>
    <w:rsid w:val="00664F41"/>
    <w:rsid w:val="0067029C"/>
    <w:rsid w:val="00672703"/>
    <w:rsid w:val="00675566"/>
    <w:rsid w:val="006758A6"/>
    <w:rsid w:val="00677A0F"/>
    <w:rsid w:val="00683834"/>
    <w:rsid w:val="00685841"/>
    <w:rsid w:val="00691BBB"/>
    <w:rsid w:val="00692650"/>
    <w:rsid w:val="006A0AB8"/>
    <w:rsid w:val="006A1D9A"/>
    <w:rsid w:val="006A373D"/>
    <w:rsid w:val="006A450D"/>
    <w:rsid w:val="006A4BE8"/>
    <w:rsid w:val="006B1F47"/>
    <w:rsid w:val="006B24C8"/>
    <w:rsid w:val="006B4281"/>
    <w:rsid w:val="006C19F3"/>
    <w:rsid w:val="006C30F4"/>
    <w:rsid w:val="006C58FD"/>
    <w:rsid w:val="006D319E"/>
    <w:rsid w:val="006D657E"/>
    <w:rsid w:val="006D7CA9"/>
    <w:rsid w:val="006F15C7"/>
    <w:rsid w:val="006F6584"/>
    <w:rsid w:val="007075B4"/>
    <w:rsid w:val="00707664"/>
    <w:rsid w:val="00720629"/>
    <w:rsid w:val="00720F4E"/>
    <w:rsid w:val="00720F86"/>
    <w:rsid w:val="00725684"/>
    <w:rsid w:val="00727861"/>
    <w:rsid w:val="007303B2"/>
    <w:rsid w:val="00740181"/>
    <w:rsid w:val="00741027"/>
    <w:rsid w:val="0074291D"/>
    <w:rsid w:val="007439B8"/>
    <w:rsid w:val="00757D94"/>
    <w:rsid w:val="007624F5"/>
    <w:rsid w:val="00763671"/>
    <w:rsid w:val="007654B3"/>
    <w:rsid w:val="00767531"/>
    <w:rsid w:val="00770753"/>
    <w:rsid w:val="00770ED7"/>
    <w:rsid w:val="00777B8E"/>
    <w:rsid w:val="0078663A"/>
    <w:rsid w:val="007905FB"/>
    <w:rsid w:val="007A3841"/>
    <w:rsid w:val="007B081C"/>
    <w:rsid w:val="007B6CC8"/>
    <w:rsid w:val="007B7FE7"/>
    <w:rsid w:val="007C21FF"/>
    <w:rsid w:val="007D2907"/>
    <w:rsid w:val="007D4840"/>
    <w:rsid w:val="007E0828"/>
    <w:rsid w:val="007E4535"/>
    <w:rsid w:val="007E45A3"/>
    <w:rsid w:val="007E62FA"/>
    <w:rsid w:val="007E661F"/>
    <w:rsid w:val="007F05E3"/>
    <w:rsid w:val="007F1034"/>
    <w:rsid w:val="007F38F4"/>
    <w:rsid w:val="007F78C3"/>
    <w:rsid w:val="00800CBA"/>
    <w:rsid w:val="00802C47"/>
    <w:rsid w:val="008046AC"/>
    <w:rsid w:val="0080586F"/>
    <w:rsid w:val="00805EA0"/>
    <w:rsid w:val="0080609C"/>
    <w:rsid w:val="00806BD0"/>
    <w:rsid w:val="0081309B"/>
    <w:rsid w:val="00813B47"/>
    <w:rsid w:val="00813D94"/>
    <w:rsid w:val="00825EE4"/>
    <w:rsid w:val="00833121"/>
    <w:rsid w:val="00840C08"/>
    <w:rsid w:val="00842B22"/>
    <w:rsid w:val="0084485D"/>
    <w:rsid w:val="008561DD"/>
    <w:rsid w:val="00860121"/>
    <w:rsid w:val="0086627A"/>
    <w:rsid w:val="00866C57"/>
    <w:rsid w:val="00867541"/>
    <w:rsid w:val="008705CF"/>
    <w:rsid w:val="00874E3C"/>
    <w:rsid w:val="00884E2E"/>
    <w:rsid w:val="0089107C"/>
    <w:rsid w:val="00897D74"/>
    <w:rsid w:val="00897DFD"/>
    <w:rsid w:val="008A0829"/>
    <w:rsid w:val="008A5B08"/>
    <w:rsid w:val="008B0F90"/>
    <w:rsid w:val="008B4B90"/>
    <w:rsid w:val="008B7B82"/>
    <w:rsid w:val="008C30FF"/>
    <w:rsid w:val="008D1181"/>
    <w:rsid w:val="008F700A"/>
    <w:rsid w:val="009002CE"/>
    <w:rsid w:val="00901CD7"/>
    <w:rsid w:val="009046B8"/>
    <w:rsid w:val="00904D38"/>
    <w:rsid w:val="00907207"/>
    <w:rsid w:val="0091443C"/>
    <w:rsid w:val="009148BC"/>
    <w:rsid w:val="009270E7"/>
    <w:rsid w:val="009343BC"/>
    <w:rsid w:val="009377FE"/>
    <w:rsid w:val="00940208"/>
    <w:rsid w:val="00941C14"/>
    <w:rsid w:val="0094466D"/>
    <w:rsid w:val="00951BF7"/>
    <w:rsid w:val="00965242"/>
    <w:rsid w:val="009719CD"/>
    <w:rsid w:val="00980C9C"/>
    <w:rsid w:val="009828B3"/>
    <w:rsid w:val="00984184"/>
    <w:rsid w:val="0098682C"/>
    <w:rsid w:val="00986901"/>
    <w:rsid w:val="009930E6"/>
    <w:rsid w:val="009A0826"/>
    <w:rsid w:val="009A16BD"/>
    <w:rsid w:val="009A5448"/>
    <w:rsid w:val="009B1A54"/>
    <w:rsid w:val="009B3B68"/>
    <w:rsid w:val="009B61E2"/>
    <w:rsid w:val="009D08D1"/>
    <w:rsid w:val="009E06B5"/>
    <w:rsid w:val="009E67AA"/>
    <w:rsid w:val="009E7120"/>
    <w:rsid w:val="009E7E30"/>
    <w:rsid w:val="009F3A27"/>
    <w:rsid w:val="009F5056"/>
    <w:rsid w:val="009F5B06"/>
    <w:rsid w:val="00A02820"/>
    <w:rsid w:val="00A05761"/>
    <w:rsid w:val="00A10974"/>
    <w:rsid w:val="00A11807"/>
    <w:rsid w:val="00A233F8"/>
    <w:rsid w:val="00A25105"/>
    <w:rsid w:val="00A27A92"/>
    <w:rsid w:val="00A30833"/>
    <w:rsid w:val="00A3505A"/>
    <w:rsid w:val="00A36782"/>
    <w:rsid w:val="00A36D2C"/>
    <w:rsid w:val="00A3762F"/>
    <w:rsid w:val="00A5323C"/>
    <w:rsid w:val="00A54D31"/>
    <w:rsid w:val="00A60A5B"/>
    <w:rsid w:val="00A6119C"/>
    <w:rsid w:val="00A612CC"/>
    <w:rsid w:val="00A629E0"/>
    <w:rsid w:val="00A62B08"/>
    <w:rsid w:val="00A71A0A"/>
    <w:rsid w:val="00A74349"/>
    <w:rsid w:val="00A875E7"/>
    <w:rsid w:val="00A87A74"/>
    <w:rsid w:val="00A9125E"/>
    <w:rsid w:val="00A91DDF"/>
    <w:rsid w:val="00A94CB3"/>
    <w:rsid w:val="00A9536A"/>
    <w:rsid w:val="00A95561"/>
    <w:rsid w:val="00A970FE"/>
    <w:rsid w:val="00A97FD3"/>
    <w:rsid w:val="00AA4939"/>
    <w:rsid w:val="00AA5DE2"/>
    <w:rsid w:val="00AA7AED"/>
    <w:rsid w:val="00AB4D84"/>
    <w:rsid w:val="00AC38AA"/>
    <w:rsid w:val="00AC4962"/>
    <w:rsid w:val="00AC4F85"/>
    <w:rsid w:val="00AC61B9"/>
    <w:rsid w:val="00AC7E6E"/>
    <w:rsid w:val="00AD3172"/>
    <w:rsid w:val="00AD4F0A"/>
    <w:rsid w:val="00AE0CAA"/>
    <w:rsid w:val="00AE114F"/>
    <w:rsid w:val="00AE16C1"/>
    <w:rsid w:val="00AE187D"/>
    <w:rsid w:val="00AF3451"/>
    <w:rsid w:val="00AF366E"/>
    <w:rsid w:val="00AF3D10"/>
    <w:rsid w:val="00B03B37"/>
    <w:rsid w:val="00B07E4A"/>
    <w:rsid w:val="00B17DBB"/>
    <w:rsid w:val="00B2348D"/>
    <w:rsid w:val="00B25D96"/>
    <w:rsid w:val="00B34D18"/>
    <w:rsid w:val="00B3626B"/>
    <w:rsid w:val="00B4119C"/>
    <w:rsid w:val="00B430FB"/>
    <w:rsid w:val="00B46BCA"/>
    <w:rsid w:val="00B511FC"/>
    <w:rsid w:val="00B60312"/>
    <w:rsid w:val="00B6375E"/>
    <w:rsid w:val="00B65C81"/>
    <w:rsid w:val="00B66611"/>
    <w:rsid w:val="00B7130B"/>
    <w:rsid w:val="00B71B5F"/>
    <w:rsid w:val="00B7475E"/>
    <w:rsid w:val="00B77EBC"/>
    <w:rsid w:val="00B82EB6"/>
    <w:rsid w:val="00B90800"/>
    <w:rsid w:val="00B91693"/>
    <w:rsid w:val="00B9553B"/>
    <w:rsid w:val="00BA1B16"/>
    <w:rsid w:val="00BA34AD"/>
    <w:rsid w:val="00BA780C"/>
    <w:rsid w:val="00BC2DA4"/>
    <w:rsid w:val="00BC42B8"/>
    <w:rsid w:val="00BC502E"/>
    <w:rsid w:val="00BD253B"/>
    <w:rsid w:val="00BD3993"/>
    <w:rsid w:val="00BD42E4"/>
    <w:rsid w:val="00BE4658"/>
    <w:rsid w:val="00BF1749"/>
    <w:rsid w:val="00C01C9D"/>
    <w:rsid w:val="00C03657"/>
    <w:rsid w:val="00C123EA"/>
    <w:rsid w:val="00C166AD"/>
    <w:rsid w:val="00C2128D"/>
    <w:rsid w:val="00C226DC"/>
    <w:rsid w:val="00C2696C"/>
    <w:rsid w:val="00C27A23"/>
    <w:rsid w:val="00C30E46"/>
    <w:rsid w:val="00C3188B"/>
    <w:rsid w:val="00C344DC"/>
    <w:rsid w:val="00C357DC"/>
    <w:rsid w:val="00C35DC3"/>
    <w:rsid w:val="00C40103"/>
    <w:rsid w:val="00C53A8A"/>
    <w:rsid w:val="00C76A13"/>
    <w:rsid w:val="00C836FF"/>
    <w:rsid w:val="00C85D35"/>
    <w:rsid w:val="00C878C6"/>
    <w:rsid w:val="00C92DCA"/>
    <w:rsid w:val="00C93155"/>
    <w:rsid w:val="00CA2B7F"/>
    <w:rsid w:val="00CA3BBC"/>
    <w:rsid w:val="00CA6EFF"/>
    <w:rsid w:val="00CC6264"/>
    <w:rsid w:val="00CC7FC0"/>
    <w:rsid w:val="00CD1C45"/>
    <w:rsid w:val="00CD6162"/>
    <w:rsid w:val="00CE21B6"/>
    <w:rsid w:val="00CE3967"/>
    <w:rsid w:val="00CE3F26"/>
    <w:rsid w:val="00CE75A6"/>
    <w:rsid w:val="00CF35FA"/>
    <w:rsid w:val="00CF6326"/>
    <w:rsid w:val="00CF7DB6"/>
    <w:rsid w:val="00D0284A"/>
    <w:rsid w:val="00D16B1E"/>
    <w:rsid w:val="00D2684F"/>
    <w:rsid w:val="00D34C1C"/>
    <w:rsid w:val="00D47BCA"/>
    <w:rsid w:val="00D50DF3"/>
    <w:rsid w:val="00D51376"/>
    <w:rsid w:val="00D6038F"/>
    <w:rsid w:val="00D61F0C"/>
    <w:rsid w:val="00D620BB"/>
    <w:rsid w:val="00D62B2D"/>
    <w:rsid w:val="00D67E8E"/>
    <w:rsid w:val="00D73C3F"/>
    <w:rsid w:val="00D77896"/>
    <w:rsid w:val="00D80CFA"/>
    <w:rsid w:val="00D85230"/>
    <w:rsid w:val="00D86F3F"/>
    <w:rsid w:val="00D9025C"/>
    <w:rsid w:val="00D91BFC"/>
    <w:rsid w:val="00D9395C"/>
    <w:rsid w:val="00D953B5"/>
    <w:rsid w:val="00D96849"/>
    <w:rsid w:val="00D968FD"/>
    <w:rsid w:val="00DA1E3B"/>
    <w:rsid w:val="00DA3DCD"/>
    <w:rsid w:val="00DA4BF1"/>
    <w:rsid w:val="00DA60F9"/>
    <w:rsid w:val="00DA6251"/>
    <w:rsid w:val="00DB0909"/>
    <w:rsid w:val="00DB0BF5"/>
    <w:rsid w:val="00DB11DA"/>
    <w:rsid w:val="00DB1EBA"/>
    <w:rsid w:val="00DC06D7"/>
    <w:rsid w:val="00DC29BE"/>
    <w:rsid w:val="00DD0697"/>
    <w:rsid w:val="00DD7EA3"/>
    <w:rsid w:val="00DE37AF"/>
    <w:rsid w:val="00DE4373"/>
    <w:rsid w:val="00DE47DF"/>
    <w:rsid w:val="00DE4F97"/>
    <w:rsid w:val="00DE6306"/>
    <w:rsid w:val="00DF1AFD"/>
    <w:rsid w:val="00DF31D7"/>
    <w:rsid w:val="00E14AEA"/>
    <w:rsid w:val="00E158DA"/>
    <w:rsid w:val="00E16A97"/>
    <w:rsid w:val="00E20393"/>
    <w:rsid w:val="00E26A0E"/>
    <w:rsid w:val="00E27CEB"/>
    <w:rsid w:val="00E3064C"/>
    <w:rsid w:val="00E31F6C"/>
    <w:rsid w:val="00E34222"/>
    <w:rsid w:val="00E35135"/>
    <w:rsid w:val="00E4168E"/>
    <w:rsid w:val="00E55108"/>
    <w:rsid w:val="00E60E0A"/>
    <w:rsid w:val="00E62E88"/>
    <w:rsid w:val="00E6748B"/>
    <w:rsid w:val="00E71173"/>
    <w:rsid w:val="00E75398"/>
    <w:rsid w:val="00E85017"/>
    <w:rsid w:val="00E86B91"/>
    <w:rsid w:val="00E87614"/>
    <w:rsid w:val="00E93162"/>
    <w:rsid w:val="00E9331A"/>
    <w:rsid w:val="00E93379"/>
    <w:rsid w:val="00E952F6"/>
    <w:rsid w:val="00EA2FE8"/>
    <w:rsid w:val="00EA5AE9"/>
    <w:rsid w:val="00EA7737"/>
    <w:rsid w:val="00EB4681"/>
    <w:rsid w:val="00EB50D2"/>
    <w:rsid w:val="00EB583E"/>
    <w:rsid w:val="00EC1D35"/>
    <w:rsid w:val="00EC3352"/>
    <w:rsid w:val="00EC620B"/>
    <w:rsid w:val="00EF4DA6"/>
    <w:rsid w:val="00EF56C7"/>
    <w:rsid w:val="00EF6E5D"/>
    <w:rsid w:val="00EF6F69"/>
    <w:rsid w:val="00F03FF2"/>
    <w:rsid w:val="00F048B9"/>
    <w:rsid w:val="00F062DB"/>
    <w:rsid w:val="00F10026"/>
    <w:rsid w:val="00F15DB7"/>
    <w:rsid w:val="00F17123"/>
    <w:rsid w:val="00F21B8F"/>
    <w:rsid w:val="00F26FB3"/>
    <w:rsid w:val="00F26FBC"/>
    <w:rsid w:val="00F40355"/>
    <w:rsid w:val="00F428C5"/>
    <w:rsid w:val="00F43EC4"/>
    <w:rsid w:val="00F46631"/>
    <w:rsid w:val="00F4773D"/>
    <w:rsid w:val="00F47F43"/>
    <w:rsid w:val="00F51DD5"/>
    <w:rsid w:val="00F62630"/>
    <w:rsid w:val="00F65E31"/>
    <w:rsid w:val="00F737CD"/>
    <w:rsid w:val="00F82141"/>
    <w:rsid w:val="00F91602"/>
    <w:rsid w:val="00F92187"/>
    <w:rsid w:val="00F92426"/>
    <w:rsid w:val="00F97380"/>
    <w:rsid w:val="00F97B92"/>
    <w:rsid w:val="00FA1CEF"/>
    <w:rsid w:val="00FB0D10"/>
    <w:rsid w:val="00FB2AA1"/>
    <w:rsid w:val="00FB6839"/>
    <w:rsid w:val="00FC2892"/>
    <w:rsid w:val="00FE7995"/>
    <w:rsid w:val="00FF52F6"/>
    <w:rsid w:val="00FF5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6D74"/>
  <w15:docId w15:val="{08609C9A-5075-4D57-A323-49BB7EFE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77A0F"/>
    <w:pPr>
      <w:spacing w:before="75" w:after="75"/>
      <w:ind w:firstLine="375"/>
      <w:jc w:val="both"/>
    </w:pPr>
  </w:style>
  <w:style w:type="paragraph" w:customStyle="1" w:styleId="naisnod">
    <w:name w:val="naisnod"/>
    <w:basedOn w:val="Parasts"/>
    <w:rsid w:val="00677A0F"/>
    <w:pPr>
      <w:spacing w:before="150" w:after="150"/>
      <w:jc w:val="center"/>
    </w:pPr>
    <w:rPr>
      <w:b/>
      <w:bCs/>
    </w:rPr>
  </w:style>
  <w:style w:type="paragraph" w:customStyle="1" w:styleId="naiskr">
    <w:name w:val="naiskr"/>
    <w:basedOn w:val="Parasts"/>
    <w:rsid w:val="00677A0F"/>
    <w:pPr>
      <w:spacing w:before="75" w:after="75"/>
    </w:pPr>
  </w:style>
  <w:style w:type="character" w:styleId="Hipersaite">
    <w:name w:val="Hyperlink"/>
    <w:uiPriority w:val="99"/>
    <w:unhideWhenUsed/>
    <w:rsid w:val="00677A0F"/>
    <w:rPr>
      <w:color w:val="0000FF"/>
      <w:u w:val="single"/>
    </w:rPr>
  </w:style>
  <w:style w:type="paragraph" w:styleId="Galvene">
    <w:name w:val="header"/>
    <w:basedOn w:val="Parasts"/>
    <w:link w:val="GalveneRakstz"/>
    <w:uiPriority w:val="99"/>
    <w:unhideWhenUsed/>
    <w:rsid w:val="00677A0F"/>
    <w:pPr>
      <w:tabs>
        <w:tab w:val="center" w:pos="4320"/>
        <w:tab w:val="right" w:pos="8640"/>
      </w:tabs>
    </w:pPr>
  </w:style>
  <w:style w:type="character" w:customStyle="1" w:styleId="GalveneRakstz">
    <w:name w:val="Galvene Rakstz."/>
    <w:basedOn w:val="Noklusjumarindkopasfonts"/>
    <w:link w:val="Galvene"/>
    <w:uiPriority w:val="99"/>
    <w:rsid w:val="00677A0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7A0F"/>
    <w:pPr>
      <w:tabs>
        <w:tab w:val="center" w:pos="4320"/>
        <w:tab w:val="right" w:pos="8640"/>
      </w:tabs>
    </w:pPr>
  </w:style>
  <w:style w:type="character" w:customStyle="1" w:styleId="FooterChar">
    <w:name w:val="Footer Char"/>
    <w:basedOn w:val="Noklusjumarindkopasfonts"/>
    <w:uiPriority w:val="99"/>
    <w:rsid w:val="00677A0F"/>
    <w:rPr>
      <w:rFonts w:ascii="Times New Roman" w:eastAsia="Times New Roman" w:hAnsi="Times New Roman" w:cs="Times New Roman"/>
      <w:sz w:val="24"/>
      <w:szCs w:val="24"/>
      <w:lang w:eastAsia="lv-LV"/>
    </w:rPr>
  </w:style>
  <w:style w:type="character" w:customStyle="1" w:styleId="KjeneRakstz">
    <w:name w:val="Kājene Rakstz."/>
    <w:link w:val="Kjene"/>
    <w:uiPriority w:val="99"/>
    <w:rsid w:val="00677A0F"/>
    <w:rPr>
      <w:rFonts w:ascii="Times New Roman" w:eastAsia="Times New Roman" w:hAnsi="Times New Roman" w:cs="Times New Roman"/>
      <w:sz w:val="24"/>
      <w:szCs w:val="24"/>
      <w:lang w:eastAsia="lv-LV"/>
    </w:rPr>
  </w:style>
  <w:style w:type="paragraph" w:styleId="Paraststmeklis">
    <w:name w:val="Normal (Web)"/>
    <w:basedOn w:val="Parasts"/>
    <w:rsid w:val="00677A0F"/>
    <w:pPr>
      <w:spacing w:before="100" w:after="100"/>
    </w:pPr>
    <w:rPr>
      <w:szCs w:val="20"/>
      <w:lang w:val="en-GB" w:eastAsia="en-US"/>
    </w:rPr>
  </w:style>
  <w:style w:type="character" w:styleId="Izteiksmgs">
    <w:name w:val="Strong"/>
    <w:uiPriority w:val="22"/>
    <w:qFormat/>
    <w:rsid w:val="00677A0F"/>
    <w:rPr>
      <w:b/>
      <w:bCs/>
    </w:rPr>
  </w:style>
  <w:style w:type="paragraph" w:customStyle="1" w:styleId="tvhtmlmktable">
    <w:name w:val="tv_html mk_table"/>
    <w:basedOn w:val="Parasts"/>
    <w:rsid w:val="00677A0F"/>
    <w:pPr>
      <w:spacing w:before="100" w:beforeAutospacing="1" w:after="100" w:afterAutospacing="1"/>
    </w:pPr>
    <w:rPr>
      <w:rFonts w:ascii="Verdana" w:hAnsi="Verdana"/>
      <w:sz w:val="18"/>
      <w:szCs w:val="18"/>
    </w:rPr>
  </w:style>
  <w:style w:type="paragraph" w:styleId="Sarakstarindkopa">
    <w:name w:val="List Paragraph"/>
    <w:basedOn w:val="Parasts"/>
    <w:uiPriority w:val="34"/>
    <w:qFormat/>
    <w:rsid w:val="00677A0F"/>
    <w:pPr>
      <w:ind w:left="720"/>
      <w:contextualSpacing/>
    </w:pPr>
    <w:rPr>
      <w:lang w:eastAsia="en-US"/>
    </w:rPr>
  </w:style>
  <w:style w:type="character" w:customStyle="1" w:styleId="apple-converted-space">
    <w:name w:val="apple-converted-space"/>
    <w:rsid w:val="00677A0F"/>
  </w:style>
  <w:style w:type="character" w:styleId="Izclums">
    <w:name w:val="Emphasis"/>
    <w:uiPriority w:val="20"/>
    <w:qFormat/>
    <w:rsid w:val="00677A0F"/>
    <w:rPr>
      <w:i/>
      <w:iCs/>
    </w:rPr>
  </w:style>
  <w:style w:type="paragraph" w:styleId="Balonteksts">
    <w:name w:val="Balloon Text"/>
    <w:basedOn w:val="Parasts"/>
    <w:link w:val="BalontekstsRakstz"/>
    <w:uiPriority w:val="99"/>
    <w:semiHidden/>
    <w:unhideWhenUsed/>
    <w:rsid w:val="00664C4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4C43"/>
    <w:rPr>
      <w:rFonts w:ascii="Tahoma" w:eastAsia="Times New Roman" w:hAnsi="Tahoma" w:cs="Tahoma"/>
      <w:sz w:val="16"/>
      <w:szCs w:val="16"/>
      <w:lang w:eastAsia="lv-LV"/>
    </w:rPr>
  </w:style>
  <w:style w:type="character" w:styleId="Komentraatsauce">
    <w:name w:val="annotation reference"/>
    <w:basedOn w:val="Noklusjumarindkopasfonts"/>
    <w:semiHidden/>
    <w:unhideWhenUsed/>
    <w:rsid w:val="00CE75A6"/>
    <w:rPr>
      <w:sz w:val="16"/>
      <w:szCs w:val="16"/>
    </w:rPr>
  </w:style>
  <w:style w:type="paragraph" w:styleId="Komentrateksts">
    <w:name w:val="annotation text"/>
    <w:basedOn w:val="Parasts"/>
    <w:link w:val="KomentratekstsRakstz"/>
    <w:unhideWhenUsed/>
    <w:rsid w:val="00CE75A6"/>
    <w:rPr>
      <w:sz w:val="20"/>
      <w:szCs w:val="20"/>
    </w:rPr>
  </w:style>
  <w:style w:type="character" w:customStyle="1" w:styleId="KomentratekstsRakstz">
    <w:name w:val="Komentāra teksts Rakstz."/>
    <w:basedOn w:val="Noklusjumarindkopasfonts"/>
    <w:link w:val="Komentrateksts"/>
    <w:rsid w:val="00CE75A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E75A6"/>
    <w:rPr>
      <w:b/>
      <w:bCs/>
    </w:rPr>
  </w:style>
  <w:style w:type="character" w:customStyle="1" w:styleId="KomentratmaRakstz">
    <w:name w:val="Komentāra tēma Rakstz."/>
    <w:basedOn w:val="KomentratekstsRakstz"/>
    <w:link w:val="Komentratma"/>
    <w:uiPriority w:val="99"/>
    <w:semiHidden/>
    <w:rsid w:val="00CE75A6"/>
    <w:rPr>
      <w:rFonts w:ascii="Times New Roman" w:eastAsia="Times New Roman" w:hAnsi="Times New Roman" w:cs="Times New Roman"/>
      <w:b/>
      <w:bCs/>
      <w:sz w:val="20"/>
      <w:szCs w:val="20"/>
      <w:lang w:eastAsia="lv-LV"/>
    </w:rPr>
  </w:style>
  <w:style w:type="paragraph" w:styleId="Pamatteksts">
    <w:name w:val="Body Text"/>
    <w:basedOn w:val="Parasts"/>
    <w:link w:val="PamattekstsRakstz"/>
    <w:rsid w:val="00D85230"/>
    <w:pPr>
      <w:jc w:val="both"/>
    </w:pPr>
    <w:rPr>
      <w:rFonts w:eastAsia="Calibri"/>
      <w:sz w:val="28"/>
      <w:szCs w:val="28"/>
      <w:lang w:val="en-AU" w:eastAsia="en-US"/>
    </w:rPr>
  </w:style>
  <w:style w:type="character" w:customStyle="1" w:styleId="PamattekstsRakstz">
    <w:name w:val="Pamatteksts Rakstz."/>
    <w:basedOn w:val="Noklusjumarindkopasfonts"/>
    <w:link w:val="Pamatteksts"/>
    <w:rsid w:val="00D85230"/>
    <w:rPr>
      <w:rFonts w:ascii="Times New Roman" w:eastAsia="Calibri" w:hAnsi="Times New Roman" w:cs="Times New Roman"/>
      <w:sz w:val="28"/>
      <w:szCs w:val="28"/>
      <w:lang w:val="en-AU"/>
    </w:rPr>
  </w:style>
  <w:style w:type="character" w:customStyle="1" w:styleId="spelle">
    <w:name w:val="spelle"/>
    <w:basedOn w:val="Noklusjumarindkopasfonts"/>
    <w:uiPriority w:val="99"/>
    <w:rsid w:val="009343BC"/>
    <w:rPr>
      <w:rFonts w:cs="Times New Roman"/>
    </w:rPr>
  </w:style>
  <w:style w:type="paragraph" w:styleId="Vresteksts">
    <w:name w:val="footnote text"/>
    <w:basedOn w:val="Parasts"/>
    <w:link w:val="VrestekstsRakstz"/>
    <w:unhideWhenUsed/>
    <w:rsid w:val="00643002"/>
    <w:rPr>
      <w:rFonts w:eastAsia="Calibri"/>
      <w:sz w:val="20"/>
      <w:szCs w:val="20"/>
    </w:rPr>
  </w:style>
  <w:style w:type="character" w:customStyle="1" w:styleId="VrestekstsRakstz">
    <w:name w:val="Vēres teksts Rakstz."/>
    <w:basedOn w:val="Noklusjumarindkopasfonts"/>
    <w:link w:val="Vresteksts"/>
    <w:rsid w:val="00643002"/>
    <w:rPr>
      <w:rFonts w:ascii="Times New Roman" w:eastAsia="Calibri" w:hAnsi="Times New Roman" w:cs="Times New Roman"/>
      <w:sz w:val="20"/>
      <w:szCs w:val="20"/>
      <w:lang w:eastAsia="lv-LV"/>
    </w:rPr>
  </w:style>
  <w:style w:type="table" w:styleId="Reatabula">
    <w:name w:val="Table Grid"/>
    <w:basedOn w:val="Parastatabula"/>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99635">
      <w:bodyDiv w:val="1"/>
      <w:marLeft w:val="0"/>
      <w:marRight w:val="0"/>
      <w:marTop w:val="0"/>
      <w:marBottom w:val="0"/>
      <w:divBdr>
        <w:top w:val="none" w:sz="0" w:space="0" w:color="auto"/>
        <w:left w:val="none" w:sz="0" w:space="0" w:color="auto"/>
        <w:bottom w:val="none" w:sz="0" w:space="0" w:color="auto"/>
        <w:right w:val="none" w:sz="0" w:space="0" w:color="auto"/>
      </w:divBdr>
    </w:div>
    <w:div w:id="1073965969">
      <w:bodyDiv w:val="1"/>
      <w:marLeft w:val="0"/>
      <w:marRight w:val="0"/>
      <w:marTop w:val="0"/>
      <w:marBottom w:val="0"/>
      <w:divBdr>
        <w:top w:val="none" w:sz="0" w:space="0" w:color="auto"/>
        <w:left w:val="none" w:sz="0" w:space="0" w:color="auto"/>
        <w:bottom w:val="none" w:sz="0" w:space="0" w:color="auto"/>
        <w:right w:val="none" w:sz="0" w:space="0" w:color="auto"/>
      </w:divBdr>
      <w:divsChild>
        <w:div w:id="1497768390">
          <w:marLeft w:val="0"/>
          <w:marRight w:val="0"/>
          <w:marTop w:val="0"/>
          <w:marBottom w:val="0"/>
          <w:divBdr>
            <w:top w:val="none" w:sz="0" w:space="0" w:color="auto"/>
            <w:left w:val="none" w:sz="0" w:space="0" w:color="auto"/>
            <w:bottom w:val="none" w:sz="0" w:space="0" w:color="auto"/>
            <w:right w:val="none" w:sz="0" w:space="0" w:color="auto"/>
          </w:divBdr>
          <w:divsChild>
            <w:div w:id="1852066166">
              <w:marLeft w:val="0"/>
              <w:marRight w:val="0"/>
              <w:marTop w:val="0"/>
              <w:marBottom w:val="0"/>
              <w:divBdr>
                <w:top w:val="none" w:sz="0" w:space="0" w:color="auto"/>
                <w:left w:val="none" w:sz="0" w:space="0" w:color="auto"/>
                <w:bottom w:val="none" w:sz="0" w:space="0" w:color="auto"/>
                <w:right w:val="none" w:sz="0" w:space="0" w:color="auto"/>
              </w:divBdr>
              <w:divsChild>
                <w:div w:id="1027370138">
                  <w:marLeft w:val="0"/>
                  <w:marRight w:val="0"/>
                  <w:marTop w:val="0"/>
                  <w:marBottom w:val="0"/>
                  <w:divBdr>
                    <w:top w:val="none" w:sz="0" w:space="0" w:color="auto"/>
                    <w:left w:val="none" w:sz="0" w:space="0" w:color="auto"/>
                    <w:bottom w:val="none" w:sz="0" w:space="0" w:color="auto"/>
                    <w:right w:val="none" w:sz="0" w:space="0" w:color="auto"/>
                  </w:divBdr>
                  <w:divsChild>
                    <w:div w:id="1794519188">
                      <w:marLeft w:val="0"/>
                      <w:marRight w:val="0"/>
                      <w:marTop w:val="0"/>
                      <w:marBottom w:val="0"/>
                      <w:divBdr>
                        <w:top w:val="none" w:sz="0" w:space="0" w:color="auto"/>
                        <w:left w:val="none" w:sz="0" w:space="0" w:color="auto"/>
                        <w:bottom w:val="none" w:sz="0" w:space="0" w:color="auto"/>
                        <w:right w:val="none" w:sz="0" w:space="0" w:color="auto"/>
                      </w:divBdr>
                      <w:divsChild>
                        <w:div w:id="926379567">
                          <w:marLeft w:val="0"/>
                          <w:marRight w:val="0"/>
                          <w:marTop w:val="0"/>
                          <w:marBottom w:val="0"/>
                          <w:divBdr>
                            <w:top w:val="none" w:sz="0" w:space="0" w:color="auto"/>
                            <w:left w:val="none" w:sz="0" w:space="0" w:color="auto"/>
                            <w:bottom w:val="none" w:sz="0" w:space="0" w:color="auto"/>
                            <w:right w:val="none" w:sz="0" w:space="0" w:color="auto"/>
                          </w:divBdr>
                          <w:divsChild>
                            <w:div w:id="2864695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7A90-E4C8-4530-8461-C8CC7852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8285</Words>
  <Characters>4724</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2010. gada 28. decembra sēdes protokollēmuma (prot. Nr. 75 65. §) „Noteikumu projekts „Noteikumi par Pārtikas un veterinārā dienesta veikto valsts uzraudzības un kontroles darbību un s</vt:lpstr>
      <vt:lpstr>Ministru kabineta sēdes protokollēmuma projekts „Par Ministru kabineta 2010. gada 28. decembra sēdes protokollēmuma (prot. Nr. 75 65. §) „Noteikumu projekts „Noteikumi par Pārtikas un veterinārā dienesta veikto valsts uzraudzības un kontroles darbību un s</vt:lpstr>
    </vt:vector>
  </TitlesOfParts>
  <Company>Zemkopības ministrija</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2010. gada 28. decembra sēdes protokollēmuma (prot. Nr. 75 65. §) „Noteikumu projekts „Noteikumi par Pārtikas un veterinārā dienesta veikto valsts uzraudzības un kontroles darbību un sniegto maksas pakalpojumu samaksu”” 2. punktā dotā uzdevuma izpildi”</dc:title>
  <dc:subject>Ministru kabineta sēdes protokollēmuma projekta anotācija</dc:subject>
  <dc:creator>Inta.Krauja@zm.gov.lv</dc:creator>
  <dc:description>67027099; e-pasts: Inta.Krauja@zm.gov.lv</dc:description>
  <cp:lastModifiedBy>Sanita Žagare</cp:lastModifiedBy>
  <cp:revision>4</cp:revision>
  <dcterms:created xsi:type="dcterms:W3CDTF">2017-06-12T12:49:00Z</dcterms:created>
  <dcterms:modified xsi:type="dcterms:W3CDTF">2017-06-13T07:26:00Z</dcterms:modified>
</cp:coreProperties>
</file>