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DCD95" w14:textId="1FC196E1" w:rsidR="0002029A" w:rsidRPr="00A61F81" w:rsidRDefault="0002029A" w:rsidP="0002029A">
      <w:pPr>
        <w:pStyle w:val="Pamatteksts"/>
        <w:jc w:val="center"/>
        <w:rPr>
          <w:szCs w:val="28"/>
        </w:rPr>
      </w:pPr>
      <w:r w:rsidRPr="00A61F81">
        <w:rPr>
          <w:szCs w:val="28"/>
        </w:rPr>
        <w:t>Ministru kabineta noteikumu projekta „</w:t>
      </w:r>
      <w:r w:rsidR="00737358" w:rsidRPr="00A61F81">
        <w:rPr>
          <w:szCs w:val="28"/>
        </w:rPr>
        <w:t>Grozījumi</w:t>
      </w:r>
      <w:r w:rsidR="00A61FEA" w:rsidRPr="00A61F81">
        <w:rPr>
          <w:szCs w:val="28"/>
        </w:rPr>
        <w:t xml:space="preserve"> Ministru kabineta 2016.</w:t>
      </w:r>
      <w:r w:rsidR="00BA29CB">
        <w:rPr>
          <w:szCs w:val="28"/>
        </w:rPr>
        <w:t> </w:t>
      </w:r>
      <w:r w:rsidR="00A61FEA" w:rsidRPr="00A61F81">
        <w:rPr>
          <w:szCs w:val="28"/>
        </w:rPr>
        <w:t>gada 5.</w:t>
      </w:r>
      <w:r w:rsidR="00525D12" w:rsidRPr="00A61F81">
        <w:rPr>
          <w:szCs w:val="28"/>
        </w:rPr>
        <w:t> </w:t>
      </w:r>
      <w:r w:rsidR="00A61FEA" w:rsidRPr="00A61F81">
        <w:rPr>
          <w:szCs w:val="28"/>
        </w:rPr>
        <w:t>janvāra noteikumos Nr.</w:t>
      </w:r>
      <w:r w:rsidR="003D6BA3" w:rsidRPr="00A61F81">
        <w:rPr>
          <w:szCs w:val="28"/>
        </w:rPr>
        <w:t xml:space="preserve"> </w:t>
      </w:r>
      <w:r w:rsidR="00A61FEA" w:rsidRPr="00A61F81">
        <w:rPr>
          <w:szCs w:val="28"/>
        </w:rPr>
        <w:t>13 “</w:t>
      </w:r>
      <w:r w:rsidR="00002015" w:rsidRPr="00A61F81">
        <w:rPr>
          <w:szCs w:val="28"/>
        </w:rPr>
        <w:t xml:space="preserve">Slaucamo govju un </w:t>
      </w:r>
      <w:r w:rsidR="00966CB8" w:rsidRPr="00A61F81">
        <w:rPr>
          <w:szCs w:val="28"/>
        </w:rPr>
        <w:t xml:space="preserve">slaucamo </w:t>
      </w:r>
      <w:r w:rsidR="00002015" w:rsidRPr="00A61F81">
        <w:rPr>
          <w:szCs w:val="28"/>
        </w:rPr>
        <w:t>kazu pārraudzības kārtība</w:t>
      </w:r>
      <w:r w:rsidR="00A239E6" w:rsidRPr="00A61F81">
        <w:rPr>
          <w:szCs w:val="28"/>
        </w:rPr>
        <w:t>”</w:t>
      </w:r>
      <w:r w:rsidR="00A61FEA" w:rsidRPr="00A61F81">
        <w:rPr>
          <w:szCs w:val="28"/>
        </w:rPr>
        <w:t>”</w:t>
      </w:r>
      <w:r w:rsidRPr="00A61F81">
        <w:rPr>
          <w:szCs w:val="28"/>
        </w:rPr>
        <w:t xml:space="preserve"> sākotnējās ietekmes novērtējuma ziņojums (anotācija)</w:t>
      </w:r>
    </w:p>
    <w:p w14:paraId="4784CBFB" w14:textId="77777777" w:rsidR="00F37F7E" w:rsidRPr="00A61F81" w:rsidRDefault="00F37F7E" w:rsidP="00F37F7E">
      <w:pPr>
        <w:pStyle w:val="naisc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311"/>
        <w:gridCol w:w="6230"/>
      </w:tblGrid>
      <w:tr w:rsidR="00BA0DE8" w:rsidRPr="00941BB0" w14:paraId="232BF374" w14:textId="77777777" w:rsidTr="00133DFE">
        <w:tc>
          <w:tcPr>
            <w:tcW w:w="5000" w:type="pct"/>
            <w:gridSpan w:val="3"/>
          </w:tcPr>
          <w:p w14:paraId="4C9249F4" w14:textId="77777777" w:rsidR="00AC145B" w:rsidRPr="00941BB0" w:rsidRDefault="00AC145B" w:rsidP="003037FE">
            <w:pPr>
              <w:pStyle w:val="naislab"/>
              <w:spacing w:before="0" w:after="0"/>
              <w:jc w:val="center"/>
              <w:outlineLvl w:val="0"/>
              <w:rPr>
                <w:b/>
                <w:szCs w:val="28"/>
              </w:rPr>
            </w:pPr>
            <w:r w:rsidRPr="00941BB0">
              <w:rPr>
                <w:b/>
                <w:szCs w:val="28"/>
              </w:rPr>
              <w:t>I. Tiesību akta projekta izstrādes nepieciešamība</w:t>
            </w:r>
          </w:p>
        </w:tc>
      </w:tr>
      <w:tr w:rsidR="00BA0DE8" w:rsidRPr="00941BB0" w14:paraId="37E42372" w14:textId="77777777" w:rsidTr="008E3636">
        <w:tc>
          <w:tcPr>
            <w:tcW w:w="287" w:type="pct"/>
          </w:tcPr>
          <w:p w14:paraId="68276C80" w14:textId="77777777" w:rsidR="00AC145B" w:rsidRPr="00941BB0" w:rsidRDefault="00AC145B" w:rsidP="003037FE">
            <w:pPr>
              <w:pStyle w:val="naislab"/>
              <w:spacing w:before="0" w:after="0"/>
              <w:jc w:val="center"/>
              <w:outlineLvl w:val="0"/>
              <w:rPr>
                <w:szCs w:val="28"/>
              </w:rPr>
            </w:pPr>
            <w:r w:rsidRPr="00941BB0">
              <w:rPr>
                <w:szCs w:val="28"/>
              </w:rPr>
              <w:t>1.</w:t>
            </w:r>
          </w:p>
        </w:tc>
        <w:tc>
          <w:tcPr>
            <w:tcW w:w="1275" w:type="pct"/>
          </w:tcPr>
          <w:p w14:paraId="4B7A4FA7" w14:textId="77777777" w:rsidR="00AC145B" w:rsidRPr="00941BB0" w:rsidRDefault="00AC145B" w:rsidP="003037FE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941BB0">
              <w:rPr>
                <w:szCs w:val="28"/>
              </w:rPr>
              <w:t>Pamatojums</w:t>
            </w:r>
          </w:p>
        </w:tc>
        <w:tc>
          <w:tcPr>
            <w:tcW w:w="3438" w:type="pct"/>
          </w:tcPr>
          <w:p w14:paraId="36731451" w14:textId="77777777" w:rsidR="00AC145B" w:rsidRDefault="00002015" w:rsidP="00AC145B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941BB0">
              <w:rPr>
                <w:szCs w:val="28"/>
              </w:rPr>
              <w:t>Ministru kabineta noteikumu projekts „</w:t>
            </w:r>
            <w:r w:rsidR="003420FC" w:rsidRPr="00941BB0">
              <w:rPr>
                <w:szCs w:val="28"/>
              </w:rPr>
              <w:t>Grozījumi</w:t>
            </w:r>
            <w:r w:rsidR="00A61FEA" w:rsidRPr="00941BB0">
              <w:rPr>
                <w:szCs w:val="28"/>
              </w:rPr>
              <w:t xml:space="preserve"> Ministru kabineta 2016.</w:t>
            </w:r>
            <w:r w:rsidR="003D6BA3" w:rsidRPr="00941BB0">
              <w:rPr>
                <w:szCs w:val="28"/>
              </w:rPr>
              <w:t xml:space="preserve"> </w:t>
            </w:r>
            <w:r w:rsidR="00A61FEA" w:rsidRPr="00941BB0">
              <w:rPr>
                <w:szCs w:val="28"/>
              </w:rPr>
              <w:t>gada 5.</w:t>
            </w:r>
            <w:r w:rsidR="003D6BA3" w:rsidRPr="00941BB0">
              <w:rPr>
                <w:szCs w:val="28"/>
              </w:rPr>
              <w:t xml:space="preserve"> </w:t>
            </w:r>
            <w:r w:rsidR="00A61FEA" w:rsidRPr="00941BB0">
              <w:rPr>
                <w:szCs w:val="28"/>
              </w:rPr>
              <w:t>janvāra noteikumos Nr.</w:t>
            </w:r>
            <w:r w:rsidR="003D6BA3" w:rsidRPr="00941BB0">
              <w:rPr>
                <w:szCs w:val="28"/>
              </w:rPr>
              <w:t xml:space="preserve"> </w:t>
            </w:r>
            <w:r w:rsidR="00A61FEA" w:rsidRPr="00941BB0">
              <w:rPr>
                <w:szCs w:val="28"/>
              </w:rPr>
              <w:t>13 “</w:t>
            </w:r>
            <w:r w:rsidRPr="00941BB0">
              <w:rPr>
                <w:szCs w:val="28"/>
              </w:rPr>
              <w:t>Slaucamo govju un</w:t>
            </w:r>
            <w:r w:rsidR="00966CB8" w:rsidRPr="00941BB0">
              <w:rPr>
                <w:szCs w:val="28"/>
              </w:rPr>
              <w:t xml:space="preserve"> slaucamo</w:t>
            </w:r>
            <w:r w:rsidRPr="00941BB0">
              <w:rPr>
                <w:szCs w:val="28"/>
              </w:rPr>
              <w:t xml:space="preserve"> kazu pārraudzības kārtība”</w:t>
            </w:r>
            <w:r w:rsidR="00A61FEA" w:rsidRPr="00941BB0">
              <w:rPr>
                <w:szCs w:val="28"/>
              </w:rPr>
              <w:t>”</w:t>
            </w:r>
            <w:r w:rsidRPr="00941BB0">
              <w:rPr>
                <w:szCs w:val="28"/>
              </w:rPr>
              <w:t xml:space="preserve"> (turpmāk – noteikumu projekts) sagatavots saskaņā ar Ciltsdarba un dzīvnieku audzēšanas likuma 12.</w:t>
            </w:r>
            <w:r w:rsidR="003D6BA3" w:rsidRPr="00941BB0">
              <w:rPr>
                <w:szCs w:val="28"/>
              </w:rPr>
              <w:t xml:space="preserve"> </w:t>
            </w:r>
            <w:r w:rsidRPr="00941BB0">
              <w:rPr>
                <w:szCs w:val="28"/>
              </w:rPr>
              <w:t>panta pirmo daļu.</w:t>
            </w:r>
          </w:p>
          <w:p w14:paraId="2EACD7EB" w14:textId="023265A1" w:rsidR="00941BB0" w:rsidRPr="00941BB0" w:rsidRDefault="00941BB0" w:rsidP="00AC145B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</w:p>
        </w:tc>
      </w:tr>
      <w:tr w:rsidR="00BA0DE8" w:rsidRPr="00941BB0" w14:paraId="2B9FD514" w14:textId="77777777" w:rsidTr="008E3636">
        <w:tc>
          <w:tcPr>
            <w:tcW w:w="287" w:type="pct"/>
          </w:tcPr>
          <w:p w14:paraId="4630946C" w14:textId="77777777" w:rsidR="00AC145B" w:rsidRPr="00941BB0" w:rsidRDefault="00AC145B" w:rsidP="003037FE">
            <w:pPr>
              <w:pStyle w:val="naislab"/>
              <w:spacing w:before="0" w:after="0"/>
              <w:jc w:val="center"/>
              <w:outlineLvl w:val="0"/>
              <w:rPr>
                <w:szCs w:val="28"/>
              </w:rPr>
            </w:pPr>
            <w:r w:rsidRPr="00941BB0">
              <w:rPr>
                <w:szCs w:val="28"/>
              </w:rPr>
              <w:t>2.</w:t>
            </w:r>
          </w:p>
        </w:tc>
        <w:tc>
          <w:tcPr>
            <w:tcW w:w="1275" w:type="pct"/>
          </w:tcPr>
          <w:p w14:paraId="50BABC10" w14:textId="0509F4A2" w:rsidR="00A32DBD" w:rsidRPr="00941BB0" w:rsidRDefault="00AC145B" w:rsidP="003037FE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941BB0">
              <w:rPr>
                <w:szCs w:val="28"/>
              </w:rPr>
              <w:t>Pašreizējā situācija un problēmas, kuru risināšanai tiesību akta projekts izstrādāts, tiesiskā regulējuma mērķis un būtība</w:t>
            </w:r>
          </w:p>
          <w:p w14:paraId="2387AB3F" w14:textId="77777777" w:rsidR="00A32DBD" w:rsidRPr="00941BB0" w:rsidRDefault="00A32DBD" w:rsidP="00A32DBD">
            <w:pPr>
              <w:rPr>
                <w:szCs w:val="28"/>
              </w:rPr>
            </w:pPr>
          </w:p>
          <w:p w14:paraId="69FAAFDC" w14:textId="26C142B1" w:rsidR="00A32DBD" w:rsidRPr="00941BB0" w:rsidRDefault="00A32DBD" w:rsidP="00A32DBD">
            <w:pPr>
              <w:rPr>
                <w:szCs w:val="28"/>
              </w:rPr>
            </w:pPr>
          </w:p>
          <w:p w14:paraId="5F28399F" w14:textId="77777777" w:rsidR="00AC145B" w:rsidRPr="00941BB0" w:rsidRDefault="00AC145B" w:rsidP="00A32DBD">
            <w:pPr>
              <w:jc w:val="right"/>
              <w:rPr>
                <w:szCs w:val="28"/>
              </w:rPr>
            </w:pPr>
          </w:p>
        </w:tc>
        <w:tc>
          <w:tcPr>
            <w:tcW w:w="3438" w:type="pct"/>
          </w:tcPr>
          <w:p w14:paraId="7E941522" w14:textId="000D6634" w:rsidR="00E67745" w:rsidRPr="00941BB0" w:rsidRDefault="009B01F1" w:rsidP="00E67745">
            <w:pPr>
              <w:pStyle w:val="naisf"/>
              <w:spacing w:before="0" w:beforeAutospacing="0" w:after="0" w:afterAutospacing="0"/>
              <w:jc w:val="both"/>
              <w:rPr>
                <w:color w:val="FF0000"/>
                <w:szCs w:val="28"/>
              </w:rPr>
            </w:pPr>
            <w:r w:rsidRPr="00941BB0">
              <w:rPr>
                <w:szCs w:val="28"/>
              </w:rPr>
              <w:t>Ministru kabineta 2016.</w:t>
            </w:r>
            <w:r w:rsidR="003D6BA3" w:rsidRPr="00941BB0">
              <w:rPr>
                <w:szCs w:val="28"/>
              </w:rPr>
              <w:t xml:space="preserve"> </w:t>
            </w:r>
            <w:r w:rsidRPr="00941BB0">
              <w:rPr>
                <w:szCs w:val="28"/>
              </w:rPr>
              <w:t>gada 5.</w:t>
            </w:r>
            <w:r w:rsidR="003D6BA3" w:rsidRPr="00941BB0">
              <w:rPr>
                <w:szCs w:val="28"/>
              </w:rPr>
              <w:t xml:space="preserve"> </w:t>
            </w:r>
            <w:r w:rsidR="00D362E6" w:rsidRPr="00941BB0">
              <w:rPr>
                <w:szCs w:val="28"/>
              </w:rPr>
              <w:t>janvāra noteikumi</w:t>
            </w:r>
            <w:r w:rsidRPr="00941BB0">
              <w:rPr>
                <w:szCs w:val="28"/>
              </w:rPr>
              <w:t xml:space="preserve"> Nr.</w:t>
            </w:r>
            <w:r w:rsidR="00BA29CB" w:rsidRPr="00941BB0">
              <w:rPr>
                <w:szCs w:val="28"/>
              </w:rPr>
              <w:t> </w:t>
            </w:r>
            <w:r w:rsidRPr="00941BB0">
              <w:rPr>
                <w:szCs w:val="28"/>
              </w:rPr>
              <w:t>13 “Slaucamo govju un slaucamo kazu pārraudzības kārtība” (turpmāk – noteikumi Nr.</w:t>
            </w:r>
            <w:r w:rsidR="003D6BA3" w:rsidRPr="00941BB0">
              <w:rPr>
                <w:szCs w:val="28"/>
              </w:rPr>
              <w:t xml:space="preserve"> </w:t>
            </w:r>
            <w:r w:rsidRPr="00941BB0">
              <w:rPr>
                <w:szCs w:val="28"/>
              </w:rPr>
              <w:t xml:space="preserve">13) </w:t>
            </w:r>
            <w:r w:rsidR="00147CDD" w:rsidRPr="00941BB0">
              <w:rPr>
                <w:szCs w:val="28"/>
              </w:rPr>
              <w:t xml:space="preserve">nosaka, ka </w:t>
            </w:r>
            <w:r w:rsidR="00735250" w:rsidRPr="00941BB0">
              <w:rPr>
                <w:szCs w:val="28"/>
              </w:rPr>
              <w:t xml:space="preserve">piena daudzuma noteikšanai izmanto nebojātus mērīšanas līdzekļus, kuru precizitāte ir pārbaudīta. </w:t>
            </w:r>
            <w:r w:rsidR="007176BF" w:rsidRPr="00941BB0">
              <w:rPr>
                <w:szCs w:val="28"/>
              </w:rPr>
              <w:t>N</w:t>
            </w:r>
            <w:r w:rsidR="00735250" w:rsidRPr="00941BB0">
              <w:rPr>
                <w:szCs w:val="28"/>
              </w:rPr>
              <w:t>oteikumos Nr.13 nav noteikts, cik bieži ir jāpārbauda piena daudzuma mērīšanas l</w:t>
            </w:r>
            <w:r w:rsidR="00D271D7" w:rsidRPr="00941BB0">
              <w:rPr>
                <w:szCs w:val="28"/>
              </w:rPr>
              <w:t>īdzekļi. Tā kā piena daudzuma mērīšanas līdzekļu veidi ir ļoti dažādi un tie arī main</w:t>
            </w:r>
            <w:r w:rsidR="009A261E" w:rsidRPr="00941BB0">
              <w:rPr>
                <w:szCs w:val="28"/>
              </w:rPr>
              <w:t>ās,</w:t>
            </w:r>
            <w:r w:rsidR="00735250" w:rsidRPr="00941BB0">
              <w:rPr>
                <w:szCs w:val="28"/>
              </w:rPr>
              <w:t xml:space="preserve"> nav iespējams tos visus </w:t>
            </w:r>
            <w:r w:rsidR="00BA29CB" w:rsidRPr="00941BB0">
              <w:rPr>
                <w:szCs w:val="28"/>
              </w:rPr>
              <w:t>norādīt</w:t>
            </w:r>
            <w:r w:rsidR="00735250" w:rsidRPr="00941BB0">
              <w:rPr>
                <w:szCs w:val="28"/>
              </w:rPr>
              <w:t xml:space="preserve"> noteikumos</w:t>
            </w:r>
            <w:r w:rsidR="005E5060" w:rsidRPr="00941BB0">
              <w:rPr>
                <w:szCs w:val="28"/>
              </w:rPr>
              <w:t xml:space="preserve"> un </w:t>
            </w:r>
            <w:r w:rsidR="00BA29CB" w:rsidRPr="00941BB0">
              <w:rPr>
                <w:szCs w:val="28"/>
              </w:rPr>
              <w:t>noteikt</w:t>
            </w:r>
            <w:r w:rsidR="005E5060" w:rsidRPr="00941BB0">
              <w:rPr>
                <w:szCs w:val="28"/>
              </w:rPr>
              <w:t xml:space="preserve"> katra mērīšanas līdzekļa pārbaudes biežumu. </w:t>
            </w:r>
            <w:r w:rsidR="00A102D7" w:rsidRPr="00941BB0">
              <w:rPr>
                <w:szCs w:val="28"/>
              </w:rPr>
              <w:t>N</w:t>
            </w:r>
            <w:r w:rsidR="005E5060" w:rsidRPr="00941BB0">
              <w:rPr>
                <w:szCs w:val="28"/>
              </w:rPr>
              <w:t>oteikumi</w:t>
            </w:r>
            <w:r w:rsidR="00A102D7" w:rsidRPr="00941BB0">
              <w:rPr>
                <w:szCs w:val="28"/>
              </w:rPr>
              <w:t xml:space="preserve"> Nr</w:t>
            </w:r>
            <w:r w:rsidR="00737358" w:rsidRPr="00941BB0">
              <w:rPr>
                <w:szCs w:val="28"/>
              </w:rPr>
              <w:t>.</w:t>
            </w:r>
            <w:r w:rsidR="00A102D7" w:rsidRPr="00941BB0">
              <w:rPr>
                <w:szCs w:val="28"/>
              </w:rPr>
              <w:t>13</w:t>
            </w:r>
            <w:r w:rsidR="005E5060" w:rsidRPr="00941BB0">
              <w:rPr>
                <w:szCs w:val="28"/>
              </w:rPr>
              <w:t xml:space="preserve"> precizēti, </w:t>
            </w:r>
            <w:r w:rsidR="00BA29CB" w:rsidRPr="00941BB0">
              <w:rPr>
                <w:szCs w:val="28"/>
              </w:rPr>
              <w:t>paredzot</w:t>
            </w:r>
            <w:r w:rsidR="005E5060" w:rsidRPr="00941BB0">
              <w:rPr>
                <w:szCs w:val="28"/>
              </w:rPr>
              <w:t>, ka piena daudzuma mērīšanas līdzek</w:t>
            </w:r>
            <w:r w:rsidR="00E67745" w:rsidRPr="00941BB0">
              <w:rPr>
                <w:szCs w:val="28"/>
              </w:rPr>
              <w:t xml:space="preserve">ļus </w:t>
            </w:r>
            <w:r w:rsidR="005E5060" w:rsidRPr="00941BB0">
              <w:rPr>
                <w:szCs w:val="28"/>
              </w:rPr>
              <w:t>pārbauda</w:t>
            </w:r>
            <w:r w:rsidR="00BA29CB" w:rsidRPr="00941BB0">
              <w:rPr>
                <w:szCs w:val="28"/>
              </w:rPr>
              <w:t>, ievērojot</w:t>
            </w:r>
            <w:r w:rsidR="005E5060" w:rsidRPr="00941BB0">
              <w:rPr>
                <w:szCs w:val="28"/>
              </w:rPr>
              <w:t xml:space="preserve"> termiņu, kāds norādīts uz piena daudzuma mērī</w:t>
            </w:r>
            <w:r w:rsidR="00E67745" w:rsidRPr="00941BB0">
              <w:rPr>
                <w:szCs w:val="28"/>
              </w:rPr>
              <w:t>šanas līdzekļa uzlīmes</w:t>
            </w:r>
            <w:r w:rsidR="005E5060" w:rsidRPr="00941BB0">
              <w:rPr>
                <w:szCs w:val="28"/>
              </w:rPr>
              <w:t>.</w:t>
            </w:r>
            <w:r w:rsidR="00E67745" w:rsidRPr="00941BB0">
              <w:rPr>
                <w:szCs w:val="28"/>
              </w:rPr>
              <w:t xml:space="preserve"> Uzlīm</w:t>
            </w:r>
            <w:r w:rsidR="00BA29CB" w:rsidRPr="00941BB0">
              <w:rPr>
                <w:szCs w:val="28"/>
              </w:rPr>
              <w:t>i</w:t>
            </w:r>
            <w:r w:rsidR="00E67745" w:rsidRPr="00941BB0">
              <w:rPr>
                <w:szCs w:val="28"/>
              </w:rPr>
              <w:t xml:space="preserve"> uz piena daudzuma mērīšanas līdzekļa </w:t>
            </w:r>
            <w:r w:rsidR="00BA29CB" w:rsidRPr="00941BB0">
              <w:rPr>
                <w:szCs w:val="28"/>
              </w:rPr>
              <w:t>pie</w:t>
            </w:r>
            <w:r w:rsidR="00E67745" w:rsidRPr="00941BB0">
              <w:rPr>
                <w:szCs w:val="28"/>
              </w:rPr>
              <w:t xml:space="preserve">līmē piena daudzuma mērīšanas </w:t>
            </w:r>
            <w:r w:rsidR="00A102D7" w:rsidRPr="00941BB0">
              <w:rPr>
                <w:szCs w:val="28"/>
              </w:rPr>
              <w:t xml:space="preserve">līdzekļu pārbaudes </w:t>
            </w:r>
            <w:r w:rsidR="00E67745" w:rsidRPr="00941BB0">
              <w:rPr>
                <w:szCs w:val="28"/>
              </w:rPr>
              <w:t>institūcija pēc piena daudzuma mērīšanas līdzekļa pārbaudes.</w:t>
            </w:r>
            <w:r w:rsidR="00A102D7" w:rsidRPr="00941BB0">
              <w:rPr>
                <w:szCs w:val="28"/>
              </w:rPr>
              <w:t xml:space="preserve"> Minētā</w:t>
            </w:r>
            <w:r w:rsidR="00E67745" w:rsidRPr="00941BB0">
              <w:rPr>
                <w:szCs w:val="28"/>
              </w:rPr>
              <w:t xml:space="preserve"> institūcija par dažādu piena daudzuma mērīšanas līdzekļu pārbaudes biežumu</w:t>
            </w:r>
            <w:r w:rsidR="005E5060" w:rsidRPr="00941BB0">
              <w:rPr>
                <w:szCs w:val="28"/>
              </w:rPr>
              <w:t xml:space="preserve"> </w:t>
            </w:r>
            <w:r w:rsidR="007176BF" w:rsidRPr="00941BB0">
              <w:rPr>
                <w:szCs w:val="28"/>
              </w:rPr>
              <w:t xml:space="preserve">vienojas ar </w:t>
            </w:r>
            <w:r w:rsidR="00676274">
              <w:rPr>
                <w:szCs w:val="28"/>
              </w:rPr>
              <w:t xml:space="preserve">Lauksaimniecības </w:t>
            </w:r>
            <w:r w:rsidR="007176BF" w:rsidRPr="00941BB0">
              <w:rPr>
                <w:szCs w:val="28"/>
              </w:rPr>
              <w:t>datu centru</w:t>
            </w:r>
            <w:r w:rsidR="00676274">
              <w:rPr>
                <w:szCs w:val="28"/>
              </w:rPr>
              <w:t xml:space="preserve"> (turpmāk – datu centrs)</w:t>
            </w:r>
            <w:r w:rsidR="007176BF" w:rsidRPr="00941BB0">
              <w:rPr>
                <w:szCs w:val="28"/>
              </w:rPr>
              <w:t xml:space="preserve">, jo datu centrs </w:t>
            </w:r>
            <w:r w:rsidR="00737358" w:rsidRPr="00941BB0">
              <w:rPr>
                <w:szCs w:val="28"/>
              </w:rPr>
              <w:t xml:space="preserve">ir atbildīgs par pārraudzības datu administrēšanu un apstrādi </w:t>
            </w:r>
            <w:r w:rsidR="00EF41CC">
              <w:rPr>
                <w:szCs w:val="28"/>
              </w:rPr>
              <w:t>atbilstoši</w:t>
            </w:r>
            <w:r w:rsidR="00EF41CC" w:rsidRPr="00941BB0" w:rsidDel="00EF41CC">
              <w:rPr>
                <w:szCs w:val="28"/>
              </w:rPr>
              <w:t xml:space="preserve"> </w:t>
            </w:r>
            <w:r w:rsidR="00737358" w:rsidRPr="00941BB0">
              <w:rPr>
                <w:szCs w:val="28"/>
              </w:rPr>
              <w:t>Starptautiskās dzīvnieku pārraudzības komitejas (</w:t>
            </w:r>
            <w:r w:rsidR="00737358" w:rsidRPr="00941BB0">
              <w:rPr>
                <w:i/>
                <w:iCs/>
                <w:szCs w:val="28"/>
              </w:rPr>
              <w:t>ICAR</w:t>
            </w:r>
            <w:r w:rsidR="00A91DD9" w:rsidRPr="00941BB0">
              <w:rPr>
                <w:szCs w:val="28"/>
              </w:rPr>
              <w:t>) vadlīnijām</w:t>
            </w:r>
            <w:r w:rsidR="007176BF" w:rsidRPr="00941BB0">
              <w:rPr>
                <w:szCs w:val="28"/>
              </w:rPr>
              <w:t>.</w:t>
            </w:r>
            <w:r w:rsidR="00E67745" w:rsidRPr="00941BB0">
              <w:rPr>
                <w:szCs w:val="28"/>
              </w:rPr>
              <w:t xml:space="preserve"> </w:t>
            </w:r>
          </w:p>
          <w:p w14:paraId="675D06D4" w14:textId="29620A04" w:rsidR="00946C5F" w:rsidRPr="00941BB0" w:rsidRDefault="00BA29CB" w:rsidP="00E67745">
            <w:pPr>
              <w:pStyle w:val="naisf"/>
              <w:spacing w:before="0" w:beforeAutospacing="0" w:after="0" w:afterAutospacing="0"/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N</w:t>
            </w:r>
            <w:r w:rsidR="00D271D7" w:rsidRPr="00941BB0">
              <w:rPr>
                <w:szCs w:val="28"/>
              </w:rPr>
              <w:t>oteikum</w:t>
            </w:r>
            <w:r w:rsidRPr="00941BB0">
              <w:rPr>
                <w:szCs w:val="28"/>
              </w:rPr>
              <w:t>u</w:t>
            </w:r>
            <w:r w:rsidR="00D271D7" w:rsidRPr="00941BB0">
              <w:rPr>
                <w:szCs w:val="28"/>
              </w:rPr>
              <w:t xml:space="preserve"> Nr.13 </w:t>
            </w:r>
            <w:r w:rsidRPr="00941BB0">
              <w:rPr>
                <w:szCs w:val="28"/>
              </w:rPr>
              <w:t xml:space="preserve">pašreizējā redakcijā </w:t>
            </w:r>
            <w:r w:rsidR="00D271D7" w:rsidRPr="00941BB0">
              <w:rPr>
                <w:szCs w:val="28"/>
              </w:rPr>
              <w:t>noteikts, ka</w:t>
            </w:r>
            <w:r w:rsidR="00D362E6" w:rsidRPr="00941BB0">
              <w:rPr>
                <w:szCs w:val="28"/>
              </w:rPr>
              <w:t xml:space="preserve"> datu centrs veic pārraudzības datubāzes riska faktoru analīzi. </w:t>
            </w:r>
            <w:r w:rsidR="005D01A8" w:rsidRPr="00941BB0">
              <w:rPr>
                <w:szCs w:val="28"/>
              </w:rPr>
              <w:t xml:space="preserve">Tomēr </w:t>
            </w:r>
            <w:r w:rsidR="00D362E6" w:rsidRPr="00941BB0">
              <w:rPr>
                <w:szCs w:val="28"/>
              </w:rPr>
              <w:t>termins “datubāzes riska faktoru analīze” ir pārprotams, jo datubāzes riska faktoru analīzē</w:t>
            </w:r>
            <w:r w:rsidR="00F279E2" w:rsidRPr="00941BB0">
              <w:rPr>
                <w:szCs w:val="28"/>
              </w:rPr>
              <w:t xml:space="preserve"> </w:t>
            </w:r>
            <w:r w:rsidRPr="00941BB0">
              <w:rPr>
                <w:szCs w:val="28"/>
              </w:rPr>
              <w:t xml:space="preserve">tiek </w:t>
            </w:r>
            <w:r w:rsidR="00D362E6" w:rsidRPr="00941BB0">
              <w:rPr>
                <w:szCs w:val="28"/>
              </w:rPr>
              <w:t>vērtē</w:t>
            </w:r>
            <w:r w:rsidRPr="00941BB0">
              <w:rPr>
                <w:szCs w:val="28"/>
              </w:rPr>
              <w:t>ti</w:t>
            </w:r>
            <w:r w:rsidR="00D362E6" w:rsidRPr="00941BB0">
              <w:rPr>
                <w:szCs w:val="28"/>
              </w:rPr>
              <w:t xml:space="preserve"> tieši datubāzes risk</w:t>
            </w:r>
            <w:r w:rsidRPr="00941BB0">
              <w:rPr>
                <w:szCs w:val="28"/>
              </w:rPr>
              <w:t>a faktori</w:t>
            </w:r>
            <w:r w:rsidR="00D362E6" w:rsidRPr="00941BB0">
              <w:rPr>
                <w:szCs w:val="28"/>
              </w:rPr>
              <w:t xml:space="preserve">, taču </w:t>
            </w:r>
            <w:proofErr w:type="spellStart"/>
            <w:r w:rsidR="006E0E8B" w:rsidRPr="00941BB0">
              <w:rPr>
                <w:szCs w:val="28"/>
              </w:rPr>
              <w:t>virspārraudzībai</w:t>
            </w:r>
            <w:proofErr w:type="spellEnd"/>
            <w:r w:rsidR="006E0E8B" w:rsidRPr="00941BB0">
              <w:rPr>
                <w:szCs w:val="28"/>
              </w:rPr>
              <w:t xml:space="preserve"> </w:t>
            </w:r>
            <w:r w:rsidR="00D362E6" w:rsidRPr="00941BB0">
              <w:rPr>
                <w:szCs w:val="28"/>
              </w:rPr>
              <w:t>ir nepieciešama iespējami kļūdaino</w:t>
            </w:r>
            <w:r w:rsidR="00B53402" w:rsidRPr="00941BB0">
              <w:rPr>
                <w:szCs w:val="28"/>
              </w:rPr>
              <w:t>,</w:t>
            </w:r>
            <w:r w:rsidR="00D362E6" w:rsidRPr="00941BB0">
              <w:rPr>
                <w:szCs w:val="28"/>
              </w:rPr>
              <w:t xml:space="preserve"> </w:t>
            </w:r>
            <w:r w:rsidR="008264F7" w:rsidRPr="00941BB0">
              <w:rPr>
                <w:szCs w:val="28"/>
              </w:rPr>
              <w:t>kā arī</w:t>
            </w:r>
            <w:r w:rsidR="00B53402" w:rsidRPr="00941BB0">
              <w:rPr>
                <w:szCs w:val="28"/>
              </w:rPr>
              <w:t xml:space="preserve"> </w:t>
            </w:r>
            <w:r w:rsidR="008264F7" w:rsidRPr="00941BB0">
              <w:rPr>
                <w:szCs w:val="28"/>
              </w:rPr>
              <w:t>augstražīgu ganāmpulku</w:t>
            </w:r>
            <w:r w:rsidR="00B53402" w:rsidRPr="00941BB0">
              <w:rPr>
                <w:szCs w:val="28"/>
              </w:rPr>
              <w:t xml:space="preserve"> pārraudzības datu</w:t>
            </w:r>
            <w:r w:rsidR="00D362E6" w:rsidRPr="00941BB0">
              <w:rPr>
                <w:szCs w:val="28"/>
              </w:rPr>
              <w:t xml:space="preserve"> atlase datubāzē,</w:t>
            </w:r>
            <w:r w:rsidR="006E0E8B" w:rsidRPr="00941BB0">
              <w:rPr>
                <w:szCs w:val="28"/>
              </w:rPr>
              <w:t xml:space="preserve"> lai varētu pārbaudīt</w:t>
            </w:r>
            <w:r w:rsidR="008264F7" w:rsidRPr="00941BB0">
              <w:rPr>
                <w:szCs w:val="28"/>
              </w:rPr>
              <w:t xml:space="preserve"> </w:t>
            </w:r>
            <w:r w:rsidR="006E0E8B" w:rsidRPr="00941BB0">
              <w:rPr>
                <w:szCs w:val="28"/>
              </w:rPr>
              <w:t>pārraudzības datu ticamību.</w:t>
            </w:r>
            <w:r w:rsidR="00D271D7" w:rsidRPr="00941BB0">
              <w:rPr>
                <w:szCs w:val="28"/>
              </w:rPr>
              <w:t xml:space="preserve"> </w:t>
            </w:r>
            <w:r w:rsidR="00E54ACC" w:rsidRPr="00941BB0">
              <w:rPr>
                <w:szCs w:val="28"/>
              </w:rPr>
              <w:t>T</w:t>
            </w:r>
            <w:r w:rsidR="00525D12" w:rsidRPr="00941BB0">
              <w:rPr>
                <w:szCs w:val="28"/>
              </w:rPr>
              <w:t>ā</w:t>
            </w:r>
            <w:r w:rsidRPr="00941BB0">
              <w:rPr>
                <w:szCs w:val="28"/>
              </w:rPr>
              <w:t>dējādi</w:t>
            </w:r>
            <w:r w:rsidR="005D01A8" w:rsidRPr="00941BB0">
              <w:rPr>
                <w:szCs w:val="28"/>
              </w:rPr>
              <w:t xml:space="preserve"> </w:t>
            </w:r>
            <w:r w:rsidR="009A53EA" w:rsidRPr="00941BB0">
              <w:rPr>
                <w:szCs w:val="28"/>
              </w:rPr>
              <w:t>noteikumu projektā</w:t>
            </w:r>
            <w:r w:rsidR="006E0E8B" w:rsidRPr="00941BB0">
              <w:rPr>
                <w:szCs w:val="28"/>
              </w:rPr>
              <w:t xml:space="preserve"> iekļauts grozījums,</w:t>
            </w:r>
            <w:r w:rsidR="009A53EA" w:rsidRPr="00941BB0">
              <w:rPr>
                <w:szCs w:val="28"/>
              </w:rPr>
              <w:t xml:space="preserve"> </w:t>
            </w:r>
            <w:r w:rsidR="001749E1" w:rsidRPr="00941BB0">
              <w:rPr>
                <w:szCs w:val="28"/>
              </w:rPr>
              <w:t>nosakot</w:t>
            </w:r>
            <w:r w:rsidR="00436EA6" w:rsidRPr="00941BB0">
              <w:rPr>
                <w:szCs w:val="28"/>
              </w:rPr>
              <w:t xml:space="preserve">, ka </w:t>
            </w:r>
            <w:r w:rsidR="00E54ACC" w:rsidRPr="00941BB0">
              <w:rPr>
                <w:szCs w:val="28"/>
              </w:rPr>
              <w:t xml:space="preserve">datu centrs </w:t>
            </w:r>
            <w:r w:rsidR="00EF41CC">
              <w:rPr>
                <w:szCs w:val="28"/>
              </w:rPr>
              <w:t>atlasa</w:t>
            </w:r>
            <w:r w:rsidR="00E54ACC" w:rsidRPr="00941BB0">
              <w:rPr>
                <w:szCs w:val="28"/>
              </w:rPr>
              <w:t xml:space="preserve"> iespējami kļūdaino</w:t>
            </w:r>
            <w:r w:rsidR="00EF41CC">
              <w:rPr>
                <w:szCs w:val="28"/>
              </w:rPr>
              <w:t>s</w:t>
            </w:r>
            <w:r w:rsidR="00484FB1" w:rsidRPr="00941BB0">
              <w:rPr>
                <w:szCs w:val="28"/>
              </w:rPr>
              <w:t xml:space="preserve"> pārraudzības datu</w:t>
            </w:r>
            <w:r w:rsidR="00EF41CC">
              <w:rPr>
                <w:szCs w:val="28"/>
              </w:rPr>
              <w:t>s</w:t>
            </w:r>
            <w:r w:rsidR="006E0E8B" w:rsidRPr="00941BB0">
              <w:rPr>
                <w:b/>
                <w:szCs w:val="28"/>
              </w:rPr>
              <w:t xml:space="preserve"> </w:t>
            </w:r>
            <w:r w:rsidR="006E0E8B" w:rsidRPr="00941BB0">
              <w:rPr>
                <w:szCs w:val="28"/>
              </w:rPr>
              <w:t>un augstražīgo ganāmpulku pārraudzības datu</w:t>
            </w:r>
            <w:r w:rsidR="00EF41CC">
              <w:rPr>
                <w:szCs w:val="28"/>
              </w:rPr>
              <w:t>s</w:t>
            </w:r>
            <w:r w:rsidR="00484FB1" w:rsidRPr="00941BB0">
              <w:rPr>
                <w:szCs w:val="28"/>
              </w:rPr>
              <w:t>.</w:t>
            </w:r>
          </w:p>
          <w:p w14:paraId="48FDFCEC" w14:textId="77777777" w:rsidR="005F114A" w:rsidRDefault="00F53A95" w:rsidP="00E67745">
            <w:pPr>
              <w:pStyle w:val="naisf"/>
              <w:spacing w:before="0" w:beforeAutospacing="0" w:after="0" w:afterAutospacing="0"/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Noteikumu projektā ie</w:t>
            </w:r>
            <w:r w:rsidR="00BA29CB" w:rsidRPr="00941BB0">
              <w:rPr>
                <w:szCs w:val="28"/>
              </w:rPr>
              <w:t>tver</w:t>
            </w:r>
            <w:r w:rsidRPr="00941BB0">
              <w:rPr>
                <w:szCs w:val="28"/>
              </w:rPr>
              <w:t xml:space="preserve">ti arī precizējumi </w:t>
            </w:r>
            <w:proofErr w:type="spellStart"/>
            <w:r w:rsidRPr="00941BB0">
              <w:rPr>
                <w:szCs w:val="28"/>
              </w:rPr>
              <w:t>virspārraudzības</w:t>
            </w:r>
            <w:proofErr w:type="spellEnd"/>
            <w:r w:rsidRPr="00941BB0">
              <w:rPr>
                <w:szCs w:val="28"/>
              </w:rPr>
              <w:t xml:space="preserve"> rezultātu efektīvākai izvērtēšanai</w:t>
            </w:r>
            <w:r w:rsidR="00BB2A65" w:rsidRPr="00941BB0">
              <w:rPr>
                <w:szCs w:val="28"/>
              </w:rPr>
              <w:t xml:space="preserve"> un lēmuma pieņemšanai</w:t>
            </w:r>
            <w:r w:rsidR="00BA29CB" w:rsidRPr="00941BB0">
              <w:rPr>
                <w:szCs w:val="28"/>
              </w:rPr>
              <w:t>, t.i.,</w:t>
            </w:r>
            <w:r w:rsidRPr="00941BB0">
              <w:rPr>
                <w:szCs w:val="28"/>
              </w:rPr>
              <w:t xml:space="preserve"> noteikts, ka </w:t>
            </w:r>
            <w:proofErr w:type="spellStart"/>
            <w:r w:rsidRPr="00941BB0">
              <w:rPr>
                <w:szCs w:val="28"/>
              </w:rPr>
              <w:t>virspārraudzības</w:t>
            </w:r>
            <w:proofErr w:type="spellEnd"/>
            <w:r w:rsidRPr="00941BB0">
              <w:rPr>
                <w:szCs w:val="28"/>
              </w:rPr>
              <w:t xml:space="preserve"> rezultātus vērtē datu centra izveidota komisija, kas pieņem lēmumu </w:t>
            </w:r>
            <w:r w:rsidR="00B3464B" w:rsidRPr="00941BB0">
              <w:rPr>
                <w:szCs w:val="28"/>
              </w:rPr>
              <w:t xml:space="preserve">par </w:t>
            </w:r>
            <w:r w:rsidR="00436FC1" w:rsidRPr="00941BB0">
              <w:rPr>
                <w:szCs w:val="28"/>
              </w:rPr>
              <w:t>tālāko darbību attiecībā uz ganāmpulka pārraudzības datiem</w:t>
            </w:r>
            <w:r w:rsidRPr="00941BB0">
              <w:rPr>
                <w:szCs w:val="28"/>
              </w:rPr>
              <w:t>.</w:t>
            </w:r>
          </w:p>
          <w:p w14:paraId="5FAA843C" w14:textId="75493EC8" w:rsidR="00941BB0" w:rsidRPr="00941BB0" w:rsidRDefault="00941BB0" w:rsidP="00E67745">
            <w:pPr>
              <w:pStyle w:val="naisf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</w:tr>
      <w:tr w:rsidR="00BA0DE8" w:rsidRPr="00941BB0" w14:paraId="59C2246A" w14:textId="77777777" w:rsidTr="008E3636">
        <w:tc>
          <w:tcPr>
            <w:tcW w:w="287" w:type="pct"/>
          </w:tcPr>
          <w:p w14:paraId="2DBE2D98" w14:textId="3CC3350A" w:rsidR="00AC145B" w:rsidRPr="00941BB0" w:rsidRDefault="00243D1D" w:rsidP="003037FE">
            <w:pPr>
              <w:pStyle w:val="Galvene"/>
              <w:jc w:val="center"/>
              <w:outlineLvl w:val="0"/>
              <w:rPr>
                <w:szCs w:val="28"/>
              </w:rPr>
            </w:pPr>
            <w:r w:rsidRPr="00941BB0">
              <w:rPr>
                <w:szCs w:val="28"/>
              </w:rPr>
              <w:t>3</w:t>
            </w:r>
            <w:r w:rsidR="00AC145B" w:rsidRPr="00941BB0">
              <w:rPr>
                <w:szCs w:val="28"/>
              </w:rPr>
              <w:t>.</w:t>
            </w:r>
          </w:p>
        </w:tc>
        <w:tc>
          <w:tcPr>
            <w:tcW w:w="1275" w:type="pct"/>
          </w:tcPr>
          <w:p w14:paraId="52DCCDB0" w14:textId="77777777" w:rsidR="00AC145B" w:rsidRDefault="00AC145B" w:rsidP="003037FE">
            <w:pPr>
              <w:pStyle w:val="Galvene"/>
              <w:jc w:val="both"/>
              <w:outlineLvl w:val="0"/>
              <w:rPr>
                <w:szCs w:val="28"/>
              </w:rPr>
            </w:pPr>
            <w:r w:rsidRPr="00941BB0">
              <w:rPr>
                <w:szCs w:val="28"/>
              </w:rPr>
              <w:t>Projekta izstrādē iesaistītās institūcijas</w:t>
            </w:r>
          </w:p>
          <w:p w14:paraId="73E7E513" w14:textId="77777777" w:rsidR="00941BB0" w:rsidRPr="00941BB0" w:rsidRDefault="00941BB0" w:rsidP="003037FE">
            <w:pPr>
              <w:pStyle w:val="Galvene"/>
              <w:jc w:val="both"/>
              <w:outlineLvl w:val="0"/>
              <w:rPr>
                <w:szCs w:val="28"/>
              </w:rPr>
            </w:pPr>
          </w:p>
        </w:tc>
        <w:tc>
          <w:tcPr>
            <w:tcW w:w="3438" w:type="pct"/>
          </w:tcPr>
          <w:p w14:paraId="224C0756" w14:textId="15FA6E9A" w:rsidR="00AC145B" w:rsidRPr="00941BB0" w:rsidRDefault="00821E5D" w:rsidP="003037FE">
            <w:pPr>
              <w:jc w:val="both"/>
              <w:rPr>
                <w:szCs w:val="28"/>
              </w:rPr>
            </w:pPr>
            <w:r w:rsidRPr="00941BB0">
              <w:rPr>
                <w:szCs w:val="28"/>
              </w:rPr>
              <w:lastRenderedPageBreak/>
              <w:t>Zemkopības ministrija un</w:t>
            </w:r>
            <w:r w:rsidR="00AC145B" w:rsidRPr="00941BB0">
              <w:rPr>
                <w:szCs w:val="28"/>
              </w:rPr>
              <w:t xml:space="preserve"> </w:t>
            </w:r>
            <w:r w:rsidR="00325907" w:rsidRPr="00941BB0">
              <w:rPr>
                <w:szCs w:val="28"/>
              </w:rPr>
              <w:t>datu centrs</w:t>
            </w:r>
          </w:p>
        </w:tc>
      </w:tr>
      <w:tr w:rsidR="005C3223" w:rsidRPr="00941BB0" w14:paraId="45012733" w14:textId="77777777" w:rsidTr="008E3636">
        <w:tc>
          <w:tcPr>
            <w:tcW w:w="287" w:type="pct"/>
          </w:tcPr>
          <w:p w14:paraId="07FBDCDD" w14:textId="77777777" w:rsidR="00AC145B" w:rsidRPr="00941BB0" w:rsidRDefault="00243D1D" w:rsidP="003037FE">
            <w:pPr>
              <w:pStyle w:val="naislab"/>
              <w:spacing w:before="0" w:after="0"/>
              <w:jc w:val="center"/>
              <w:outlineLvl w:val="0"/>
              <w:rPr>
                <w:szCs w:val="28"/>
              </w:rPr>
            </w:pPr>
            <w:r w:rsidRPr="00941BB0">
              <w:rPr>
                <w:szCs w:val="28"/>
              </w:rPr>
              <w:t>4</w:t>
            </w:r>
            <w:r w:rsidR="00AC145B" w:rsidRPr="00941BB0">
              <w:rPr>
                <w:szCs w:val="28"/>
              </w:rPr>
              <w:t>.</w:t>
            </w:r>
          </w:p>
        </w:tc>
        <w:tc>
          <w:tcPr>
            <w:tcW w:w="1275" w:type="pct"/>
          </w:tcPr>
          <w:p w14:paraId="6454C268" w14:textId="77777777" w:rsidR="00AC145B" w:rsidRPr="00941BB0" w:rsidRDefault="00AC145B" w:rsidP="003037FE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941BB0">
              <w:rPr>
                <w:szCs w:val="28"/>
              </w:rPr>
              <w:t>Cita informācija</w:t>
            </w:r>
          </w:p>
        </w:tc>
        <w:tc>
          <w:tcPr>
            <w:tcW w:w="3438" w:type="pct"/>
          </w:tcPr>
          <w:p w14:paraId="22B2EB7F" w14:textId="77777777" w:rsidR="00AC145B" w:rsidRPr="00941BB0" w:rsidRDefault="00AC145B" w:rsidP="003037FE">
            <w:pPr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Nav.</w:t>
            </w:r>
          </w:p>
        </w:tc>
      </w:tr>
    </w:tbl>
    <w:p w14:paraId="35F0A776" w14:textId="77777777" w:rsidR="00A724E1" w:rsidRPr="00A61F81" w:rsidRDefault="00A724E1" w:rsidP="00AC145B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173"/>
        <w:gridCol w:w="6372"/>
      </w:tblGrid>
      <w:tr w:rsidR="00BA0DE8" w:rsidRPr="00941BB0" w14:paraId="01790ABC" w14:textId="77777777" w:rsidTr="00133DFE">
        <w:tc>
          <w:tcPr>
            <w:tcW w:w="5000" w:type="pct"/>
            <w:gridSpan w:val="3"/>
          </w:tcPr>
          <w:p w14:paraId="1EB0D8C7" w14:textId="77777777" w:rsidR="00AC145B" w:rsidRPr="00941BB0" w:rsidRDefault="00AC145B" w:rsidP="003037FE">
            <w:pPr>
              <w:jc w:val="center"/>
              <w:rPr>
                <w:b/>
                <w:szCs w:val="28"/>
              </w:rPr>
            </w:pPr>
            <w:r w:rsidRPr="00941BB0">
              <w:rPr>
                <w:b/>
                <w:szCs w:val="28"/>
              </w:rPr>
              <w:t>II. Tiesību akta projekta ietekme uz sabiedrību, tautsaimniecības attīstību un administratīvo slogu</w:t>
            </w:r>
          </w:p>
        </w:tc>
      </w:tr>
      <w:tr w:rsidR="00BA0DE8" w:rsidRPr="00941BB0" w14:paraId="5974D254" w14:textId="77777777" w:rsidTr="00F62D86">
        <w:tc>
          <w:tcPr>
            <w:tcW w:w="285" w:type="pct"/>
          </w:tcPr>
          <w:p w14:paraId="1B9D89DE" w14:textId="77777777" w:rsidR="00AC145B" w:rsidRPr="00941BB0" w:rsidRDefault="00AC145B" w:rsidP="003037FE">
            <w:pPr>
              <w:pStyle w:val="naislab"/>
              <w:spacing w:before="0" w:after="0"/>
              <w:jc w:val="center"/>
              <w:outlineLvl w:val="0"/>
              <w:rPr>
                <w:szCs w:val="28"/>
              </w:rPr>
            </w:pPr>
            <w:r w:rsidRPr="00941BB0">
              <w:rPr>
                <w:szCs w:val="28"/>
              </w:rPr>
              <w:t>1.</w:t>
            </w:r>
          </w:p>
        </w:tc>
        <w:tc>
          <w:tcPr>
            <w:tcW w:w="1199" w:type="pct"/>
          </w:tcPr>
          <w:p w14:paraId="4B7E57E0" w14:textId="77777777" w:rsidR="00AC145B" w:rsidRDefault="00AC145B" w:rsidP="003037FE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941BB0">
              <w:rPr>
                <w:szCs w:val="28"/>
              </w:rPr>
              <w:t>Sabiedrības mērķgrupas, kuras tiesiskais regulējums ietekmē vai varētu ietekmēt</w:t>
            </w:r>
          </w:p>
          <w:p w14:paraId="05BECCA4" w14:textId="77777777" w:rsidR="00941BB0" w:rsidRPr="00941BB0" w:rsidRDefault="00941BB0" w:rsidP="003037FE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</w:p>
        </w:tc>
        <w:tc>
          <w:tcPr>
            <w:tcW w:w="3516" w:type="pct"/>
          </w:tcPr>
          <w:p w14:paraId="416EB570" w14:textId="4371CBCF" w:rsidR="00D55996" w:rsidRPr="00941BB0" w:rsidRDefault="00D55996" w:rsidP="00D55996">
            <w:pPr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Slaucamo govju un kazu ganāmpulku īpašnieki, kas veic pārraudzību. Pēc Lauksaimniecības datu centra datiem</w:t>
            </w:r>
            <w:r w:rsidR="000B43C3" w:rsidRPr="00941BB0">
              <w:rPr>
                <w:szCs w:val="28"/>
              </w:rPr>
              <w:t>,</w:t>
            </w:r>
            <w:r w:rsidRPr="00941BB0">
              <w:rPr>
                <w:szCs w:val="28"/>
              </w:rPr>
              <w:t xml:space="preserve"> slaucamo govju</w:t>
            </w:r>
            <w:r w:rsidR="003752C7" w:rsidRPr="00941BB0">
              <w:rPr>
                <w:szCs w:val="28"/>
              </w:rPr>
              <w:t xml:space="preserve"> pārraudzība </w:t>
            </w:r>
            <w:r w:rsidR="00525D12" w:rsidRPr="00941BB0">
              <w:rPr>
                <w:szCs w:val="28"/>
              </w:rPr>
              <w:t>no</w:t>
            </w:r>
            <w:r w:rsidR="00B05487" w:rsidRPr="00941BB0">
              <w:rPr>
                <w:szCs w:val="28"/>
              </w:rPr>
              <w:t>tiek 4700</w:t>
            </w:r>
            <w:r w:rsidRPr="00941BB0">
              <w:rPr>
                <w:szCs w:val="28"/>
              </w:rPr>
              <w:t xml:space="preserve"> ganāmpulk</w:t>
            </w:r>
            <w:r w:rsidR="00B05487" w:rsidRPr="00941BB0">
              <w:rPr>
                <w:szCs w:val="28"/>
              </w:rPr>
              <w:t>os</w:t>
            </w:r>
            <w:r w:rsidRPr="00941BB0">
              <w:rPr>
                <w:szCs w:val="28"/>
              </w:rPr>
              <w:t xml:space="preserve">, bet slaucamo kazu pārraudzība </w:t>
            </w:r>
            <w:r w:rsidR="000B43C3" w:rsidRPr="00941BB0">
              <w:rPr>
                <w:szCs w:val="28"/>
              </w:rPr>
              <w:t>–</w:t>
            </w:r>
            <w:r w:rsidRPr="00941BB0">
              <w:rPr>
                <w:szCs w:val="28"/>
              </w:rPr>
              <w:t xml:space="preserve"> </w:t>
            </w:r>
            <w:r w:rsidR="00B05487" w:rsidRPr="00941BB0">
              <w:rPr>
                <w:szCs w:val="28"/>
              </w:rPr>
              <w:t>21</w:t>
            </w:r>
            <w:r w:rsidR="00BA29CB" w:rsidRPr="00941BB0">
              <w:rPr>
                <w:szCs w:val="28"/>
              </w:rPr>
              <w:t> </w:t>
            </w:r>
            <w:r w:rsidR="00B05487" w:rsidRPr="00941BB0">
              <w:rPr>
                <w:szCs w:val="28"/>
              </w:rPr>
              <w:t>ganāmpulkā</w:t>
            </w:r>
            <w:r w:rsidRPr="00941BB0">
              <w:rPr>
                <w:szCs w:val="28"/>
              </w:rPr>
              <w:t xml:space="preserve">. </w:t>
            </w:r>
          </w:p>
          <w:p w14:paraId="21F5456B" w14:textId="58D690EA" w:rsidR="00FE2C4C" w:rsidRPr="00941BB0" w:rsidRDefault="00FE2C4C" w:rsidP="00A61FEA">
            <w:pPr>
              <w:jc w:val="both"/>
              <w:rPr>
                <w:szCs w:val="28"/>
              </w:rPr>
            </w:pPr>
          </w:p>
        </w:tc>
      </w:tr>
      <w:tr w:rsidR="00BA0DE8" w:rsidRPr="00941BB0" w14:paraId="46D9EA57" w14:textId="77777777" w:rsidTr="00F62D86">
        <w:tc>
          <w:tcPr>
            <w:tcW w:w="285" w:type="pct"/>
          </w:tcPr>
          <w:p w14:paraId="71B5C867" w14:textId="15F15067" w:rsidR="00AC145B" w:rsidRPr="00941BB0" w:rsidRDefault="00AC145B" w:rsidP="003037FE">
            <w:pPr>
              <w:pStyle w:val="naislab"/>
              <w:spacing w:before="0" w:after="0"/>
              <w:jc w:val="center"/>
              <w:outlineLvl w:val="0"/>
              <w:rPr>
                <w:szCs w:val="28"/>
              </w:rPr>
            </w:pPr>
            <w:r w:rsidRPr="00941BB0">
              <w:rPr>
                <w:szCs w:val="28"/>
              </w:rPr>
              <w:t>2.</w:t>
            </w:r>
          </w:p>
        </w:tc>
        <w:tc>
          <w:tcPr>
            <w:tcW w:w="1199" w:type="pct"/>
          </w:tcPr>
          <w:p w14:paraId="40113E12" w14:textId="77777777" w:rsidR="00AC145B" w:rsidRDefault="00AC145B" w:rsidP="003037FE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941BB0">
              <w:rPr>
                <w:szCs w:val="28"/>
              </w:rPr>
              <w:t>Tiesiskā regulējuma ietekme uz tautsaimniecību un administratīvo slogu</w:t>
            </w:r>
          </w:p>
          <w:p w14:paraId="65D5FE84" w14:textId="77777777" w:rsidR="005839E0" w:rsidRPr="00941BB0" w:rsidRDefault="005839E0" w:rsidP="003037FE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</w:p>
        </w:tc>
        <w:tc>
          <w:tcPr>
            <w:tcW w:w="3516" w:type="pct"/>
          </w:tcPr>
          <w:p w14:paraId="5D920BC2" w14:textId="5CD199AB" w:rsidR="00AC145B" w:rsidRPr="00941BB0" w:rsidRDefault="000B2338" w:rsidP="00672041">
            <w:pPr>
              <w:jc w:val="both"/>
              <w:rPr>
                <w:szCs w:val="28"/>
              </w:rPr>
            </w:pPr>
            <w:r w:rsidRPr="00941BB0">
              <w:rPr>
                <w:bCs/>
                <w:szCs w:val="28"/>
              </w:rPr>
              <w:t>Tiesisk</w:t>
            </w:r>
            <w:r w:rsidR="000B43C3" w:rsidRPr="00941BB0">
              <w:rPr>
                <w:bCs/>
                <w:szCs w:val="28"/>
              </w:rPr>
              <w:t>ais</w:t>
            </w:r>
            <w:r w:rsidRPr="00941BB0">
              <w:rPr>
                <w:bCs/>
                <w:szCs w:val="28"/>
              </w:rPr>
              <w:t xml:space="preserve"> regulējum</w:t>
            </w:r>
            <w:r w:rsidR="000B43C3" w:rsidRPr="00941BB0">
              <w:rPr>
                <w:bCs/>
                <w:szCs w:val="28"/>
              </w:rPr>
              <w:t>s nerada</w:t>
            </w:r>
            <w:r w:rsidRPr="00941BB0">
              <w:rPr>
                <w:bCs/>
                <w:szCs w:val="28"/>
              </w:rPr>
              <w:t xml:space="preserve"> jaunas tiesības un pienākum</w:t>
            </w:r>
            <w:r w:rsidR="000B43C3" w:rsidRPr="00941BB0">
              <w:rPr>
                <w:bCs/>
                <w:szCs w:val="28"/>
              </w:rPr>
              <w:t>us</w:t>
            </w:r>
            <w:r w:rsidRPr="00941BB0">
              <w:rPr>
                <w:bCs/>
                <w:szCs w:val="28"/>
              </w:rPr>
              <w:t>.</w:t>
            </w:r>
          </w:p>
        </w:tc>
      </w:tr>
      <w:tr w:rsidR="00BA0DE8" w:rsidRPr="00941BB0" w14:paraId="7A601307" w14:textId="77777777" w:rsidTr="00F62D86">
        <w:tc>
          <w:tcPr>
            <w:tcW w:w="285" w:type="pct"/>
          </w:tcPr>
          <w:p w14:paraId="30FFF5C8" w14:textId="77777777" w:rsidR="00AC145B" w:rsidRPr="00941BB0" w:rsidRDefault="00AC145B" w:rsidP="003037FE">
            <w:pPr>
              <w:pStyle w:val="naislab"/>
              <w:spacing w:before="0" w:after="0"/>
              <w:jc w:val="center"/>
              <w:outlineLvl w:val="0"/>
              <w:rPr>
                <w:szCs w:val="28"/>
              </w:rPr>
            </w:pPr>
            <w:r w:rsidRPr="00941BB0">
              <w:rPr>
                <w:szCs w:val="28"/>
              </w:rPr>
              <w:t>3.</w:t>
            </w:r>
          </w:p>
        </w:tc>
        <w:tc>
          <w:tcPr>
            <w:tcW w:w="1199" w:type="pct"/>
          </w:tcPr>
          <w:p w14:paraId="6988CC44" w14:textId="77777777" w:rsidR="00AC145B" w:rsidRDefault="00AC145B" w:rsidP="003037FE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941BB0">
              <w:rPr>
                <w:szCs w:val="28"/>
              </w:rPr>
              <w:t>Administratīvo izmaksu monetārs novērtējums</w:t>
            </w:r>
          </w:p>
          <w:p w14:paraId="6684BBE4" w14:textId="77777777" w:rsidR="005839E0" w:rsidRPr="00941BB0" w:rsidRDefault="005839E0" w:rsidP="003037FE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</w:p>
        </w:tc>
        <w:tc>
          <w:tcPr>
            <w:tcW w:w="3516" w:type="pct"/>
          </w:tcPr>
          <w:p w14:paraId="0D29098D" w14:textId="1FBA8B9E" w:rsidR="00AC145B" w:rsidRPr="00941BB0" w:rsidRDefault="00DF5EE4" w:rsidP="003037FE">
            <w:pPr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Projekts šo jomu neskar.</w:t>
            </w:r>
          </w:p>
        </w:tc>
      </w:tr>
      <w:tr w:rsidR="005C3223" w:rsidRPr="00941BB0" w14:paraId="2B5BD8E3" w14:textId="77777777" w:rsidTr="00F62D86">
        <w:tc>
          <w:tcPr>
            <w:tcW w:w="285" w:type="pct"/>
          </w:tcPr>
          <w:p w14:paraId="52C6E535" w14:textId="77777777" w:rsidR="00AC145B" w:rsidRPr="00941BB0" w:rsidRDefault="00AC145B" w:rsidP="003037FE">
            <w:pPr>
              <w:pStyle w:val="naislab"/>
              <w:spacing w:before="0" w:after="0"/>
              <w:jc w:val="center"/>
              <w:outlineLvl w:val="0"/>
              <w:rPr>
                <w:szCs w:val="28"/>
              </w:rPr>
            </w:pPr>
            <w:r w:rsidRPr="00941BB0">
              <w:rPr>
                <w:szCs w:val="28"/>
              </w:rPr>
              <w:t>4.</w:t>
            </w:r>
          </w:p>
        </w:tc>
        <w:tc>
          <w:tcPr>
            <w:tcW w:w="1199" w:type="pct"/>
          </w:tcPr>
          <w:p w14:paraId="33541139" w14:textId="77777777" w:rsidR="00AC145B" w:rsidRPr="00941BB0" w:rsidRDefault="00AC145B" w:rsidP="003037FE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941BB0">
              <w:rPr>
                <w:szCs w:val="28"/>
              </w:rPr>
              <w:t>Cita informācija</w:t>
            </w:r>
          </w:p>
        </w:tc>
        <w:tc>
          <w:tcPr>
            <w:tcW w:w="3516" w:type="pct"/>
          </w:tcPr>
          <w:p w14:paraId="3B2591EC" w14:textId="77777777" w:rsidR="00AC145B" w:rsidRPr="00941BB0" w:rsidRDefault="00AC145B" w:rsidP="003037FE">
            <w:pPr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Nav.</w:t>
            </w:r>
          </w:p>
        </w:tc>
      </w:tr>
    </w:tbl>
    <w:p w14:paraId="5648C918" w14:textId="77777777" w:rsidR="00A724E1" w:rsidRPr="00A61F81" w:rsidRDefault="00A724E1" w:rsidP="00656C9A">
      <w:pPr>
        <w:rPr>
          <w:sz w:val="28"/>
          <w:szCs w:val="28"/>
        </w:rPr>
      </w:pPr>
    </w:p>
    <w:p w14:paraId="0265AEF8" w14:textId="7FA49112" w:rsidR="00656C9A" w:rsidRPr="00A61F81" w:rsidRDefault="00656C9A" w:rsidP="00656C9A">
      <w:pPr>
        <w:rPr>
          <w:i/>
          <w:sz w:val="28"/>
          <w:szCs w:val="28"/>
        </w:rPr>
      </w:pPr>
      <w:r w:rsidRPr="00A61F81">
        <w:rPr>
          <w:i/>
          <w:sz w:val="28"/>
          <w:szCs w:val="28"/>
        </w:rPr>
        <w:t xml:space="preserve">Anotācijas </w:t>
      </w:r>
      <w:r w:rsidR="008F28C0" w:rsidRPr="00A61F81">
        <w:rPr>
          <w:i/>
          <w:sz w:val="28"/>
          <w:szCs w:val="28"/>
        </w:rPr>
        <w:t>III</w:t>
      </w:r>
      <w:r w:rsidR="00BA29CB">
        <w:rPr>
          <w:i/>
          <w:sz w:val="28"/>
          <w:szCs w:val="28"/>
        </w:rPr>
        <w:t>–</w:t>
      </w:r>
      <w:r w:rsidR="0060636F" w:rsidRPr="00A61F81">
        <w:rPr>
          <w:i/>
          <w:sz w:val="28"/>
          <w:szCs w:val="28"/>
        </w:rPr>
        <w:t>V</w:t>
      </w:r>
      <w:r w:rsidR="00D36A7D" w:rsidRPr="00A61F81">
        <w:rPr>
          <w:i/>
          <w:sz w:val="28"/>
          <w:szCs w:val="28"/>
        </w:rPr>
        <w:t xml:space="preserve"> </w:t>
      </w:r>
      <w:r w:rsidRPr="00A61F81">
        <w:rPr>
          <w:i/>
          <w:sz w:val="28"/>
          <w:szCs w:val="28"/>
        </w:rPr>
        <w:t>sadaļa – projekts š</w:t>
      </w:r>
      <w:r w:rsidR="00143CB1" w:rsidRPr="00A61F81">
        <w:rPr>
          <w:i/>
          <w:sz w:val="28"/>
          <w:szCs w:val="28"/>
        </w:rPr>
        <w:t>īs</w:t>
      </w:r>
      <w:r w:rsidRPr="00A61F81">
        <w:rPr>
          <w:i/>
          <w:sz w:val="28"/>
          <w:szCs w:val="28"/>
        </w:rPr>
        <w:t xml:space="preserve"> jom</w:t>
      </w:r>
      <w:r w:rsidR="00143CB1" w:rsidRPr="00A61F81">
        <w:rPr>
          <w:i/>
          <w:sz w:val="28"/>
          <w:szCs w:val="28"/>
        </w:rPr>
        <w:t>as</w:t>
      </w:r>
      <w:r w:rsidRPr="00A61F81">
        <w:rPr>
          <w:i/>
          <w:sz w:val="28"/>
          <w:szCs w:val="28"/>
        </w:rPr>
        <w:t xml:space="preserve"> neskar.</w:t>
      </w:r>
    </w:p>
    <w:p w14:paraId="70012C41" w14:textId="77777777" w:rsidR="00034E23" w:rsidRPr="00A61F81" w:rsidRDefault="00034E23" w:rsidP="00656C9A">
      <w:pPr>
        <w:rPr>
          <w:i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5953"/>
      </w:tblGrid>
      <w:tr w:rsidR="00EA68B8" w:rsidRPr="00941BB0" w14:paraId="502E7721" w14:textId="77777777" w:rsidTr="00F62D86">
        <w:trPr>
          <w:trHeight w:val="279"/>
        </w:trPr>
        <w:tc>
          <w:tcPr>
            <w:tcW w:w="9072" w:type="dxa"/>
            <w:gridSpan w:val="3"/>
          </w:tcPr>
          <w:p w14:paraId="5BE3E0A8" w14:textId="77777777" w:rsidR="00EA68B8" w:rsidRPr="00941BB0" w:rsidRDefault="00EA68B8" w:rsidP="004D61B7">
            <w:pPr>
              <w:jc w:val="center"/>
              <w:rPr>
                <w:b/>
                <w:szCs w:val="28"/>
              </w:rPr>
            </w:pPr>
            <w:r w:rsidRPr="00941BB0">
              <w:rPr>
                <w:b/>
                <w:szCs w:val="28"/>
              </w:rPr>
              <w:t>VI. Sabiedrības līdzdalība un komunikācijas aktivitātes</w:t>
            </w:r>
          </w:p>
        </w:tc>
      </w:tr>
      <w:tr w:rsidR="00EA68B8" w:rsidRPr="00941BB0" w14:paraId="135092D5" w14:textId="77777777" w:rsidTr="00F62D86">
        <w:trPr>
          <w:trHeight w:val="279"/>
        </w:trPr>
        <w:tc>
          <w:tcPr>
            <w:tcW w:w="567" w:type="dxa"/>
          </w:tcPr>
          <w:p w14:paraId="219D0E9F" w14:textId="77777777" w:rsidR="00EA68B8" w:rsidRPr="00941BB0" w:rsidRDefault="00EA68B8" w:rsidP="004D61B7">
            <w:pPr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1.</w:t>
            </w:r>
          </w:p>
        </w:tc>
        <w:tc>
          <w:tcPr>
            <w:tcW w:w="2552" w:type="dxa"/>
          </w:tcPr>
          <w:p w14:paraId="7CD74541" w14:textId="77777777" w:rsidR="00EA68B8" w:rsidRDefault="00EA68B8" w:rsidP="004D61B7">
            <w:pPr>
              <w:rPr>
                <w:szCs w:val="28"/>
              </w:rPr>
            </w:pPr>
            <w:r w:rsidRPr="00941BB0">
              <w:rPr>
                <w:szCs w:val="28"/>
              </w:rPr>
              <w:t>Plānotās sabiedrības līdzdalības un komunikācijas aktivitātes saistībā ar projektu</w:t>
            </w:r>
          </w:p>
          <w:p w14:paraId="2146B73D" w14:textId="77777777" w:rsidR="005839E0" w:rsidRPr="00941BB0" w:rsidRDefault="005839E0" w:rsidP="004D61B7">
            <w:pPr>
              <w:rPr>
                <w:szCs w:val="28"/>
              </w:rPr>
            </w:pPr>
          </w:p>
        </w:tc>
        <w:tc>
          <w:tcPr>
            <w:tcW w:w="5953" w:type="dxa"/>
          </w:tcPr>
          <w:p w14:paraId="2212C553" w14:textId="3DC66A05" w:rsidR="00673919" w:rsidRPr="00941BB0" w:rsidRDefault="00673919" w:rsidP="00673919">
            <w:pPr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Informācija par no</w:t>
            </w:r>
            <w:r w:rsidR="003D6BA3" w:rsidRPr="00941BB0">
              <w:rPr>
                <w:szCs w:val="28"/>
              </w:rPr>
              <w:t>teikumu</w:t>
            </w:r>
            <w:r w:rsidRPr="00941BB0">
              <w:rPr>
                <w:szCs w:val="28"/>
              </w:rPr>
              <w:t xml:space="preserve"> projektu ievietota tīmekļa vietnē </w:t>
            </w:r>
            <w:proofErr w:type="spellStart"/>
            <w:r w:rsidRPr="00941BB0">
              <w:rPr>
                <w:szCs w:val="28"/>
              </w:rPr>
              <w:t>www.zm.gov.lv</w:t>
            </w:r>
            <w:proofErr w:type="spellEnd"/>
            <w:r w:rsidRPr="00941BB0">
              <w:rPr>
                <w:szCs w:val="28"/>
              </w:rPr>
              <w:t xml:space="preserve">. </w:t>
            </w:r>
          </w:p>
          <w:p w14:paraId="30F071F5" w14:textId="6C8C4F0A" w:rsidR="00EA68B8" w:rsidRPr="00941BB0" w:rsidRDefault="00673919" w:rsidP="00673919">
            <w:pPr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Projekts elektroniski nosūtīts saskaņošanai Lauksaimnieku organizāciju sadarbības padomei un Zemnieku saeimai.</w:t>
            </w:r>
          </w:p>
        </w:tc>
      </w:tr>
      <w:tr w:rsidR="00EA68B8" w:rsidRPr="00941BB0" w14:paraId="6D4B68CC" w14:textId="77777777" w:rsidTr="00F62D86">
        <w:trPr>
          <w:trHeight w:val="279"/>
        </w:trPr>
        <w:tc>
          <w:tcPr>
            <w:tcW w:w="567" w:type="dxa"/>
          </w:tcPr>
          <w:p w14:paraId="151DAC28" w14:textId="77777777" w:rsidR="00EA68B8" w:rsidRPr="00941BB0" w:rsidRDefault="00EA68B8" w:rsidP="004D61B7">
            <w:pPr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2.</w:t>
            </w:r>
          </w:p>
        </w:tc>
        <w:tc>
          <w:tcPr>
            <w:tcW w:w="2552" w:type="dxa"/>
          </w:tcPr>
          <w:p w14:paraId="2E62258B" w14:textId="77777777" w:rsidR="00EA68B8" w:rsidRPr="00941BB0" w:rsidRDefault="00EA68B8" w:rsidP="004D61B7">
            <w:pPr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Sabiedrības līdzdalība projekta izstrādē</w:t>
            </w:r>
          </w:p>
        </w:tc>
        <w:tc>
          <w:tcPr>
            <w:tcW w:w="5953" w:type="dxa"/>
          </w:tcPr>
          <w:p w14:paraId="77DF459C" w14:textId="77777777" w:rsidR="00673919" w:rsidRDefault="00AE7445" w:rsidP="003111EF">
            <w:pPr>
              <w:pStyle w:val="naiskr"/>
              <w:spacing w:before="0" w:beforeAutospacing="0" w:after="0" w:afterAutospacing="0"/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Zemnieku saeima projektu saskaņoja bez iebildumiem. No Lauksaimnieku organizāciju sadarbības padomes saņemti komentāri un jautājumi par projektu. Pēc Zemkopības ministrijas skaidrojuma nosūtīšanas Lauksaimnieku organizāciju sadarbības padomei atkārtoti komentāri netika saņemti.</w:t>
            </w:r>
          </w:p>
          <w:p w14:paraId="06470304" w14:textId="675E6DAD" w:rsidR="00941BB0" w:rsidRPr="00941BB0" w:rsidRDefault="00941BB0" w:rsidP="003111EF">
            <w:pPr>
              <w:pStyle w:val="naiskr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</w:tr>
      <w:tr w:rsidR="00EA68B8" w:rsidRPr="00941BB0" w14:paraId="11F2CA61" w14:textId="77777777" w:rsidTr="00F62D86">
        <w:trPr>
          <w:trHeight w:val="279"/>
        </w:trPr>
        <w:tc>
          <w:tcPr>
            <w:tcW w:w="567" w:type="dxa"/>
          </w:tcPr>
          <w:p w14:paraId="01004ABB" w14:textId="77777777" w:rsidR="00EA68B8" w:rsidRPr="00941BB0" w:rsidRDefault="00EA68B8" w:rsidP="004D61B7">
            <w:pPr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3.</w:t>
            </w:r>
          </w:p>
        </w:tc>
        <w:tc>
          <w:tcPr>
            <w:tcW w:w="2552" w:type="dxa"/>
          </w:tcPr>
          <w:p w14:paraId="3CC8C26B" w14:textId="77777777" w:rsidR="00EA68B8" w:rsidRDefault="00EA68B8" w:rsidP="004D61B7">
            <w:pPr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Sabiedrības līdzdalības rezultāti</w:t>
            </w:r>
          </w:p>
          <w:p w14:paraId="033F9BB7" w14:textId="77777777" w:rsidR="005839E0" w:rsidRPr="00941BB0" w:rsidRDefault="005839E0" w:rsidP="004D61B7">
            <w:pPr>
              <w:jc w:val="both"/>
              <w:rPr>
                <w:szCs w:val="28"/>
              </w:rPr>
            </w:pPr>
          </w:p>
        </w:tc>
        <w:tc>
          <w:tcPr>
            <w:tcW w:w="5953" w:type="dxa"/>
          </w:tcPr>
          <w:p w14:paraId="3A455C4D" w14:textId="4412C30B" w:rsidR="00EA68B8" w:rsidRPr="00941BB0" w:rsidRDefault="00573A1F" w:rsidP="00573A1F">
            <w:pPr>
              <w:pStyle w:val="naiskr"/>
              <w:spacing w:before="0" w:beforeAutospacing="0" w:after="0" w:afterAutospacing="0"/>
              <w:jc w:val="both"/>
              <w:rPr>
                <w:szCs w:val="28"/>
              </w:rPr>
            </w:pPr>
            <w:r w:rsidRPr="00941BB0">
              <w:rPr>
                <w:szCs w:val="28"/>
              </w:rPr>
              <w:t xml:space="preserve">Zemnieku saeima un </w:t>
            </w:r>
            <w:r w:rsidR="00D713D7" w:rsidRPr="00941BB0">
              <w:rPr>
                <w:szCs w:val="28"/>
              </w:rPr>
              <w:t>Lauksaimnieku o</w:t>
            </w:r>
            <w:r w:rsidRPr="00941BB0">
              <w:rPr>
                <w:szCs w:val="28"/>
              </w:rPr>
              <w:t>rganizāciju sadarbības padome</w:t>
            </w:r>
            <w:r w:rsidR="00D713D7" w:rsidRPr="00941BB0">
              <w:rPr>
                <w:szCs w:val="28"/>
              </w:rPr>
              <w:t xml:space="preserve"> atbalsta projekta tālāku virzību.</w:t>
            </w:r>
          </w:p>
        </w:tc>
      </w:tr>
      <w:tr w:rsidR="00EA68B8" w:rsidRPr="00941BB0" w14:paraId="47C1A31C" w14:textId="77777777" w:rsidTr="00F62D86">
        <w:trPr>
          <w:trHeight w:val="279"/>
        </w:trPr>
        <w:tc>
          <w:tcPr>
            <w:tcW w:w="567" w:type="dxa"/>
          </w:tcPr>
          <w:p w14:paraId="2A4AB2A6" w14:textId="77777777" w:rsidR="00EA68B8" w:rsidRPr="00941BB0" w:rsidRDefault="00EA68B8" w:rsidP="004D61B7">
            <w:pPr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4.</w:t>
            </w:r>
          </w:p>
        </w:tc>
        <w:tc>
          <w:tcPr>
            <w:tcW w:w="2552" w:type="dxa"/>
          </w:tcPr>
          <w:p w14:paraId="0EB441C1" w14:textId="77777777" w:rsidR="00EA68B8" w:rsidRPr="00941BB0" w:rsidRDefault="00EA68B8" w:rsidP="004D61B7">
            <w:pPr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Cita informācija</w:t>
            </w:r>
          </w:p>
        </w:tc>
        <w:tc>
          <w:tcPr>
            <w:tcW w:w="5953" w:type="dxa"/>
          </w:tcPr>
          <w:p w14:paraId="344B4C7A" w14:textId="77777777" w:rsidR="00EA68B8" w:rsidRPr="00941BB0" w:rsidRDefault="00EA68B8" w:rsidP="004D61B7">
            <w:pPr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Nav.</w:t>
            </w:r>
          </w:p>
        </w:tc>
      </w:tr>
    </w:tbl>
    <w:p w14:paraId="1B8EF48F" w14:textId="77777777" w:rsidR="00A724E1" w:rsidRPr="00A61F81" w:rsidRDefault="00A724E1" w:rsidP="00EA68B8">
      <w:pPr>
        <w:rPr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60"/>
        <w:gridCol w:w="5103"/>
      </w:tblGrid>
      <w:tr w:rsidR="00EA68B8" w:rsidRPr="00941BB0" w14:paraId="1AB3E134" w14:textId="77777777" w:rsidTr="00003820">
        <w:trPr>
          <w:trHeight w:val="279"/>
        </w:trPr>
        <w:tc>
          <w:tcPr>
            <w:tcW w:w="9072" w:type="dxa"/>
            <w:gridSpan w:val="3"/>
          </w:tcPr>
          <w:p w14:paraId="62A2CD89" w14:textId="77777777" w:rsidR="00EA68B8" w:rsidRPr="00941BB0" w:rsidRDefault="00EA68B8" w:rsidP="004D61B7">
            <w:pPr>
              <w:jc w:val="center"/>
              <w:rPr>
                <w:b/>
                <w:szCs w:val="28"/>
              </w:rPr>
            </w:pPr>
            <w:r w:rsidRPr="00941BB0">
              <w:rPr>
                <w:b/>
                <w:szCs w:val="28"/>
              </w:rPr>
              <w:t>VII. Tiesību akta projekta izpildes nodrošināšana un tās ietekme uz institūcijām</w:t>
            </w:r>
          </w:p>
        </w:tc>
      </w:tr>
      <w:tr w:rsidR="00EA68B8" w:rsidRPr="00941BB0" w14:paraId="52E8AB88" w14:textId="77777777" w:rsidTr="00003820">
        <w:trPr>
          <w:trHeight w:val="279"/>
        </w:trPr>
        <w:tc>
          <w:tcPr>
            <w:tcW w:w="709" w:type="dxa"/>
          </w:tcPr>
          <w:p w14:paraId="01D358F8" w14:textId="77777777" w:rsidR="00EA68B8" w:rsidRPr="00941BB0" w:rsidRDefault="00EA68B8" w:rsidP="004D61B7">
            <w:pPr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1.</w:t>
            </w:r>
          </w:p>
        </w:tc>
        <w:tc>
          <w:tcPr>
            <w:tcW w:w="3260" w:type="dxa"/>
          </w:tcPr>
          <w:p w14:paraId="3A7623BA" w14:textId="77777777" w:rsidR="00EA68B8" w:rsidRDefault="00EA68B8" w:rsidP="004D61B7">
            <w:pPr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Projekta izpildē iesaistītās institūcijas</w:t>
            </w:r>
          </w:p>
          <w:p w14:paraId="2408C3BD" w14:textId="77777777" w:rsidR="005839E0" w:rsidRPr="00941BB0" w:rsidRDefault="005839E0" w:rsidP="004D61B7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14:paraId="7F49F27D" w14:textId="2CA275B8" w:rsidR="00EA68B8" w:rsidRPr="00941BB0" w:rsidRDefault="00F13E1C" w:rsidP="004D61B7">
            <w:pPr>
              <w:pStyle w:val="naisnod"/>
              <w:spacing w:before="0" w:after="0"/>
              <w:ind w:right="57"/>
              <w:jc w:val="both"/>
              <w:rPr>
                <w:b/>
                <w:szCs w:val="28"/>
              </w:rPr>
            </w:pPr>
            <w:r w:rsidRPr="00941BB0">
              <w:rPr>
                <w:szCs w:val="28"/>
              </w:rPr>
              <w:t>Lauksaimniecības datu centrs</w:t>
            </w:r>
          </w:p>
        </w:tc>
      </w:tr>
      <w:tr w:rsidR="00EA68B8" w:rsidRPr="00941BB0" w14:paraId="4AE2E7B3" w14:textId="77777777" w:rsidTr="00003820">
        <w:trPr>
          <w:trHeight w:val="279"/>
        </w:trPr>
        <w:tc>
          <w:tcPr>
            <w:tcW w:w="709" w:type="dxa"/>
          </w:tcPr>
          <w:p w14:paraId="43095FA4" w14:textId="77777777" w:rsidR="00EA68B8" w:rsidRPr="00941BB0" w:rsidRDefault="00EA68B8" w:rsidP="004D61B7">
            <w:pPr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2.</w:t>
            </w:r>
          </w:p>
        </w:tc>
        <w:tc>
          <w:tcPr>
            <w:tcW w:w="3260" w:type="dxa"/>
          </w:tcPr>
          <w:p w14:paraId="59A6EB3F" w14:textId="77777777" w:rsidR="00EA68B8" w:rsidRPr="00941BB0" w:rsidRDefault="00EA68B8" w:rsidP="004D61B7">
            <w:pPr>
              <w:rPr>
                <w:szCs w:val="28"/>
              </w:rPr>
            </w:pPr>
            <w:r w:rsidRPr="00941BB0">
              <w:rPr>
                <w:szCs w:val="28"/>
              </w:rPr>
              <w:t>Projekta izpildes ietekme uz pārvaldes funkcijām un institucionālo struktūru.</w:t>
            </w:r>
          </w:p>
          <w:p w14:paraId="61455B34" w14:textId="77777777" w:rsidR="00EA68B8" w:rsidRDefault="00EA68B8" w:rsidP="004D61B7">
            <w:pPr>
              <w:rPr>
                <w:szCs w:val="28"/>
              </w:rPr>
            </w:pPr>
            <w:r w:rsidRPr="00941BB0">
              <w:rPr>
                <w:szCs w:val="28"/>
              </w:rPr>
              <w:lastRenderedPageBreak/>
              <w:t>Jaunu institūciju izveide, esošu institūciju likvidācija vai reorganizācija, to ietekme uz institūcijas cilvēkresursiem</w:t>
            </w:r>
          </w:p>
          <w:p w14:paraId="739BB377" w14:textId="77777777" w:rsidR="005839E0" w:rsidRPr="00941BB0" w:rsidRDefault="005839E0" w:rsidP="004D61B7">
            <w:pPr>
              <w:rPr>
                <w:szCs w:val="28"/>
              </w:rPr>
            </w:pPr>
          </w:p>
        </w:tc>
        <w:tc>
          <w:tcPr>
            <w:tcW w:w="5103" w:type="dxa"/>
          </w:tcPr>
          <w:p w14:paraId="3740C56E" w14:textId="77777777" w:rsidR="00EA68B8" w:rsidRPr="00941BB0" w:rsidRDefault="00EA68B8" w:rsidP="004D61B7">
            <w:pPr>
              <w:jc w:val="both"/>
              <w:rPr>
                <w:b/>
                <w:szCs w:val="28"/>
              </w:rPr>
            </w:pPr>
            <w:r w:rsidRPr="00941BB0">
              <w:rPr>
                <w:szCs w:val="28"/>
              </w:rPr>
              <w:lastRenderedPageBreak/>
              <w:t>Projekts neietekmē pārvaldes funkcijas. Projekta izpildei nav nepieciešama jaunu institūciju izveide, esošo likvidācija vai reorganizācija.</w:t>
            </w:r>
          </w:p>
        </w:tc>
      </w:tr>
      <w:tr w:rsidR="00EA68B8" w:rsidRPr="00941BB0" w14:paraId="561C2F5C" w14:textId="77777777" w:rsidTr="00003820">
        <w:trPr>
          <w:trHeight w:val="279"/>
        </w:trPr>
        <w:tc>
          <w:tcPr>
            <w:tcW w:w="709" w:type="dxa"/>
          </w:tcPr>
          <w:p w14:paraId="7DDF9697" w14:textId="77777777" w:rsidR="00EA68B8" w:rsidRPr="00941BB0" w:rsidRDefault="00EA68B8" w:rsidP="004D61B7">
            <w:pPr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3.</w:t>
            </w:r>
          </w:p>
        </w:tc>
        <w:tc>
          <w:tcPr>
            <w:tcW w:w="3260" w:type="dxa"/>
          </w:tcPr>
          <w:p w14:paraId="05A11386" w14:textId="77777777" w:rsidR="00EA68B8" w:rsidRPr="00941BB0" w:rsidRDefault="00EA68B8" w:rsidP="004D61B7">
            <w:pPr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Cita informācija</w:t>
            </w:r>
          </w:p>
        </w:tc>
        <w:tc>
          <w:tcPr>
            <w:tcW w:w="5103" w:type="dxa"/>
          </w:tcPr>
          <w:p w14:paraId="0F76A81E" w14:textId="77777777" w:rsidR="00EA68B8" w:rsidRPr="00941BB0" w:rsidRDefault="00EA68B8" w:rsidP="004D61B7">
            <w:pPr>
              <w:pStyle w:val="naiskr"/>
              <w:spacing w:before="0" w:after="0"/>
              <w:ind w:left="57" w:right="57"/>
              <w:rPr>
                <w:szCs w:val="28"/>
              </w:rPr>
            </w:pPr>
            <w:r w:rsidRPr="00941BB0">
              <w:rPr>
                <w:szCs w:val="28"/>
              </w:rPr>
              <w:t>Nav.</w:t>
            </w:r>
          </w:p>
        </w:tc>
      </w:tr>
    </w:tbl>
    <w:p w14:paraId="69748957" w14:textId="77777777" w:rsidR="00EA68B8" w:rsidRPr="00A61F81" w:rsidRDefault="00EA68B8" w:rsidP="00656C9A">
      <w:pPr>
        <w:rPr>
          <w:i/>
          <w:sz w:val="28"/>
          <w:szCs w:val="28"/>
        </w:rPr>
      </w:pPr>
    </w:p>
    <w:p w14:paraId="36C5C358" w14:textId="77777777" w:rsidR="00EA68B8" w:rsidRPr="00A61F81" w:rsidRDefault="00EA68B8" w:rsidP="00656C9A">
      <w:pPr>
        <w:rPr>
          <w:i/>
          <w:sz w:val="28"/>
          <w:szCs w:val="28"/>
        </w:rPr>
      </w:pPr>
    </w:p>
    <w:p w14:paraId="70870B8F" w14:textId="77777777" w:rsidR="005839E0" w:rsidRDefault="005839E0" w:rsidP="00941BB0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14:paraId="786974A8" w14:textId="062BDE3B" w:rsidR="00F37F7E" w:rsidRPr="00A61F81" w:rsidRDefault="00F37F7E" w:rsidP="00941BB0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  <w:r w:rsidRPr="00A61F81">
        <w:rPr>
          <w:sz w:val="28"/>
          <w:szCs w:val="28"/>
        </w:rPr>
        <w:t>Zemkopības ministr</w:t>
      </w:r>
      <w:r w:rsidR="00F53E68">
        <w:rPr>
          <w:sz w:val="28"/>
          <w:szCs w:val="28"/>
        </w:rPr>
        <w:t xml:space="preserve">a </w:t>
      </w:r>
      <w:proofErr w:type="spellStart"/>
      <w:r w:rsidR="00F53E68">
        <w:rPr>
          <w:sz w:val="28"/>
          <w:szCs w:val="28"/>
        </w:rPr>
        <w:t>p.i</w:t>
      </w:r>
      <w:proofErr w:type="spellEnd"/>
      <w:r w:rsidR="00F53E68">
        <w:rPr>
          <w:sz w:val="28"/>
          <w:szCs w:val="28"/>
        </w:rPr>
        <w:t>.</w:t>
      </w:r>
      <w:r w:rsidRPr="00A61F81">
        <w:rPr>
          <w:sz w:val="28"/>
          <w:szCs w:val="28"/>
        </w:rPr>
        <w:tab/>
      </w:r>
      <w:r w:rsidRPr="00A61F81">
        <w:rPr>
          <w:sz w:val="28"/>
          <w:szCs w:val="28"/>
        </w:rPr>
        <w:tab/>
      </w:r>
      <w:r w:rsidRPr="00A61F81">
        <w:rPr>
          <w:sz w:val="28"/>
          <w:szCs w:val="28"/>
        </w:rPr>
        <w:tab/>
      </w:r>
      <w:r w:rsidRPr="00A61F81">
        <w:rPr>
          <w:sz w:val="28"/>
          <w:szCs w:val="28"/>
        </w:rPr>
        <w:tab/>
      </w:r>
      <w:r w:rsidR="00F53E68">
        <w:rPr>
          <w:sz w:val="28"/>
          <w:szCs w:val="28"/>
        </w:rPr>
        <w:tab/>
        <w:t>Raimonds Bergmanis</w:t>
      </w:r>
    </w:p>
    <w:p w14:paraId="00AD5150" w14:textId="77777777" w:rsidR="00652543" w:rsidRPr="00A61F81" w:rsidRDefault="00652543" w:rsidP="00941BB0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14:paraId="41232513" w14:textId="77777777" w:rsidR="00DA282F" w:rsidRDefault="00DA282F" w:rsidP="00941BB0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14:paraId="0DDA53AE" w14:textId="02928036" w:rsidR="00941BB0" w:rsidRPr="00A61F81" w:rsidRDefault="00941BB0" w:rsidP="00941BB0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Zemkopības m</w:t>
      </w:r>
      <w:r w:rsidR="00F53E68">
        <w:rPr>
          <w:sz w:val="28"/>
          <w:szCs w:val="28"/>
        </w:rPr>
        <w:t>inistrijas valsts sekretāre</w:t>
      </w:r>
      <w:r w:rsidR="00F53E68">
        <w:rPr>
          <w:sz w:val="28"/>
          <w:szCs w:val="28"/>
        </w:rPr>
        <w:tab/>
      </w:r>
      <w:r w:rsidR="00F53E68">
        <w:rPr>
          <w:sz w:val="28"/>
          <w:szCs w:val="28"/>
        </w:rPr>
        <w:tab/>
        <w:t xml:space="preserve">Dace </w:t>
      </w:r>
      <w:r>
        <w:rPr>
          <w:sz w:val="28"/>
          <w:szCs w:val="28"/>
        </w:rPr>
        <w:t>Lucaua</w:t>
      </w:r>
    </w:p>
    <w:p w14:paraId="7C52319A" w14:textId="77777777" w:rsidR="00DA282F" w:rsidRPr="00A61F81" w:rsidRDefault="00DA282F" w:rsidP="00AD4B66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7845C9C4" w14:textId="77777777" w:rsidR="00DA282F" w:rsidRPr="00A61F81" w:rsidRDefault="00DA282F" w:rsidP="00AD4B66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7FC7D616" w14:textId="77777777" w:rsidR="00A724E1" w:rsidRPr="00A61F81" w:rsidRDefault="00A724E1" w:rsidP="00AD4B66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306D0A45" w14:textId="77777777" w:rsidR="00A724E1" w:rsidRPr="00A61F81" w:rsidRDefault="00A724E1" w:rsidP="00AD4B66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622FD1B4" w14:textId="77777777" w:rsidR="00A724E1" w:rsidRPr="00A61F81" w:rsidRDefault="00A724E1" w:rsidP="00AD4B66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30F52107" w14:textId="77777777" w:rsidR="00A724E1" w:rsidRPr="00A61F81" w:rsidRDefault="00A724E1" w:rsidP="00AD4B66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1CE133FE" w14:textId="77777777" w:rsidR="00FA515A" w:rsidRDefault="00FA515A" w:rsidP="0002029A">
      <w:pPr>
        <w:jc w:val="both"/>
      </w:pPr>
      <w:bookmarkStart w:id="0" w:name="_GoBack"/>
      <w:bookmarkEnd w:id="0"/>
    </w:p>
    <w:p w14:paraId="069453BF" w14:textId="77777777" w:rsidR="00FA515A" w:rsidRDefault="00FA515A" w:rsidP="0002029A">
      <w:pPr>
        <w:jc w:val="both"/>
      </w:pPr>
    </w:p>
    <w:p w14:paraId="035D69E8" w14:textId="77777777" w:rsidR="00FA515A" w:rsidRDefault="00FA515A" w:rsidP="0002029A">
      <w:pPr>
        <w:jc w:val="both"/>
      </w:pPr>
    </w:p>
    <w:p w14:paraId="31B4A081" w14:textId="77777777" w:rsidR="00FA515A" w:rsidRDefault="00FA515A" w:rsidP="0002029A">
      <w:pPr>
        <w:jc w:val="both"/>
      </w:pPr>
    </w:p>
    <w:p w14:paraId="258BF1BA" w14:textId="77777777" w:rsidR="00FA515A" w:rsidRDefault="00FA515A" w:rsidP="0002029A">
      <w:pPr>
        <w:jc w:val="both"/>
      </w:pPr>
    </w:p>
    <w:p w14:paraId="04C527C5" w14:textId="77777777" w:rsidR="00FA515A" w:rsidRDefault="00FA515A" w:rsidP="0002029A">
      <w:pPr>
        <w:jc w:val="both"/>
      </w:pPr>
    </w:p>
    <w:p w14:paraId="1A9350B7" w14:textId="77777777" w:rsidR="00FA515A" w:rsidRDefault="00FA515A" w:rsidP="0002029A">
      <w:pPr>
        <w:jc w:val="both"/>
      </w:pPr>
    </w:p>
    <w:p w14:paraId="575CD833" w14:textId="08C6BDFA" w:rsidR="0002029A" w:rsidRPr="00A61F81" w:rsidRDefault="00AD4B66" w:rsidP="0002029A">
      <w:pPr>
        <w:jc w:val="both"/>
      </w:pPr>
      <w:r w:rsidRPr="00A61F81">
        <w:t>Ozoliņa</w:t>
      </w:r>
      <w:r w:rsidR="00003820" w:rsidRPr="00A61F81">
        <w:t xml:space="preserve"> 67027422</w:t>
      </w:r>
    </w:p>
    <w:p w14:paraId="1FDEFAAD" w14:textId="1AAC235F" w:rsidR="0002029A" w:rsidRPr="00A61F81" w:rsidRDefault="00AD4B66" w:rsidP="0002029A">
      <w:pPr>
        <w:jc w:val="both"/>
      </w:pPr>
      <w:r w:rsidRPr="00A61F81">
        <w:t>Ligija.Ozolina</w:t>
      </w:r>
      <w:r w:rsidR="0002029A" w:rsidRPr="00A61F81">
        <w:t>@zm.gov.lv</w:t>
      </w:r>
    </w:p>
    <w:sectPr w:rsidR="0002029A" w:rsidRPr="00A61F81" w:rsidSect="00941BB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33A0B" w14:textId="77777777" w:rsidR="0044651F" w:rsidRDefault="0044651F" w:rsidP="00F37F7E">
      <w:pPr>
        <w:pStyle w:val="naiskr"/>
      </w:pPr>
      <w:r>
        <w:separator/>
      </w:r>
    </w:p>
  </w:endnote>
  <w:endnote w:type="continuationSeparator" w:id="0">
    <w:p w14:paraId="0B7E4F50" w14:textId="77777777" w:rsidR="0044651F" w:rsidRDefault="0044651F" w:rsidP="00F37F7E">
      <w:pPr>
        <w:pStyle w:val="naisk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1444" w14:textId="2260B8E0" w:rsidR="009434A2" w:rsidRPr="00941BB0" w:rsidRDefault="00941BB0" w:rsidP="00941BB0">
    <w:pPr>
      <w:pStyle w:val="Kjene"/>
    </w:pPr>
    <w:r w:rsidRPr="00941BB0">
      <w:rPr>
        <w:sz w:val="20"/>
        <w:szCs w:val="20"/>
      </w:rPr>
      <w:t>Z</w:t>
    </w:r>
    <w:r w:rsidR="004F6FFB">
      <w:rPr>
        <w:sz w:val="20"/>
        <w:szCs w:val="20"/>
      </w:rPr>
      <w:t>MAnot_19</w:t>
    </w:r>
    <w:r w:rsidR="00E04FAC">
      <w:rPr>
        <w:sz w:val="20"/>
        <w:szCs w:val="20"/>
      </w:rPr>
      <w:t>0617</w:t>
    </w:r>
    <w:r w:rsidRPr="00941BB0">
      <w:rPr>
        <w:sz w:val="20"/>
        <w:szCs w:val="20"/>
      </w:rPr>
      <w:t>_grozgov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D06B3" w14:textId="09B10848" w:rsidR="001D3AC6" w:rsidRPr="00941BB0" w:rsidRDefault="00941BB0" w:rsidP="00941BB0">
    <w:pPr>
      <w:pStyle w:val="Kjene"/>
    </w:pPr>
    <w:r w:rsidRPr="00941BB0">
      <w:rPr>
        <w:sz w:val="20"/>
        <w:szCs w:val="20"/>
      </w:rPr>
      <w:t>Z</w:t>
    </w:r>
    <w:r w:rsidR="004F6FFB">
      <w:rPr>
        <w:sz w:val="20"/>
        <w:szCs w:val="20"/>
      </w:rPr>
      <w:t>MAnot_19</w:t>
    </w:r>
    <w:r w:rsidR="00E04FAC">
      <w:rPr>
        <w:sz w:val="20"/>
        <w:szCs w:val="20"/>
      </w:rPr>
      <w:t>06</w:t>
    </w:r>
    <w:r w:rsidRPr="00941BB0">
      <w:rPr>
        <w:sz w:val="20"/>
        <w:szCs w:val="20"/>
      </w:rPr>
      <w:t>17_grozgov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658F2" w14:textId="77777777" w:rsidR="0044651F" w:rsidRDefault="0044651F" w:rsidP="00F37F7E">
      <w:pPr>
        <w:pStyle w:val="naiskr"/>
      </w:pPr>
      <w:r>
        <w:separator/>
      </w:r>
    </w:p>
  </w:footnote>
  <w:footnote w:type="continuationSeparator" w:id="0">
    <w:p w14:paraId="1923173B" w14:textId="77777777" w:rsidR="0044651F" w:rsidRDefault="0044651F" w:rsidP="00F37F7E">
      <w:pPr>
        <w:pStyle w:val="naisk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16792" w14:textId="77777777" w:rsidR="009434A2" w:rsidRDefault="00BF7B5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434A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5FF177E" w14:textId="77777777" w:rsidR="009434A2" w:rsidRDefault="009434A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FFC87" w14:textId="7DB168C9" w:rsidR="009434A2" w:rsidRDefault="00BF7B5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434A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839E0">
      <w:rPr>
        <w:rStyle w:val="Lappusesnumurs"/>
        <w:noProof/>
      </w:rPr>
      <w:t>3</w:t>
    </w:r>
    <w:r>
      <w:rPr>
        <w:rStyle w:val="Lappusesnumurs"/>
      </w:rPr>
      <w:fldChar w:fldCharType="end"/>
    </w:r>
  </w:p>
  <w:p w14:paraId="24F79A11" w14:textId="77777777" w:rsidR="009434A2" w:rsidRDefault="009434A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040211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1113AD"/>
    <w:multiLevelType w:val="hybridMultilevel"/>
    <w:tmpl w:val="E3F2598C"/>
    <w:lvl w:ilvl="0" w:tplc="9F90D4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F00694"/>
    <w:multiLevelType w:val="hybridMultilevel"/>
    <w:tmpl w:val="3036E4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377FD"/>
    <w:multiLevelType w:val="hybridMultilevel"/>
    <w:tmpl w:val="5FBC2522"/>
    <w:lvl w:ilvl="0" w:tplc="17522E80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9780C"/>
    <w:multiLevelType w:val="hybridMultilevel"/>
    <w:tmpl w:val="A6F47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7E"/>
    <w:rsid w:val="000004CF"/>
    <w:rsid w:val="00002015"/>
    <w:rsid w:val="000033B2"/>
    <w:rsid w:val="00003820"/>
    <w:rsid w:val="00013DEC"/>
    <w:rsid w:val="00015974"/>
    <w:rsid w:val="000160EE"/>
    <w:rsid w:val="00017851"/>
    <w:rsid w:val="0002029A"/>
    <w:rsid w:val="000242CD"/>
    <w:rsid w:val="00024B0B"/>
    <w:rsid w:val="000273EA"/>
    <w:rsid w:val="000319E9"/>
    <w:rsid w:val="00034E23"/>
    <w:rsid w:val="000378F3"/>
    <w:rsid w:val="00037F77"/>
    <w:rsid w:val="00040AD3"/>
    <w:rsid w:val="00041376"/>
    <w:rsid w:val="00043064"/>
    <w:rsid w:val="000445E1"/>
    <w:rsid w:val="000500AE"/>
    <w:rsid w:val="00051187"/>
    <w:rsid w:val="000533D4"/>
    <w:rsid w:val="00055CF3"/>
    <w:rsid w:val="00056F5F"/>
    <w:rsid w:val="00065E62"/>
    <w:rsid w:val="00067716"/>
    <w:rsid w:val="00067A11"/>
    <w:rsid w:val="00070FEB"/>
    <w:rsid w:val="000713AA"/>
    <w:rsid w:val="00074178"/>
    <w:rsid w:val="000813CF"/>
    <w:rsid w:val="0008641C"/>
    <w:rsid w:val="00093DC3"/>
    <w:rsid w:val="00094946"/>
    <w:rsid w:val="000956B0"/>
    <w:rsid w:val="000957DB"/>
    <w:rsid w:val="000A230B"/>
    <w:rsid w:val="000A2D0B"/>
    <w:rsid w:val="000B01AA"/>
    <w:rsid w:val="000B12A8"/>
    <w:rsid w:val="000B2338"/>
    <w:rsid w:val="000B43C3"/>
    <w:rsid w:val="000C1654"/>
    <w:rsid w:val="000C1F1C"/>
    <w:rsid w:val="000C3076"/>
    <w:rsid w:val="000C4826"/>
    <w:rsid w:val="000C5E19"/>
    <w:rsid w:val="000C6049"/>
    <w:rsid w:val="000C711D"/>
    <w:rsid w:val="000D5249"/>
    <w:rsid w:val="000D6A4F"/>
    <w:rsid w:val="000D7729"/>
    <w:rsid w:val="000D7FA2"/>
    <w:rsid w:val="000E10EC"/>
    <w:rsid w:val="000E582B"/>
    <w:rsid w:val="000E674D"/>
    <w:rsid w:val="000F328E"/>
    <w:rsid w:val="000F3449"/>
    <w:rsid w:val="000F4B00"/>
    <w:rsid w:val="000F4ED4"/>
    <w:rsid w:val="000F4F14"/>
    <w:rsid w:val="00100684"/>
    <w:rsid w:val="0010345D"/>
    <w:rsid w:val="001039CA"/>
    <w:rsid w:val="00104613"/>
    <w:rsid w:val="00111DC0"/>
    <w:rsid w:val="00112881"/>
    <w:rsid w:val="00112DF5"/>
    <w:rsid w:val="001143CC"/>
    <w:rsid w:val="0011697F"/>
    <w:rsid w:val="001175F8"/>
    <w:rsid w:val="0012150C"/>
    <w:rsid w:val="00124ACB"/>
    <w:rsid w:val="00126A8D"/>
    <w:rsid w:val="00127E82"/>
    <w:rsid w:val="001321D5"/>
    <w:rsid w:val="00133DFE"/>
    <w:rsid w:val="00135F2B"/>
    <w:rsid w:val="00143CB1"/>
    <w:rsid w:val="00145E1F"/>
    <w:rsid w:val="00147420"/>
    <w:rsid w:val="00147C0C"/>
    <w:rsid w:val="00147CDD"/>
    <w:rsid w:val="0015048D"/>
    <w:rsid w:val="00152B50"/>
    <w:rsid w:val="00153834"/>
    <w:rsid w:val="001548F8"/>
    <w:rsid w:val="00154FA1"/>
    <w:rsid w:val="00155DDA"/>
    <w:rsid w:val="001611DB"/>
    <w:rsid w:val="00172BC0"/>
    <w:rsid w:val="001749E1"/>
    <w:rsid w:val="00174BD8"/>
    <w:rsid w:val="001761C1"/>
    <w:rsid w:val="001814E3"/>
    <w:rsid w:val="00181867"/>
    <w:rsid w:val="00185A1F"/>
    <w:rsid w:val="00186CB1"/>
    <w:rsid w:val="00187944"/>
    <w:rsid w:val="00191CC1"/>
    <w:rsid w:val="001928BE"/>
    <w:rsid w:val="00193A34"/>
    <w:rsid w:val="00193C93"/>
    <w:rsid w:val="00193E2C"/>
    <w:rsid w:val="001A1C90"/>
    <w:rsid w:val="001A284C"/>
    <w:rsid w:val="001A7D16"/>
    <w:rsid w:val="001B4353"/>
    <w:rsid w:val="001B6383"/>
    <w:rsid w:val="001B644E"/>
    <w:rsid w:val="001C0BDB"/>
    <w:rsid w:val="001C3321"/>
    <w:rsid w:val="001C600D"/>
    <w:rsid w:val="001D3AC6"/>
    <w:rsid w:val="001D7E92"/>
    <w:rsid w:val="001E0876"/>
    <w:rsid w:val="001E1059"/>
    <w:rsid w:val="001E133E"/>
    <w:rsid w:val="001E4DEC"/>
    <w:rsid w:val="001E68D0"/>
    <w:rsid w:val="001E6C66"/>
    <w:rsid w:val="001E71C9"/>
    <w:rsid w:val="001F6EB8"/>
    <w:rsid w:val="002100B3"/>
    <w:rsid w:val="0021150A"/>
    <w:rsid w:val="002124B5"/>
    <w:rsid w:val="00213933"/>
    <w:rsid w:val="00214D08"/>
    <w:rsid w:val="00222A10"/>
    <w:rsid w:val="0022456A"/>
    <w:rsid w:val="00227F59"/>
    <w:rsid w:val="002305A0"/>
    <w:rsid w:val="00237909"/>
    <w:rsid w:val="00243D1D"/>
    <w:rsid w:val="002513DF"/>
    <w:rsid w:val="00252057"/>
    <w:rsid w:val="002548C8"/>
    <w:rsid w:val="00257B87"/>
    <w:rsid w:val="00260221"/>
    <w:rsid w:val="002606DD"/>
    <w:rsid w:val="00264CFE"/>
    <w:rsid w:val="00266247"/>
    <w:rsid w:val="00266734"/>
    <w:rsid w:val="00273CBE"/>
    <w:rsid w:val="00277535"/>
    <w:rsid w:val="00277C39"/>
    <w:rsid w:val="00284E0B"/>
    <w:rsid w:val="00286B98"/>
    <w:rsid w:val="00286BE2"/>
    <w:rsid w:val="0028776A"/>
    <w:rsid w:val="002A69AC"/>
    <w:rsid w:val="002A7C64"/>
    <w:rsid w:val="002B092E"/>
    <w:rsid w:val="002B13BA"/>
    <w:rsid w:val="002B1522"/>
    <w:rsid w:val="002B436C"/>
    <w:rsid w:val="002B4887"/>
    <w:rsid w:val="002C2186"/>
    <w:rsid w:val="002C5FF8"/>
    <w:rsid w:val="002C60C7"/>
    <w:rsid w:val="002D0EFF"/>
    <w:rsid w:val="002D3117"/>
    <w:rsid w:val="002D429F"/>
    <w:rsid w:val="002D50B7"/>
    <w:rsid w:val="002E15E4"/>
    <w:rsid w:val="002E6873"/>
    <w:rsid w:val="002E69C0"/>
    <w:rsid w:val="002F076F"/>
    <w:rsid w:val="002F2D08"/>
    <w:rsid w:val="002F38DB"/>
    <w:rsid w:val="002F6A27"/>
    <w:rsid w:val="002F739C"/>
    <w:rsid w:val="00301471"/>
    <w:rsid w:val="0030353C"/>
    <w:rsid w:val="003037FE"/>
    <w:rsid w:val="00307B77"/>
    <w:rsid w:val="003111EF"/>
    <w:rsid w:val="00313B3C"/>
    <w:rsid w:val="003157FC"/>
    <w:rsid w:val="0032112A"/>
    <w:rsid w:val="003242DE"/>
    <w:rsid w:val="003257A4"/>
    <w:rsid w:val="00325907"/>
    <w:rsid w:val="00325A33"/>
    <w:rsid w:val="003274E7"/>
    <w:rsid w:val="0033095C"/>
    <w:rsid w:val="00331279"/>
    <w:rsid w:val="00335F1B"/>
    <w:rsid w:val="003420FC"/>
    <w:rsid w:val="00342823"/>
    <w:rsid w:val="00343E26"/>
    <w:rsid w:val="00347B64"/>
    <w:rsid w:val="00350004"/>
    <w:rsid w:val="003503E2"/>
    <w:rsid w:val="00351991"/>
    <w:rsid w:val="00354D7D"/>
    <w:rsid w:val="00355020"/>
    <w:rsid w:val="00355D4F"/>
    <w:rsid w:val="003561E6"/>
    <w:rsid w:val="003575E7"/>
    <w:rsid w:val="00360A74"/>
    <w:rsid w:val="00360B91"/>
    <w:rsid w:val="003610A7"/>
    <w:rsid w:val="003622CA"/>
    <w:rsid w:val="00362A82"/>
    <w:rsid w:val="00363DF8"/>
    <w:rsid w:val="00370A38"/>
    <w:rsid w:val="00371A65"/>
    <w:rsid w:val="00374754"/>
    <w:rsid w:val="003752C7"/>
    <w:rsid w:val="00380832"/>
    <w:rsid w:val="003831C3"/>
    <w:rsid w:val="00384D74"/>
    <w:rsid w:val="00391F7B"/>
    <w:rsid w:val="00393207"/>
    <w:rsid w:val="003937EE"/>
    <w:rsid w:val="00393F06"/>
    <w:rsid w:val="0039523C"/>
    <w:rsid w:val="003A0B17"/>
    <w:rsid w:val="003A1B2D"/>
    <w:rsid w:val="003A4096"/>
    <w:rsid w:val="003B2B59"/>
    <w:rsid w:val="003B7A18"/>
    <w:rsid w:val="003C1680"/>
    <w:rsid w:val="003C257A"/>
    <w:rsid w:val="003C2A47"/>
    <w:rsid w:val="003C3622"/>
    <w:rsid w:val="003C6AD2"/>
    <w:rsid w:val="003C7411"/>
    <w:rsid w:val="003D279C"/>
    <w:rsid w:val="003D3A27"/>
    <w:rsid w:val="003D4E3F"/>
    <w:rsid w:val="003D6BA3"/>
    <w:rsid w:val="003D6C19"/>
    <w:rsid w:val="003D701C"/>
    <w:rsid w:val="003E0911"/>
    <w:rsid w:val="003E413C"/>
    <w:rsid w:val="003F001C"/>
    <w:rsid w:val="003F4081"/>
    <w:rsid w:val="003F753E"/>
    <w:rsid w:val="00400503"/>
    <w:rsid w:val="00403858"/>
    <w:rsid w:val="00405D73"/>
    <w:rsid w:val="00406B8C"/>
    <w:rsid w:val="004121C8"/>
    <w:rsid w:val="00412F9C"/>
    <w:rsid w:val="00414B20"/>
    <w:rsid w:val="00415631"/>
    <w:rsid w:val="00415B80"/>
    <w:rsid w:val="00417A1B"/>
    <w:rsid w:val="00421391"/>
    <w:rsid w:val="00422AF6"/>
    <w:rsid w:val="00425E4D"/>
    <w:rsid w:val="00427740"/>
    <w:rsid w:val="0043328A"/>
    <w:rsid w:val="00433DA8"/>
    <w:rsid w:val="004357CE"/>
    <w:rsid w:val="00436EA6"/>
    <w:rsid w:val="00436FC1"/>
    <w:rsid w:val="00441E23"/>
    <w:rsid w:val="00444A7D"/>
    <w:rsid w:val="004464F7"/>
    <w:rsid w:val="0044651F"/>
    <w:rsid w:val="0044738A"/>
    <w:rsid w:val="00447764"/>
    <w:rsid w:val="004511D3"/>
    <w:rsid w:val="004547A9"/>
    <w:rsid w:val="0045719F"/>
    <w:rsid w:val="00461F73"/>
    <w:rsid w:val="00462078"/>
    <w:rsid w:val="004632CD"/>
    <w:rsid w:val="004639C0"/>
    <w:rsid w:val="00465A58"/>
    <w:rsid w:val="004662B4"/>
    <w:rsid w:val="00466CF9"/>
    <w:rsid w:val="004679FF"/>
    <w:rsid w:val="00467C61"/>
    <w:rsid w:val="004708A3"/>
    <w:rsid w:val="0047491E"/>
    <w:rsid w:val="00480EF1"/>
    <w:rsid w:val="00482A25"/>
    <w:rsid w:val="00484FB1"/>
    <w:rsid w:val="00487A8F"/>
    <w:rsid w:val="00495A25"/>
    <w:rsid w:val="004966B8"/>
    <w:rsid w:val="00496959"/>
    <w:rsid w:val="00496C4D"/>
    <w:rsid w:val="00497D1C"/>
    <w:rsid w:val="004A0EAB"/>
    <w:rsid w:val="004A6C18"/>
    <w:rsid w:val="004A708B"/>
    <w:rsid w:val="004B0271"/>
    <w:rsid w:val="004B28A8"/>
    <w:rsid w:val="004B5C4E"/>
    <w:rsid w:val="004C0ED0"/>
    <w:rsid w:val="004C3AC7"/>
    <w:rsid w:val="004C4BC8"/>
    <w:rsid w:val="004C7C32"/>
    <w:rsid w:val="004D4F42"/>
    <w:rsid w:val="004D579E"/>
    <w:rsid w:val="004D64BE"/>
    <w:rsid w:val="004E1569"/>
    <w:rsid w:val="004E15D1"/>
    <w:rsid w:val="004E3F6C"/>
    <w:rsid w:val="004E4102"/>
    <w:rsid w:val="004F2E8D"/>
    <w:rsid w:val="004F598D"/>
    <w:rsid w:val="004F6FFB"/>
    <w:rsid w:val="004F7B57"/>
    <w:rsid w:val="00513790"/>
    <w:rsid w:val="00514AED"/>
    <w:rsid w:val="00516F18"/>
    <w:rsid w:val="00521C34"/>
    <w:rsid w:val="005229C2"/>
    <w:rsid w:val="005251F3"/>
    <w:rsid w:val="00525D12"/>
    <w:rsid w:val="00533941"/>
    <w:rsid w:val="00536003"/>
    <w:rsid w:val="00537386"/>
    <w:rsid w:val="005376CA"/>
    <w:rsid w:val="0054083D"/>
    <w:rsid w:val="0054338B"/>
    <w:rsid w:val="0054677F"/>
    <w:rsid w:val="005545C2"/>
    <w:rsid w:val="00556D60"/>
    <w:rsid w:val="0056210B"/>
    <w:rsid w:val="00563A77"/>
    <w:rsid w:val="005660EB"/>
    <w:rsid w:val="0057117B"/>
    <w:rsid w:val="00572009"/>
    <w:rsid w:val="00573A1F"/>
    <w:rsid w:val="0057499C"/>
    <w:rsid w:val="00580AE7"/>
    <w:rsid w:val="005827E6"/>
    <w:rsid w:val="00583239"/>
    <w:rsid w:val="005839E0"/>
    <w:rsid w:val="00584D39"/>
    <w:rsid w:val="00590F7E"/>
    <w:rsid w:val="00591E61"/>
    <w:rsid w:val="0059419D"/>
    <w:rsid w:val="00595851"/>
    <w:rsid w:val="00596043"/>
    <w:rsid w:val="005A5CF6"/>
    <w:rsid w:val="005A76A3"/>
    <w:rsid w:val="005A771C"/>
    <w:rsid w:val="005B6DA7"/>
    <w:rsid w:val="005C045F"/>
    <w:rsid w:val="005C2316"/>
    <w:rsid w:val="005C3223"/>
    <w:rsid w:val="005C37B4"/>
    <w:rsid w:val="005D01A8"/>
    <w:rsid w:val="005D0F57"/>
    <w:rsid w:val="005D16B1"/>
    <w:rsid w:val="005D3D68"/>
    <w:rsid w:val="005D782F"/>
    <w:rsid w:val="005E181A"/>
    <w:rsid w:val="005E5060"/>
    <w:rsid w:val="005F114A"/>
    <w:rsid w:val="005F28C6"/>
    <w:rsid w:val="005F49F6"/>
    <w:rsid w:val="00601219"/>
    <w:rsid w:val="006056ED"/>
    <w:rsid w:val="00605992"/>
    <w:rsid w:val="0060636F"/>
    <w:rsid w:val="0060673F"/>
    <w:rsid w:val="00606BB0"/>
    <w:rsid w:val="00606F24"/>
    <w:rsid w:val="0060708E"/>
    <w:rsid w:val="0060719D"/>
    <w:rsid w:val="0061217E"/>
    <w:rsid w:val="00612ED0"/>
    <w:rsid w:val="00620D0D"/>
    <w:rsid w:val="00620DC4"/>
    <w:rsid w:val="006257A6"/>
    <w:rsid w:val="006266E3"/>
    <w:rsid w:val="006313A4"/>
    <w:rsid w:val="00636881"/>
    <w:rsid w:val="006368D6"/>
    <w:rsid w:val="00640AA9"/>
    <w:rsid w:val="00643797"/>
    <w:rsid w:val="0065138F"/>
    <w:rsid w:val="00652105"/>
    <w:rsid w:val="00652543"/>
    <w:rsid w:val="006528BA"/>
    <w:rsid w:val="00654CED"/>
    <w:rsid w:val="00656C9A"/>
    <w:rsid w:val="006602BB"/>
    <w:rsid w:val="006606B7"/>
    <w:rsid w:val="006609F3"/>
    <w:rsid w:val="00665362"/>
    <w:rsid w:val="006663BB"/>
    <w:rsid w:val="0066773A"/>
    <w:rsid w:val="00667A13"/>
    <w:rsid w:val="006714C5"/>
    <w:rsid w:val="00672041"/>
    <w:rsid w:val="0067366E"/>
    <w:rsid w:val="00673919"/>
    <w:rsid w:val="006748CD"/>
    <w:rsid w:val="00675CCE"/>
    <w:rsid w:val="006760F2"/>
    <w:rsid w:val="00676274"/>
    <w:rsid w:val="006820E7"/>
    <w:rsid w:val="00685243"/>
    <w:rsid w:val="006867F0"/>
    <w:rsid w:val="00691FBF"/>
    <w:rsid w:val="00697AF8"/>
    <w:rsid w:val="006A344D"/>
    <w:rsid w:val="006B07C9"/>
    <w:rsid w:val="006B33B5"/>
    <w:rsid w:val="006C17D2"/>
    <w:rsid w:val="006D1130"/>
    <w:rsid w:val="006D1959"/>
    <w:rsid w:val="006E0C24"/>
    <w:rsid w:val="006E0E8B"/>
    <w:rsid w:val="006F122E"/>
    <w:rsid w:val="006F2C52"/>
    <w:rsid w:val="006F2E6E"/>
    <w:rsid w:val="006F69AA"/>
    <w:rsid w:val="007018E2"/>
    <w:rsid w:val="00702355"/>
    <w:rsid w:val="007028B5"/>
    <w:rsid w:val="00705430"/>
    <w:rsid w:val="00705B6F"/>
    <w:rsid w:val="00707AB8"/>
    <w:rsid w:val="0071167F"/>
    <w:rsid w:val="0071337A"/>
    <w:rsid w:val="00713450"/>
    <w:rsid w:val="00713A7C"/>
    <w:rsid w:val="0071757F"/>
    <w:rsid w:val="007176BF"/>
    <w:rsid w:val="00717734"/>
    <w:rsid w:val="00717F6E"/>
    <w:rsid w:val="00720F8D"/>
    <w:rsid w:val="00721B97"/>
    <w:rsid w:val="00721E49"/>
    <w:rsid w:val="00724CE3"/>
    <w:rsid w:val="00725FCD"/>
    <w:rsid w:val="00727844"/>
    <w:rsid w:val="007300EF"/>
    <w:rsid w:val="00733095"/>
    <w:rsid w:val="00735250"/>
    <w:rsid w:val="00736CD7"/>
    <w:rsid w:val="00737358"/>
    <w:rsid w:val="00743D38"/>
    <w:rsid w:val="0074447B"/>
    <w:rsid w:val="00745821"/>
    <w:rsid w:val="00746954"/>
    <w:rsid w:val="0074755A"/>
    <w:rsid w:val="007523AC"/>
    <w:rsid w:val="00753382"/>
    <w:rsid w:val="00753DED"/>
    <w:rsid w:val="007546F1"/>
    <w:rsid w:val="00756BC2"/>
    <w:rsid w:val="00757876"/>
    <w:rsid w:val="00760085"/>
    <w:rsid w:val="00762EFD"/>
    <w:rsid w:val="00765966"/>
    <w:rsid w:val="00771FAC"/>
    <w:rsid w:val="0077256F"/>
    <w:rsid w:val="00773DA1"/>
    <w:rsid w:val="00776413"/>
    <w:rsid w:val="00776B2C"/>
    <w:rsid w:val="00781A15"/>
    <w:rsid w:val="00786F82"/>
    <w:rsid w:val="00791D65"/>
    <w:rsid w:val="00791E9E"/>
    <w:rsid w:val="0079264F"/>
    <w:rsid w:val="007926A0"/>
    <w:rsid w:val="00793143"/>
    <w:rsid w:val="00794BF1"/>
    <w:rsid w:val="007A180B"/>
    <w:rsid w:val="007A71A2"/>
    <w:rsid w:val="007B2E09"/>
    <w:rsid w:val="007B3774"/>
    <w:rsid w:val="007B45D1"/>
    <w:rsid w:val="007B579E"/>
    <w:rsid w:val="007B5EE0"/>
    <w:rsid w:val="007B603D"/>
    <w:rsid w:val="007B7B96"/>
    <w:rsid w:val="007B7D15"/>
    <w:rsid w:val="007C1074"/>
    <w:rsid w:val="007C3EDD"/>
    <w:rsid w:val="007C4473"/>
    <w:rsid w:val="007C68DE"/>
    <w:rsid w:val="007C72EA"/>
    <w:rsid w:val="007D44A6"/>
    <w:rsid w:val="007D4B81"/>
    <w:rsid w:val="007E2460"/>
    <w:rsid w:val="007E7FB5"/>
    <w:rsid w:val="007F1BBB"/>
    <w:rsid w:val="007F4ED1"/>
    <w:rsid w:val="00805705"/>
    <w:rsid w:val="00806EBD"/>
    <w:rsid w:val="00811225"/>
    <w:rsid w:val="008145F9"/>
    <w:rsid w:val="008178B1"/>
    <w:rsid w:val="00817A87"/>
    <w:rsid w:val="00820FE9"/>
    <w:rsid w:val="00821E5D"/>
    <w:rsid w:val="00824538"/>
    <w:rsid w:val="008264F7"/>
    <w:rsid w:val="0083086E"/>
    <w:rsid w:val="008339D3"/>
    <w:rsid w:val="00834142"/>
    <w:rsid w:val="008364B2"/>
    <w:rsid w:val="008370B1"/>
    <w:rsid w:val="008416D9"/>
    <w:rsid w:val="00843508"/>
    <w:rsid w:val="00845907"/>
    <w:rsid w:val="00845BDC"/>
    <w:rsid w:val="0084701F"/>
    <w:rsid w:val="008471F4"/>
    <w:rsid w:val="00852C45"/>
    <w:rsid w:val="00853192"/>
    <w:rsid w:val="00854AF2"/>
    <w:rsid w:val="008561EF"/>
    <w:rsid w:val="00861D12"/>
    <w:rsid w:val="00863976"/>
    <w:rsid w:val="00865B57"/>
    <w:rsid w:val="00870567"/>
    <w:rsid w:val="00870824"/>
    <w:rsid w:val="00872C23"/>
    <w:rsid w:val="008740F9"/>
    <w:rsid w:val="00880EF6"/>
    <w:rsid w:val="0088329E"/>
    <w:rsid w:val="00883F27"/>
    <w:rsid w:val="00884A8B"/>
    <w:rsid w:val="00887B5B"/>
    <w:rsid w:val="00887D2F"/>
    <w:rsid w:val="008907B2"/>
    <w:rsid w:val="00891CE4"/>
    <w:rsid w:val="00894BA2"/>
    <w:rsid w:val="00895763"/>
    <w:rsid w:val="008A3C26"/>
    <w:rsid w:val="008A5E04"/>
    <w:rsid w:val="008A6594"/>
    <w:rsid w:val="008A6921"/>
    <w:rsid w:val="008A7D5D"/>
    <w:rsid w:val="008B00E7"/>
    <w:rsid w:val="008B094F"/>
    <w:rsid w:val="008B43A5"/>
    <w:rsid w:val="008B63FA"/>
    <w:rsid w:val="008C3213"/>
    <w:rsid w:val="008C531E"/>
    <w:rsid w:val="008C65C8"/>
    <w:rsid w:val="008D0074"/>
    <w:rsid w:val="008D23D3"/>
    <w:rsid w:val="008D2811"/>
    <w:rsid w:val="008D3BCB"/>
    <w:rsid w:val="008E33DE"/>
    <w:rsid w:val="008E3636"/>
    <w:rsid w:val="008E4CC9"/>
    <w:rsid w:val="008E4D95"/>
    <w:rsid w:val="008F20DB"/>
    <w:rsid w:val="008F28C0"/>
    <w:rsid w:val="008F7874"/>
    <w:rsid w:val="00900BC9"/>
    <w:rsid w:val="0091351B"/>
    <w:rsid w:val="00915FF3"/>
    <w:rsid w:val="00916CBE"/>
    <w:rsid w:val="00923C24"/>
    <w:rsid w:val="00927D6E"/>
    <w:rsid w:val="00930EA9"/>
    <w:rsid w:val="00941BB0"/>
    <w:rsid w:val="009434A2"/>
    <w:rsid w:val="00945674"/>
    <w:rsid w:val="00946C5F"/>
    <w:rsid w:val="009507A3"/>
    <w:rsid w:val="009527B3"/>
    <w:rsid w:val="0095373F"/>
    <w:rsid w:val="00954537"/>
    <w:rsid w:val="00956C17"/>
    <w:rsid w:val="00960FDE"/>
    <w:rsid w:val="009628DA"/>
    <w:rsid w:val="00964DAF"/>
    <w:rsid w:val="009665A9"/>
    <w:rsid w:val="00966CB8"/>
    <w:rsid w:val="00970CBF"/>
    <w:rsid w:val="00972058"/>
    <w:rsid w:val="00973CED"/>
    <w:rsid w:val="00982DC2"/>
    <w:rsid w:val="00984A7D"/>
    <w:rsid w:val="00984CB2"/>
    <w:rsid w:val="009956A8"/>
    <w:rsid w:val="009A177C"/>
    <w:rsid w:val="009A261E"/>
    <w:rsid w:val="009A53EA"/>
    <w:rsid w:val="009B01F1"/>
    <w:rsid w:val="009B1042"/>
    <w:rsid w:val="009B26A9"/>
    <w:rsid w:val="009B2D95"/>
    <w:rsid w:val="009C001B"/>
    <w:rsid w:val="009C13CC"/>
    <w:rsid w:val="009C2867"/>
    <w:rsid w:val="009C58CE"/>
    <w:rsid w:val="009D1DBD"/>
    <w:rsid w:val="009D4048"/>
    <w:rsid w:val="009D40D0"/>
    <w:rsid w:val="009D5905"/>
    <w:rsid w:val="009D70DE"/>
    <w:rsid w:val="009E05E4"/>
    <w:rsid w:val="009E112D"/>
    <w:rsid w:val="009E3873"/>
    <w:rsid w:val="009E41F0"/>
    <w:rsid w:val="009F2252"/>
    <w:rsid w:val="009F2EA3"/>
    <w:rsid w:val="009F3E52"/>
    <w:rsid w:val="009F72AE"/>
    <w:rsid w:val="009F7DE0"/>
    <w:rsid w:val="00A00570"/>
    <w:rsid w:val="00A102D7"/>
    <w:rsid w:val="00A10DCE"/>
    <w:rsid w:val="00A14EFB"/>
    <w:rsid w:val="00A164A1"/>
    <w:rsid w:val="00A16E36"/>
    <w:rsid w:val="00A179F9"/>
    <w:rsid w:val="00A21D58"/>
    <w:rsid w:val="00A21F1F"/>
    <w:rsid w:val="00A239E6"/>
    <w:rsid w:val="00A23E0B"/>
    <w:rsid w:val="00A25F9B"/>
    <w:rsid w:val="00A2767F"/>
    <w:rsid w:val="00A30F4A"/>
    <w:rsid w:val="00A32DBD"/>
    <w:rsid w:val="00A3428E"/>
    <w:rsid w:val="00A36C8C"/>
    <w:rsid w:val="00A40267"/>
    <w:rsid w:val="00A42620"/>
    <w:rsid w:val="00A42FA4"/>
    <w:rsid w:val="00A50377"/>
    <w:rsid w:val="00A51C96"/>
    <w:rsid w:val="00A52300"/>
    <w:rsid w:val="00A53E68"/>
    <w:rsid w:val="00A54E08"/>
    <w:rsid w:val="00A559EF"/>
    <w:rsid w:val="00A6000F"/>
    <w:rsid w:val="00A61D9B"/>
    <w:rsid w:val="00A61F81"/>
    <w:rsid w:val="00A61FEA"/>
    <w:rsid w:val="00A65C5A"/>
    <w:rsid w:val="00A708ED"/>
    <w:rsid w:val="00A7248A"/>
    <w:rsid w:val="00A724E1"/>
    <w:rsid w:val="00A75DEB"/>
    <w:rsid w:val="00A765C4"/>
    <w:rsid w:val="00A81A1C"/>
    <w:rsid w:val="00A8230E"/>
    <w:rsid w:val="00A82E8C"/>
    <w:rsid w:val="00A8542D"/>
    <w:rsid w:val="00A8754B"/>
    <w:rsid w:val="00A91DD9"/>
    <w:rsid w:val="00A92342"/>
    <w:rsid w:val="00AA3732"/>
    <w:rsid w:val="00AA61DA"/>
    <w:rsid w:val="00AA6478"/>
    <w:rsid w:val="00AB0041"/>
    <w:rsid w:val="00AB04E5"/>
    <w:rsid w:val="00AB170E"/>
    <w:rsid w:val="00AB350B"/>
    <w:rsid w:val="00AB416C"/>
    <w:rsid w:val="00AB596F"/>
    <w:rsid w:val="00AC145B"/>
    <w:rsid w:val="00AD22C0"/>
    <w:rsid w:val="00AD4B66"/>
    <w:rsid w:val="00AD645F"/>
    <w:rsid w:val="00AD65C9"/>
    <w:rsid w:val="00AE5565"/>
    <w:rsid w:val="00AE7059"/>
    <w:rsid w:val="00AE7445"/>
    <w:rsid w:val="00AF0810"/>
    <w:rsid w:val="00AF0BAF"/>
    <w:rsid w:val="00AF142A"/>
    <w:rsid w:val="00AF606C"/>
    <w:rsid w:val="00AF61D4"/>
    <w:rsid w:val="00AF7945"/>
    <w:rsid w:val="00B01A2B"/>
    <w:rsid w:val="00B02CCF"/>
    <w:rsid w:val="00B05487"/>
    <w:rsid w:val="00B05C53"/>
    <w:rsid w:val="00B11677"/>
    <w:rsid w:val="00B1213E"/>
    <w:rsid w:val="00B1481C"/>
    <w:rsid w:val="00B21D0F"/>
    <w:rsid w:val="00B2596F"/>
    <w:rsid w:val="00B27F81"/>
    <w:rsid w:val="00B32B11"/>
    <w:rsid w:val="00B3348E"/>
    <w:rsid w:val="00B3458F"/>
    <w:rsid w:val="00B3464B"/>
    <w:rsid w:val="00B35402"/>
    <w:rsid w:val="00B42584"/>
    <w:rsid w:val="00B42FE7"/>
    <w:rsid w:val="00B44F97"/>
    <w:rsid w:val="00B46B32"/>
    <w:rsid w:val="00B47A4D"/>
    <w:rsid w:val="00B52182"/>
    <w:rsid w:val="00B53402"/>
    <w:rsid w:val="00B53809"/>
    <w:rsid w:val="00B56189"/>
    <w:rsid w:val="00B60F97"/>
    <w:rsid w:val="00B64D11"/>
    <w:rsid w:val="00B67AC5"/>
    <w:rsid w:val="00B7046A"/>
    <w:rsid w:val="00B74565"/>
    <w:rsid w:val="00B7692E"/>
    <w:rsid w:val="00B76D1A"/>
    <w:rsid w:val="00B81F83"/>
    <w:rsid w:val="00B84A56"/>
    <w:rsid w:val="00B84F1C"/>
    <w:rsid w:val="00B87CD9"/>
    <w:rsid w:val="00B94A6C"/>
    <w:rsid w:val="00B95D4D"/>
    <w:rsid w:val="00B97126"/>
    <w:rsid w:val="00BA043A"/>
    <w:rsid w:val="00BA0943"/>
    <w:rsid w:val="00BA0DE8"/>
    <w:rsid w:val="00BA29CB"/>
    <w:rsid w:val="00BA7BBE"/>
    <w:rsid w:val="00BB0BC4"/>
    <w:rsid w:val="00BB2A65"/>
    <w:rsid w:val="00BB7716"/>
    <w:rsid w:val="00BC56DD"/>
    <w:rsid w:val="00BD20B8"/>
    <w:rsid w:val="00BD5673"/>
    <w:rsid w:val="00BD6A91"/>
    <w:rsid w:val="00BD74DA"/>
    <w:rsid w:val="00BE211D"/>
    <w:rsid w:val="00BE2AA0"/>
    <w:rsid w:val="00BE3935"/>
    <w:rsid w:val="00BE4880"/>
    <w:rsid w:val="00BE6367"/>
    <w:rsid w:val="00BE63D3"/>
    <w:rsid w:val="00BF1E02"/>
    <w:rsid w:val="00BF2133"/>
    <w:rsid w:val="00BF3762"/>
    <w:rsid w:val="00BF5E25"/>
    <w:rsid w:val="00BF7B52"/>
    <w:rsid w:val="00C038B5"/>
    <w:rsid w:val="00C057B7"/>
    <w:rsid w:val="00C072BF"/>
    <w:rsid w:val="00C10018"/>
    <w:rsid w:val="00C11675"/>
    <w:rsid w:val="00C11ED9"/>
    <w:rsid w:val="00C1471C"/>
    <w:rsid w:val="00C245C2"/>
    <w:rsid w:val="00C26A14"/>
    <w:rsid w:val="00C31017"/>
    <w:rsid w:val="00C36B8C"/>
    <w:rsid w:val="00C44519"/>
    <w:rsid w:val="00C44FE4"/>
    <w:rsid w:val="00C51545"/>
    <w:rsid w:val="00C5479E"/>
    <w:rsid w:val="00C573AC"/>
    <w:rsid w:val="00C609A3"/>
    <w:rsid w:val="00C6178F"/>
    <w:rsid w:val="00C61931"/>
    <w:rsid w:val="00C61BE0"/>
    <w:rsid w:val="00C64B59"/>
    <w:rsid w:val="00C65617"/>
    <w:rsid w:val="00C71503"/>
    <w:rsid w:val="00C71EFB"/>
    <w:rsid w:val="00C74EA5"/>
    <w:rsid w:val="00C7549F"/>
    <w:rsid w:val="00C762F7"/>
    <w:rsid w:val="00C82175"/>
    <w:rsid w:val="00C846EC"/>
    <w:rsid w:val="00C8499C"/>
    <w:rsid w:val="00C84FE9"/>
    <w:rsid w:val="00C91232"/>
    <w:rsid w:val="00CA2D36"/>
    <w:rsid w:val="00CB3D61"/>
    <w:rsid w:val="00CC3C39"/>
    <w:rsid w:val="00CC54B7"/>
    <w:rsid w:val="00CD278A"/>
    <w:rsid w:val="00CD2CF8"/>
    <w:rsid w:val="00CD40FD"/>
    <w:rsid w:val="00CD47C9"/>
    <w:rsid w:val="00CE2C5E"/>
    <w:rsid w:val="00CE3E6C"/>
    <w:rsid w:val="00CE701B"/>
    <w:rsid w:val="00CE72CC"/>
    <w:rsid w:val="00CF0BD0"/>
    <w:rsid w:val="00CF229C"/>
    <w:rsid w:val="00CF2B44"/>
    <w:rsid w:val="00CF326A"/>
    <w:rsid w:val="00CF3C48"/>
    <w:rsid w:val="00CF5FA3"/>
    <w:rsid w:val="00CF7A2C"/>
    <w:rsid w:val="00D051D7"/>
    <w:rsid w:val="00D112F5"/>
    <w:rsid w:val="00D16DBA"/>
    <w:rsid w:val="00D17C53"/>
    <w:rsid w:val="00D20B27"/>
    <w:rsid w:val="00D23D5E"/>
    <w:rsid w:val="00D25A18"/>
    <w:rsid w:val="00D26560"/>
    <w:rsid w:val="00D271D7"/>
    <w:rsid w:val="00D27C66"/>
    <w:rsid w:val="00D33117"/>
    <w:rsid w:val="00D362E6"/>
    <w:rsid w:val="00D36A7D"/>
    <w:rsid w:val="00D36CAE"/>
    <w:rsid w:val="00D37A74"/>
    <w:rsid w:val="00D37FC0"/>
    <w:rsid w:val="00D4422B"/>
    <w:rsid w:val="00D467E4"/>
    <w:rsid w:val="00D51516"/>
    <w:rsid w:val="00D52881"/>
    <w:rsid w:val="00D531CA"/>
    <w:rsid w:val="00D5564A"/>
    <w:rsid w:val="00D55996"/>
    <w:rsid w:val="00D63687"/>
    <w:rsid w:val="00D63AF8"/>
    <w:rsid w:val="00D64F63"/>
    <w:rsid w:val="00D66DA8"/>
    <w:rsid w:val="00D713D7"/>
    <w:rsid w:val="00D77B91"/>
    <w:rsid w:val="00D80A54"/>
    <w:rsid w:val="00D80CFE"/>
    <w:rsid w:val="00D81591"/>
    <w:rsid w:val="00D90759"/>
    <w:rsid w:val="00D927BB"/>
    <w:rsid w:val="00D9756C"/>
    <w:rsid w:val="00DA00B0"/>
    <w:rsid w:val="00DA06A2"/>
    <w:rsid w:val="00DA0E46"/>
    <w:rsid w:val="00DA282F"/>
    <w:rsid w:val="00DA304A"/>
    <w:rsid w:val="00DA7E9A"/>
    <w:rsid w:val="00DB1932"/>
    <w:rsid w:val="00DB1F8B"/>
    <w:rsid w:val="00DB748F"/>
    <w:rsid w:val="00DC31BF"/>
    <w:rsid w:val="00DC3A48"/>
    <w:rsid w:val="00DD0F47"/>
    <w:rsid w:val="00DD3324"/>
    <w:rsid w:val="00DE1A75"/>
    <w:rsid w:val="00DE46F6"/>
    <w:rsid w:val="00DE4BBB"/>
    <w:rsid w:val="00DE4CFF"/>
    <w:rsid w:val="00DE622C"/>
    <w:rsid w:val="00DF07DA"/>
    <w:rsid w:val="00DF1527"/>
    <w:rsid w:val="00DF2343"/>
    <w:rsid w:val="00DF5EE4"/>
    <w:rsid w:val="00E00D8E"/>
    <w:rsid w:val="00E01809"/>
    <w:rsid w:val="00E043BC"/>
    <w:rsid w:val="00E04FAC"/>
    <w:rsid w:val="00E060F1"/>
    <w:rsid w:val="00E0680A"/>
    <w:rsid w:val="00E0791F"/>
    <w:rsid w:val="00E07A06"/>
    <w:rsid w:val="00E10A4B"/>
    <w:rsid w:val="00E13393"/>
    <w:rsid w:val="00E14D03"/>
    <w:rsid w:val="00E1791D"/>
    <w:rsid w:val="00E21AF6"/>
    <w:rsid w:val="00E2396A"/>
    <w:rsid w:val="00E23E06"/>
    <w:rsid w:val="00E35E52"/>
    <w:rsid w:val="00E368CE"/>
    <w:rsid w:val="00E36DE9"/>
    <w:rsid w:val="00E46D4E"/>
    <w:rsid w:val="00E5394B"/>
    <w:rsid w:val="00E54ACC"/>
    <w:rsid w:val="00E5642E"/>
    <w:rsid w:val="00E67745"/>
    <w:rsid w:val="00E720E4"/>
    <w:rsid w:val="00E77889"/>
    <w:rsid w:val="00E80068"/>
    <w:rsid w:val="00E9412E"/>
    <w:rsid w:val="00EA544E"/>
    <w:rsid w:val="00EA68B8"/>
    <w:rsid w:val="00EB18EE"/>
    <w:rsid w:val="00EB2982"/>
    <w:rsid w:val="00EB4045"/>
    <w:rsid w:val="00EB5337"/>
    <w:rsid w:val="00EB6F4E"/>
    <w:rsid w:val="00EC0D69"/>
    <w:rsid w:val="00EC19B2"/>
    <w:rsid w:val="00ED20D4"/>
    <w:rsid w:val="00ED2F03"/>
    <w:rsid w:val="00ED3F12"/>
    <w:rsid w:val="00ED4BBC"/>
    <w:rsid w:val="00EE024A"/>
    <w:rsid w:val="00EE04DF"/>
    <w:rsid w:val="00EE2793"/>
    <w:rsid w:val="00EE2F67"/>
    <w:rsid w:val="00EE3DC6"/>
    <w:rsid w:val="00EE4375"/>
    <w:rsid w:val="00EF0066"/>
    <w:rsid w:val="00EF095D"/>
    <w:rsid w:val="00EF2B01"/>
    <w:rsid w:val="00EF41CC"/>
    <w:rsid w:val="00EF678F"/>
    <w:rsid w:val="00F02737"/>
    <w:rsid w:val="00F039F3"/>
    <w:rsid w:val="00F04121"/>
    <w:rsid w:val="00F0538B"/>
    <w:rsid w:val="00F07EE9"/>
    <w:rsid w:val="00F1003D"/>
    <w:rsid w:val="00F13E1C"/>
    <w:rsid w:val="00F279E2"/>
    <w:rsid w:val="00F3056C"/>
    <w:rsid w:val="00F324CE"/>
    <w:rsid w:val="00F327DB"/>
    <w:rsid w:val="00F370A8"/>
    <w:rsid w:val="00F37F7E"/>
    <w:rsid w:val="00F42C6F"/>
    <w:rsid w:val="00F53A95"/>
    <w:rsid w:val="00F53E68"/>
    <w:rsid w:val="00F57847"/>
    <w:rsid w:val="00F60A2C"/>
    <w:rsid w:val="00F62952"/>
    <w:rsid w:val="00F62D86"/>
    <w:rsid w:val="00F63103"/>
    <w:rsid w:val="00F64E9A"/>
    <w:rsid w:val="00F75F39"/>
    <w:rsid w:val="00F76DCD"/>
    <w:rsid w:val="00F80460"/>
    <w:rsid w:val="00F83055"/>
    <w:rsid w:val="00F8405A"/>
    <w:rsid w:val="00F91DBE"/>
    <w:rsid w:val="00F92CFF"/>
    <w:rsid w:val="00F93E87"/>
    <w:rsid w:val="00FA18A5"/>
    <w:rsid w:val="00FA515A"/>
    <w:rsid w:val="00FA5A46"/>
    <w:rsid w:val="00FB0955"/>
    <w:rsid w:val="00FB273F"/>
    <w:rsid w:val="00FB5D10"/>
    <w:rsid w:val="00FC11EF"/>
    <w:rsid w:val="00FC71D9"/>
    <w:rsid w:val="00FD17A0"/>
    <w:rsid w:val="00FD3450"/>
    <w:rsid w:val="00FD41CD"/>
    <w:rsid w:val="00FD4A7A"/>
    <w:rsid w:val="00FE086E"/>
    <w:rsid w:val="00FE09A0"/>
    <w:rsid w:val="00FE1B60"/>
    <w:rsid w:val="00FE2A89"/>
    <w:rsid w:val="00FE2C4C"/>
    <w:rsid w:val="00FE2E62"/>
    <w:rsid w:val="00FE7CED"/>
    <w:rsid w:val="00FE7F3C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47B5AA32"/>
  <w15:docId w15:val="{52423EE5-18E5-4887-A69C-F1407C88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37F7E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F37F7E"/>
    <w:pPr>
      <w:spacing w:before="100" w:beforeAutospacing="1" w:after="100" w:afterAutospacing="1"/>
    </w:pPr>
  </w:style>
  <w:style w:type="paragraph" w:customStyle="1" w:styleId="naisnod">
    <w:name w:val="naisnod"/>
    <w:basedOn w:val="Parasts"/>
    <w:rsid w:val="00F37F7E"/>
    <w:pPr>
      <w:spacing w:before="100" w:beforeAutospacing="1" w:after="100" w:afterAutospacing="1"/>
    </w:pPr>
  </w:style>
  <w:style w:type="paragraph" w:customStyle="1" w:styleId="naiskr">
    <w:name w:val="naiskr"/>
    <w:basedOn w:val="Parasts"/>
    <w:rsid w:val="00F37F7E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F37F7E"/>
    <w:pPr>
      <w:spacing w:before="100" w:beforeAutospacing="1" w:after="100" w:afterAutospacing="1"/>
    </w:pPr>
  </w:style>
  <w:style w:type="paragraph" w:styleId="Pamatteksts">
    <w:name w:val="Body Text"/>
    <w:basedOn w:val="Parasts"/>
    <w:link w:val="PamattekstsRakstz"/>
    <w:rsid w:val="00F37F7E"/>
    <w:pPr>
      <w:jc w:val="right"/>
    </w:pPr>
    <w:rPr>
      <w:b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locked/>
    <w:rsid w:val="00F37F7E"/>
    <w:rPr>
      <w:b/>
      <w:sz w:val="28"/>
      <w:lang w:val="lv-LV" w:eastAsia="en-US" w:bidi="ar-SA"/>
    </w:rPr>
  </w:style>
  <w:style w:type="paragraph" w:styleId="Galvene">
    <w:name w:val="header"/>
    <w:basedOn w:val="Parasts"/>
    <w:link w:val="Galv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F37F7E"/>
    <w:rPr>
      <w:sz w:val="24"/>
      <w:szCs w:val="24"/>
      <w:lang w:val="lv-LV" w:eastAsia="lv-LV" w:bidi="ar-SA"/>
    </w:rPr>
  </w:style>
  <w:style w:type="character" w:styleId="Lappusesnumurs">
    <w:name w:val="page number"/>
    <w:basedOn w:val="Noklusjumarindkopasfonts"/>
    <w:rsid w:val="00F37F7E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F37F7E"/>
    <w:rPr>
      <w:sz w:val="24"/>
      <w:szCs w:val="24"/>
      <w:lang w:val="lv-LV" w:eastAsia="lv-LV" w:bidi="ar-SA"/>
    </w:rPr>
  </w:style>
  <w:style w:type="character" w:styleId="Hipersaite">
    <w:name w:val="Hyperlink"/>
    <w:basedOn w:val="Noklusjumarindkopasfonts"/>
    <w:rsid w:val="000D7729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A5230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5230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rsid w:val="005A771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5A771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A771C"/>
  </w:style>
  <w:style w:type="paragraph" w:styleId="Komentratma">
    <w:name w:val="annotation subject"/>
    <w:basedOn w:val="Komentrateksts"/>
    <w:next w:val="Komentrateksts"/>
    <w:link w:val="KomentratmaRakstz"/>
    <w:rsid w:val="005A771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5A771C"/>
    <w:rPr>
      <w:b/>
      <w:bCs/>
    </w:rPr>
  </w:style>
  <w:style w:type="paragraph" w:customStyle="1" w:styleId="naislab">
    <w:name w:val="naislab"/>
    <w:basedOn w:val="Parasts"/>
    <w:uiPriority w:val="99"/>
    <w:rsid w:val="0002029A"/>
    <w:pPr>
      <w:spacing w:before="75" w:after="75"/>
      <w:jc w:val="right"/>
    </w:pPr>
  </w:style>
  <w:style w:type="paragraph" w:customStyle="1" w:styleId="naispie">
    <w:name w:val="naispie"/>
    <w:basedOn w:val="Parasts"/>
    <w:rsid w:val="002513DF"/>
    <w:pPr>
      <w:spacing w:before="100" w:beforeAutospacing="1" w:after="100" w:afterAutospacing="1"/>
    </w:pPr>
  </w:style>
  <w:style w:type="paragraph" w:customStyle="1" w:styleId="Rakstz">
    <w:name w:val="Rakstz."/>
    <w:basedOn w:val="Parasts"/>
    <w:rsid w:val="00F42C6F"/>
    <w:pPr>
      <w:spacing w:before="40"/>
    </w:pPr>
    <w:rPr>
      <w:lang w:val="pl-PL" w:eastAsia="pl-PL"/>
    </w:rPr>
  </w:style>
  <w:style w:type="paragraph" w:styleId="Paraststmeklis">
    <w:name w:val="Normal (Web)"/>
    <w:basedOn w:val="Parasts"/>
    <w:rsid w:val="00350004"/>
    <w:pPr>
      <w:spacing w:before="100" w:beforeAutospacing="1" w:after="100" w:afterAutospacing="1"/>
    </w:pPr>
  </w:style>
  <w:style w:type="paragraph" w:styleId="Vresteksts">
    <w:name w:val="footnote text"/>
    <w:basedOn w:val="Parasts"/>
    <w:rsid w:val="00B60F97"/>
    <w:pPr>
      <w:jc w:val="both"/>
    </w:pPr>
    <w:rPr>
      <w:sz w:val="20"/>
      <w:szCs w:val="20"/>
      <w:lang w:eastAsia="en-US"/>
    </w:rPr>
  </w:style>
  <w:style w:type="character" w:styleId="Vresatsauce">
    <w:name w:val="footnote reference"/>
    <w:rsid w:val="00B60F97"/>
    <w:rPr>
      <w:vertAlign w:val="superscript"/>
    </w:rPr>
  </w:style>
  <w:style w:type="paragraph" w:styleId="Pamattekstaatkpe2">
    <w:name w:val="Body Text Indent 2"/>
    <w:basedOn w:val="Parasts"/>
    <w:link w:val="Pamattekstaatkpe2Rakstz"/>
    <w:semiHidden/>
    <w:unhideWhenUsed/>
    <w:rsid w:val="001611DB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1611DB"/>
    <w:rPr>
      <w:sz w:val="24"/>
      <w:szCs w:val="24"/>
    </w:rPr>
  </w:style>
  <w:style w:type="paragraph" w:styleId="Sarakstaaizzme">
    <w:name w:val="List Bullet"/>
    <w:basedOn w:val="Parasts"/>
    <w:unhideWhenUsed/>
    <w:rsid w:val="00AC145B"/>
    <w:pPr>
      <w:numPr>
        <w:numId w:val="1"/>
      </w:numPr>
      <w:contextualSpacing/>
    </w:pPr>
  </w:style>
  <w:style w:type="paragraph" w:styleId="Sarakstarindkopa">
    <w:name w:val="List Paragraph"/>
    <w:basedOn w:val="Parasts"/>
    <w:uiPriority w:val="34"/>
    <w:qFormat/>
    <w:rsid w:val="00095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08A66-F9A2-4B13-BBC5-9F5BC519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3197</Words>
  <Characters>1823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2016.gada 5.janvāra noteikumos Nr.13 "Slaucamo govju un slaucamo kazu pārraudzības kārtība"</vt:lpstr>
      <vt:lpstr>Slaucamo govju un slaucamo kazu pārraudzības kārtība</vt:lpstr>
    </vt:vector>
  </TitlesOfParts>
  <Company>Zemkopības ministrija</Company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2016.gada 5.janvāra noteikumos Nr.13 "Slaucamo govju un slaucamo kazu pārraudzības kārtība"</dc:title>
  <dc:subject>Anotācija</dc:subject>
  <dc:creator>Ligija Ozoliņa</dc:creator>
  <dc:description>Ligija.Ozolina@zm.gov.lv; 67027422</dc:description>
  <cp:lastModifiedBy>Sanita Žagare</cp:lastModifiedBy>
  <cp:revision>4</cp:revision>
  <cp:lastPrinted>2016-07-08T06:04:00Z</cp:lastPrinted>
  <dcterms:created xsi:type="dcterms:W3CDTF">2017-06-20T10:22:00Z</dcterms:created>
  <dcterms:modified xsi:type="dcterms:W3CDTF">2017-06-20T11:01:00Z</dcterms:modified>
</cp:coreProperties>
</file>