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F20D6" w14:textId="77777777" w:rsidR="00AC38AA" w:rsidRPr="00B162FC" w:rsidRDefault="00AC38AA" w:rsidP="00AC38AA">
      <w:pPr>
        <w:jc w:val="center"/>
        <w:rPr>
          <w:b/>
          <w:bCs/>
          <w:lang w:eastAsia="en-US"/>
        </w:rPr>
      </w:pPr>
      <w:bookmarkStart w:id="0" w:name="OLE_LINK6"/>
      <w:bookmarkStart w:id="1" w:name="OLE_LINK7"/>
      <w:r w:rsidRPr="00B162FC">
        <w:rPr>
          <w:b/>
          <w:bCs/>
          <w:lang w:eastAsia="en-US"/>
        </w:rPr>
        <w:t xml:space="preserve">Ministru kabineta sēdes protokollēmuma projekta </w:t>
      </w:r>
    </w:p>
    <w:p w14:paraId="2FBF20D7" w14:textId="77777777" w:rsidR="00A264B5" w:rsidRPr="00B162FC" w:rsidRDefault="00350FEB" w:rsidP="00350FEB">
      <w:pPr>
        <w:jc w:val="center"/>
        <w:rPr>
          <w:b/>
          <w:bCs/>
          <w:lang w:eastAsia="en-US"/>
        </w:rPr>
      </w:pPr>
      <w:r w:rsidRPr="00B162FC">
        <w:rPr>
          <w:b/>
          <w:color w:val="000000"/>
        </w:rPr>
        <w:t>“Par Ministru kabineta 2015. gada 1. decembra sēdes protokollēmuma (prot. Nr. 64, 34. §)</w:t>
      </w:r>
      <w:r w:rsidRPr="00B162FC">
        <w:rPr>
          <w:rFonts w:eastAsia="Calibri"/>
          <w:b/>
          <w:color w:val="000000"/>
        </w:rPr>
        <w:t xml:space="preserve"> “Noteikumu projekts </w:t>
      </w:r>
      <w:r w:rsidRPr="00B162FC">
        <w:rPr>
          <w:b/>
          <w:color w:val="000000"/>
        </w:rPr>
        <w:t>“</w:t>
      </w:r>
      <w:r w:rsidRPr="00B162FC">
        <w:rPr>
          <w:rFonts w:eastAsia="Calibri"/>
          <w:b/>
          <w:color w:val="000000"/>
        </w:rPr>
        <w:t>Prasības uztura bagātinātājiem</w:t>
      </w:r>
      <w:r w:rsidRPr="00B162FC">
        <w:rPr>
          <w:b/>
          <w:color w:val="000000"/>
        </w:rPr>
        <w:t>”” 3.2.apakšpunktā dotā uzdevuma izpildi”</w:t>
      </w:r>
    </w:p>
    <w:p w14:paraId="2FBF20D8" w14:textId="77777777" w:rsidR="00677A0F" w:rsidRPr="00B162FC" w:rsidRDefault="00D968FD" w:rsidP="00AC38AA">
      <w:pPr>
        <w:jc w:val="center"/>
        <w:rPr>
          <w:b/>
          <w:bCs/>
          <w:lang w:eastAsia="en-US"/>
        </w:rPr>
      </w:pPr>
      <w:r w:rsidRPr="00B162FC">
        <w:rPr>
          <w:b/>
          <w:bCs/>
          <w:lang w:eastAsia="en-US"/>
        </w:rPr>
        <w:t>sākotnējās ietekmes novērtējuma ziņojums (anotācija)</w:t>
      </w:r>
      <w:bookmarkEnd w:id="0"/>
      <w:bookmarkEnd w:id="1"/>
    </w:p>
    <w:p w14:paraId="2FBF20D9" w14:textId="77777777" w:rsidR="00AC38AA" w:rsidRPr="00B162FC" w:rsidRDefault="00AC38AA" w:rsidP="00AC38AA">
      <w:pPr>
        <w:jc w:val="center"/>
        <w:rPr>
          <w:b/>
          <w:bCs/>
          <w:lang w:eastAsia="en-US"/>
        </w:rPr>
      </w:pPr>
    </w:p>
    <w:tbl>
      <w:tblPr>
        <w:tblW w:w="9356" w:type="dxa"/>
        <w:tblInd w:w="113"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454"/>
        <w:gridCol w:w="2240"/>
        <w:gridCol w:w="6662"/>
      </w:tblGrid>
      <w:tr w:rsidR="00D85230" w:rsidRPr="008D55BF" w14:paraId="2FBF20DB" w14:textId="77777777" w:rsidTr="00897C9B">
        <w:trPr>
          <w:trHeight w:val="284"/>
        </w:trPr>
        <w:tc>
          <w:tcPr>
            <w:tcW w:w="9356" w:type="dxa"/>
            <w:gridSpan w:val="3"/>
            <w:tcBorders>
              <w:top w:val="single" w:sz="6" w:space="0" w:color="auto"/>
              <w:left w:val="single" w:sz="6" w:space="0" w:color="auto"/>
              <w:bottom w:val="outset" w:sz="6" w:space="0" w:color="000000"/>
              <w:right w:val="single" w:sz="6" w:space="0" w:color="auto"/>
            </w:tcBorders>
            <w:tcMar>
              <w:top w:w="0" w:type="dxa"/>
              <w:left w:w="113" w:type="dxa"/>
              <w:bottom w:w="0" w:type="dxa"/>
              <w:right w:w="113" w:type="dxa"/>
            </w:tcMar>
            <w:vAlign w:val="center"/>
          </w:tcPr>
          <w:p w14:paraId="2FBF20DA" w14:textId="77777777" w:rsidR="00D85230" w:rsidRPr="008D55BF" w:rsidRDefault="00D85230" w:rsidP="00D85230">
            <w:pPr>
              <w:jc w:val="center"/>
              <w:rPr>
                <w:b/>
                <w:bCs/>
              </w:rPr>
            </w:pPr>
            <w:r w:rsidRPr="008D55BF">
              <w:rPr>
                <w:b/>
                <w:bCs/>
              </w:rPr>
              <w:t>I. Tiesību akta projekta izstrādes nepieciešamība</w:t>
            </w:r>
          </w:p>
        </w:tc>
      </w:tr>
      <w:tr w:rsidR="00D85230" w:rsidRPr="008D55BF" w14:paraId="2FBF20DF" w14:textId="77777777" w:rsidTr="00897C9B">
        <w:trPr>
          <w:trHeight w:val="284"/>
        </w:trPr>
        <w:tc>
          <w:tcPr>
            <w:tcW w:w="454" w:type="dxa"/>
            <w:tcBorders>
              <w:top w:val="outset" w:sz="6" w:space="0" w:color="000000"/>
              <w:bottom w:val="outset" w:sz="6" w:space="0" w:color="000000"/>
              <w:right w:val="outset" w:sz="6" w:space="0" w:color="000000"/>
            </w:tcBorders>
            <w:tcMar>
              <w:top w:w="0" w:type="dxa"/>
              <w:left w:w="113" w:type="dxa"/>
              <w:bottom w:w="0" w:type="dxa"/>
              <w:right w:w="113" w:type="dxa"/>
            </w:tcMar>
          </w:tcPr>
          <w:p w14:paraId="2FBF20DC" w14:textId="77777777" w:rsidR="00D85230" w:rsidRPr="008D55BF" w:rsidRDefault="00D85230" w:rsidP="00D9025C">
            <w:r w:rsidRPr="008D55BF">
              <w:t>1.</w:t>
            </w:r>
          </w:p>
        </w:tc>
        <w:tc>
          <w:tcPr>
            <w:tcW w:w="2240" w:type="dxa"/>
            <w:tcBorders>
              <w:top w:val="outset" w:sz="6" w:space="0" w:color="000000"/>
              <w:left w:val="outset" w:sz="6" w:space="0" w:color="000000"/>
              <w:bottom w:val="outset" w:sz="6" w:space="0" w:color="000000"/>
              <w:right w:val="outset" w:sz="6" w:space="0" w:color="000000"/>
            </w:tcBorders>
            <w:tcMar>
              <w:top w:w="0" w:type="dxa"/>
              <w:left w:w="113" w:type="dxa"/>
              <w:bottom w:w="0" w:type="dxa"/>
              <w:right w:w="113" w:type="dxa"/>
            </w:tcMar>
          </w:tcPr>
          <w:p w14:paraId="2FBF20DD" w14:textId="77777777" w:rsidR="00D85230" w:rsidRPr="008D55BF" w:rsidRDefault="00D85230" w:rsidP="00D9025C">
            <w:r w:rsidRPr="008D55BF">
              <w:t>Pamatojums</w:t>
            </w:r>
          </w:p>
        </w:tc>
        <w:tc>
          <w:tcPr>
            <w:tcW w:w="6662" w:type="dxa"/>
            <w:tcBorders>
              <w:top w:val="outset" w:sz="6" w:space="0" w:color="000000"/>
              <w:left w:val="outset" w:sz="6" w:space="0" w:color="000000"/>
              <w:bottom w:val="outset" w:sz="6" w:space="0" w:color="000000"/>
            </w:tcBorders>
            <w:tcMar>
              <w:top w:w="0" w:type="dxa"/>
              <w:left w:w="113" w:type="dxa"/>
              <w:bottom w:w="0" w:type="dxa"/>
              <w:right w:w="113" w:type="dxa"/>
            </w:tcMar>
          </w:tcPr>
          <w:p w14:paraId="2FBF20DE" w14:textId="77777777" w:rsidR="006D657E" w:rsidRPr="003D6225" w:rsidRDefault="0037545D" w:rsidP="005F03DC">
            <w:pPr>
              <w:jc w:val="both"/>
            </w:pPr>
            <w:r w:rsidRPr="003A3880">
              <w:rPr>
                <w:color w:val="000000"/>
              </w:rPr>
              <w:t>Ministru kabineta 2015. gada 1. decembra sēdes protokollēmuma (prot. Nr. 64, 34. §)</w:t>
            </w:r>
            <w:r w:rsidRPr="003A3880">
              <w:rPr>
                <w:rFonts w:eastAsia="Calibri"/>
                <w:color w:val="000000"/>
              </w:rPr>
              <w:t xml:space="preserve"> “Noteikumu projekts </w:t>
            </w:r>
            <w:r w:rsidRPr="003A3880">
              <w:rPr>
                <w:color w:val="000000"/>
              </w:rPr>
              <w:t>“</w:t>
            </w:r>
            <w:r w:rsidRPr="003A3880">
              <w:rPr>
                <w:rFonts w:eastAsia="Calibri"/>
                <w:color w:val="000000"/>
              </w:rPr>
              <w:t>Prasības uztura bagātinātājiem</w:t>
            </w:r>
            <w:r w:rsidRPr="003A3880">
              <w:rPr>
                <w:color w:val="000000"/>
              </w:rPr>
              <w:t>””</w:t>
            </w:r>
            <w:r w:rsidR="00CE0026">
              <w:rPr>
                <w:color w:val="000000"/>
              </w:rPr>
              <w:t xml:space="preserve"> </w:t>
            </w:r>
            <w:proofErr w:type="gramStart"/>
            <w:r w:rsidR="00CE0026">
              <w:rPr>
                <w:color w:val="000000"/>
              </w:rPr>
              <w:t>(</w:t>
            </w:r>
            <w:proofErr w:type="gramEnd"/>
            <w:r w:rsidR="00D05B3B">
              <w:rPr>
                <w:color w:val="000000"/>
              </w:rPr>
              <w:t>grozīts ar Ministru kabineta 2016.</w:t>
            </w:r>
            <w:r w:rsidR="002324CD">
              <w:rPr>
                <w:color w:val="000000"/>
              </w:rPr>
              <w:t xml:space="preserve"> </w:t>
            </w:r>
            <w:r w:rsidR="00D05B3B">
              <w:rPr>
                <w:color w:val="000000"/>
              </w:rPr>
              <w:t>gada 5.</w:t>
            </w:r>
            <w:r w:rsidR="00CE0026">
              <w:rPr>
                <w:color w:val="000000"/>
              </w:rPr>
              <w:t> </w:t>
            </w:r>
            <w:r w:rsidR="00D05B3B">
              <w:rPr>
                <w:color w:val="000000"/>
              </w:rPr>
              <w:t>jūlija sēdes protokollēmumu (</w:t>
            </w:r>
            <w:r w:rsidR="00D05B3B" w:rsidRPr="003A3880">
              <w:rPr>
                <w:color w:val="000000"/>
              </w:rPr>
              <w:t>prot. Nr. </w:t>
            </w:r>
            <w:r w:rsidR="00D05B3B">
              <w:rPr>
                <w:color w:val="000000"/>
              </w:rPr>
              <w:t>33</w:t>
            </w:r>
            <w:r w:rsidR="00D05B3B" w:rsidRPr="003A3880">
              <w:rPr>
                <w:color w:val="000000"/>
              </w:rPr>
              <w:t xml:space="preserve">, </w:t>
            </w:r>
            <w:r w:rsidR="00D05B3B">
              <w:rPr>
                <w:color w:val="000000"/>
              </w:rPr>
              <w:t>2</w:t>
            </w:r>
            <w:r w:rsidR="00D05B3B" w:rsidRPr="003A3880">
              <w:rPr>
                <w:color w:val="000000"/>
              </w:rPr>
              <w:t>4. §</w:t>
            </w:r>
            <w:r w:rsidR="00D05B3B">
              <w:rPr>
                <w:color w:val="000000"/>
              </w:rPr>
              <w:t>) “</w:t>
            </w:r>
            <w:r w:rsidR="005F03DC">
              <w:rPr>
                <w:color w:val="000000"/>
              </w:rPr>
              <w:t xml:space="preserve">Par </w:t>
            </w:r>
            <w:r w:rsidR="00D05B3B" w:rsidRPr="003A3880">
              <w:rPr>
                <w:color w:val="000000"/>
              </w:rPr>
              <w:t>Ministru kabineta 2015. gada 1. decembra sēdes protokollēmuma (prot. Nr. 64, 34. §)</w:t>
            </w:r>
            <w:r w:rsidR="00D05B3B" w:rsidRPr="003A3880">
              <w:rPr>
                <w:rFonts w:eastAsia="Calibri"/>
                <w:color w:val="000000"/>
              </w:rPr>
              <w:t xml:space="preserve"> “Noteikumu projekts </w:t>
            </w:r>
            <w:r w:rsidR="00D05B3B" w:rsidRPr="003A3880">
              <w:rPr>
                <w:color w:val="000000"/>
              </w:rPr>
              <w:t>“</w:t>
            </w:r>
            <w:r w:rsidR="00D05B3B" w:rsidRPr="003A3880">
              <w:rPr>
                <w:rFonts w:eastAsia="Calibri"/>
                <w:color w:val="000000"/>
              </w:rPr>
              <w:t>Prasības uztura bagātinātājiem</w:t>
            </w:r>
            <w:r w:rsidR="00D05B3B" w:rsidRPr="003A3880">
              <w:rPr>
                <w:color w:val="000000"/>
              </w:rPr>
              <w:t>”</w:t>
            </w:r>
            <w:r w:rsidR="00D05B3B">
              <w:rPr>
                <w:color w:val="000000"/>
              </w:rPr>
              <w:t>”</w:t>
            </w:r>
            <w:r w:rsidR="00350FEB">
              <w:rPr>
                <w:color w:val="000000"/>
              </w:rPr>
              <w:t xml:space="preserve"> </w:t>
            </w:r>
            <w:r w:rsidR="005F03DC">
              <w:rPr>
                <w:color w:val="000000"/>
              </w:rPr>
              <w:t>3.1., 3.2., 3.3. un 3.4.</w:t>
            </w:r>
            <w:r w:rsidR="002324CD">
              <w:rPr>
                <w:color w:val="000000"/>
              </w:rPr>
              <w:t xml:space="preserve"> </w:t>
            </w:r>
            <w:r w:rsidR="005F03DC">
              <w:rPr>
                <w:color w:val="000000"/>
              </w:rPr>
              <w:t>apakšpunktā dotā uzdevuma izpildi””</w:t>
            </w:r>
            <w:r w:rsidR="00CE0026">
              <w:rPr>
                <w:color w:val="000000"/>
              </w:rPr>
              <w:t>)</w:t>
            </w:r>
            <w:r w:rsidR="005F03DC" w:rsidRPr="003A3880">
              <w:rPr>
                <w:color w:val="000000"/>
              </w:rPr>
              <w:t xml:space="preserve"> (turpmāk – protokollēmums)</w:t>
            </w:r>
            <w:r w:rsidR="005F03DC">
              <w:rPr>
                <w:color w:val="000000"/>
              </w:rPr>
              <w:t xml:space="preserve"> </w:t>
            </w:r>
            <w:r w:rsidRPr="003A3880">
              <w:rPr>
                <w:color w:val="000000"/>
              </w:rPr>
              <w:t xml:space="preserve">3.1. apakšpunktā dots uzdevums Zemkopības ministrijai sagatavot un </w:t>
            </w:r>
            <w:r w:rsidRPr="0002499B">
              <w:rPr>
                <w:color w:val="000000"/>
              </w:rPr>
              <w:t>iesniegt izskatīšanai Ministru</w:t>
            </w:r>
            <w:r w:rsidRPr="003A3880">
              <w:rPr>
                <w:color w:val="000000"/>
              </w:rPr>
              <w:t xml:space="preserve"> kabinetā grozījumus Pārtikas aprites uzraudzības likumā, paredzot Ministru kabinetam pilnvarojumu noteikt izmantošanai pārtikā aizliegto un ierobežoti lietojamo augu, augu daļu un to produktu sarakstu</w:t>
            </w:r>
            <w:r>
              <w:rPr>
                <w:color w:val="000000"/>
              </w:rPr>
              <w:t>, savukārt</w:t>
            </w:r>
            <w:r w:rsidRPr="009029D2">
              <w:rPr>
                <w:color w:val="000000"/>
              </w:rPr>
              <w:t xml:space="preserve"> 3.2. apakšpunktā dots uzdevums Zemkopības ministrijai sadarbībā ar Veselības ministriju līdz 2017. gada 1. jūlijam izstrādāt izmantošanai pārtikā aizliegto un ierobežoti lietojamo augu, augu daļu un to produktu </w:t>
            </w:r>
            <w:r w:rsidRPr="006519A6">
              <w:rPr>
                <w:color w:val="000000"/>
              </w:rPr>
              <w:t xml:space="preserve">sarakstu. </w:t>
            </w:r>
          </w:p>
        </w:tc>
      </w:tr>
      <w:tr w:rsidR="00D85230" w:rsidRPr="008D55BF" w14:paraId="2FBF20E4" w14:textId="77777777" w:rsidTr="00897C9B">
        <w:trPr>
          <w:trHeight w:val="284"/>
        </w:trPr>
        <w:tc>
          <w:tcPr>
            <w:tcW w:w="454" w:type="dxa"/>
            <w:tcBorders>
              <w:top w:val="outset" w:sz="6" w:space="0" w:color="000000"/>
              <w:bottom w:val="outset" w:sz="6" w:space="0" w:color="000000"/>
              <w:right w:val="outset" w:sz="6" w:space="0" w:color="000000"/>
            </w:tcBorders>
            <w:tcMar>
              <w:top w:w="0" w:type="dxa"/>
              <w:left w:w="113" w:type="dxa"/>
              <w:bottom w:w="0" w:type="dxa"/>
              <w:right w:w="113" w:type="dxa"/>
            </w:tcMar>
          </w:tcPr>
          <w:p w14:paraId="2FBF20E0" w14:textId="77777777" w:rsidR="00D85230" w:rsidRPr="008D55BF" w:rsidRDefault="00D85230" w:rsidP="00D9025C">
            <w:r>
              <w:t>2.</w:t>
            </w:r>
          </w:p>
        </w:tc>
        <w:tc>
          <w:tcPr>
            <w:tcW w:w="2240" w:type="dxa"/>
            <w:tcBorders>
              <w:top w:val="outset" w:sz="6" w:space="0" w:color="000000"/>
              <w:left w:val="outset" w:sz="6" w:space="0" w:color="000000"/>
              <w:bottom w:val="outset" w:sz="6" w:space="0" w:color="000000"/>
              <w:right w:val="outset" w:sz="6" w:space="0" w:color="000000"/>
            </w:tcBorders>
            <w:tcMar>
              <w:top w:w="0" w:type="dxa"/>
              <w:left w:w="113" w:type="dxa"/>
              <w:bottom w:w="0" w:type="dxa"/>
              <w:right w:w="113" w:type="dxa"/>
            </w:tcMar>
          </w:tcPr>
          <w:p w14:paraId="2FBF20E1" w14:textId="77777777" w:rsidR="00D85230" w:rsidRPr="008D55BF" w:rsidRDefault="00D85230" w:rsidP="00D9025C">
            <w:r>
              <w:t>Pašreizējā situācija un problēmas, kuru risināšanai tiesību akta projekts izstrādāts, tiesiskā regulējuma mērķis</w:t>
            </w:r>
            <w:r w:rsidR="009F5056">
              <w:t xml:space="preserve"> </w:t>
            </w:r>
            <w:r>
              <w:t>un būtība</w:t>
            </w:r>
          </w:p>
        </w:tc>
        <w:tc>
          <w:tcPr>
            <w:tcW w:w="6662" w:type="dxa"/>
            <w:tcBorders>
              <w:top w:val="outset" w:sz="6" w:space="0" w:color="000000"/>
              <w:left w:val="outset" w:sz="6" w:space="0" w:color="000000"/>
              <w:bottom w:val="outset" w:sz="6" w:space="0" w:color="000000"/>
            </w:tcBorders>
            <w:tcMar>
              <w:top w:w="0" w:type="dxa"/>
              <w:left w:w="113" w:type="dxa"/>
              <w:bottom w:w="0" w:type="dxa"/>
              <w:right w:w="113" w:type="dxa"/>
            </w:tcMar>
          </w:tcPr>
          <w:p w14:paraId="2FBF20E2" w14:textId="77777777" w:rsidR="00A264B5" w:rsidRPr="00356E26" w:rsidRDefault="00A264B5" w:rsidP="00A264B5">
            <w:pPr>
              <w:jc w:val="both"/>
              <w:rPr>
                <w:color w:val="000000"/>
              </w:rPr>
            </w:pPr>
            <w:r>
              <w:rPr>
                <w:color w:val="000000"/>
              </w:rPr>
              <w:t>Ar 2017. gada 2</w:t>
            </w:r>
            <w:r w:rsidR="007C5B43">
              <w:rPr>
                <w:color w:val="000000"/>
              </w:rPr>
              <w:t>7</w:t>
            </w:r>
            <w:r w:rsidRPr="00436E1F">
              <w:rPr>
                <w:color w:val="000000"/>
              </w:rPr>
              <w:t>.</w:t>
            </w:r>
            <w:r w:rsidR="007C5B43">
              <w:rPr>
                <w:color w:val="000000"/>
              </w:rPr>
              <w:t xml:space="preserve"> aprīļa</w:t>
            </w:r>
            <w:r w:rsidRPr="00436E1F">
              <w:rPr>
                <w:color w:val="000000"/>
              </w:rPr>
              <w:t xml:space="preserve"> grozījumiem</w:t>
            </w:r>
            <w:r w:rsidR="00B24F46">
              <w:rPr>
                <w:color w:val="000000"/>
              </w:rPr>
              <w:t xml:space="preserve"> </w:t>
            </w:r>
            <w:r w:rsidRPr="00436E1F">
              <w:rPr>
                <w:color w:val="000000"/>
              </w:rPr>
              <w:t xml:space="preserve">Pārtikas aprites </w:t>
            </w:r>
            <w:r w:rsidRPr="00356E26">
              <w:rPr>
                <w:color w:val="000000"/>
              </w:rPr>
              <w:t>uzraudzības likumā (4. panta astoņpadsmitā daļa)</w:t>
            </w:r>
            <w:r w:rsidR="00B24F46">
              <w:rPr>
                <w:color w:val="000000"/>
              </w:rPr>
              <w:t>, kas stājās spēkā 2017. gada 24. maijā,</w:t>
            </w:r>
            <w:r w:rsidRPr="00356E26">
              <w:rPr>
                <w:color w:val="000000"/>
              </w:rPr>
              <w:t xml:space="preserve"> dots pilnvarojums Ministru kabinetam noteikt izmantošanai pārtikā aizliegto un ierobežoti lietojamo augu, augu daļu, to produktu un citu vielu sarakstu. Pārtikas aprites uzraudzības likuma pārejas noteikumu 27. punkts</w:t>
            </w:r>
            <w:r>
              <w:rPr>
                <w:color w:val="000000"/>
              </w:rPr>
              <w:t xml:space="preserve"> </w:t>
            </w:r>
            <w:r w:rsidRPr="00356E26">
              <w:rPr>
                <w:color w:val="000000"/>
              </w:rPr>
              <w:t xml:space="preserve">nosaka, ka likuma 4. panta astoņpadsmitajā daļā minētos noteikumus Ministru kabinets izdod līdz 2018. gada 31. decembrim. </w:t>
            </w:r>
          </w:p>
          <w:p w14:paraId="2FBF20E3" w14:textId="77777777" w:rsidR="00A264B5" w:rsidRPr="00A264B5" w:rsidRDefault="00A264B5" w:rsidP="00E71CE7">
            <w:pPr>
              <w:pStyle w:val="Pamatteksts"/>
              <w:outlineLvl w:val="0"/>
              <w:rPr>
                <w:b/>
                <w:lang w:val="lv-LV"/>
              </w:rPr>
            </w:pPr>
            <w:r w:rsidRPr="00A264B5">
              <w:rPr>
                <w:color w:val="000000"/>
                <w:sz w:val="24"/>
                <w:szCs w:val="24"/>
                <w:lang w:val="lv-LV"/>
              </w:rPr>
              <w:t>Ņemot vērā minēto, nepieciešams pagarināt protokollēmuma 3.2. apakšpunktā dotā uzdevuma izpildes termiņu līdz 2018. gada 30. novembrim.</w:t>
            </w:r>
          </w:p>
        </w:tc>
      </w:tr>
      <w:tr w:rsidR="009343BC" w:rsidRPr="008D55BF" w14:paraId="2FBF20E8" w14:textId="77777777" w:rsidTr="00897C9B">
        <w:trPr>
          <w:trHeight w:val="284"/>
        </w:trPr>
        <w:tc>
          <w:tcPr>
            <w:tcW w:w="454" w:type="dxa"/>
            <w:tcBorders>
              <w:top w:val="outset" w:sz="6" w:space="0" w:color="000000"/>
              <w:bottom w:val="outset" w:sz="6" w:space="0" w:color="000000"/>
              <w:right w:val="outset" w:sz="6" w:space="0" w:color="000000"/>
            </w:tcBorders>
            <w:tcMar>
              <w:top w:w="0" w:type="dxa"/>
              <w:left w:w="113" w:type="dxa"/>
              <w:bottom w:w="0" w:type="dxa"/>
              <w:right w:w="113" w:type="dxa"/>
            </w:tcMar>
          </w:tcPr>
          <w:p w14:paraId="2FBF20E5" w14:textId="77777777" w:rsidR="009343BC" w:rsidRDefault="009343BC" w:rsidP="00D9025C">
            <w:r>
              <w:t>3.</w:t>
            </w:r>
          </w:p>
        </w:tc>
        <w:tc>
          <w:tcPr>
            <w:tcW w:w="2240" w:type="dxa"/>
            <w:tcBorders>
              <w:top w:val="outset" w:sz="6" w:space="0" w:color="000000"/>
              <w:left w:val="outset" w:sz="6" w:space="0" w:color="000000"/>
              <w:bottom w:val="outset" w:sz="6" w:space="0" w:color="000000"/>
              <w:right w:val="outset" w:sz="6" w:space="0" w:color="000000"/>
            </w:tcBorders>
            <w:tcMar>
              <w:top w:w="0" w:type="dxa"/>
              <w:left w:w="113" w:type="dxa"/>
              <w:bottom w:w="0" w:type="dxa"/>
              <w:right w:w="113" w:type="dxa"/>
            </w:tcMar>
          </w:tcPr>
          <w:p w14:paraId="2FBF20E6" w14:textId="77777777" w:rsidR="009343BC" w:rsidRDefault="009343BC" w:rsidP="00D9025C">
            <w:r w:rsidRPr="009343BC">
              <w:t>Projekta izstrādē iesaistītās institūcijas</w:t>
            </w:r>
          </w:p>
        </w:tc>
        <w:tc>
          <w:tcPr>
            <w:tcW w:w="6662" w:type="dxa"/>
            <w:tcBorders>
              <w:top w:val="outset" w:sz="6" w:space="0" w:color="000000"/>
              <w:left w:val="outset" w:sz="6" w:space="0" w:color="000000"/>
              <w:bottom w:val="outset" w:sz="6" w:space="0" w:color="000000"/>
            </w:tcBorders>
            <w:tcMar>
              <w:top w:w="0" w:type="dxa"/>
              <w:left w:w="113" w:type="dxa"/>
              <w:bottom w:w="0" w:type="dxa"/>
              <w:right w:w="113" w:type="dxa"/>
            </w:tcMar>
          </w:tcPr>
          <w:p w14:paraId="2FBF20E7" w14:textId="77777777" w:rsidR="009343BC" w:rsidRPr="00DB0BF5" w:rsidRDefault="002324CD" w:rsidP="00A264B5">
            <w:pPr>
              <w:jc w:val="both"/>
            </w:pPr>
            <w:r>
              <w:t>Zemkopības ministrija</w:t>
            </w:r>
            <w:r w:rsidR="00CE0026">
              <w:t xml:space="preserve"> un</w:t>
            </w:r>
            <w:r>
              <w:t xml:space="preserve"> </w:t>
            </w:r>
            <w:r w:rsidR="00AB5074">
              <w:t xml:space="preserve">Veselības </w:t>
            </w:r>
            <w:r w:rsidR="006B1F47">
              <w:t>ministrija</w:t>
            </w:r>
            <w:r w:rsidR="0074291D">
              <w:t xml:space="preserve"> </w:t>
            </w:r>
          </w:p>
        </w:tc>
      </w:tr>
      <w:tr w:rsidR="009343BC" w:rsidRPr="008D55BF" w14:paraId="2FBF20EC" w14:textId="77777777" w:rsidTr="00897C9B">
        <w:trPr>
          <w:trHeight w:val="284"/>
        </w:trPr>
        <w:tc>
          <w:tcPr>
            <w:tcW w:w="454" w:type="dxa"/>
            <w:tcBorders>
              <w:top w:val="outset" w:sz="6" w:space="0" w:color="000000"/>
              <w:bottom w:val="outset" w:sz="6" w:space="0" w:color="000000"/>
              <w:right w:val="outset" w:sz="6" w:space="0" w:color="000000"/>
            </w:tcBorders>
            <w:tcMar>
              <w:top w:w="0" w:type="dxa"/>
              <w:left w:w="113" w:type="dxa"/>
              <w:bottom w:w="0" w:type="dxa"/>
              <w:right w:w="113" w:type="dxa"/>
            </w:tcMar>
          </w:tcPr>
          <w:p w14:paraId="2FBF20E9" w14:textId="77777777" w:rsidR="009343BC" w:rsidRDefault="009343BC" w:rsidP="00D9025C">
            <w:r>
              <w:t>4.</w:t>
            </w:r>
          </w:p>
        </w:tc>
        <w:tc>
          <w:tcPr>
            <w:tcW w:w="2240" w:type="dxa"/>
            <w:tcBorders>
              <w:top w:val="outset" w:sz="6" w:space="0" w:color="000000"/>
              <w:left w:val="outset" w:sz="6" w:space="0" w:color="000000"/>
              <w:bottom w:val="outset" w:sz="6" w:space="0" w:color="000000"/>
              <w:right w:val="outset" w:sz="6" w:space="0" w:color="000000"/>
            </w:tcBorders>
            <w:tcMar>
              <w:top w:w="0" w:type="dxa"/>
              <w:left w:w="113" w:type="dxa"/>
              <w:bottom w:w="0" w:type="dxa"/>
              <w:right w:w="113" w:type="dxa"/>
            </w:tcMar>
          </w:tcPr>
          <w:p w14:paraId="2FBF20EA" w14:textId="77777777" w:rsidR="009343BC" w:rsidRPr="009343BC" w:rsidRDefault="009343BC" w:rsidP="00D9025C">
            <w:r w:rsidRPr="009343BC">
              <w:t>Cita informācija</w:t>
            </w:r>
          </w:p>
        </w:tc>
        <w:tc>
          <w:tcPr>
            <w:tcW w:w="6662" w:type="dxa"/>
            <w:tcBorders>
              <w:top w:val="outset" w:sz="6" w:space="0" w:color="000000"/>
              <w:left w:val="outset" w:sz="6" w:space="0" w:color="000000"/>
              <w:bottom w:val="outset" w:sz="6" w:space="0" w:color="000000"/>
            </w:tcBorders>
            <w:tcMar>
              <w:top w:w="0" w:type="dxa"/>
              <w:left w:w="113" w:type="dxa"/>
              <w:bottom w:w="0" w:type="dxa"/>
              <w:right w:w="113" w:type="dxa"/>
            </w:tcMar>
          </w:tcPr>
          <w:p w14:paraId="2FBF20EB" w14:textId="77777777" w:rsidR="009343BC" w:rsidRPr="009343BC" w:rsidRDefault="009343BC" w:rsidP="00D9025C">
            <w:pPr>
              <w:ind w:firstLine="170"/>
              <w:jc w:val="both"/>
            </w:pPr>
            <w:r w:rsidRPr="009343BC">
              <w:t>Nav</w:t>
            </w:r>
          </w:p>
        </w:tc>
      </w:tr>
    </w:tbl>
    <w:p w14:paraId="2FBF20ED" w14:textId="77777777" w:rsidR="00AC38AA" w:rsidRDefault="00AC38AA" w:rsidP="00AC38AA">
      <w:pPr>
        <w:jc w:val="both"/>
        <w:rPr>
          <w:lang w:eastAsia="en-US"/>
        </w:rPr>
      </w:pPr>
    </w:p>
    <w:tbl>
      <w:tblPr>
        <w:tblW w:w="4927" w:type="pct"/>
        <w:jc w:val="center"/>
        <w:tblCellSpacing w:w="15"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8930"/>
      </w:tblGrid>
      <w:tr w:rsidR="00AF5043" w14:paraId="3E4DA1AF" w14:textId="77777777" w:rsidTr="002C0317">
        <w:trPr>
          <w:trHeight w:val="360"/>
          <w:tblCellSpacing w:w="15" w:type="dxa"/>
          <w:jc w:val="center"/>
        </w:trPr>
        <w:tc>
          <w:tcPr>
            <w:tcW w:w="4966" w:type="pct"/>
            <w:vAlign w:val="center"/>
            <w:hideMark/>
          </w:tcPr>
          <w:p w14:paraId="38E4D860" w14:textId="683C8422" w:rsidR="00AF5043" w:rsidRDefault="00AF5043" w:rsidP="009D4EA5">
            <w:pPr>
              <w:spacing w:before="100" w:beforeAutospacing="1" w:after="100" w:afterAutospacing="1"/>
              <w:jc w:val="center"/>
              <w:rPr>
                <w:b/>
                <w:bCs/>
                <w:i/>
              </w:rPr>
            </w:pPr>
            <w:r>
              <w:rPr>
                <w:b/>
                <w:bCs/>
              </w:rPr>
              <w:t>II. Tiesību akta projekta ietekme uz sabiedrību, tautsaimniecības attīstību un administratīvo slogu</w:t>
            </w:r>
          </w:p>
        </w:tc>
      </w:tr>
      <w:tr w:rsidR="00AF5043" w14:paraId="1CEE7B55" w14:textId="77777777" w:rsidTr="002C0317">
        <w:trPr>
          <w:trHeight w:val="360"/>
          <w:tblCellSpacing w:w="15" w:type="dxa"/>
          <w:jc w:val="center"/>
        </w:trPr>
        <w:tc>
          <w:tcPr>
            <w:tcW w:w="4966" w:type="pct"/>
            <w:vAlign w:val="center"/>
            <w:hideMark/>
          </w:tcPr>
          <w:p w14:paraId="43408300" w14:textId="77777777" w:rsidR="00AF5043" w:rsidRDefault="00AF5043" w:rsidP="009D4EA5">
            <w:pPr>
              <w:spacing w:before="100" w:beforeAutospacing="1" w:after="100" w:afterAutospacing="1"/>
              <w:jc w:val="center"/>
              <w:rPr>
                <w:bCs/>
                <w:lang w:val="en-GB"/>
              </w:rPr>
            </w:pPr>
            <w:r>
              <w:rPr>
                <w:bCs/>
              </w:rPr>
              <w:t>Projekts šo jomu neskar</w:t>
            </w:r>
          </w:p>
        </w:tc>
      </w:tr>
    </w:tbl>
    <w:p w14:paraId="47C94D9E" w14:textId="77777777" w:rsidR="00AF5043" w:rsidRDefault="00AF5043" w:rsidP="00AC38AA">
      <w:pPr>
        <w:jc w:val="both"/>
        <w:rPr>
          <w:lang w:eastAsia="en-US"/>
        </w:rPr>
      </w:pPr>
    </w:p>
    <w:tbl>
      <w:tblPr>
        <w:tblW w:w="5009"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72"/>
      </w:tblGrid>
      <w:tr w:rsidR="00AF5043" w14:paraId="43036D19" w14:textId="77777777" w:rsidTr="002C0317">
        <w:trPr>
          <w:trHeight w:val="360"/>
          <w:tblCellSpacing w:w="15" w:type="dxa"/>
          <w:jc w:val="center"/>
        </w:trPr>
        <w:tc>
          <w:tcPr>
            <w:tcW w:w="4967" w:type="pct"/>
            <w:tcBorders>
              <w:top w:val="outset" w:sz="6" w:space="0" w:color="auto"/>
              <w:left w:val="outset" w:sz="6" w:space="0" w:color="auto"/>
              <w:bottom w:val="outset" w:sz="6" w:space="0" w:color="auto"/>
              <w:right w:val="outset" w:sz="6" w:space="0" w:color="auto"/>
            </w:tcBorders>
            <w:vAlign w:val="center"/>
            <w:hideMark/>
          </w:tcPr>
          <w:p w14:paraId="60EB6EB8" w14:textId="77777777" w:rsidR="00AF5043" w:rsidRDefault="00AF5043">
            <w:pPr>
              <w:spacing w:before="100" w:beforeAutospacing="1" w:after="100" w:afterAutospacing="1"/>
              <w:jc w:val="center"/>
              <w:rPr>
                <w:b/>
                <w:bCs/>
                <w:i/>
              </w:rPr>
            </w:pPr>
            <w:r>
              <w:rPr>
                <w:b/>
                <w:bCs/>
              </w:rPr>
              <w:t>III. Tiesību akta projekta ietekme uz valsts budžetu un pašvaldību budžetiem</w:t>
            </w:r>
          </w:p>
        </w:tc>
      </w:tr>
      <w:tr w:rsidR="00AF5043" w14:paraId="5F24BA14" w14:textId="77777777" w:rsidTr="002C0317">
        <w:trPr>
          <w:trHeight w:val="360"/>
          <w:tblCellSpacing w:w="15" w:type="dxa"/>
          <w:jc w:val="center"/>
        </w:trPr>
        <w:tc>
          <w:tcPr>
            <w:tcW w:w="4967" w:type="pct"/>
            <w:tcBorders>
              <w:top w:val="outset" w:sz="6" w:space="0" w:color="auto"/>
              <w:left w:val="outset" w:sz="6" w:space="0" w:color="auto"/>
              <w:bottom w:val="outset" w:sz="6" w:space="0" w:color="auto"/>
              <w:right w:val="outset" w:sz="6" w:space="0" w:color="auto"/>
            </w:tcBorders>
            <w:vAlign w:val="center"/>
            <w:hideMark/>
          </w:tcPr>
          <w:p w14:paraId="757D3344" w14:textId="77777777" w:rsidR="00AF5043" w:rsidRDefault="00AF5043">
            <w:pPr>
              <w:spacing w:before="100" w:beforeAutospacing="1" w:after="100" w:afterAutospacing="1"/>
              <w:jc w:val="center"/>
              <w:rPr>
                <w:bCs/>
                <w:lang w:val="en-GB"/>
              </w:rPr>
            </w:pPr>
            <w:r>
              <w:rPr>
                <w:bCs/>
              </w:rPr>
              <w:t>Projekts šo jomu neskar</w:t>
            </w:r>
          </w:p>
        </w:tc>
      </w:tr>
    </w:tbl>
    <w:p w14:paraId="2FBF20EF" w14:textId="77777777" w:rsidR="00AC38AA" w:rsidRPr="009F7A38" w:rsidRDefault="00AC38AA" w:rsidP="00AC38AA">
      <w:pPr>
        <w:pStyle w:val="naisf"/>
        <w:tabs>
          <w:tab w:val="left" w:pos="6840"/>
        </w:tabs>
        <w:spacing w:before="0" w:after="0"/>
        <w:ind w:firstLine="0"/>
        <w:rPr>
          <w:sz w:val="28"/>
          <w:szCs w:val="28"/>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9"/>
        <w:gridCol w:w="7864"/>
      </w:tblGrid>
      <w:tr w:rsidR="00310446" w:rsidRPr="001543F9" w14:paraId="2FBF20F1" w14:textId="77777777" w:rsidTr="002C0317">
        <w:tc>
          <w:tcPr>
            <w:tcW w:w="5000" w:type="pct"/>
            <w:gridSpan w:val="2"/>
          </w:tcPr>
          <w:p w14:paraId="2FBF20F0" w14:textId="77777777" w:rsidR="00310446" w:rsidRPr="001543F9" w:rsidRDefault="00310446" w:rsidP="00016F35">
            <w:pPr>
              <w:jc w:val="center"/>
              <w:rPr>
                <w:color w:val="000000" w:themeColor="text1"/>
              </w:rPr>
            </w:pPr>
            <w:r w:rsidRPr="001543F9">
              <w:rPr>
                <w:b/>
                <w:bCs/>
                <w:color w:val="000000" w:themeColor="text1"/>
              </w:rPr>
              <w:t>IV. Tiesību akta projekta ietekme uz spēka esošo tiesību normu sistēmu</w:t>
            </w:r>
          </w:p>
        </w:tc>
      </w:tr>
      <w:tr w:rsidR="00310446" w:rsidRPr="006B1394" w14:paraId="2FBF20F4" w14:textId="77777777" w:rsidTr="002C0317">
        <w:tc>
          <w:tcPr>
            <w:tcW w:w="858" w:type="pct"/>
          </w:tcPr>
          <w:p w14:paraId="2FBF20F2" w14:textId="77777777" w:rsidR="00310446" w:rsidRPr="006B1394" w:rsidRDefault="00310446" w:rsidP="00B8206F">
            <w:pPr>
              <w:jc w:val="both"/>
              <w:rPr>
                <w:color w:val="000000" w:themeColor="text1"/>
              </w:rPr>
            </w:pPr>
            <w:r>
              <w:rPr>
                <w:color w:val="000000" w:themeColor="text1"/>
              </w:rPr>
              <w:lastRenderedPageBreak/>
              <w:t>Nepieciešamie saistītie tiesību aktu projekti</w:t>
            </w:r>
          </w:p>
        </w:tc>
        <w:tc>
          <w:tcPr>
            <w:tcW w:w="4142" w:type="pct"/>
          </w:tcPr>
          <w:p w14:paraId="2FBF20F3" w14:textId="77777777" w:rsidR="00310446" w:rsidRPr="006B1394" w:rsidRDefault="007F78C3" w:rsidP="00C10763">
            <w:pPr>
              <w:jc w:val="both"/>
              <w:rPr>
                <w:color w:val="000000" w:themeColor="text1"/>
              </w:rPr>
            </w:pPr>
            <w:r w:rsidRPr="00145513">
              <w:rPr>
                <w:lang w:eastAsia="en-US"/>
              </w:rPr>
              <w:t xml:space="preserve">Līdz 2018. </w:t>
            </w:r>
            <w:r w:rsidRPr="00B65C81">
              <w:rPr>
                <w:lang w:eastAsia="en-US"/>
              </w:rPr>
              <w:t xml:space="preserve">gada </w:t>
            </w:r>
            <w:r w:rsidR="00E71CE7" w:rsidRPr="00A264B5">
              <w:rPr>
                <w:rFonts w:eastAsia="Calibri"/>
                <w:color w:val="000000"/>
              </w:rPr>
              <w:t>30. novembrim</w:t>
            </w:r>
            <w:r w:rsidR="00E71CE7" w:rsidRPr="00B65C81">
              <w:rPr>
                <w:lang w:eastAsia="en-US"/>
              </w:rPr>
              <w:t xml:space="preserve"> </w:t>
            </w:r>
            <w:r w:rsidRPr="00B65C81">
              <w:rPr>
                <w:lang w:eastAsia="en-US"/>
              </w:rPr>
              <w:t xml:space="preserve">iesniegt Ministru kabinetā </w:t>
            </w:r>
            <w:r w:rsidR="009443B3">
              <w:rPr>
                <w:lang w:eastAsia="en-US"/>
              </w:rPr>
              <w:t xml:space="preserve">Ministru kabineta </w:t>
            </w:r>
            <w:r w:rsidRPr="00B65C81">
              <w:rPr>
                <w:lang w:eastAsia="en-US"/>
              </w:rPr>
              <w:t>noteikumu projektu</w:t>
            </w:r>
            <w:r w:rsidR="00C10763">
              <w:rPr>
                <w:lang w:eastAsia="en-US"/>
              </w:rPr>
              <w:t xml:space="preserve"> </w:t>
            </w:r>
            <w:r w:rsidR="00C10763">
              <w:rPr>
                <w:color w:val="000000"/>
              </w:rPr>
              <w:t>par</w:t>
            </w:r>
            <w:r w:rsidR="00C10763" w:rsidRPr="00356E26">
              <w:rPr>
                <w:color w:val="000000"/>
              </w:rPr>
              <w:t xml:space="preserve"> pārtikā aizliegto un ierobežoti lietojamo augu, augu daļu, to produktu un citu vielu sarakstu.</w:t>
            </w:r>
          </w:p>
        </w:tc>
      </w:tr>
      <w:tr w:rsidR="00310446" w:rsidRPr="006B1394" w14:paraId="2FBF20F7" w14:textId="77777777" w:rsidTr="002C0317">
        <w:tc>
          <w:tcPr>
            <w:tcW w:w="858" w:type="pct"/>
          </w:tcPr>
          <w:p w14:paraId="2FBF20F5" w14:textId="77777777" w:rsidR="00310446" w:rsidRPr="006B1394" w:rsidRDefault="00310446" w:rsidP="00B8206F">
            <w:pPr>
              <w:jc w:val="both"/>
              <w:rPr>
                <w:color w:val="000000" w:themeColor="text1"/>
              </w:rPr>
            </w:pPr>
            <w:r>
              <w:rPr>
                <w:color w:val="000000" w:themeColor="text1"/>
              </w:rPr>
              <w:t>Atbildīgā institūcija</w:t>
            </w:r>
          </w:p>
        </w:tc>
        <w:tc>
          <w:tcPr>
            <w:tcW w:w="4142" w:type="pct"/>
          </w:tcPr>
          <w:p w14:paraId="2FBF20F6" w14:textId="77777777" w:rsidR="00310446" w:rsidRPr="006B1394" w:rsidRDefault="00310446" w:rsidP="00B8206F">
            <w:pPr>
              <w:jc w:val="both"/>
              <w:rPr>
                <w:color w:val="000000" w:themeColor="text1"/>
              </w:rPr>
            </w:pPr>
            <w:r>
              <w:rPr>
                <w:color w:val="000000" w:themeColor="text1"/>
              </w:rPr>
              <w:t>Zemkopības ministrija</w:t>
            </w:r>
          </w:p>
        </w:tc>
      </w:tr>
      <w:tr w:rsidR="00310446" w:rsidRPr="006B1394" w14:paraId="2FBF20FA" w14:textId="77777777" w:rsidTr="002C0317">
        <w:tc>
          <w:tcPr>
            <w:tcW w:w="858" w:type="pct"/>
          </w:tcPr>
          <w:p w14:paraId="2FBF20F8" w14:textId="77777777" w:rsidR="00310446" w:rsidRPr="006B1394" w:rsidRDefault="00310446" w:rsidP="00B8206F">
            <w:pPr>
              <w:jc w:val="both"/>
              <w:rPr>
                <w:color w:val="000000" w:themeColor="text1"/>
              </w:rPr>
            </w:pPr>
            <w:r w:rsidRPr="006B1394">
              <w:rPr>
                <w:color w:val="000000" w:themeColor="text1"/>
              </w:rPr>
              <w:t>Cita informācija</w:t>
            </w:r>
          </w:p>
        </w:tc>
        <w:tc>
          <w:tcPr>
            <w:tcW w:w="4142" w:type="pct"/>
          </w:tcPr>
          <w:p w14:paraId="2FBF20F9" w14:textId="77777777" w:rsidR="00310446" w:rsidRPr="006B1394" w:rsidRDefault="00C10763" w:rsidP="0020454B">
            <w:pPr>
              <w:jc w:val="both"/>
              <w:rPr>
                <w:color w:val="000000" w:themeColor="text1"/>
              </w:rPr>
            </w:pPr>
            <w:r w:rsidRPr="00B65C81">
              <w:rPr>
                <w:lang w:eastAsia="en-US"/>
              </w:rPr>
              <w:t>Ministru kabinet</w:t>
            </w:r>
            <w:r>
              <w:rPr>
                <w:lang w:eastAsia="en-US"/>
              </w:rPr>
              <w:t>a</w:t>
            </w:r>
            <w:r w:rsidRPr="00B65C81">
              <w:rPr>
                <w:lang w:eastAsia="en-US"/>
              </w:rPr>
              <w:t xml:space="preserve"> noteikumu projekt</w:t>
            </w:r>
            <w:r>
              <w:rPr>
                <w:lang w:eastAsia="en-US"/>
              </w:rPr>
              <w:t xml:space="preserve">s </w:t>
            </w:r>
            <w:r>
              <w:rPr>
                <w:color w:val="000000"/>
              </w:rPr>
              <w:t>par</w:t>
            </w:r>
            <w:r w:rsidRPr="00356E26">
              <w:rPr>
                <w:color w:val="000000"/>
              </w:rPr>
              <w:t xml:space="preserve"> pārtikā aizliegto un ierobežoti lietojamo augu, augu daļu, to produktu un citu vielu sarakstu</w:t>
            </w:r>
            <w:r>
              <w:rPr>
                <w:color w:val="000000"/>
              </w:rPr>
              <w:t xml:space="preserve"> </w:t>
            </w:r>
            <w:r w:rsidR="0020454B">
              <w:rPr>
                <w:color w:val="000000"/>
              </w:rPr>
              <w:t xml:space="preserve">ir jāpaziņo Eiropas Komisijai un Eiropas Savienības dalībvalstīm </w:t>
            </w:r>
            <w:r w:rsidR="00350FEB">
              <w:rPr>
                <w:color w:val="000000"/>
              </w:rPr>
              <w:t xml:space="preserve">atbilstoši Ministru kabineta </w:t>
            </w:r>
            <w:proofErr w:type="gramStart"/>
            <w:r w:rsidR="00350FEB">
              <w:rPr>
                <w:color w:val="000000"/>
              </w:rPr>
              <w:t>2010.gada</w:t>
            </w:r>
            <w:proofErr w:type="gramEnd"/>
            <w:r w:rsidR="00350FEB">
              <w:rPr>
                <w:color w:val="000000"/>
              </w:rPr>
              <w:t xml:space="preserve"> 23.februāra instrukcijai Nr.</w:t>
            </w:r>
            <w:r w:rsidR="00CE0026">
              <w:rPr>
                <w:color w:val="000000"/>
              </w:rPr>
              <w:t> </w:t>
            </w:r>
            <w:r w:rsidR="00350FEB">
              <w:rPr>
                <w:color w:val="000000"/>
              </w:rPr>
              <w:t>1 “Kārtība, kādā valsts pārvaldes iestādes</w:t>
            </w:r>
            <w:r w:rsidR="0020454B">
              <w:rPr>
                <w:color w:val="000000"/>
              </w:rPr>
              <w:t xml:space="preserve"> sniedz informāciju par tehnisko noteikumu projektiem</w:t>
            </w:r>
            <w:r w:rsidR="00350FEB">
              <w:rPr>
                <w:color w:val="000000"/>
              </w:rPr>
              <w:t>”</w:t>
            </w:r>
            <w:r w:rsidR="00CE0026">
              <w:rPr>
                <w:color w:val="000000"/>
              </w:rPr>
              <w:t>,</w:t>
            </w:r>
            <w:r w:rsidR="0020454B">
              <w:rPr>
                <w:color w:val="000000"/>
              </w:rPr>
              <w:t xml:space="preserve"> </w:t>
            </w:r>
            <w:r>
              <w:rPr>
                <w:color w:val="000000"/>
              </w:rPr>
              <w:t xml:space="preserve">pirms </w:t>
            </w:r>
            <w:r w:rsidR="0020454B" w:rsidRPr="00B65C81">
              <w:rPr>
                <w:lang w:eastAsia="en-US"/>
              </w:rPr>
              <w:t>noteikumu projekt</w:t>
            </w:r>
            <w:r w:rsidR="0020454B">
              <w:rPr>
                <w:lang w:eastAsia="en-US"/>
              </w:rPr>
              <w:t>s</w:t>
            </w:r>
            <w:r>
              <w:rPr>
                <w:color w:val="000000"/>
              </w:rPr>
              <w:t xml:space="preserve"> tiek pieņemts Ministru kabinetā</w:t>
            </w:r>
            <w:r w:rsidR="0020454B">
              <w:rPr>
                <w:color w:val="000000"/>
              </w:rPr>
              <w:t>.</w:t>
            </w:r>
            <w:r>
              <w:rPr>
                <w:color w:val="000000"/>
              </w:rPr>
              <w:t xml:space="preserve"> </w:t>
            </w:r>
          </w:p>
        </w:tc>
      </w:tr>
    </w:tbl>
    <w:p w14:paraId="2FBF20FB" w14:textId="77777777" w:rsidR="007F78C3" w:rsidRDefault="007F78C3" w:rsidP="007F78C3">
      <w:pPr>
        <w:jc w:val="both"/>
        <w:rPr>
          <w:i/>
          <w:lang w:eastAsia="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6"/>
      </w:tblGrid>
      <w:tr w:rsidR="00016F35" w14:paraId="40064016" w14:textId="77777777" w:rsidTr="00016F35">
        <w:trPr>
          <w:tblCellSpacing w:w="15" w:type="dxa"/>
        </w:trPr>
        <w:tc>
          <w:tcPr>
            <w:tcW w:w="4964" w:type="pct"/>
            <w:tcBorders>
              <w:top w:val="outset" w:sz="6" w:space="0" w:color="auto"/>
              <w:left w:val="outset" w:sz="6" w:space="0" w:color="auto"/>
              <w:bottom w:val="outset" w:sz="6" w:space="0" w:color="auto"/>
              <w:right w:val="outset" w:sz="6" w:space="0" w:color="auto"/>
            </w:tcBorders>
            <w:vAlign w:val="center"/>
            <w:hideMark/>
          </w:tcPr>
          <w:p w14:paraId="218D2D0E" w14:textId="77777777" w:rsidR="00016F35" w:rsidRDefault="00016F35">
            <w:pPr>
              <w:spacing w:before="100" w:beforeAutospacing="1" w:after="100" w:afterAutospacing="1"/>
              <w:jc w:val="both"/>
              <w:rPr>
                <w:b/>
                <w:bCs/>
                <w:lang w:val="en-GB"/>
              </w:rPr>
            </w:pPr>
            <w:r>
              <w:rPr>
                <w:b/>
                <w:bCs/>
              </w:rPr>
              <w:t>V. Tiesību akta projekta atbilstība Latvijas Republikas starptautiskajām saistībām</w:t>
            </w:r>
          </w:p>
        </w:tc>
      </w:tr>
      <w:tr w:rsidR="00016F35" w14:paraId="7831C83A" w14:textId="77777777" w:rsidTr="00016F35">
        <w:trPr>
          <w:tblCellSpacing w:w="15" w:type="dxa"/>
        </w:trPr>
        <w:tc>
          <w:tcPr>
            <w:tcW w:w="4964" w:type="pct"/>
            <w:tcBorders>
              <w:top w:val="outset" w:sz="6" w:space="0" w:color="auto"/>
              <w:left w:val="outset" w:sz="6" w:space="0" w:color="auto"/>
              <w:bottom w:val="outset" w:sz="6" w:space="0" w:color="auto"/>
              <w:right w:val="outset" w:sz="6" w:space="0" w:color="auto"/>
            </w:tcBorders>
            <w:vAlign w:val="center"/>
            <w:hideMark/>
          </w:tcPr>
          <w:p w14:paraId="4AD56934" w14:textId="77777777" w:rsidR="00016F35" w:rsidRDefault="00016F35">
            <w:pPr>
              <w:spacing w:before="100" w:beforeAutospacing="1" w:after="100" w:afterAutospacing="1"/>
              <w:jc w:val="center"/>
              <w:rPr>
                <w:bCs/>
                <w:lang w:val="en-GB"/>
              </w:rPr>
            </w:pPr>
            <w:r>
              <w:rPr>
                <w:bCs/>
              </w:rPr>
              <w:t>Projekts šo jomu neskar</w:t>
            </w:r>
          </w:p>
        </w:tc>
      </w:tr>
    </w:tbl>
    <w:p w14:paraId="213FD1BF" w14:textId="77777777" w:rsidR="00016F35" w:rsidRDefault="00016F35" w:rsidP="007F78C3">
      <w:pPr>
        <w:jc w:val="both"/>
        <w:rPr>
          <w:lang w:eastAsia="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6"/>
      </w:tblGrid>
      <w:tr w:rsidR="00016F35" w14:paraId="16F32B33" w14:textId="77777777" w:rsidTr="00016F35">
        <w:trPr>
          <w:tblCellSpacing w:w="15" w:type="dxa"/>
        </w:trPr>
        <w:tc>
          <w:tcPr>
            <w:tcW w:w="4964" w:type="pct"/>
            <w:tcBorders>
              <w:top w:val="outset" w:sz="6" w:space="0" w:color="auto"/>
              <w:left w:val="outset" w:sz="6" w:space="0" w:color="auto"/>
              <w:bottom w:val="outset" w:sz="6" w:space="0" w:color="auto"/>
              <w:right w:val="outset" w:sz="6" w:space="0" w:color="auto"/>
            </w:tcBorders>
            <w:vAlign w:val="center"/>
            <w:hideMark/>
          </w:tcPr>
          <w:p w14:paraId="1C12C3ED" w14:textId="7A25AF9D" w:rsidR="00016F35" w:rsidRPr="00016F35" w:rsidRDefault="00016F35" w:rsidP="00016F35">
            <w:pPr>
              <w:spacing w:before="100" w:beforeAutospacing="1" w:after="100" w:afterAutospacing="1"/>
              <w:jc w:val="center"/>
              <w:rPr>
                <w:b/>
                <w:bCs/>
              </w:rPr>
            </w:pPr>
            <w:r>
              <w:rPr>
                <w:b/>
                <w:bCs/>
              </w:rPr>
              <w:t>VI. Sabiedrības līdzdalība un komunikācijas aktivitātes</w:t>
            </w:r>
          </w:p>
        </w:tc>
      </w:tr>
      <w:tr w:rsidR="00016F35" w14:paraId="182C8787" w14:textId="77777777" w:rsidTr="00016F35">
        <w:trPr>
          <w:tblCellSpacing w:w="15" w:type="dxa"/>
        </w:trPr>
        <w:tc>
          <w:tcPr>
            <w:tcW w:w="4964" w:type="pct"/>
            <w:tcBorders>
              <w:top w:val="outset" w:sz="6" w:space="0" w:color="auto"/>
              <w:left w:val="outset" w:sz="6" w:space="0" w:color="auto"/>
              <w:bottom w:val="outset" w:sz="6" w:space="0" w:color="auto"/>
              <w:right w:val="outset" w:sz="6" w:space="0" w:color="auto"/>
            </w:tcBorders>
            <w:vAlign w:val="center"/>
            <w:hideMark/>
          </w:tcPr>
          <w:p w14:paraId="09CCFDAD" w14:textId="77777777" w:rsidR="00016F35" w:rsidRDefault="00016F35">
            <w:pPr>
              <w:spacing w:before="100" w:beforeAutospacing="1" w:after="100" w:afterAutospacing="1"/>
              <w:jc w:val="center"/>
              <w:rPr>
                <w:bCs/>
                <w:lang w:val="en-GB"/>
              </w:rPr>
            </w:pPr>
            <w:r>
              <w:rPr>
                <w:bCs/>
              </w:rPr>
              <w:t>Projekts šo jomu neskar</w:t>
            </w:r>
          </w:p>
        </w:tc>
      </w:tr>
    </w:tbl>
    <w:p w14:paraId="2FBF20FD" w14:textId="77777777" w:rsidR="00B65C81" w:rsidRPr="00B162FC" w:rsidRDefault="00B65C81" w:rsidP="007F78C3">
      <w:pPr>
        <w:jc w:val="both"/>
        <w:rPr>
          <w:i/>
          <w:lang w:eastAsia="en-US"/>
        </w:rPr>
      </w:pPr>
    </w:p>
    <w:tbl>
      <w:tblPr>
        <w:tblStyle w:val="Reatabula"/>
        <w:tblW w:w="9464" w:type="dxa"/>
        <w:tblLook w:val="04A0" w:firstRow="1" w:lastRow="0" w:firstColumn="1" w:lastColumn="0" w:noHBand="0" w:noVBand="1"/>
      </w:tblPr>
      <w:tblGrid>
        <w:gridCol w:w="562"/>
        <w:gridCol w:w="3544"/>
        <w:gridCol w:w="5358"/>
      </w:tblGrid>
      <w:tr w:rsidR="00310A11" w14:paraId="2FBF20FF" w14:textId="77777777" w:rsidTr="00897C9B">
        <w:tc>
          <w:tcPr>
            <w:tcW w:w="9464" w:type="dxa"/>
            <w:gridSpan w:val="3"/>
          </w:tcPr>
          <w:p w14:paraId="2FBF20FE" w14:textId="77777777" w:rsidR="00310A11" w:rsidRDefault="00310A11" w:rsidP="007F78C3">
            <w:pPr>
              <w:jc w:val="both"/>
              <w:rPr>
                <w:lang w:eastAsia="en-US"/>
              </w:rPr>
            </w:pPr>
            <w:r w:rsidRPr="00310A11">
              <w:rPr>
                <w:b/>
                <w:bCs/>
                <w:color w:val="414142"/>
              </w:rPr>
              <w:t>VII. Tiesību akta projekta izpildes nodrošināšana un tās ietekme uz institūcijām</w:t>
            </w:r>
          </w:p>
        </w:tc>
      </w:tr>
      <w:tr w:rsidR="00310A11" w14:paraId="2FBF2103" w14:textId="77777777" w:rsidTr="00897C9B">
        <w:tc>
          <w:tcPr>
            <w:tcW w:w="562" w:type="dxa"/>
          </w:tcPr>
          <w:p w14:paraId="2FBF2100" w14:textId="77777777" w:rsidR="00310A11" w:rsidRPr="00310A11" w:rsidRDefault="00310A11" w:rsidP="00310A11">
            <w:pPr>
              <w:rPr>
                <w:color w:val="414142"/>
              </w:rPr>
            </w:pPr>
            <w:r w:rsidRPr="00310A11">
              <w:rPr>
                <w:color w:val="414142"/>
              </w:rPr>
              <w:t>1.</w:t>
            </w:r>
          </w:p>
        </w:tc>
        <w:tc>
          <w:tcPr>
            <w:tcW w:w="3544" w:type="dxa"/>
          </w:tcPr>
          <w:p w14:paraId="2FBF2101" w14:textId="77777777" w:rsidR="00310A11" w:rsidRPr="00741027" w:rsidRDefault="00310A11" w:rsidP="00310A11">
            <w:r w:rsidRPr="00741027">
              <w:t>Projekta izpildē iesaistītās institūcijas</w:t>
            </w:r>
          </w:p>
        </w:tc>
        <w:tc>
          <w:tcPr>
            <w:tcW w:w="5358" w:type="dxa"/>
          </w:tcPr>
          <w:p w14:paraId="2FBF2102" w14:textId="79431B65" w:rsidR="00310A11" w:rsidRDefault="00810ED4" w:rsidP="00AB5074">
            <w:pPr>
              <w:jc w:val="both"/>
              <w:rPr>
                <w:lang w:eastAsia="en-US"/>
              </w:rPr>
            </w:pPr>
            <w:r>
              <w:rPr>
                <w:lang w:eastAsia="en-US"/>
              </w:rPr>
              <w:t>Zemkop</w:t>
            </w:r>
            <w:r w:rsidR="0066755F">
              <w:rPr>
                <w:lang w:eastAsia="en-US"/>
              </w:rPr>
              <w:t xml:space="preserve">ības ministrija un </w:t>
            </w:r>
            <w:r w:rsidR="00AB5074">
              <w:rPr>
                <w:lang w:eastAsia="en-US"/>
              </w:rPr>
              <w:t>Veselības</w:t>
            </w:r>
            <w:r w:rsidR="00310A11">
              <w:rPr>
                <w:lang w:eastAsia="en-US"/>
              </w:rPr>
              <w:t xml:space="preserve"> ministrija </w:t>
            </w:r>
          </w:p>
        </w:tc>
      </w:tr>
      <w:tr w:rsidR="00310A11" w14:paraId="2FBF2107" w14:textId="77777777" w:rsidTr="00897C9B">
        <w:tc>
          <w:tcPr>
            <w:tcW w:w="562" w:type="dxa"/>
          </w:tcPr>
          <w:p w14:paraId="2FBF2104" w14:textId="77777777" w:rsidR="00310A11" w:rsidRPr="00310A11" w:rsidRDefault="00310A11" w:rsidP="00310A11">
            <w:pPr>
              <w:rPr>
                <w:color w:val="414142"/>
              </w:rPr>
            </w:pPr>
            <w:r w:rsidRPr="00310A11">
              <w:rPr>
                <w:color w:val="414142"/>
              </w:rPr>
              <w:t>2.</w:t>
            </w:r>
          </w:p>
        </w:tc>
        <w:tc>
          <w:tcPr>
            <w:tcW w:w="3544" w:type="dxa"/>
          </w:tcPr>
          <w:p w14:paraId="2FBF2105" w14:textId="77777777" w:rsidR="00310A11" w:rsidRPr="00741027" w:rsidRDefault="00310A11" w:rsidP="00310A11">
            <w:r w:rsidRPr="00741027">
              <w:t xml:space="preserve">Projekta izpildes ietekme uz pārvaldes funkcijām un institucionālo struktūru. </w:t>
            </w:r>
          </w:p>
        </w:tc>
        <w:tc>
          <w:tcPr>
            <w:tcW w:w="5358" w:type="dxa"/>
          </w:tcPr>
          <w:p w14:paraId="2FBF2106" w14:textId="77777777" w:rsidR="00310A11" w:rsidRDefault="00310A11" w:rsidP="00310A11">
            <w:pPr>
              <w:jc w:val="both"/>
              <w:rPr>
                <w:lang w:eastAsia="en-US"/>
              </w:rPr>
            </w:pPr>
            <w:r>
              <w:rPr>
                <w:lang w:eastAsia="en-US"/>
              </w:rPr>
              <w:t>Nav attiecināms.</w:t>
            </w:r>
          </w:p>
        </w:tc>
      </w:tr>
      <w:tr w:rsidR="00310A11" w14:paraId="2FBF210B" w14:textId="77777777" w:rsidTr="00897C9B">
        <w:tc>
          <w:tcPr>
            <w:tcW w:w="562" w:type="dxa"/>
          </w:tcPr>
          <w:p w14:paraId="2FBF2108" w14:textId="77777777" w:rsidR="00310A11" w:rsidRPr="00310A11" w:rsidRDefault="00310A11" w:rsidP="00310A11">
            <w:pPr>
              <w:rPr>
                <w:color w:val="414142"/>
              </w:rPr>
            </w:pPr>
            <w:r w:rsidRPr="00310A11">
              <w:rPr>
                <w:color w:val="414142"/>
              </w:rPr>
              <w:t>3.</w:t>
            </w:r>
          </w:p>
        </w:tc>
        <w:tc>
          <w:tcPr>
            <w:tcW w:w="3544" w:type="dxa"/>
          </w:tcPr>
          <w:p w14:paraId="2FBF2109" w14:textId="77777777" w:rsidR="00310A11" w:rsidRPr="00741027" w:rsidRDefault="00310A11" w:rsidP="00310A11">
            <w:r w:rsidRPr="00741027">
              <w:t>Cita informācija</w:t>
            </w:r>
          </w:p>
        </w:tc>
        <w:tc>
          <w:tcPr>
            <w:tcW w:w="5358" w:type="dxa"/>
          </w:tcPr>
          <w:p w14:paraId="2FBF210A" w14:textId="77777777" w:rsidR="00310A11" w:rsidRDefault="00310A11" w:rsidP="00310A11">
            <w:pPr>
              <w:jc w:val="both"/>
              <w:rPr>
                <w:lang w:eastAsia="en-US"/>
              </w:rPr>
            </w:pPr>
            <w:r>
              <w:rPr>
                <w:lang w:eastAsia="en-US"/>
              </w:rPr>
              <w:t>Nav.</w:t>
            </w:r>
          </w:p>
        </w:tc>
      </w:tr>
    </w:tbl>
    <w:p w14:paraId="2FBF210C" w14:textId="77777777" w:rsidR="00AC38AA" w:rsidRDefault="00AC38AA" w:rsidP="00AC38AA">
      <w:pPr>
        <w:pStyle w:val="naisf"/>
        <w:tabs>
          <w:tab w:val="left" w:pos="6840"/>
        </w:tabs>
        <w:spacing w:before="0" w:after="0"/>
        <w:ind w:firstLine="0"/>
        <w:rPr>
          <w:szCs w:val="28"/>
        </w:rPr>
      </w:pPr>
    </w:p>
    <w:p w14:paraId="2FBF210D" w14:textId="77777777" w:rsidR="00AC38AA" w:rsidRDefault="00AC38AA" w:rsidP="00AC38AA">
      <w:pPr>
        <w:pStyle w:val="naisf"/>
        <w:tabs>
          <w:tab w:val="left" w:pos="6840"/>
        </w:tabs>
        <w:spacing w:before="0" w:after="0"/>
        <w:ind w:firstLine="0"/>
        <w:rPr>
          <w:szCs w:val="28"/>
        </w:rPr>
      </w:pPr>
    </w:p>
    <w:p w14:paraId="2FBF210E" w14:textId="06A2A0DD" w:rsidR="00643002" w:rsidRPr="00B162FC" w:rsidRDefault="006B1F47" w:rsidP="00AC38AA">
      <w:pPr>
        <w:pStyle w:val="naisf"/>
        <w:tabs>
          <w:tab w:val="left" w:pos="6840"/>
        </w:tabs>
        <w:spacing w:before="0" w:after="0"/>
        <w:ind w:firstLine="0"/>
      </w:pPr>
      <w:r w:rsidRPr="00B162FC">
        <w:t xml:space="preserve">Zemkopības </w:t>
      </w:r>
      <w:r w:rsidR="00643002" w:rsidRPr="00B162FC">
        <w:t>ministrs</w:t>
      </w:r>
      <w:r w:rsidR="00643002" w:rsidRPr="00B162FC">
        <w:tab/>
      </w:r>
      <w:r w:rsidR="00C53467">
        <w:t>Jānis</w:t>
      </w:r>
      <w:r w:rsidR="007E0828" w:rsidRPr="00B162FC">
        <w:t xml:space="preserve"> </w:t>
      </w:r>
      <w:r w:rsidRPr="00B162FC">
        <w:t>Dūklavs</w:t>
      </w:r>
    </w:p>
    <w:p w14:paraId="2FBF210F" w14:textId="77777777" w:rsidR="00AC38AA" w:rsidRDefault="00AC38AA" w:rsidP="00AC38AA">
      <w:pPr>
        <w:pStyle w:val="naisf"/>
        <w:tabs>
          <w:tab w:val="left" w:pos="6840"/>
        </w:tabs>
        <w:spacing w:before="0" w:after="0"/>
        <w:ind w:firstLine="0"/>
        <w:rPr>
          <w:szCs w:val="28"/>
        </w:rPr>
      </w:pPr>
    </w:p>
    <w:p w14:paraId="2FBF2110" w14:textId="77777777" w:rsidR="008A5B08" w:rsidRDefault="008A5B08" w:rsidP="00AC38AA">
      <w:pPr>
        <w:pStyle w:val="naisf"/>
        <w:tabs>
          <w:tab w:val="left" w:pos="6840"/>
        </w:tabs>
        <w:spacing w:before="0" w:after="0"/>
        <w:ind w:firstLine="0"/>
        <w:rPr>
          <w:szCs w:val="28"/>
        </w:rPr>
      </w:pPr>
    </w:p>
    <w:p w14:paraId="2FBF2111" w14:textId="77777777" w:rsidR="008A5B08" w:rsidRDefault="008A5B08" w:rsidP="00AC38AA">
      <w:pPr>
        <w:pStyle w:val="naisf"/>
        <w:tabs>
          <w:tab w:val="left" w:pos="6840"/>
        </w:tabs>
        <w:spacing w:before="0" w:after="0"/>
        <w:ind w:firstLine="0"/>
        <w:rPr>
          <w:szCs w:val="28"/>
        </w:rPr>
      </w:pPr>
    </w:p>
    <w:p w14:paraId="2FBF2112" w14:textId="77777777" w:rsidR="008A5B08" w:rsidRDefault="008A5B08" w:rsidP="00AC38AA">
      <w:pPr>
        <w:pStyle w:val="naisf"/>
        <w:tabs>
          <w:tab w:val="left" w:pos="6840"/>
        </w:tabs>
        <w:spacing w:before="0" w:after="0"/>
        <w:ind w:firstLine="0"/>
        <w:rPr>
          <w:szCs w:val="28"/>
        </w:rPr>
      </w:pPr>
    </w:p>
    <w:p w14:paraId="7117AFA7" w14:textId="77777777" w:rsidR="00721C72" w:rsidRDefault="00721C72" w:rsidP="00AC38AA">
      <w:pPr>
        <w:pStyle w:val="naisf"/>
        <w:tabs>
          <w:tab w:val="left" w:pos="6840"/>
        </w:tabs>
        <w:spacing w:before="0" w:after="0"/>
        <w:ind w:firstLine="0"/>
        <w:rPr>
          <w:szCs w:val="28"/>
        </w:rPr>
      </w:pPr>
    </w:p>
    <w:p w14:paraId="34BA98F9" w14:textId="77777777" w:rsidR="00721C72" w:rsidRDefault="00721C72" w:rsidP="00AC38AA">
      <w:pPr>
        <w:pStyle w:val="naisf"/>
        <w:tabs>
          <w:tab w:val="left" w:pos="6840"/>
        </w:tabs>
        <w:spacing w:before="0" w:after="0"/>
        <w:ind w:firstLine="0"/>
        <w:rPr>
          <w:szCs w:val="28"/>
        </w:rPr>
      </w:pPr>
    </w:p>
    <w:p w14:paraId="758B534F" w14:textId="77777777" w:rsidR="00721C72" w:rsidRDefault="00721C72" w:rsidP="00AC38AA">
      <w:pPr>
        <w:pStyle w:val="naisf"/>
        <w:tabs>
          <w:tab w:val="left" w:pos="6840"/>
        </w:tabs>
        <w:spacing w:before="0" w:after="0"/>
        <w:ind w:firstLine="0"/>
        <w:rPr>
          <w:szCs w:val="28"/>
        </w:rPr>
      </w:pPr>
    </w:p>
    <w:p w14:paraId="7D07E925" w14:textId="77777777" w:rsidR="00721C72" w:rsidRDefault="00721C72" w:rsidP="00AC38AA">
      <w:pPr>
        <w:pStyle w:val="naisf"/>
        <w:tabs>
          <w:tab w:val="left" w:pos="6840"/>
        </w:tabs>
        <w:spacing w:before="0" w:after="0"/>
        <w:ind w:firstLine="0"/>
        <w:rPr>
          <w:szCs w:val="28"/>
        </w:rPr>
      </w:pPr>
    </w:p>
    <w:p w14:paraId="33881C90" w14:textId="77777777" w:rsidR="00721C72" w:rsidRDefault="00721C72" w:rsidP="00AC38AA">
      <w:pPr>
        <w:pStyle w:val="naisf"/>
        <w:tabs>
          <w:tab w:val="left" w:pos="6840"/>
        </w:tabs>
        <w:spacing w:before="0" w:after="0"/>
        <w:ind w:firstLine="0"/>
        <w:rPr>
          <w:szCs w:val="28"/>
        </w:rPr>
      </w:pPr>
    </w:p>
    <w:p w14:paraId="07BC9E5A" w14:textId="77777777" w:rsidR="00721C72" w:rsidRDefault="00721C72" w:rsidP="00AC38AA">
      <w:pPr>
        <w:pStyle w:val="naisf"/>
        <w:tabs>
          <w:tab w:val="left" w:pos="6840"/>
        </w:tabs>
        <w:spacing w:before="0" w:after="0"/>
        <w:ind w:firstLine="0"/>
        <w:rPr>
          <w:szCs w:val="28"/>
        </w:rPr>
      </w:pPr>
    </w:p>
    <w:p w14:paraId="6A139498" w14:textId="77777777" w:rsidR="00721C72" w:rsidRDefault="00721C72" w:rsidP="00AC38AA">
      <w:pPr>
        <w:pStyle w:val="naisf"/>
        <w:tabs>
          <w:tab w:val="left" w:pos="6840"/>
        </w:tabs>
        <w:spacing w:before="0" w:after="0"/>
        <w:ind w:firstLine="0"/>
        <w:rPr>
          <w:szCs w:val="28"/>
        </w:rPr>
      </w:pPr>
    </w:p>
    <w:p w14:paraId="0C388A60" w14:textId="77777777" w:rsidR="00721C72" w:rsidRDefault="00721C72" w:rsidP="00AC38AA">
      <w:pPr>
        <w:pStyle w:val="naisf"/>
        <w:tabs>
          <w:tab w:val="left" w:pos="6840"/>
        </w:tabs>
        <w:spacing w:before="0" w:after="0"/>
        <w:ind w:firstLine="0"/>
        <w:rPr>
          <w:szCs w:val="28"/>
        </w:rPr>
      </w:pPr>
    </w:p>
    <w:p w14:paraId="2FBF2113" w14:textId="77777777" w:rsidR="008A5B08" w:rsidRPr="004148CE" w:rsidRDefault="008A5B08" w:rsidP="00AC38AA">
      <w:pPr>
        <w:pStyle w:val="naisf"/>
        <w:tabs>
          <w:tab w:val="left" w:pos="6840"/>
        </w:tabs>
        <w:spacing w:before="0" w:after="0"/>
        <w:ind w:firstLine="0"/>
        <w:rPr>
          <w:szCs w:val="28"/>
        </w:rPr>
      </w:pPr>
    </w:p>
    <w:p w14:paraId="64291F47" w14:textId="158199AB" w:rsidR="00C53467" w:rsidRPr="00C53467" w:rsidRDefault="00C53467" w:rsidP="00C53467">
      <w:pPr>
        <w:rPr>
          <w:sz w:val="20"/>
          <w:szCs w:val="20"/>
        </w:rPr>
      </w:pPr>
      <w:r w:rsidRPr="00C53467">
        <w:rPr>
          <w:sz w:val="20"/>
          <w:szCs w:val="20"/>
        </w:rPr>
        <w:t>Valdovskis</w:t>
      </w:r>
      <w:bookmarkStart w:id="2" w:name="_GoBack"/>
      <w:bookmarkEnd w:id="2"/>
      <w:r w:rsidRPr="00C53467">
        <w:rPr>
          <w:bCs/>
          <w:sz w:val="20"/>
          <w:szCs w:val="20"/>
        </w:rPr>
        <w:t xml:space="preserve"> 67027016</w:t>
      </w:r>
    </w:p>
    <w:p w14:paraId="18A1C521" w14:textId="77777777" w:rsidR="00C53467" w:rsidRPr="00C53467" w:rsidRDefault="00C53467" w:rsidP="00C53467">
      <w:pPr>
        <w:rPr>
          <w:sz w:val="20"/>
          <w:szCs w:val="20"/>
        </w:rPr>
      </w:pPr>
      <w:r w:rsidRPr="00C53467">
        <w:rPr>
          <w:sz w:val="20"/>
          <w:szCs w:val="20"/>
        </w:rPr>
        <w:t>maris.valdovskis@zm.gov.lv</w:t>
      </w:r>
    </w:p>
    <w:p w14:paraId="2FBF2116" w14:textId="77777777" w:rsidR="00643002" w:rsidRPr="007F78C3" w:rsidRDefault="00643002" w:rsidP="0044489B">
      <w:pPr>
        <w:jc w:val="both"/>
        <w:rPr>
          <w:sz w:val="20"/>
          <w:szCs w:val="20"/>
        </w:rPr>
      </w:pPr>
    </w:p>
    <w:sectPr w:rsidR="00643002" w:rsidRPr="007F78C3" w:rsidSect="00D620BB">
      <w:headerReference w:type="default" r:id="rId8"/>
      <w:footerReference w:type="default" r:id="rId9"/>
      <w:footerReference w:type="first" r:id="rId10"/>
      <w:pgSz w:w="11907" w:h="16839" w:code="9"/>
      <w:pgMar w:top="1418" w:right="1134" w:bottom="1134" w:left="1701" w:header="680" w:footer="73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DD09C" w14:textId="77777777" w:rsidR="00506F2B" w:rsidRDefault="00506F2B" w:rsidP="00677A0F">
      <w:r>
        <w:separator/>
      </w:r>
    </w:p>
  </w:endnote>
  <w:endnote w:type="continuationSeparator" w:id="0">
    <w:p w14:paraId="6D30BF9C" w14:textId="77777777" w:rsidR="00506F2B" w:rsidRDefault="00506F2B" w:rsidP="0067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F211E" w14:textId="512EDB9E" w:rsidR="009E7E30" w:rsidRPr="00AC38AA" w:rsidRDefault="006D319E" w:rsidP="00310A11">
    <w:pPr>
      <w:pStyle w:val="Kjene"/>
      <w:jc w:val="both"/>
      <w:rPr>
        <w:sz w:val="20"/>
        <w:szCs w:val="20"/>
      </w:rPr>
    </w:pPr>
    <w:r>
      <w:rPr>
        <w:sz w:val="20"/>
        <w:szCs w:val="20"/>
      </w:rPr>
      <w:t>ZMa</w:t>
    </w:r>
    <w:r w:rsidR="00AC38AA" w:rsidRPr="00AC38AA">
      <w:rPr>
        <w:sz w:val="20"/>
        <w:szCs w:val="20"/>
      </w:rPr>
      <w:t>not_</w:t>
    </w:r>
    <w:r w:rsidR="00721C72">
      <w:rPr>
        <w:sz w:val="20"/>
        <w:szCs w:val="20"/>
      </w:rPr>
      <w:t>0</w:t>
    </w:r>
    <w:r w:rsidR="009D4EA5">
      <w:rPr>
        <w:sz w:val="20"/>
        <w:szCs w:val="20"/>
      </w:rPr>
      <w:t>6</w:t>
    </w:r>
    <w:r w:rsidR="00721C72">
      <w:rPr>
        <w:sz w:val="20"/>
        <w:szCs w:val="20"/>
      </w:rPr>
      <w:t>07</w:t>
    </w:r>
    <w:r w:rsidR="00AC38AA" w:rsidRPr="00AC38AA">
      <w:rPr>
        <w:sz w:val="20"/>
        <w:szCs w:val="20"/>
      </w:rPr>
      <w:t>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F2120" w14:textId="29D87D87" w:rsidR="009E7E30" w:rsidRPr="003E5490" w:rsidRDefault="006D319E" w:rsidP="00AC38AA">
    <w:pPr>
      <w:pStyle w:val="Kjene"/>
      <w:jc w:val="both"/>
      <w:rPr>
        <w:sz w:val="20"/>
        <w:szCs w:val="20"/>
      </w:rPr>
    </w:pPr>
    <w:r>
      <w:rPr>
        <w:sz w:val="20"/>
        <w:szCs w:val="20"/>
      </w:rPr>
      <w:t>ZMa</w:t>
    </w:r>
    <w:r w:rsidR="00AC38AA" w:rsidRPr="00AC38AA">
      <w:rPr>
        <w:sz w:val="20"/>
        <w:szCs w:val="20"/>
      </w:rPr>
      <w:t>not_</w:t>
    </w:r>
    <w:r w:rsidR="00721C72">
      <w:rPr>
        <w:sz w:val="20"/>
        <w:szCs w:val="20"/>
      </w:rPr>
      <w:t>0</w:t>
    </w:r>
    <w:r w:rsidR="009D4EA5">
      <w:rPr>
        <w:sz w:val="20"/>
        <w:szCs w:val="20"/>
      </w:rPr>
      <w:t>6</w:t>
    </w:r>
    <w:r w:rsidR="00721C72">
      <w:rPr>
        <w:sz w:val="20"/>
        <w:szCs w:val="20"/>
      </w:rPr>
      <w:t>07</w:t>
    </w:r>
    <w:r w:rsidR="00AC38AA" w:rsidRPr="00AC38AA">
      <w:rPr>
        <w:sz w:val="20"/>
        <w:szCs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A6014" w14:textId="77777777" w:rsidR="00506F2B" w:rsidRDefault="00506F2B" w:rsidP="00677A0F">
      <w:r>
        <w:separator/>
      </w:r>
    </w:p>
  </w:footnote>
  <w:footnote w:type="continuationSeparator" w:id="0">
    <w:p w14:paraId="5035D00A" w14:textId="77777777" w:rsidR="00506F2B" w:rsidRDefault="00506F2B" w:rsidP="00677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F211C" w14:textId="77777777" w:rsidR="000A534E" w:rsidRDefault="00B9553B" w:rsidP="00DA4BF1">
    <w:pPr>
      <w:pStyle w:val="Galvene"/>
      <w:jc w:val="center"/>
    </w:pPr>
    <w:r>
      <w:fldChar w:fldCharType="begin"/>
    </w:r>
    <w:r w:rsidR="009E7E30">
      <w:instrText xml:space="preserve"> PAGE   \* MERGEFORMAT </w:instrText>
    </w:r>
    <w:r>
      <w:fldChar w:fldCharType="separate"/>
    </w:r>
    <w:r w:rsidR="00F71E46">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C64B2"/>
    <w:multiLevelType w:val="hybridMultilevel"/>
    <w:tmpl w:val="7B6674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9BD0232"/>
    <w:multiLevelType w:val="hybridMultilevel"/>
    <w:tmpl w:val="D4D0C1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A79162F"/>
    <w:multiLevelType w:val="hybridMultilevel"/>
    <w:tmpl w:val="950A2D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98C34A7"/>
    <w:multiLevelType w:val="hybridMultilevel"/>
    <w:tmpl w:val="E376C244"/>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lv-LV" w:vendorID="71" w:dllVersion="512" w:checkStyle="1"/>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A0F"/>
    <w:rsid w:val="000006DD"/>
    <w:rsid w:val="00000F98"/>
    <w:rsid w:val="00002B76"/>
    <w:rsid w:val="00004C9D"/>
    <w:rsid w:val="00004EE2"/>
    <w:rsid w:val="00013FE8"/>
    <w:rsid w:val="00016F35"/>
    <w:rsid w:val="00027CE1"/>
    <w:rsid w:val="000303E2"/>
    <w:rsid w:val="00031DE7"/>
    <w:rsid w:val="00032FD1"/>
    <w:rsid w:val="000336B5"/>
    <w:rsid w:val="000340C3"/>
    <w:rsid w:val="000354A4"/>
    <w:rsid w:val="00037288"/>
    <w:rsid w:val="000378E0"/>
    <w:rsid w:val="0004038D"/>
    <w:rsid w:val="0004397C"/>
    <w:rsid w:val="00046B1D"/>
    <w:rsid w:val="00047ACA"/>
    <w:rsid w:val="00050B47"/>
    <w:rsid w:val="00050D70"/>
    <w:rsid w:val="00052794"/>
    <w:rsid w:val="0005368A"/>
    <w:rsid w:val="000548B2"/>
    <w:rsid w:val="000633BB"/>
    <w:rsid w:val="0006693D"/>
    <w:rsid w:val="00066C04"/>
    <w:rsid w:val="000734E5"/>
    <w:rsid w:val="00080806"/>
    <w:rsid w:val="00084707"/>
    <w:rsid w:val="00092297"/>
    <w:rsid w:val="00095A74"/>
    <w:rsid w:val="000A45EB"/>
    <w:rsid w:val="000A4D9E"/>
    <w:rsid w:val="000A534E"/>
    <w:rsid w:val="000B3C4E"/>
    <w:rsid w:val="000B733B"/>
    <w:rsid w:val="000B7F63"/>
    <w:rsid w:val="000C09C3"/>
    <w:rsid w:val="000C51E6"/>
    <w:rsid w:val="000C717F"/>
    <w:rsid w:val="000C770E"/>
    <w:rsid w:val="000C7861"/>
    <w:rsid w:val="000D1982"/>
    <w:rsid w:val="000D379A"/>
    <w:rsid w:val="000D7960"/>
    <w:rsid w:val="000E04B3"/>
    <w:rsid w:val="000E0579"/>
    <w:rsid w:val="000E1694"/>
    <w:rsid w:val="000E620F"/>
    <w:rsid w:val="000F1524"/>
    <w:rsid w:val="000F1FA5"/>
    <w:rsid w:val="000F3896"/>
    <w:rsid w:val="00100ADD"/>
    <w:rsid w:val="00101D24"/>
    <w:rsid w:val="00103240"/>
    <w:rsid w:val="0011206D"/>
    <w:rsid w:val="001135C3"/>
    <w:rsid w:val="00113B57"/>
    <w:rsid w:val="00117C58"/>
    <w:rsid w:val="00121B28"/>
    <w:rsid w:val="00125CDF"/>
    <w:rsid w:val="00126152"/>
    <w:rsid w:val="001266B7"/>
    <w:rsid w:val="00127A8E"/>
    <w:rsid w:val="00127D39"/>
    <w:rsid w:val="00140291"/>
    <w:rsid w:val="00140F3E"/>
    <w:rsid w:val="00141F4C"/>
    <w:rsid w:val="00145513"/>
    <w:rsid w:val="00151946"/>
    <w:rsid w:val="00155881"/>
    <w:rsid w:val="0015717A"/>
    <w:rsid w:val="00161C1C"/>
    <w:rsid w:val="00163CAF"/>
    <w:rsid w:val="00170B1A"/>
    <w:rsid w:val="00175B1F"/>
    <w:rsid w:val="00181A0C"/>
    <w:rsid w:val="0018322F"/>
    <w:rsid w:val="001878AC"/>
    <w:rsid w:val="00187C10"/>
    <w:rsid w:val="00192280"/>
    <w:rsid w:val="00192473"/>
    <w:rsid w:val="001A0A18"/>
    <w:rsid w:val="001A0CF7"/>
    <w:rsid w:val="001A4945"/>
    <w:rsid w:val="001A5C72"/>
    <w:rsid w:val="001A6A43"/>
    <w:rsid w:val="001B0500"/>
    <w:rsid w:val="001B0905"/>
    <w:rsid w:val="001B199A"/>
    <w:rsid w:val="001B236B"/>
    <w:rsid w:val="001B595D"/>
    <w:rsid w:val="001C2E5A"/>
    <w:rsid w:val="001C429B"/>
    <w:rsid w:val="001C4DDC"/>
    <w:rsid w:val="001C5B61"/>
    <w:rsid w:val="001D0786"/>
    <w:rsid w:val="001D18A0"/>
    <w:rsid w:val="001D4FB8"/>
    <w:rsid w:val="001E0287"/>
    <w:rsid w:val="001E0562"/>
    <w:rsid w:val="001E084A"/>
    <w:rsid w:val="001F0F33"/>
    <w:rsid w:val="001F2826"/>
    <w:rsid w:val="001F3EDC"/>
    <w:rsid w:val="001F61A2"/>
    <w:rsid w:val="001F6ED2"/>
    <w:rsid w:val="002019F1"/>
    <w:rsid w:val="0020454B"/>
    <w:rsid w:val="002061A2"/>
    <w:rsid w:val="00207E5A"/>
    <w:rsid w:val="002107E5"/>
    <w:rsid w:val="00211450"/>
    <w:rsid w:val="00216161"/>
    <w:rsid w:val="0022382D"/>
    <w:rsid w:val="00225C59"/>
    <w:rsid w:val="002265BE"/>
    <w:rsid w:val="00227D0C"/>
    <w:rsid w:val="0023241D"/>
    <w:rsid w:val="002324CD"/>
    <w:rsid w:val="0023635C"/>
    <w:rsid w:val="00250CCC"/>
    <w:rsid w:val="002520BA"/>
    <w:rsid w:val="00252838"/>
    <w:rsid w:val="00257570"/>
    <w:rsid w:val="00267EBA"/>
    <w:rsid w:val="00272744"/>
    <w:rsid w:val="002749D5"/>
    <w:rsid w:val="002752F8"/>
    <w:rsid w:val="00281345"/>
    <w:rsid w:val="00283268"/>
    <w:rsid w:val="00294ABB"/>
    <w:rsid w:val="00295703"/>
    <w:rsid w:val="00297E8F"/>
    <w:rsid w:val="002A0E29"/>
    <w:rsid w:val="002A1D78"/>
    <w:rsid w:val="002A4390"/>
    <w:rsid w:val="002B0576"/>
    <w:rsid w:val="002B2E71"/>
    <w:rsid w:val="002B5D91"/>
    <w:rsid w:val="002C0317"/>
    <w:rsid w:val="002C1511"/>
    <w:rsid w:val="002C6751"/>
    <w:rsid w:val="002C67C8"/>
    <w:rsid w:val="002C6BB1"/>
    <w:rsid w:val="002D1D0C"/>
    <w:rsid w:val="002D2D29"/>
    <w:rsid w:val="002E2B3C"/>
    <w:rsid w:val="002E4FF3"/>
    <w:rsid w:val="002F23ED"/>
    <w:rsid w:val="002F28F7"/>
    <w:rsid w:val="002F35D8"/>
    <w:rsid w:val="002F4377"/>
    <w:rsid w:val="002F6E78"/>
    <w:rsid w:val="00310446"/>
    <w:rsid w:val="00310533"/>
    <w:rsid w:val="00310A11"/>
    <w:rsid w:val="00310D76"/>
    <w:rsid w:val="0031718C"/>
    <w:rsid w:val="00325AC4"/>
    <w:rsid w:val="003315BA"/>
    <w:rsid w:val="00334393"/>
    <w:rsid w:val="00342410"/>
    <w:rsid w:val="0034376F"/>
    <w:rsid w:val="00350FEB"/>
    <w:rsid w:val="003547D3"/>
    <w:rsid w:val="00354A68"/>
    <w:rsid w:val="0036103B"/>
    <w:rsid w:val="00362F25"/>
    <w:rsid w:val="00372793"/>
    <w:rsid w:val="003737F0"/>
    <w:rsid w:val="0037545D"/>
    <w:rsid w:val="00376852"/>
    <w:rsid w:val="00385554"/>
    <w:rsid w:val="00386855"/>
    <w:rsid w:val="00394052"/>
    <w:rsid w:val="00397087"/>
    <w:rsid w:val="00397AD8"/>
    <w:rsid w:val="003A0846"/>
    <w:rsid w:val="003A1DB8"/>
    <w:rsid w:val="003A62DD"/>
    <w:rsid w:val="003B2571"/>
    <w:rsid w:val="003B41B3"/>
    <w:rsid w:val="003C0CCD"/>
    <w:rsid w:val="003C2B7F"/>
    <w:rsid w:val="003C3CE0"/>
    <w:rsid w:val="003C43C6"/>
    <w:rsid w:val="003D032E"/>
    <w:rsid w:val="003D434A"/>
    <w:rsid w:val="003D59C6"/>
    <w:rsid w:val="003D74A8"/>
    <w:rsid w:val="003E19DE"/>
    <w:rsid w:val="003E5490"/>
    <w:rsid w:val="003F2B5A"/>
    <w:rsid w:val="003F326E"/>
    <w:rsid w:val="003F6B19"/>
    <w:rsid w:val="00405AC7"/>
    <w:rsid w:val="004130F8"/>
    <w:rsid w:val="004202D2"/>
    <w:rsid w:val="00421721"/>
    <w:rsid w:val="00426E17"/>
    <w:rsid w:val="00427060"/>
    <w:rsid w:val="0043078A"/>
    <w:rsid w:val="00442B21"/>
    <w:rsid w:val="0044489B"/>
    <w:rsid w:val="00450660"/>
    <w:rsid w:val="004526CD"/>
    <w:rsid w:val="00455AF9"/>
    <w:rsid w:val="00456C68"/>
    <w:rsid w:val="00457339"/>
    <w:rsid w:val="00457A3D"/>
    <w:rsid w:val="00457A81"/>
    <w:rsid w:val="0046189C"/>
    <w:rsid w:val="00463C5E"/>
    <w:rsid w:val="004642B2"/>
    <w:rsid w:val="00471C5E"/>
    <w:rsid w:val="00472501"/>
    <w:rsid w:val="00476469"/>
    <w:rsid w:val="00482C86"/>
    <w:rsid w:val="0048330E"/>
    <w:rsid w:val="00485884"/>
    <w:rsid w:val="00487A55"/>
    <w:rsid w:val="00497BC1"/>
    <w:rsid w:val="004A1C1D"/>
    <w:rsid w:val="004A7206"/>
    <w:rsid w:val="004B2210"/>
    <w:rsid w:val="004B5A33"/>
    <w:rsid w:val="004C05E4"/>
    <w:rsid w:val="004C1D0B"/>
    <w:rsid w:val="004D0BC2"/>
    <w:rsid w:val="004D254A"/>
    <w:rsid w:val="004D36DA"/>
    <w:rsid w:val="004E0656"/>
    <w:rsid w:val="004E2DCC"/>
    <w:rsid w:val="004E478E"/>
    <w:rsid w:val="004F51E5"/>
    <w:rsid w:val="004F740C"/>
    <w:rsid w:val="004F773D"/>
    <w:rsid w:val="00503C00"/>
    <w:rsid w:val="00506F2B"/>
    <w:rsid w:val="005075AA"/>
    <w:rsid w:val="00511FFA"/>
    <w:rsid w:val="0051482F"/>
    <w:rsid w:val="00517233"/>
    <w:rsid w:val="005243FD"/>
    <w:rsid w:val="005248FA"/>
    <w:rsid w:val="0053388A"/>
    <w:rsid w:val="00535092"/>
    <w:rsid w:val="0053542D"/>
    <w:rsid w:val="00540953"/>
    <w:rsid w:val="005419AC"/>
    <w:rsid w:val="00542CF6"/>
    <w:rsid w:val="00552D9B"/>
    <w:rsid w:val="00561FBE"/>
    <w:rsid w:val="00570E40"/>
    <w:rsid w:val="0057325A"/>
    <w:rsid w:val="00573BD1"/>
    <w:rsid w:val="00574A75"/>
    <w:rsid w:val="005766A0"/>
    <w:rsid w:val="00576AEA"/>
    <w:rsid w:val="00576C39"/>
    <w:rsid w:val="005805BC"/>
    <w:rsid w:val="00580F06"/>
    <w:rsid w:val="00581C23"/>
    <w:rsid w:val="00583B07"/>
    <w:rsid w:val="0059097F"/>
    <w:rsid w:val="0059152E"/>
    <w:rsid w:val="00594ECB"/>
    <w:rsid w:val="00596EB0"/>
    <w:rsid w:val="005970B7"/>
    <w:rsid w:val="005973E9"/>
    <w:rsid w:val="00597DA2"/>
    <w:rsid w:val="005A0DBB"/>
    <w:rsid w:val="005A13BC"/>
    <w:rsid w:val="005A1AED"/>
    <w:rsid w:val="005A4585"/>
    <w:rsid w:val="005A770F"/>
    <w:rsid w:val="005B0DBD"/>
    <w:rsid w:val="005B2063"/>
    <w:rsid w:val="005B4A6A"/>
    <w:rsid w:val="005B64DD"/>
    <w:rsid w:val="005B7815"/>
    <w:rsid w:val="005C60A7"/>
    <w:rsid w:val="005D0CF0"/>
    <w:rsid w:val="005E1A1F"/>
    <w:rsid w:val="005E2749"/>
    <w:rsid w:val="005E31BC"/>
    <w:rsid w:val="005E3C79"/>
    <w:rsid w:val="005E500D"/>
    <w:rsid w:val="005F03DC"/>
    <w:rsid w:val="005F6D55"/>
    <w:rsid w:val="006019D4"/>
    <w:rsid w:val="0060324B"/>
    <w:rsid w:val="006043A4"/>
    <w:rsid w:val="0060477D"/>
    <w:rsid w:val="00604A43"/>
    <w:rsid w:val="00610D6A"/>
    <w:rsid w:val="00613EE2"/>
    <w:rsid w:val="00616420"/>
    <w:rsid w:val="006224BD"/>
    <w:rsid w:val="006268A8"/>
    <w:rsid w:val="00627CAA"/>
    <w:rsid w:val="00631CAF"/>
    <w:rsid w:val="006324EC"/>
    <w:rsid w:val="00632D97"/>
    <w:rsid w:val="0063355D"/>
    <w:rsid w:val="00634963"/>
    <w:rsid w:val="006410B1"/>
    <w:rsid w:val="00643002"/>
    <w:rsid w:val="00645243"/>
    <w:rsid w:val="00652349"/>
    <w:rsid w:val="00660911"/>
    <w:rsid w:val="00661740"/>
    <w:rsid w:val="00664C43"/>
    <w:rsid w:val="00664F41"/>
    <w:rsid w:val="0066755F"/>
    <w:rsid w:val="0067029C"/>
    <w:rsid w:val="00672703"/>
    <w:rsid w:val="00675566"/>
    <w:rsid w:val="006758A6"/>
    <w:rsid w:val="00677A0F"/>
    <w:rsid w:val="00683834"/>
    <w:rsid w:val="00685841"/>
    <w:rsid w:val="00691BBB"/>
    <w:rsid w:val="00692650"/>
    <w:rsid w:val="006A0AB8"/>
    <w:rsid w:val="006A1D9A"/>
    <w:rsid w:val="006A373D"/>
    <w:rsid w:val="006A450D"/>
    <w:rsid w:val="006A4BE8"/>
    <w:rsid w:val="006B1F47"/>
    <w:rsid w:val="006B24C8"/>
    <w:rsid w:val="006B4281"/>
    <w:rsid w:val="006C19F3"/>
    <w:rsid w:val="006C30F4"/>
    <w:rsid w:val="006C58FD"/>
    <w:rsid w:val="006C5D74"/>
    <w:rsid w:val="006D319E"/>
    <w:rsid w:val="006D657E"/>
    <w:rsid w:val="006D7CA9"/>
    <w:rsid w:val="006F15C7"/>
    <w:rsid w:val="006F6584"/>
    <w:rsid w:val="007075B4"/>
    <w:rsid w:val="00707664"/>
    <w:rsid w:val="00707738"/>
    <w:rsid w:val="00711172"/>
    <w:rsid w:val="00720629"/>
    <w:rsid w:val="00720F4E"/>
    <w:rsid w:val="00720F86"/>
    <w:rsid w:val="00721C72"/>
    <w:rsid w:val="00725684"/>
    <w:rsid w:val="00727861"/>
    <w:rsid w:val="00740181"/>
    <w:rsid w:val="00741027"/>
    <w:rsid w:val="0074291D"/>
    <w:rsid w:val="007439B8"/>
    <w:rsid w:val="00757D94"/>
    <w:rsid w:val="007624F5"/>
    <w:rsid w:val="00763671"/>
    <w:rsid w:val="007654B3"/>
    <w:rsid w:val="00767531"/>
    <w:rsid w:val="00770753"/>
    <w:rsid w:val="00770ED7"/>
    <w:rsid w:val="00777B8E"/>
    <w:rsid w:val="0078663A"/>
    <w:rsid w:val="00790504"/>
    <w:rsid w:val="007905FB"/>
    <w:rsid w:val="007A3841"/>
    <w:rsid w:val="007B081C"/>
    <w:rsid w:val="007B6CC8"/>
    <w:rsid w:val="007B7FE7"/>
    <w:rsid w:val="007C21FF"/>
    <w:rsid w:val="007C5B43"/>
    <w:rsid w:val="007D2907"/>
    <w:rsid w:val="007D4840"/>
    <w:rsid w:val="007E0828"/>
    <w:rsid w:val="007E45A3"/>
    <w:rsid w:val="007E62FA"/>
    <w:rsid w:val="007E661F"/>
    <w:rsid w:val="007F05E3"/>
    <w:rsid w:val="007F1034"/>
    <w:rsid w:val="007F38F4"/>
    <w:rsid w:val="007F78C3"/>
    <w:rsid w:val="00800CBA"/>
    <w:rsid w:val="00802C47"/>
    <w:rsid w:val="008046AC"/>
    <w:rsid w:val="0080586F"/>
    <w:rsid w:val="00805EA0"/>
    <w:rsid w:val="0080609C"/>
    <w:rsid w:val="00806BD0"/>
    <w:rsid w:val="00810ED4"/>
    <w:rsid w:val="0081309B"/>
    <w:rsid w:val="00813B47"/>
    <w:rsid w:val="00813D94"/>
    <w:rsid w:val="00825EE4"/>
    <w:rsid w:val="00833121"/>
    <w:rsid w:val="00834491"/>
    <w:rsid w:val="00840C08"/>
    <w:rsid w:val="00842B22"/>
    <w:rsid w:val="0084485D"/>
    <w:rsid w:val="008561DD"/>
    <w:rsid w:val="00860073"/>
    <w:rsid w:val="00860121"/>
    <w:rsid w:val="0086627A"/>
    <w:rsid w:val="00866C57"/>
    <w:rsid w:val="00867541"/>
    <w:rsid w:val="008705CF"/>
    <w:rsid w:val="00874E3C"/>
    <w:rsid w:val="00884E2E"/>
    <w:rsid w:val="0089107C"/>
    <w:rsid w:val="00897C9B"/>
    <w:rsid w:val="00897D74"/>
    <w:rsid w:val="00897DFD"/>
    <w:rsid w:val="008A0829"/>
    <w:rsid w:val="008A5B08"/>
    <w:rsid w:val="008B0F90"/>
    <w:rsid w:val="008B4B90"/>
    <w:rsid w:val="008B7B82"/>
    <w:rsid w:val="008C30FF"/>
    <w:rsid w:val="008D1181"/>
    <w:rsid w:val="008F700A"/>
    <w:rsid w:val="009002CE"/>
    <w:rsid w:val="00901CD7"/>
    <w:rsid w:val="00903341"/>
    <w:rsid w:val="009046B8"/>
    <w:rsid w:val="00904D38"/>
    <w:rsid w:val="00907207"/>
    <w:rsid w:val="0091443C"/>
    <w:rsid w:val="009148BC"/>
    <w:rsid w:val="009210B3"/>
    <w:rsid w:val="009270E7"/>
    <w:rsid w:val="009343BC"/>
    <w:rsid w:val="009377FE"/>
    <w:rsid w:val="00940208"/>
    <w:rsid w:val="00941C14"/>
    <w:rsid w:val="009443B3"/>
    <w:rsid w:val="0094466D"/>
    <w:rsid w:val="009511AA"/>
    <w:rsid w:val="00951BF7"/>
    <w:rsid w:val="00965242"/>
    <w:rsid w:val="009719CD"/>
    <w:rsid w:val="00980C9C"/>
    <w:rsid w:val="009828B3"/>
    <w:rsid w:val="00984184"/>
    <w:rsid w:val="0098682C"/>
    <w:rsid w:val="00986901"/>
    <w:rsid w:val="009930E6"/>
    <w:rsid w:val="009A0826"/>
    <w:rsid w:val="009A16BD"/>
    <w:rsid w:val="009A5448"/>
    <w:rsid w:val="009B1A54"/>
    <w:rsid w:val="009B3B68"/>
    <w:rsid w:val="009B61E2"/>
    <w:rsid w:val="009C20BF"/>
    <w:rsid w:val="009C7ECE"/>
    <w:rsid w:val="009D08D1"/>
    <w:rsid w:val="009D4EA5"/>
    <w:rsid w:val="009E06B5"/>
    <w:rsid w:val="009E67AA"/>
    <w:rsid w:val="009E7120"/>
    <w:rsid w:val="009E7E30"/>
    <w:rsid w:val="009F3A27"/>
    <w:rsid w:val="009F5056"/>
    <w:rsid w:val="009F5B06"/>
    <w:rsid w:val="009F7A38"/>
    <w:rsid w:val="00A02820"/>
    <w:rsid w:val="00A05761"/>
    <w:rsid w:val="00A10974"/>
    <w:rsid w:val="00A11807"/>
    <w:rsid w:val="00A233F8"/>
    <w:rsid w:val="00A25105"/>
    <w:rsid w:val="00A264B5"/>
    <w:rsid w:val="00A27A92"/>
    <w:rsid w:val="00A30833"/>
    <w:rsid w:val="00A3505A"/>
    <w:rsid w:val="00A36782"/>
    <w:rsid w:val="00A36D2C"/>
    <w:rsid w:val="00A3762F"/>
    <w:rsid w:val="00A5323C"/>
    <w:rsid w:val="00A54D31"/>
    <w:rsid w:val="00A60A5B"/>
    <w:rsid w:val="00A6119C"/>
    <w:rsid w:val="00A612CC"/>
    <w:rsid w:val="00A629E0"/>
    <w:rsid w:val="00A62B08"/>
    <w:rsid w:val="00A71A0A"/>
    <w:rsid w:val="00A74349"/>
    <w:rsid w:val="00A875E7"/>
    <w:rsid w:val="00A87A74"/>
    <w:rsid w:val="00A9125E"/>
    <w:rsid w:val="00A91DDF"/>
    <w:rsid w:val="00A94CB3"/>
    <w:rsid w:val="00A9536A"/>
    <w:rsid w:val="00A95561"/>
    <w:rsid w:val="00A970FE"/>
    <w:rsid w:val="00A97FD3"/>
    <w:rsid w:val="00AA4939"/>
    <w:rsid w:val="00AA5DE2"/>
    <w:rsid w:val="00AA7AED"/>
    <w:rsid w:val="00AB4D84"/>
    <w:rsid w:val="00AB5074"/>
    <w:rsid w:val="00AC38AA"/>
    <w:rsid w:val="00AC4962"/>
    <w:rsid w:val="00AC4F85"/>
    <w:rsid w:val="00AC61B9"/>
    <w:rsid w:val="00AC7E6E"/>
    <w:rsid w:val="00AD3172"/>
    <w:rsid w:val="00AD4F0A"/>
    <w:rsid w:val="00AE0CAA"/>
    <w:rsid w:val="00AE114F"/>
    <w:rsid w:val="00AE16C1"/>
    <w:rsid w:val="00AE187D"/>
    <w:rsid w:val="00AF3451"/>
    <w:rsid w:val="00AF366E"/>
    <w:rsid w:val="00AF3D10"/>
    <w:rsid w:val="00AF5043"/>
    <w:rsid w:val="00B03B37"/>
    <w:rsid w:val="00B07E4A"/>
    <w:rsid w:val="00B162FC"/>
    <w:rsid w:val="00B17DBB"/>
    <w:rsid w:val="00B2348D"/>
    <w:rsid w:val="00B24F46"/>
    <w:rsid w:val="00B25D96"/>
    <w:rsid w:val="00B34D18"/>
    <w:rsid w:val="00B3626B"/>
    <w:rsid w:val="00B4119C"/>
    <w:rsid w:val="00B430FB"/>
    <w:rsid w:val="00B46BCA"/>
    <w:rsid w:val="00B511FC"/>
    <w:rsid w:val="00B60312"/>
    <w:rsid w:val="00B6375E"/>
    <w:rsid w:val="00B65C81"/>
    <w:rsid w:val="00B66611"/>
    <w:rsid w:val="00B7130B"/>
    <w:rsid w:val="00B71B5F"/>
    <w:rsid w:val="00B7475E"/>
    <w:rsid w:val="00B77EBC"/>
    <w:rsid w:val="00B82EB6"/>
    <w:rsid w:val="00B90800"/>
    <w:rsid w:val="00B91693"/>
    <w:rsid w:val="00B9553B"/>
    <w:rsid w:val="00BA1B16"/>
    <w:rsid w:val="00BA34AD"/>
    <w:rsid w:val="00BA780C"/>
    <w:rsid w:val="00BB1F45"/>
    <w:rsid w:val="00BC2DA4"/>
    <w:rsid w:val="00BC42B8"/>
    <w:rsid w:val="00BC502E"/>
    <w:rsid w:val="00BD253B"/>
    <w:rsid w:val="00BD3993"/>
    <w:rsid w:val="00BD42E4"/>
    <w:rsid w:val="00BE4658"/>
    <w:rsid w:val="00BF1749"/>
    <w:rsid w:val="00C01C9D"/>
    <w:rsid w:val="00C03657"/>
    <w:rsid w:val="00C10763"/>
    <w:rsid w:val="00C123EA"/>
    <w:rsid w:val="00C166AD"/>
    <w:rsid w:val="00C2128D"/>
    <w:rsid w:val="00C226DC"/>
    <w:rsid w:val="00C2696C"/>
    <w:rsid w:val="00C27A23"/>
    <w:rsid w:val="00C30E46"/>
    <w:rsid w:val="00C3188B"/>
    <w:rsid w:val="00C344DC"/>
    <w:rsid w:val="00C357DC"/>
    <w:rsid w:val="00C35DC3"/>
    <w:rsid w:val="00C40103"/>
    <w:rsid w:val="00C510B5"/>
    <w:rsid w:val="00C53467"/>
    <w:rsid w:val="00C53A8A"/>
    <w:rsid w:val="00C76A13"/>
    <w:rsid w:val="00C836FF"/>
    <w:rsid w:val="00C85D35"/>
    <w:rsid w:val="00C878C6"/>
    <w:rsid w:val="00C92DCA"/>
    <w:rsid w:val="00C93155"/>
    <w:rsid w:val="00CA2B7F"/>
    <w:rsid w:val="00CA3BBC"/>
    <w:rsid w:val="00CA6EFF"/>
    <w:rsid w:val="00CC6264"/>
    <w:rsid w:val="00CC7FC0"/>
    <w:rsid w:val="00CD1C45"/>
    <w:rsid w:val="00CD6162"/>
    <w:rsid w:val="00CE0026"/>
    <w:rsid w:val="00CE21B6"/>
    <w:rsid w:val="00CE3967"/>
    <w:rsid w:val="00CE3F26"/>
    <w:rsid w:val="00CE4C9E"/>
    <w:rsid w:val="00CE75A6"/>
    <w:rsid w:val="00CF35FA"/>
    <w:rsid w:val="00CF6326"/>
    <w:rsid w:val="00CF7DB6"/>
    <w:rsid w:val="00D0284A"/>
    <w:rsid w:val="00D05B3B"/>
    <w:rsid w:val="00D16B1E"/>
    <w:rsid w:val="00D2684F"/>
    <w:rsid w:val="00D34C1C"/>
    <w:rsid w:val="00D47BCA"/>
    <w:rsid w:val="00D50DF3"/>
    <w:rsid w:val="00D51376"/>
    <w:rsid w:val="00D6038F"/>
    <w:rsid w:val="00D61F0C"/>
    <w:rsid w:val="00D620BB"/>
    <w:rsid w:val="00D62B2D"/>
    <w:rsid w:val="00D67E8E"/>
    <w:rsid w:val="00D73C3F"/>
    <w:rsid w:val="00D77896"/>
    <w:rsid w:val="00D80CFA"/>
    <w:rsid w:val="00D85230"/>
    <w:rsid w:val="00D86F3F"/>
    <w:rsid w:val="00D9025C"/>
    <w:rsid w:val="00D91BFC"/>
    <w:rsid w:val="00D9395C"/>
    <w:rsid w:val="00D953B5"/>
    <w:rsid w:val="00D96849"/>
    <w:rsid w:val="00D968FD"/>
    <w:rsid w:val="00DA1E3B"/>
    <w:rsid w:val="00DA3DCD"/>
    <w:rsid w:val="00DA4BF1"/>
    <w:rsid w:val="00DA60F9"/>
    <w:rsid w:val="00DA6251"/>
    <w:rsid w:val="00DA685F"/>
    <w:rsid w:val="00DB0909"/>
    <w:rsid w:val="00DB0BF5"/>
    <w:rsid w:val="00DB11DA"/>
    <w:rsid w:val="00DB1EBA"/>
    <w:rsid w:val="00DC06D7"/>
    <w:rsid w:val="00DC29BE"/>
    <w:rsid w:val="00DD0697"/>
    <w:rsid w:val="00DE37AF"/>
    <w:rsid w:val="00DE4373"/>
    <w:rsid w:val="00DE47DF"/>
    <w:rsid w:val="00DE4F97"/>
    <w:rsid w:val="00DE6306"/>
    <w:rsid w:val="00DF1AFD"/>
    <w:rsid w:val="00DF31D7"/>
    <w:rsid w:val="00E14AEA"/>
    <w:rsid w:val="00E158DA"/>
    <w:rsid w:val="00E16A97"/>
    <w:rsid w:val="00E20393"/>
    <w:rsid w:val="00E26A0E"/>
    <w:rsid w:val="00E27CEB"/>
    <w:rsid w:val="00E3064C"/>
    <w:rsid w:val="00E31F6C"/>
    <w:rsid w:val="00E34222"/>
    <w:rsid w:val="00E35135"/>
    <w:rsid w:val="00E4168E"/>
    <w:rsid w:val="00E53DA7"/>
    <w:rsid w:val="00E55108"/>
    <w:rsid w:val="00E60E0A"/>
    <w:rsid w:val="00E62E88"/>
    <w:rsid w:val="00E6748B"/>
    <w:rsid w:val="00E71173"/>
    <w:rsid w:val="00E71CE7"/>
    <w:rsid w:val="00E75398"/>
    <w:rsid w:val="00E85017"/>
    <w:rsid w:val="00E86B91"/>
    <w:rsid w:val="00E87614"/>
    <w:rsid w:val="00E93162"/>
    <w:rsid w:val="00E9331A"/>
    <w:rsid w:val="00E93379"/>
    <w:rsid w:val="00E952F6"/>
    <w:rsid w:val="00EA2FE8"/>
    <w:rsid w:val="00EA5AE9"/>
    <w:rsid w:val="00EA7737"/>
    <w:rsid w:val="00EB4681"/>
    <w:rsid w:val="00EB50D2"/>
    <w:rsid w:val="00EB583E"/>
    <w:rsid w:val="00EC1D35"/>
    <w:rsid w:val="00EC3352"/>
    <w:rsid w:val="00EC620B"/>
    <w:rsid w:val="00EE7F85"/>
    <w:rsid w:val="00EF4DA6"/>
    <w:rsid w:val="00EF56C7"/>
    <w:rsid w:val="00EF6E5D"/>
    <w:rsid w:val="00EF6F69"/>
    <w:rsid w:val="00F03FF2"/>
    <w:rsid w:val="00F048B9"/>
    <w:rsid w:val="00F062DB"/>
    <w:rsid w:val="00F10026"/>
    <w:rsid w:val="00F15DB7"/>
    <w:rsid w:val="00F17123"/>
    <w:rsid w:val="00F21B8F"/>
    <w:rsid w:val="00F26FB3"/>
    <w:rsid w:val="00F26FBC"/>
    <w:rsid w:val="00F40355"/>
    <w:rsid w:val="00F428C5"/>
    <w:rsid w:val="00F43EC4"/>
    <w:rsid w:val="00F46631"/>
    <w:rsid w:val="00F4773D"/>
    <w:rsid w:val="00F47F43"/>
    <w:rsid w:val="00F51DD5"/>
    <w:rsid w:val="00F62630"/>
    <w:rsid w:val="00F65E31"/>
    <w:rsid w:val="00F71E46"/>
    <w:rsid w:val="00F737CD"/>
    <w:rsid w:val="00F82141"/>
    <w:rsid w:val="00F91602"/>
    <w:rsid w:val="00F92187"/>
    <w:rsid w:val="00F92426"/>
    <w:rsid w:val="00F97380"/>
    <w:rsid w:val="00F97B92"/>
    <w:rsid w:val="00FA1CEF"/>
    <w:rsid w:val="00FB0D10"/>
    <w:rsid w:val="00FB2AA1"/>
    <w:rsid w:val="00FB6839"/>
    <w:rsid w:val="00FC2892"/>
    <w:rsid w:val="00FD3B6D"/>
    <w:rsid w:val="00FE7995"/>
    <w:rsid w:val="00FF52F6"/>
    <w:rsid w:val="00FF5E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F20D6"/>
  <w15:docId w15:val="{460602D8-35A0-4BED-94E5-AB36D1E38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77A0F"/>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677A0F"/>
    <w:pPr>
      <w:spacing w:before="75" w:after="75"/>
      <w:ind w:firstLine="375"/>
      <w:jc w:val="both"/>
    </w:pPr>
  </w:style>
  <w:style w:type="paragraph" w:customStyle="1" w:styleId="naisnod">
    <w:name w:val="naisnod"/>
    <w:basedOn w:val="Parasts"/>
    <w:rsid w:val="00677A0F"/>
    <w:pPr>
      <w:spacing w:before="150" w:after="150"/>
      <w:jc w:val="center"/>
    </w:pPr>
    <w:rPr>
      <w:b/>
      <w:bCs/>
    </w:rPr>
  </w:style>
  <w:style w:type="paragraph" w:customStyle="1" w:styleId="naiskr">
    <w:name w:val="naiskr"/>
    <w:basedOn w:val="Parasts"/>
    <w:rsid w:val="00677A0F"/>
    <w:pPr>
      <w:spacing w:before="75" w:after="75"/>
    </w:pPr>
  </w:style>
  <w:style w:type="character" w:styleId="Hipersaite">
    <w:name w:val="Hyperlink"/>
    <w:uiPriority w:val="99"/>
    <w:unhideWhenUsed/>
    <w:rsid w:val="00677A0F"/>
    <w:rPr>
      <w:color w:val="0000FF"/>
      <w:u w:val="single"/>
    </w:rPr>
  </w:style>
  <w:style w:type="paragraph" w:styleId="Galvene">
    <w:name w:val="header"/>
    <w:basedOn w:val="Parasts"/>
    <w:link w:val="GalveneRakstz"/>
    <w:uiPriority w:val="99"/>
    <w:unhideWhenUsed/>
    <w:rsid w:val="00677A0F"/>
    <w:pPr>
      <w:tabs>
        <w:tab w:val="center" w:pos="4320"/>
        <w:tab w:val="right" w:pos="8640"/>
      </w:tabs>
    </w:pPr>
  </w:style>
  <w:style w:type="character" w:customStyle="1" w:styleId="GalveneRakstz">
    <w:name w:val="Galvene Rakstz."/>
    <w:basedOn w:val="Noklusjumarindkopasfonts"/>
    <w:link w:val="Galvene"/>
    <w:uiPriority w:val="99"/>
    <w:rsid w:val="00677A0F"/>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677A0F"/>
    <w:pPr>
      <w:tabs>
        <w:tab w:val="center" w:pos="4320"/>
        <w:tab w:val="right" w:pos="8640"/>
      </w:tabs>
    </w:pPr>
  </w:style>
  <w:style w:type="character" w:customStyle="1" w:styleId="FooterChar">
    <w:name w:val="Footer Char"/>
    <w:basedOn w:val="Noklusjumarindkopasfonts"/>
    <w:uiPriority w:val="99"/>
    <w:rsid w:val="00677A0F"/>
    <w:rPr>
      <w:rFonts w:ascii="Times New Roman" w:eastAsia="Times New Roman" w:hAnsi="Times New Roman" w:cs="Times New Roman"/>
      <w:sz w:val="24"/>
      <w:szCs w:val="24"/>
      <w:lang w:eastAsia="lv-LV"/>
    </w:rPr>
  </w:style>
  <w:style w:type="character" w:customStyle="1" w:styleId="KjeneRakstz">
    <w:name w:val="Kājene Rakstz."/>
    <w:link w:val="Kjene"/>
    <w:uiPriority w:val="99"/>
    <w:rsid w:val="00677A0F"/>
    <w:rPr>
      <w:rFonts w:ascii="Times New Roman" w:eastAsia="Times New Roman" w:hAnsi="Times New Roman" w:cs="Times New Roman"/>
      <w:sz w:val="24"/>
      <w:szCs w:val="24"/>
      <w:lang w:eastAsia="lv-LV"/>
    </w:rPr>
  </w:style>
  <w:style w:type="paragraph" w:styleId="Paraststmeklis">
    <w:name w:val="Normal (Web)"/>
    <w:basedOn w:val="Parasts"/>
    <w:rsid w:val="00677A0F"/>
    <w:pPr>
      <w:spacing w:before="100" w:after="100"/>
    </w:pPr>
    <w:rPr>
      <w:szCs w:val="20"/>
      <w:lang w:val="en-GB" w:eastAsia="en-US"/>
    </w:rPr>
  </w:style>
  <w:style w:type="character" w:styleId="Izteiksmgs">
    <w:name w:val="Strong"/>
    <w:uiPriority w:val="22"/>
    <w:qFormat/>
    <w:rsid w:val="00677A0F"/>
    <w:rPr>
      <w:b/>
      <w:bCs/>
    </w:rPr>
  </w:style>
  <w:style w:type="paragraph" w:customStyle="1" w:styleId="tvhtmlmktable">
    <w:name w:val="tv_html mk_table"/>
    <w:basedOn w:val="Parasts"/>
    <w:rsid w:val="00677A0F"/>
    <w:pPr>
      <w:spacing w:before="100" w:beforeAutospacing="1" w:after="100" w:afterAutospacing="1"/>
    </w:pPr>
    <w:rPr>
      <w:rFonts w:ascii="Verdana" w:hAnsi="Verdana"/>
      <w:sz w:val="18"/>
      <w:szCs w:val="18"/>
    </w:rPr>
  </w:style>
  <w:style w:type="paragraph" w:styleId="Sarakstarindkopa">
    <w:name w:val="List Paragraph"/>
    <w:basedOn w:val="Parasts"/>
    <w:uiPriority w:val="34"/>
    <w:qFormat/>
    <w:rsid w:val="00677A0F"/>
    <w:pPr>
      <w:ind w:left="720"/>
      <w:contextualSpacing/>
    </w:pPr>
    <w:rPr>
      <w:lang w:eastAsia="en-US"/>
    </w:rPr>
  </w:style>
  <w:style w:type="character" w:customStyle="1" w:styleId="apple-converted-space">
    <w:name w:val="apple-converted-space"/>
    <w:rsid w:val="00677A0F"/>
  </w:style>
  <w:style w:type="character" w:styleId="Izclums">
    <w:name w:val="Emphasis"/>
    <w:uiPriority w:val="20"/>
    <w:qFormat/>
    <w:rsid w:val="00677A0F"/>
    <w:rPr>
      <w:i/>
      <w:iCs/>
    </w:rPr>
  </w:style>
  <w:style w:type="paragraph" w:styleId="Balonteksts">
    <w:name w:val="Balloon Text"/>
    <w:basedOn w:val="Parasts"/>
    <w:link w:val="BalontekstsRakstz"/>
    <w:uiPriority w:val="99"/>
    <w:semiHidden/>
    <w:unhideWhenUsed/>
    <w:rsid w:val="00664C4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64C43"/>
    <w:rPr>
      <w:rFonts w:ascii="Tahoma" w:eastAsia="Times New Roman" w:hAnsi="Tahoma" w:cs="Tahoma"/>
      <w:sz w:val="16"/>
      <w:szCs w:val="16"/>
      <w:lang w:eastAsia="lv-LV"/>
    </w:rPr>
  </w:style>
  <w:style w:type="character" w:styleId="Komentraatsauce">
    <w:name w:val="annotation reference"/>
    <w:basedOn w:val="Noklusjumarindkopasfonts"/>
    <w:semiHidden/>
    <w:unhideWhenUsed/>
    <w:rsid w:val="00CE75A6"/>
    <w:rPr>
      <w:sz w:val="16"/>
      <w:szCs w:val="16"/>
    </w:rPr>
  </w:style>
  <w:style w:type="paragraph" w:styleId="Komentrateksts">
    <w:name w:val="annotation text"/>
    <w:basedOn w:val="Parasts"/>
    <w:link w:val="KomentratekstsRakstz"/>
    <w:unhideWhenUsed/>
    <w:rsid w:val="00CE75A6"/>
    <w:rPr>
      <w:sz w:val="20"/>
      <w:szCs w:val="20"/>
    </w:rPr>
  </w:style>
  <w:style w:type="character" w:customStyle="1" w:styleId="KomentratekstsRakstz">
    <w:name w:val="Komentāra teksts Rakstz."/>
    <w:basedOn w:val="Noklusjumarindkopasfonts"/>
    <w:link w:val="Komentrateksts"/>
    <w:rsid w:val="00CE75A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CE75A6"/>
    <w:rPr>
      <w:b/>
      <w:bCs/>
    </w:rPr>
  </w:style>
  <w:style w:type="character" w:customStyle="1" w:styleId="KomentratmaRakstz">
    <w:name w:val="Komentāra tēma Rakstz."/>
    <w:basedOn w:val="KomentratekstsRakstz"/>
    <w:link w:val="Komentratma"/>
    <w:uiPriority w:val="99"/>
    <w:semiHidden/>
    <w:rsid w:val="00CE75A6"/>
    <w:rPr>
      <w:rFonts w:ascii="Times New Roman" w:eastAsia="Times New Roman" w:hAnsi="Times New Roman" w:cs="Times New Roman"/>
      <w:b/>
      <w:bCs/>
      <w:sz w:val="20"/>
      <w:szCs w:val="20"/>
      <w:lang w:eastAsia="lv-LV"/>
    </w:rPr>
  </w:style>
  <w:style w:type="paragraph" w:styleId="Pamatteksts">
    <w:name w:val="Body Text"/>
    <w:basedOn w:val="Parasts"/>
    <w:link w:val="PamattekstsRakstz"/>
    <w:rsid w:val="00D85230"/>
    <w:pPr>
      <w:jc w:val="both"/>
    </w:pPr>
    <w:rPr>
      <w:rFonts w:eastAsia="Calibri"/>
      <w:sz w:val="28"/>
      <w:szCs w:val="28"/>
      <w:lang w:val="en-AU" w:eastAsia="en-US"/>
    </w:rPr>
  </w:style>
  <w:style w:type="character" w:customStyle="1" w:styleId="PamattekstsRakstz">
    <w:name w:val="Pamatteksts Rakstz."/>
    <w:basedOn w:val="Noklusjumarindkopasfonts"/>
    <w:link w:val="Pamatteksts"/>
    <w:rsid w:val="00D85230"/>
    <w:rPr>
      <w:rFonts w:ascii="Times New Roman" w:eastAsia="Calibri" w:hAnsi="Times New Roman" w:cs="Times New Roman"/>
      <w:sz w:val="28"/>
      <w:szCs w:val="28"/>
      <w:lang w:val="en-AU"/>
    </w:rPr>
  </w:style>
  <w:style w:type="character" w:customStyle="1" w:styleId="spelle">
    <w:name w:val="spelle"/>
    <w:basedOn w:val="Noklusjumarindkopasfonts"/>
    <w:uiPriority w:val="99"/>
    <w:rsid w:val="009343BC"/>
    <w:rPr>
      <w:rFonts w:cs="Times New Roman"/>
    </w:rPr>
  </w:style>
  <w:style w:type="paragraph" w:styleId="Vresteksts">
    <w:name w:val="footnote text"/>
    <w:basedOn w:val="Parasts"/>
    <w:link w:val="VrestekstsRakstz"/>
    <w:unhideWhenUsed/>
    <w:rsid w:val="00643002"/>
    <w:rPr>
      <w:rFonts w:eastAsia="Calibri"/>
      <w:sz w:val="20"/>
      <w:szCs w:val="20"/>
    </w:rPr>
  </w:style>
  <w:style w:type="character" w:customStyle="1" w:styleId="VrestekstsRakstz">
    <w:name w:val="Vēres teksts Rakstz."/>
    <w:basedOn w:val="Noklusjumarindkopasfonts"/>
    <w:link w:val="Vresteksts"/>
    <w:rsid w:val="00643002"/>
    <w:rPr>
      <w:rFonts w:ascii="Times New Roman" w:eastAsia="Calibri" w:hAnsi="Times New Roman" w:cs="Times New Roman"/>
      <w:sz w:val="20"/>
      <w:szCs w:val="20"/>
      <w:lang w:eastAsia="lv-LV"/>
    </w:rPr>
  </w:style>
  <w:style w:type="table" w:styleId="Reatabula">
    <w:name w:val="Table Grid"/>
    <w:basedOn w:val="Parastatabula"/>
    <w:uiPriority w:val="39"/>
    <w:rsid w:val="00397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064702">
      <w:bodyDiv w:val="1"/>
      <w:marLeft w:val="0"/>
      <w:marRight w:val="0"/>
      <w:marTop w:val="0"/>
      <w:marBottom w:val="0"/>
      <w:divBdr>
        <w:top w:val="none" w:sz="0" w:space="0" w:color="auto"/>
        <w:left w:val="none" w:sz="0" w:space="0" w:color="auto"/>
        <w:bottom w:val="none" w:sz="0" w:space="0" w:color="auto"/>
        <w:right w:val="none" w:sz="0" w:space="0" w:color="auto"/>
      </w:divBdr>
    </w:div>
    <w:div w:id="675499635">
      <w:bodyDiv w:val="1"/>
      <w:marLeft w:val="0"/>
      <w:marRight w:val="0"/>
      <w:marTop w:val="0"/>
      <w:marBottom w:val="0"/>
      <w:divBdr>
        <w:top w:val="none" w:sz="0" w:space="0" w:color="auto"/>
        <w:left w:val="none" w:sz="0" w:space="0" w:color="auto"/>
        <w:bottom w:val="none" w:sz="0" w:space="0" w:color="auto"/>
        <w:right w:val="none" w:sz="0" w:space="0" w:color="auto"/>
      </w:divBdr>
    </w:div>
    <w:div w:id="1073965969">
      <w:bodyDiv w:val="1"/>
      <w:marLeft w:val="0"/>
      <w:marRight w:val="0"/>
      <w:marTop w:val="0"/>
      <w:marBottom w:val="0"/>
      <w:divBdr>
        <w:top w:val="none" w:sz="0" w:space="0" w:color="auto"/>
        <w:left w:val="none" w:sz="0" w:space="0" w:color="auto"/>
        <w:bottom w:val="none" w:sz="0" w:space="0" w:color="auto"/>
        <w:right w:val="none" w:sz="0" w:space="0" w:color="auto"/>
      </w:divBdr>
      <w:divsChild>
        <w:div w:id="1497768390">
          <w:marLeft w:val="0"/>
          <w:marRight w:val="0"/>
          <w:marTop w:val="0"/>
          <w:marBottom w:val="0"/>
          <w:divBdr>
            <w:top w:val="none" w:sz="0" w:space="0" w:color="auto"/>
            <w:left w:val="none" w:sz="0" w:space="0" w:color="auto"/>
            <w:bottom w:val="none" w:sz="0" w:space="0" w:color="auto"/>
            <w:right w:val="none" w:sz="0" w:space="0" w:color="auto"/>
          </w:divBdr>
          <w:divsChild>
            <w:div w:id="1852066166">
              <w:marLeft w:val="0"/>
              <w:marRight w:val="0"/>
              <w:marTop w:val="0"/>
              <w:marBottom w:val="0"/>
              <w:divBdr>
                <w:top w:val="none" w:sz="0" w:space="0" w:color="auto"/>
                <w:left w:val="none" w:sz="0" w:space="0" w:color="auto"/>
                <w:bottom w:val="none" w:sz="0" w:space="0" w:color="auto"/>
                <w:right w:val="none" w:sz="0" w:space="0" w:color="auto"/>
              </w:divBdr>
              <w:divsChild>
                <w:div w:id="1027370138">
                  <w:marLeft w:val="0"/>
                  <w:marRight w:val="0"/>
                  <w:marTop w:val="0"/>
                  <w:marBottom w:val="0"/>
                  <w:divBdr>
                    <w:top w:val="none" w:sz="0" w:space="0" w:color="auto"/>
                    <w:left w:val="none" w:sz="0" w:space="0" w:color="auto"/>
                    <w:bottom w:val="none" w:sz="0" w:space="0" w:color="auto"/>
                    <w:right w:val="none" w:sz="0" w:space="0" w:color="auto"/>
                  </w:divBdr>
                  <w:divsChild>
                    <w:div w:id="1794519188">
                      <w:marLeft w:val="0"/>
                      <w:marRight w:val="0"/>
                      <w:marTop w:val="0"/>
                      <w:marBottom w:val="0"/>
                      <w:divBdr>
                        <w:top w:val="none" w:sz="0" w:space="0" w:color="auto"/>
                        <w:left w:val="none" w:sz="0" w:space="0" w:color="auto"/>
                        <w:bottom w:val="none" w:sz="0" w:space="0" w:color="auto"/>
                        <w:right w:val="none" w:sz="0" w:space="0" w:color="auto"/>
                      </w:divBdr>
                      <w:divsChild>
                        <w:div w:id="926379567">
                          <w:marLeft w:val="0"/>
                          <w:marRight w:val="0"/>
                          <w:marTop w:val="0"/>
                          <w:marBottom w:val="0"/>
                          <w:divBdr>
                            <w:top w:val="none" w:sz="0" w:space="0" w:color="auto"/>
                            <w:left w:val="none" w:sz="0" w:space="0" w:color="auto"/>
                            <w:bottom w:val="none" w:sz="0" w:space="0" w:color="auto"/>
                            <w:right w:val="none" w:sz="0" w:space="0" w:color="auto"/>
                          </w:divBdr>
                          <w:divsChild>
                            <w:div w:id="2864695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474262">
      <w:bodyDiv w:val="1"/>
      <w:marLeft w:val="0"/>
      <w:marRight w:val="0"/>
      <w:marTop w:val="0"/>
      <w:marBottom w:val="0"/>
      <w:divBdr>
        <w:top w:val="none" w:sz="0" w:space="0" w:color="auto"/>
        <w:left w:val="none" w:sz="0" w:space="0" w:color="auto"/>
        <w:bottom w:val="none" w:sz="0" w:space="0" w:color="auto"/>
        <w:right w:val="none" w:sz="0" w:space="0" w:color="auto"/>
      </w:divBdr>
    </w:div>
    <w:div w:id="1423919472">
      <w:bodyDiv w:val="1"/>
      <w:marLeft w:val="0"/>
      <w:marRight w:val="0"/>
      <w:marTop w:val="0"/>
      <w:marBottom w:val="0"/>
      <w:divBdr>
        <w:top w:val="none" w:sz="0" w:space="0" w:color="auto"/>
        <w:left w:val="none" w:sz="0" w:space="0" w:color="auto"/>
        <w:bottom w:val="none" w:sz="0" w:space="0" w:color="auto"/>
        <w:right w:val="none" w:sz="0" w:space="0" w:color="auto"/>
      </w:divBdr>
    </w:div>
    <w:div w:id="1493642550">
      <w:bodyDiv w:val="1"/>
      <w:marLeft w:val="0"/>
      <w:marRight w:val="0"/>
      <w:marTop w:val="0"/>
      <w:marBottom w:val="0"/>
      <w:divBdr>
        <w:top w:val="none" w:sz="0" w:space="0" w:color="auto"/>
        <w:left w:val="none" w:sz="0" w:space="0" w:color="auto"/>
        <w:bottom w:val="none" w:sz="0" w:space="0" w:color="auto"/>
        <w:right w:val="none" w:sz="0" w:space="0" w:color="auto"/>
      </w:divBdr>
    </w:div>
    <w:div w:id="211112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3BABF-DE20-4BFC-9C48-F35CC9AED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2443</Words>
  <Characters>1393</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sēdes protokollēmuma projekts „Par Ministru kabineta 2015. gada 1. decembra sēdes protokollēmuma (prot. Nr.64 34.§)" Noteikumu projekts "Prasības uztura bagātinātājiem"3.2.apakšpunkā dotā uzdevuma izpildi”"</vt:lpstr>
      <vt:lpstr>Ministru kabineta sēdes protokollēmuma projektu „Par Ministru kabineta 2010. gada 28. decembra sēdes protokollēmuma (prot. Nr. 75 65. §) „Noteikumu projekts „Noteikumi par Pārtikas un veterinārā dienesta veikto valsts uzraudzības un kontroles darbību un s</vt:lpstr>
    </vt:vector>
  </TitlesOfParts>
  <Company>Zemkopības ministrija</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„Par Ministru kabineta 2015. gada 1. decembra sēdes protokollēmuma (prot. Nr.64 34.§)" Noteikumu projekts "Prasības uztura bagātinātājiem"3.2.apakšpunkā dotā uzdevuma izpildi”"</dc:title>
  <dc:subject>Ministru kabineta sēdes protokollēmuma projekta anotācija</dc:subject>
  <dc:creator>Māris Valdovskis</dc:creator>
  <dc:description>67027016;_x000d_
maris.valdovskis@zm.gov.lv</dc:description>
  <cp:lastModifiedBy>Sanita Žagare</cp:lastModifiedBy>
  <cp:revision>3</cp:revision>
  <cp:lastPrinted>2017-06-16T09:07:00Z</cp:lastPrinted>
  <dcterms:created xsi:type="dcterms:W3CDTF">2017-07-07T07:07:00Z</dcterms:created>
  <dcterms:modified xsi:type="dcterms:W3CDTF">2017-07-07T08:20:00Z</dcterms:modified>
</cp:coreProperties>
</file>