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EA" w:rsidRPr="0055226C" w:rsidRDefault="005A594C" w:rsidP="005A594C">
      <w:pPr>
        <w:pStyle w:val="Bezatstarpm"/>
        <w:jc w:val="center"/>
        <w:rPr>
          <w:b/>
          <w:sz w:val="28"/>
        </w:rPr>
      </w:pPr>
      <w:r w:rsidRPr="0055226C">
        <w:rPr>
          <w:b/>
          <w:sz w:val="28"/>
        </w:rPr>
        <w:t xml:space="preserve">Ministru kabineta noteikumu projekta </w:t>
      </w:r>
    </w:p>
    <w:p w:rsidR="005A594C" w:rsidRPr="0055226C" w:rsidRDefault="005A594C" w:rsidP="005A594C">
      <w:pPr>
        <w:pStyle w:val="Bezatstarpm"/>
        <w:jc w:val="center"/>
        <w:rPr>
          <w:b/>
          <w:bCs/>
          <w:sz w:val="28"/>
        </w:rPr>
      </w:pPr>
      <w:r w:rsidRPr="0055226C">
        <w:rPr>
          <w:b/>
          <w:sz w:val="28"/>
        </w:rPr>
        <w:t>„Grozījumi Ministru kabineta 2005.</w:t>
      </w:r>
      <w:r w:rsidR="00572987" w:rsidRPr="0055226C">
        <w:rPr>
          <w:b/>
          <w:sz w:val="28"/>
        </w:rPr>
        <w:t xml:space="preserve"> </w:t>
      </w:r>
      <w:r w:rsidRPr="0055226C">
        <w:rPr>
          <w:b/>
          <w:sz w:val="28"/>
        </w:rPr>
        <w:t>gada 15.</w:t>
      </w:r>
      <w:r w:rsidR="0037410A" w:rsidRPr="0055226C">
        <w:rPr>
          <w:b/>
          <w:sz w:val="28"/>
        </w:rPr>
        <w:t> </w:t>
      </w:r>
      <w:r w:rsidRPr="0055226C">
        <w:rPr>
          <w:b/>
          <w:sz w:val="28"/>
        </w:rPr>
        <w:t>marta noteikumos Nr.</w:t>
      </w:r>
      <w:r w:rsidR="00607443" w:rsidRPr="0055226C">
        <w:rPr>
          <w:b/>
          <w:sz w:val="28"/>
        </w:rPr>
        <w:t> </w:t>
      </w:r>
      <w:r w:rsidRPr="0055226C">
        <w:rPr>
          <w:b/>
          <w:sz w:val="28"/>
        </w:rPr>
        <w:t>177 „Kārtība, kādā piešķir un dzīvnieku īpašnieks saņem kompensāciju par zaudējumiem, kas radušies valsts uzraudzībā esošas dzīvnieku infekcijas slimības vai epizootijas uzliesmojuma laikā””</w:t>
      </w:r>
    </w:p>
    <w:p w:rsidR="005A594C" w:rsidRPr="0055226C" w:rsidRDefault="005A594C" w:rsidP="005A594C">
      <w:pPr>
        <w:pStyle w:val="Bezatstarpm"/>
        <w:jc w:val="center"/>
        <w:rPr>
          <w:b/>
          <w:bCs/>
          <w:sz w:val="28"/>
        </w:rPr>
      </w:pPr>
      <w:r w:rsidRPr="0055226C">
        <w:rPr>
          <w:b/>
          <w:bCs/>
          <w:sz w:val="28"/>
        </w:rPr>
        <w:t>sākotnējās ietekmes novērtējuma ziņojums (anotācija)</w:t>
      </w:r>
    </w:p>
    <w:p w:rsidR="005A594C" w:rsidRPr="002628D0" w:rsidRDefault="005A594C" w:rsidP="005A594C">
      <w:pPr>
        <w:pStyle w:val="Bezatstarpm"/>
        <w:jc w:val="both"/>
      </w:pPr>
    </w:p>
    <w:tbl>
      <w:tblPr>
        <w:tblStyle w:val="Reatabula"/>
        <w:tblW w:w="9351" w:type="dxa"/>
        <w:tblLook w:val="04A0" w:firstRow="1" w:lastRow="0" w:firstColumn="1" w:lastColumn="0" w:noHBand="0" w:noVBand="1"/>
      </w:tblPr>
      <w:tblGrid>
        <w:gridCol w:w="562"/>
        <w:gridCol w:w="2240"/>
        <w:gridCol w:w="6549"/>
      </w:tblGrid>
      <w:tr w:rsidR="002628D0" w:rsidRPr="002628D0" w:rsidTr="007572E7">
        <w:tc>
          <w:tcPr>
            <w:tcW w:w="9351" w:type="dxa"/>
            <w:gridSpan w:val="3"/>
          </w:tcPr>
          <w:p w:rsidR="005A594C" w:rsidRPr="002628D0" w:rsidRDefault="005A594C" w:rsidP="007572E7">
            <w:pPr>
              <w:pStyle w:val="Bezatstarpm"/>
              <w:jc w:val="center"/>
              <w:rPr>
                <w:b/>
              </w:rPr>
            </w:pPr>
            <w:r w:rsidRPr="002628D0">
              <w:rPr>
                <w:b/>
              </w:rPr>
              <w:t>I. Tiesību akta projekta izstrādes nepieciešamība</w:t>
            </w:r>
          </w:p>
        </w:tc>
      </w:tr>
      <w:tr w:rsidR="002628D0" w:rsidRPr="002628D0" w:rsidTr="007572E7">
        <w:tc>
          <w:tcPr>
            <w:tcW w:w="562" w:type="dxa"/>
          </w:tcPr>
          <w:p w:rsidR="005A594C" w:rsidRPr="002628D0" w:rsidRDefault="005A594C" w:rsidP="007572E7">
            <w:pPr>
              <w:pStyle w:val="Bezatstarpm"/>
              <w:jc w:val="both"/>
            </w:pPr>
            <w:r w:rsidRPr="002628D0">
              <w:t>1.</w:t>
            </w:r>
          </w:p>
        </w:tc>
        <w:tc>
          <w:tcPr>
            <w:tcW w:w="2240" w:type="dxa"/>
          </w:tcPr>
          <w:p w:rsidR="005A594C" w:rsidRPr="002628D0" w:rsidRDefault="005A594C" w:rsidP="007572E7">
            <w:pPr>
              <w:pStyle w:val="Bezatstarpm"/>
              <w:jc w:val="both"/>
            </w:pPr>
            <w:r w:rsidRPr="002628D0">
              <w:t>Pamatojums</w:t>
            </w:r>
          </w:p>
        </w:tc>
        <w:tc>
          <w:tcPr>
            <w:tcW w:w="6549" w:type="dxa"/>
          </w:tcPr>
          <w:p w:rsidR="005A594C" w:rsidRPr="002628D0" w:rsidRDefault="005A594C" w:rsidP="007572E7">
            <w:pPr>
              <w:pStyle w:val="Bezatstarpm"/>
              <w:jc w:val="both"/>
            </w:pPr>
            <w:r w:rsidRPr="002628D0">
              <w:t>Veterinārmedicīnas likuma 35.</w:t>
            </w:r>
            <w:r w:rsidR="00EF5C0C" w:rsidRPr="002628D0">
              <w:t xml:space="preserve"> </w:t>
            </w:r>
            <w:r w:rsidRPr="002628D0">
              <w:t>panta otrā daļa un 38.</w:t>
            </w:r>
            <w:r w:rsidR="00EF5C0C" w:rsidRPr="002628D0">
              <w:t xml:space="preserve"> </w:t>
            </w:r>
            <w:r w:rsidRPr="002628D0">
              <w:t>panta otrā daļa</w:t>
            </w:r>
          </w:p>
        </w:tc>
      </w:tr>
      <w:tr w:rsidR="002628D0" w:rsidRPr="002628D0" w:rsidTr="007572E7">
        <w:tc>
          <w:tcPr>
            <w:tcW w:w="562" w:type="dxa"/>
          </w:tcPr>
          <w:p w:rsidR="005A594C" w:rsidRPr="002628D0" w:rsidRDefault="005A594C" w:rsidP="007572E7">
            <w:pPr>
              <w:pStyle w:val="Bezatstarpm"/>
              <w:jc w:val="both"/>
            </w:pPr>
            <w:r w:rsidRPr="002628D0">
              <w:t>2.</w:t>
            </w:r>
          </w:p>
        </w:tc>
        <w:tc>
          <w:tcPr>
            <w:tcW w:w="2240" w:type="dxa"/>
          </w:tcPr>
          <w:p w:rsidR="000046E2" w:rsidRPr="002628D0" w:rsidRDefault="005A594C" w:rsidP="007572E7">
            <w:pPr>
              <w:pStyle w:val="Bezatstarpm"/>
              <w:jc w:val="both"/>
            </w:pPr>
            <w:r w:rsidRPr="002628D0">
              <w:t>Pašreizējā situācija un problēmas, kuru risināšanai tiesību akta projekts izstrādāts, tiesiskā regulējuma mērķis un būtība</w:t>
            </w: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0046E2" w:rsidRPr="002628D0" w:rsidRDefault="000046E2" w:rsidP="000046E2">
            <w:pPr>
              <w:rPr>
                <w:rFonts w:ascii="Times New Roman" w:hAnsi="Times New Roman" w:cs="Times New Roman"/>
                <w:sz w:val="24"/>
                <w:szCs w:val="24"/>
                <w:lang w:eastAsia="lv-LV"/>
              </w:rPr>
            </w:pPr>
          </w:p>
          <w:p w:rsidR="005A594C" w:rsidRPr="002628D0" w:rsidRDefault="005A594C" w:rsidP="000046E2">
            <w:pPr>
              <w:rPr>
                <w:rFonts w:ascii="Times New Roman" w:hAnsi="Times New Roman" w:cs="Times New Roman"/>
                <w:sz w:val="24"/>
                <w:szCs w:val="24"/>
                <w:lang w:eastAsia="lv-LV"/>
              </w:rPr>
            </w:pPr>
          </w:p>
        </w:tc>
        <w:tc>
          <w:tcPr>
            <w:tcW w:w="6549" w:type="dxa"/>
          </w:tcPr>
          <w:p w:rsidR="00E139D4" w:rsidRPr="002628D0" w:rsidRDefault="000046E2" w:rsidP="000046E2">
            <w:pPr>
              <w:pStyle w:val="Bezatstarpm"/>
              <w:jc w:val="both"/>
            </w:pPr>
            <w:r w:rsidRPr="002628D0">
              <w:lastRenderedPageBreak/>
              <w:t xml:space="preserve">Veterinārmedicīnas likuma </w:t>
            </w:r>
            <w:r w:rsidRPr="002628D0">
              <w:rPr>
                <w:bCs/>
              </w:rPr>
              <w:t>38. panta pirmās daļas 2. punktā ir noteikts, ka d</w:t>
            </w:r>
            <w:r w:rsidRPr="002628D0">
              <w:t xml:space="preserve">zīvnieku īpašniekam ir tiesības saņemt zaudējumu kompensāciju par </w:t>
            </w:r>
            <w:r w:rsidR="00E139D4" w:rsidRPr="002628D0">
              <w:t>transmisīv</w:t>
            </w:r>
            <w:r w:rsidR="00607443" w:rsidRPr="002628D0">
              <w:t>ās</w:t>
            </w:r>
            <w:r w:rsidR="00E139D4" w:rsidRPr="002628D0">
              <w:t xml:space="preserve"> sūkļveida encefalopātij</w:t>
            </w:r>
            <w:r w:rsidR="00607443" w:rsidRPr="002628D0">
              <w:t>as</w:t>
            </w:r>
            <w:r w:rsidR="00E139D4" w:rsidRPr="002628D0">
              <w:t xml:space="preserve"> apkarošanas laikā radītajiem zaudējumiem, kā arī par dzīvniekiem, kurus, pastāvot aizdomām par saslimšanu, nokauj diagnozes noskaidrošanai, iznīcinātajiem kautķermeņiem, dzīvnieku izcelsmes produktiem, embrijiem un olšūnām.</w:t>
            </w:r>
          </w:p>
          <w:p w:rsidR="001E0B67" w:rsidRPr="002628D0" w:rsidRDefault="005B2D9E" w:rsidP="001E0B67">
            <w:pPr>
              <w:pStyle w:val="Bezatstarpm"/>
              <w:jc w:val="both"/>
            </w:pPr>
            <w:r w:rsidRPr="002628D0">
              <w:t>N</w:t>
            </w:r>
            <w:r w:rsidR="000046E2" w:rsidRPr="002628D0">
              <w:t>oteikumi Nr.177 nosaka kārtību, kādā piešķir un dzīvnieku īpašnieks saņem kompensāciju par zaudējumiem, kas radušies valsts uzraudzībā esošo dzīvnieku infekcijas slimību un epizootij</w:t>
            </w:r>
            <w:r w:rsidR="000F4694" w:rsidRPr="002628D0">
              <w:t>u</w:t>
            </w:r>
            <w:r w:rsidR="008F78A9" w:rsidRPr="002628D0">
              <w:t xml:space="preserve"> uzliesmojuma laikā, t</w:t>
            </w:r>
            <w:r w:rsidR="00607443" w:rsidRPr="002628D0">
              <w:t>ostarp</w:t>
            </w:r>
            <w:r w:rsidR="008F78A9" w:rsidRPr="002628D0">
              <w:t xml:space="preserve"> par transmisīvās sūkļveida encefalopātijas </w:t>
            </w:r>
            <w:r w:rsidR="001E0B67" w:rsidRPr="002628D0">
              <w:t xml:space="preserve">(turpmāk – TSE) </w:t>
            </w:r>
            <w:r w:rsidR="008F78A9" w:rsidRPr="002628D0">
              <w:t>(govju sūkļveida encefalopātija</w:t>
            </w:r>
            <w:r w:rsidR="00607443" w:rsidRPr="002628D0">
              <w:t>s</w:t>
            </w:r>
            <w:r w:rsidR="001E0B67" w:rsidRPr="002628D0">
              <w:t xml:space="preserve"> (turpmāk – GSE)</w:t>
            </w:r>
            <w:r w:rsidR="008F78A9" w:rsidRPr="002628D0">
              <w:t xml:space="preserve"> un </w:t>
            </w:r>
            <w:proofErr w:type="spellStart"/>
            <w:r w:rsidR="008F78A9" w:rsidRPr="002628D0">
              <w:t>skrepi</w:t>
            </w:r>
            <w:proofErr w:type="spellEnd"/>
            <w:r w:rsidR="008F78A9" w:rsidRPr="002628D0">
              <w:t xml:space="preserve"> slimība</w:t>
            </w:r>
            <w:r w:rsidR="00607443" w:rsidRPr="002628D0">
              <w:t>s</w:t>
            </w:r>
            <w:r w:rsidR="008F78A9" w:rsidRPr="002628D0">
              <w:t>)</w:t>
            </w:r>
            <w:r w:rsidR="000046E2" w:rsidRPr="002628D0">
              <w:t xml:space="preserve"> </w:t>
            </w:r>
            <w:r w:rsidR="008F78A9" w:rsidRPr="002628D0">
              <w:t>uzliesmojuma un tās apkarošanas laikā rad</w:t>
            </w:r>
            <w:r w:rsidR="00E14AF8" w:rsidRPr="002628D0">
              <w:t>ītajiem</w:t>
            </w:r>
            <w:r w:rsidR="008F78A9" w:rsidRPr="002628D0">
              <w:t xml:space="preserve"> zaudējumiem</w:t>
            </w:r>
            <w:r w:rsidR="004C3190" w:rsidRPr="002628D0">
              <w:t>.</w:t>
            </w:r>
            <w:r w:rsidR="001E0B67" w:rsidRPr="002628D0">
              <w:t xml:space="preserve"> Jā</w:t>
            </w:r>
            <w:r w:rsidR="001A2534">
              <w:t>piebilst</w:t>
            </w:r>
            <w:r w:rsidR="001E0B67" w:rsidRPr="002628D0">
              <w:t xml:space="preserve">, ka </w:t>
            </w:r>
            <w:r w:rsidR="001E0B67" w:rsidRPr="002628D0">
              <w:rPr>
                <w:iCs/>
              </w:rPr>
              <w:t xml:space="preserve">TSE slimību grupā ietilpst </w:t>
            </w:r>
            <w:r w:rsidR="001E0B67" w:rsidRPr="002628D0">
              <w:t xml:space="preserve">tādas slimības kā </w:t>
            </w:r>
            <w:r w:rsidR="001E0B67" w:rsidRPr="002628D0">
              <w:rPr>
                <w:rStyle w:val="Izclums"/>
                <w:bCs/>
                <w:i w:val="0"/>
              </w:rPr>
              <w:t>GSE,</w:t>
            </w:r>
            <w:r w:rsidR="001E0B67" w:rsidRPr="002628D0">
              <w:rPr>
                <w:rStyle w:val="Izclums"/>
                <w:bCs/>
              </w:rPr>
              <w:t xml:space="preserve"> </w:t>
            </w:r>
            <w:proofErr w:type="spellStart"/>
            <w:r w:rsidR="001E0B67" w:rsidRPr="002628D0">
              <w:rPr>
                <w:rStyle w:val="Izclums"/>
                <w:bCs/>
                <w:i w:val="0"/>
              </w:rPr>
              <w:t>s</w:t>
            </w:r>
            <w:r w:rsidR="001E0B67" w:rsidRPr="002628D0">
              <w:t>krepi</w:t>
            </w:r>
            <w:proofErr w:type="spellEnd"/>
            <w:r w:rsidR="001E0B67" w:rsidRPr="002628D0">
              <w:t xml:space="preserve"> slimība, hroniskā novājēšanas slimība (turpmāk – HNS), ūdeļu transmisīvā encefalopātija, kaķu sūkļveida encefalopātija, </w:t>
            </w:r>
            <w:proofErr w:type="spellStart"/>
            <w:r w:rsidR="001E0B67" w:rsidRPr="002628D0">
              <w:t>Kreicfelda-Jakoba</w:t>
            </w:r>
            <w:proofErr w:type="spellEnd"/>
            <w:r w:rsidR="001E0B67" w:rsidRPr="002628D0">
              <w:t xml:space="preserve"> slimība (ar to pārsvarā slimo vecāki cilvēki, slimība zināma kopš 1920. gada)</w:t>
            </w:r>
            <w:r w:rsidR="001A2534">
              <w:t xml:space="preserve"> un</w:t>
            </w:r>
            <w:r w:rsidR="001E0B67" w:rsidRPr="002628D0">
              <w:t xml:space="preserve"> </w:t>
            </w:r>
            <w:proofErr w:type="spellStart"/>
            <w:r w:rsidR="001E0B67" w:rsidRPr="002628D0">
              <w:t>Kreicfelda-Jakoba</w:t>
            </w:r>
            <w:proofErr w:type="spellEnd"/>
            <w:r w:rsidR="001E0B67" w:rsidRPr="002628D0">
              <w:t xml:space="preserve"> slimības variants (ar to pārsvarā slimo jaunāki cilvēki, slimība zināma kopš 1996.</w:t>
            </w:r>
            <w:r w:rsidR="00AD2B04">
              <w:t xml:space="preserve"> </w:t>
            </w:r>
            <w:r w:rsidR="001E0B67" w:rsidRPr="002628D0">
              <w:t>gada, un tiek uzskatīts, ka šīs slimības cēlonis ir ar GSE slimu dzīvnieku gaļas un to produktu lietošana pārtikā).</w:t>
            </w:r>
          </w:p>
          <w:p w:rsidR="004C3190" w:rsidRPr="002628D0" w:rsidRDefault="004C3190" w:rsidP="00BD4000">
            <w:pPr>
              <w:autoSpaceDE w:val="0"/>
              <w:autoSpaceDN w:val="0"/>
              <w:adjustRightInd w:val="0"/>
              <w:jc w:val="both"/>
              <w:rPr>
                <w:rFonts w:ascii="Times New Roman" w:hAnsi="Times New Roman" w:cs="Times New Roman"/>
                <w:bCs/>
                <w:sz w:val="24"/>
                <w:szCs w:val="24"/>
              </w:rPr>
            </w:pPr>
            <w:r w:rsidRPr="002628D0">
              <w:rPr>
                <w:rFonts w:ascii="Times New Roman" w:hAnsi="Times New Roman" w:cs="Times New Roman"/>
                <w:sz w:val="24"/>
                <w:szCs w:val="24"/>
              </w:rPr>
              <w:t xml:space="preserve">Tā kā </w:t>
            </w:r>
            <w:r w:rsidR="00DA1C0A" w:rsidRPr="002628D0">
              <w:rPr>
                <w:rFonts w:ascii="Times New Roman" w:hAnsi="Times New Roman" w:cs="Times New Roman"/>
                <w:sz w:val="24"/>
                <w:szCs w:val="24"/>
              </w:rPr>
              <w:t>Norvēģijā kopš 2016. gada 15. mart</w:t>
            </w:r>
            <w:r w:rsidR="00E14AF8" w:rsidRPr="002628D0">
              <w:rPr>
                <w:rFonts w:ascii="Times New Roman" w:hAnsi="Times New Roman" w:cs="Times New Roman"/>
                <w:sz w:val="24"/>
                <w:szCs w:val="24"/>
              </w:rPr>
              <w:t>a</w:t>
            </w:r>
            <w:r w:rsidR="00DA1C0A" w:rsidRPr="002628D0">
              <w:rPr>
                <w:rFonts w:ascii="Times New Roman" w:hAnsi="Times New Roman" w:cs="Times New Roman"/>
                <w:sz w:val="24"/>
                <w:szCs w:val="24"/>
              </w:rPr>
              <w:t xml:space="preserve"> ir konstatēti pieci </w:t>
            </w:r>
            <w:r w:rsidR="00E14AF8" w:rsidRPr="002628D0">
              <w:rPr>
                <w:rFonts w:ascii="Times New Roman" w:hAnsi="Times New Roman" w:cs="Times New Roman"/>
                <w:sz w:val="24"/>
                <w:szCs w:val="24"/>
              </w:rPr>
              <w:t xml:space="preserve">saslimšanas gadījumi </w:t>
            </w:r>
            <w:r w:rsidR="00DA1C0A" w:rsidRPr="002628D0">
              <w:rPr>
                <w:rFonts w:ascii="Times New Roman" w:hAnsi="Times New Roman" w:cs="Times New Roman"/>
                <w:sz w:val="24"/>
                <w:szCs w:val="24"/>
              </w:rPr>
              <w:t xml:space="preserve">ar </w:t>
            </w:r>
            <w:r w:rsidR="001E0B67" w:rsidRPr="002628D0">
              <w:rPr>
                <w:rFonts w:ascii="Times New Roman" w:hAnsi="Times New Roman" w:cs="Times New Roman"/>
                <w:sz w:val="24"/>
                <w:szCs w:val="24"/>
              </w:rPr>
              <w:t xml:space="preserve">HNS </w:t>
            </w:r>
            <w:r w:rsidR="00DA1C0A" w:rsidRPr="002628D0">
              <w:rPr>
                <w:rFonts w:ascii="Times New Roman" w:hAnsi="Times New Roman" w:cs="Times New Roman"/>
                <w:sz w:val="24"/>
                <w:szCs w:val="24"/>
              </w:rPr>
              <w:t xml:space="preserve">savvaļas un ierobežotajās platībās audzētajiem ziemeļbriežiem, kā arī savvaļas aļņiem, ir </w:t>
            </w:r>
            <w:r w:rsidR="0053221D" w:rsidRPr="002628D0">
              <w:rPr>
                <w:rFonts w:ascii="Times New Roman" w:hAnsi="Times New Roman" w:cs="Times New Roman"/>
                <w:sz w:val="24"/>
                <w:szCs w:val="24"/>
              </w:rPr>
              <w:t>pieņemts</w:t>
            </w:r>
            <w:r w:rsidR="00DA1C0A" w:rsidRPr="002628D0">
              <w:rPr>
                <w:rFonts w:ascii="Times New Roman" w:hAnsi="Times New Roman" w:cs="Times New Roman"/>
                <w:sz w:val="24"/>
                <w:szCs w:val="24"/>
              </w:rPr>
              <w:t xml:space="preserve"> Komisijas </w:t>
            </w:r>
            <w:r w:rsidR="00DA1C0A" w:rsidRPr="002628D0">
              <w:rPr>
                <w:rFonts w:ascii="Times New Roman" w:hAnsi="Times New Roman" w:cs="Times New Roman"/>
                <w:bCs/>
                <w:sz w:val="24"/>
                <w:szCs w:val="24"/>
              </w:rPr>
              <w:t xml:space="preserve">2016. gada 28. oktobra </w:t>
            </w:r>
            <w:r w:rsidR="0053221D" w:rsidRPr="002628D0">
              <w:rPr>
                <w:rFonts w:ascii="Times New Roman" w:hAnsi="Times New Roman" w:cs="Times New Roman"/>
                <w:bCs/>
                <w:sz w:val="24"/>
                <w:szCs w:val="24"/>
              </w:rPr>
              <w:t xml:space="preserve">Īstenošanas </w:t>
            </w:r>
            <w:r w:rsidR="00DA1C0A" w:rsidRPr="002628D0">
              <w:rPr>
                <w:rFonts w:ascii="Times New Roman" w:hAnsi="Times New Roman" w:cs="Times New Roman"/>
                <w:bCs/>
                <w:sz w:val="24"/>
                <w:szCs w:val="24"/>
              </w:rPr>
              <w:t xml:space="preserve">lēmums </w:t>
            </w:r>
            <w:r w:rsidR="00922106" w:rsidRPr="002628D0">
              <w:rPr>
                <w:rFonts w:ascii="Times New Roman" w:hAnsi="Times New Roman" w:cs="Times New Roman"/>
                <w:bCs/>
                <w:sz w:val="24"/>
                <w:szCs w:val="24"/>
              </w:rPr>
              <w:t xml:space="preserve">(ES) </w:t>
            </w:r>
            <w:r w:rsidR="00DA1C0A" w:rsidRPr="002628D0">
              <w:rPr>
                <w:rFonts w:ascii="Times New Roman" w:hAnsi="Times New Roman" w:cs="Times New Roman"/>
                <w:bCs/>
                <w:sz w:val="24"/>
                <w:szCs w:val="24"/>
              </w:rPr>
              <w:t>Nr.</w:t>
            </w:r>
            <w:r w:rsidR="00607443" w:rsidRPr="002628D0">
              <w:rPr>
                <w:rFonts w:ascii="Times New Roman" w:hAnsi="Times New Roman" w:cs="Times New Roman"/>
                <w:bCs/>
                <w:sz w:val="24"/>
                <w:szCs w:val="24"/>
              </w:rPr>
              <w:t> </w:t>
            </w:r>
            <w:r w:rsidR="00DA1C0A" w:rsidRPr="002628D0">
              <w:rPr>
                <w:rFonts w:ascii="Times New Roman" w:hAnsi="Times New Roman" w:cs="Times New Roman"/>
                <w:bCs/>
                <w:sz w:val="24"/>
                <w:szCs w:val="24"/>
              </w:rPr>
              <w:t>2016/1918 par dažiem drošības pasākumiem attiecībā uz hronisko novājēšanas slimību</w:t>
            </w:r>
            <w:r w:rsidR="001A2534">
              <w:rPr>
                <w:rFonts w:ascii="Times New Roman" w:hAnsi="Times New Roman" w:cs="Times New Roman"/>
                <w:bCs/>
                <w:sz w:val="24"/>
                <w:szCs w:val="24"/>
              </w:rPr>
              <w:t>.</w:t>
            </w:r>
            <w:r w:rsidR="00DA1C0A" w:rsidRPr="002628D0">
              <w:rPr>
                <w:rFonts w:ascii="Times New Roman" w:hAnsi="Times New Roman" w:cs="Times New Roman"/>
                <w:bCs/>
                <w:sz w:val="24"/>
                <w:szCs w:val="24"/>
              </w:rPr>
              <w:t xml:space="preserve"> </w:t>
            </w:r>
            <w:r w:rsidR="001A2534">
              <w:rPr>
                <w:rFonts w:ascii="Times New Roman" w:hAnsi="Times New Roman" w:cs="Times New Roman"/>
                <w:bCs/>
                <w:sz w:val="24"/>
                <w:szCs w:val="24"/>
              </w:rPr>
              <w:t>Tā</w:t>
            </w:r>
            <w:r w:rsidR="00DA1C0A" w:rsidRPr="002628D0">
              <w:rPr>
                <w:rFonts w:ascii="Times New Roman" w:hAnsi="Times New Roman" w:cs="Times New Roman"/>
                <w:bCs/>
                <w:sz w:val="24"/>
                <w:szCs w:val="24"/>
              </w:rPr>
              <w:t xml:space="preserve"> mērķis ir samazināt</w:t>
            </w:r>
            <w:r w:rsidR="00DA1C0A" w:rsidRPr="002628D0">
              <w:rPr>
                <w:rFonts w:ascii="Times New Roman" w:hAnsi="Times New Roman" w:cs="Times New Roman"/>
                <w:sz w:val="24"/>
                <w:szCs w:val="24"/>
              </w:rPr>
              <w:t xml:space="preserve"> HNS</w:t>
            </w:r>
            <w:r w:rsidR="00DA1C0A" w:rsidRPr="002628D0">
              <w:rPr>
                <w:rFonts w:ascii="Times New Roman" w:hAnsi="Times New Roman" w:cs="Times New Roman"/>
                <w:bCs/>
                <w:sz w:val="24"/>
                <w:szCs w:val="24"/>
              </w:rPr>
              <w:t xml:space="preserve"> izplatības risku Eiropas Savienības dalībvalstīs (turpmāk – </w:t>
            </w:r>
            <w:r w:rsidR="00922106" w:rsidRPr="002628D0">
              <w:rPr>
                <w:rFonts w:ascii="Times New Roman" w:hAnsi="Times New Roman" w:cs="Times New Roman"/>
                <w:bCs/>
                <w:sz w:val="24"/>
                <w:szCs w:val="24"/>
              </w:rPr>
              <w:t>dalībvalstis</w:t>
            </w:r>
            <w:r w:rsidR="00DA1C0A" w:rsidRPr="002628D0">
              <w:rPr>
                <w:rFonts w:ascii="Times New Roman" w:hAnsi="Times New Roman" w:cs="Times New Roman"/>
                <w:bCs/>
                <w:sz w:val="24"/>
                <w:szCs w:val="24"/>
              </w:rPr>
              <w:t xml:space="preserve">), nosakot briežu dzimtas dzīvnieku pārvietošanas prasības starp Norvēģiju un </w:t>
            </w:r>
            <w:r w:rsidR="000F3E7E" w:rsidRPr="002628D0">
              <w:rPr>
                <w:rFonts w:ascii="Times New Roman" w:hAnsi="Times New Roman" w:cs="Times New Roman"/>
                <w:bCs/>
                <w:sz w:val="24"/>
                <w:szCs w:val="24"/>
              </w:rPr>
              <w:t>dalībvalstīm</w:t>
            </w:r>
            <w:r w:rsidR="005562EA" w:rsidRPr="002628D0">
              <w:rPr>
                <w:rFonts w:ascii="Times New Roman" w:hAnsi="Times New Roman" w:cs="Times New Roman"/>
                <w:bCs/>
                <w:sz w:val="24"/>
                <w:szCs w:val="24"/>
              </w:rPr>
              <w:t xml:space="preserve"> </w:t>
            </w:r>
            <w:r w:rsidR="00DA1C0A" w:rsidRPr="002628D0">
              <w:rPr>
                <w:rFonts w:ascii="Times New Roman" w:hAnsi="Times New Roman" w:cs="Times New Roman"/>
                <w:bCs/>
                <w:sz w:val="24"/>
                <w:szCs w:val="24"/>
              </w:rPr>
              <w:t>līdz 2017. gada 31.</w:t>
            </w:r>
            <w:r w:rsidR="001A2534">
              <w:rPr>
                <w:rFonts w:ascii="Times New Roman" w:hAnsi="Times New Roman" w:cs="Times New Roman"/>
                <w:bCs/>
                <w:sz w:val="24"/>
                <w:szCs w:val="24"/>
              </w:rPr>
              <w:t> </w:t>
            </w:r>
            <w:r w:rsidR="00DA1C0A" w:rsidRPr="002628D0">
              <w:rPr>
                <w:rFonts w:ascii="Times New Roman" w:hAnsi="Times New Roman" w:cs="Times New Roman"/>
                <w:bCs/>
                <w:sz w:val="24"/>
                <w:szCs w:val="24"/>
              </w:rPr>
              <w:t>decembrim.</w:t>
            </w:r>
            <w:r w:rsidR="00741D0C" w:rsidRPr="002628D0">
              <w:rPr>
                <w:rFonts w:ascii="Times New Roman" w:hAnsi="Times New Roman" w:cs="Times New Roman"/>
                <w:bCs/>
                <w:sz w:val="24"/>
                <w:szCs w:val="24"/>
              </w:rPr>
              <w:t xml:space="preserve"> </w:t>
            </w:r>
          </w:p>
          <w:p w:rsidR="00365C37" w:rsidRPr="002628D0" w:rsidRDefault="00741D0C" w:rsidP="00BD4000">
            <w:pPr>
              <w:autoSpaceDE w:val="0"/>
              <w:autoSpaceDN w:val="0"/>
              <w:adjustRightInd w:val="0"/>
              <w:jc w:val="both"/>
              <w:rPr>
                <w:rFonts w:ascii="Times New Roman" w:hAnsi="Times New Roman" w:cs="Times New Roman"/>
                <w:sz w:val="24"/>
                <w:szCs w:val="24"/>
              </w:rPr>
            </w:pPr>
            <w:r w:rsidRPr="002628D0">
              <w:rPr>
                <w:rFonts w:ascii="Times New Roman" w:hAnsi="Times New Roman" w:cs="Times New Roman"/>
                <w:bCs/>
                <w:sz w:val="24"/>
                <w:szCs w:val="24"/>
              </w:rPr>
              <w:t xml:space="preserve">Ņemot vērā minēto, </w:t>
            </w:r>
            <w:r w:rsidRPr="002628D0">
              <w:rPr>
                <w:rFonts w:ascii="Times New Roman" w:hAnsi="Times New Roman" w:cs="Times New Roman"/>
                <w:sz w:val="24"/>
                <w:szCs w:val="24"/>
              </w:rPr>
              <w:t>ir sagatavots Ministru kabineta noteikuma projekts „Hroniskās novājēšanas slimības uzraudzības un kontroles kārtība” (VSS – 524), kas reglamentēs briežu dzimtas dzīvnieku pārvietošanas nosacījumus starp dalībvalstīm</w:t>
            </w:r>
            <w:r w:rsidRPr="002628D0">
              <w:rPr>
                <w:rFonts w:ascii="Times New Roman" w:hAnsi="Times New Roman" w:cs="Times New Roman"/>
                <w:b/>
                <w:sz w:val="24"/>
                <w:szCs w:val="24"/>
              </w:rPr>
              <w:t xml:space="preserve"> </w:t>
            </w:r>
            <w:r w:rsidRPr="002628D0">
              <w:rPr>
                <w:rFonts w:ascii="Times New Roman" w:hAnsi="Times New Roman" w:cs="Times New Roman"/>
                <w:sz w:val="24"/>
                <w:szCs w:val="24"/>
              </w:rPr>
              <w:t xml:space="preserve">un Norvēģiju, kā arī </w:t>
            </w:r>
            <w:r w:rsidR="00361391" w:rsidRPr="002628D0">
              <w:rPr>
                <w:rFonts w:ascii="Times New Roman" w:hAnsi="Times New Roman" w:cs="Times New Roman"/>
                <w:sz w:val="24"/>
                <w:szCs w:val="24"/>
              </w:rPr>
              <w:t xml:space="preserve">paredzēs nosacījumus, kas ļaus kontrolējošajai institūcijai īstenot piesardzības pasākumus attiecībā uz HNS. </w:t>
            </w:r>
          </w:p>
          <w:p w:rsidR="00365C37" w:rsidRPr="002628D0" w:rsidRDefault="00365C37" w:rsidP="00BD4000">
            <w:pPr>
              <w:autoSpaceDE w:val="0"/>
              <w:autoSpaceDN w:val="0"/>
              <w:adjustRightInd w:val="0"/>
              <w:jc w:val="both"/>
              <w:rPr>
                <w:rFonts w:ascii="Times New Roman" w:hAnsi="Times New Roman" w:cs="Times New Roman"/>
                <w:sz w:val="24"/>
                <w:szCs w:val="24"/>
              </w:rPr>
            </w:pPr>
          </w:p>
          <w:p w:rsidR="00BD4000" w:rsidRPr="002628D0" w:rsidRDefault="00241A83" w:rsidP="00BD4000">
            <w:pPr>
              <w:autoSpaceDE w:val="0"/>
              <w:autoSpaceDN w:val="0"/>
              <w:adjustRightInd w:val="0"/>
              <w:jc w:val="both"/>
              <w:rPr>
                <w:rFonts w:ascii="Times New Roman" w:hAnsi="Times New Roman" w:cs="Times New Roman"/>
                <w:sz w:val="24"/>
                <w:szCs w:val="24"/>
              </w:rPr>
            </w:pPr>
            <w:r w:rsidRPr="002628D0">
              <w:rPr>
                <w:rFonts w:ascii="Times New Roman" w:hAnsi="Times New Roman" w:cs="Times New Roman"/>
                <w:sz w:val="24"/>
                <w:szCs w:val="24"/>
              </w:rPr>
              <w:lastRenderedPageBreak/>
              <w:t>Pastāvot aizdomām par saslimšanu ar HNS briežu dzimtas d</w:t>
            </w:r>
            <w:r w:rsidR="001C3C73" w:rsidRPr="002628D0">
              <w:rPr>
                <w:rFonts w:ascii="Times New Roman" w:hAnsi="Times New Roman" w:cs="Times New Roman"/>
                <w:sz w:val="24"/>
                <w:szCs w:val="24"/>
              </w:rPr>
              <w:t>zīvniekiem iežogotajā</w:t>
            </w:r>
            <w:r w:rsidR="00AD2B04">
              <w:rPr>
                <w:rFonts w:ascii="Times New Roman" w:hAnsi="Times New Roman" w:cs="Times New Roman"/>
                <w:sz w:val="24"/>
                <w:szCs w:val="24"/>
              </w:rPr>
              <w:t>s</w:t>
            </w:r>
            <w:r w:rsidR="001C3C73" w:rsidRPr="002628D0">
              <w:rPr>
                <w:rFonts w:ascii="Times New Roman" w:hAnsi="Times New Roman" w:cs="Times New Roman"/>
                <w:sz w:val="24"/>
                <w:szCs w:val="24"/>
              </w:rPr>
              <w:t xml:space="preserve"> platībās, dzīvnieki </w:t>
            </w:r>
            <w:r w:rsidRPr="002628D0">
              <w:rPr>
                <w:rFonts w:ascii="Times New Roman" w:hAnsi="Times New Roman" w:cs="Times New Roman"/>
                <w:sz w:val="24"/>
                <w:szCs w:val="24"/>
              </w:rPr>
              <w:t>būs jānogalina</w:t>
            </w:r>
            <w:r w:rsidR="00BD4000" w:rsidRPr="002628D0">
              <w:rPr>
                <w:rFonts w:ascii="Times New Roman" w:hAnsi="Times New Roman" w:cs="Times New Roman"/>
                <w:sz w:val="24"/>
                <w:szCs w:val="24"/>
              </w:rPr>
              <w:t>, lai noskaidrotu HNS diagnozi</w:t>
            </w:r>
            <w:r w:rsidR="00365C37" w:rsidRPr="002628D0">
              <w:rPr>
                <w:rFonts w:ascii="Times New Roman" w:hAnsi="Times New Roman" w:cs="Times New Roman"/>
                <w:sz w:val="24"/>
                <w:szCs w:val="24"/>
              </w:rPr>
              <w:t xml:space="preserve">. Lai </w:t>
            </w:r>
            <w:r w:rsidR="000B7B3F" w:rsidRPr="002628D0">
              <w:rPr>
                <w:rFonts w:ascii="Times New Roman" w:hAnsi="Times New Roman" w:cs="Times New Roman"/>
                <w:sz w:val="24"/>
                <w:szCs w:val="24"/>
              </w:rPr>
              <w:t>mudinā</w:t>
            </w:r>
            <w:r w:rsidR="00365C37" w:rsidRPr="002628D0">
              <w:rPr>
                <w:rFonts w:ascii="Times New Roman" w:hAnsi="Times New Roman" w:cs="Times New Roman"/>
                <w:sz w:val="24"/>
                <w:szCs w:val="24"/>
              </w:rPr>
              <w:t xml:space="preserve">tu briežu dzimtas </w:t>
            </w:r>
            <w:r w:rsidR="000B7B3F" w:rsidRPr="002628D0">
              <w:rPr>
                <w:rFonts w:ascii="Times New Roman" w:hAnsi="Times New Roman" w:cs="Times New Roman"/>
                <w:sz w:val="24"/>
                <w:szCs w:val="24"/>
              </w:rPr>
              <w:t>dzīvnieku īpašniekus vai turētājus ziņot</w:t>
            </w:r>
            <w:r w:rsidR="001A2534">
              <w:rPr>
                <w:rFonts w:ascii="Times New Roman" w:hAnsi="Times New Roman" w:cs="Times New Roman"/>
                <w:sz w:val="24"/>
                <w:szCs w:val="24"/>
              </w:rPr>
              <w:t>, ja</w:t>
            </w:r>
            <w:r w:rsidR="000B7B3F" w:rsidRPr="002628D0">
              <w:rPr>
                <w:rFonts w:ascii="Times New Roman" w:hAnsi="Times New Roman" w:cs="Times New Roman"/>
                <w:sz w:val="24"/>
                <w:szCs w:val="24"/>
              </w:rPr>
              <w:t xml:space="preserve"> </w:t>
            </w:r>
            <w:r w:rsidR="001A2534">
              <w:rPr>
                <w:rFonts w:ascii="Times New Roman" w:hAnsi="Times New Roman" w:cs="Times New Roman"/>
                <w:sz w:val="24"/>
                <w:szCs w:val="24"/>
              </w:rPr>
              <w:t>radušās kādas</w:t>
            </w:r>
            <w:r w:rsidR="000B7B3F" w:rsidRPr="002628D0">
              <w:rPr>
                <w:rFonts w:ascii="Times New Roman" w:hAnsi="Times New Roman" w:cs="Times New Roman"/>
                <w:sz w:val="24"/>
                <w:szCs w:val="24"/>
              </w:rPr>
              <w:t xml:space="preserve"> aizdom</w:t>
            </w:r>
            <w:r w:rsidR="001A2534">
              <w:rPr>
                <w:rFonts w:ascii="Times New Roman" w:hAnsi="Times New Roman" w:cs="Times New Roman"/>
                <w:sz w:val="24"/>
                <w:szCs w:val="24"/>
              </w:rPr>
              <w:t>as</w:t>
            </w:r>
            <w:r w:rsidR="000B7B3F" w:rsidRPr="002628D0">
              <w:rPr>
                <w:rFonts w:ascii="Times New Roman" w:hAnsi="Times New Roman" w:cs="Times New Roman"/>
                <w:sz w:val="24"/>
                <w:szCs w:val="24"/>
              </w:rPr>
              <w:t xml:space="preserve"> par inficēšanos ar</w:t>
            </w:r>
            <w:r w:rsidR="00365C37" w:rsidRPr="002628D0">
              <w:rPr>
                <w:rFonts w:ascii="Times New Roman" w:hAnsi="Times New Roman" w:cs="Times New Roman"/>
                <w:sz w:val="24"/>
                <w:szCs w:val="24"/>
              </w:rPr>
              <w:t xml:space="preserve"> HNS</w:t>
            </w:r>
            <w:r w:rsidR="001C3C73" w:rsidRPr="002628D0">
              <w:rPr>
                <w:rFonts w:ascii="Times New Roman" w:hAnsi="Times New Roman" w:cs="Times New Roman"/>
                <w:sz w:val="24"/>
                <w:szCs w:val="24"/>
              </w:rPr>
              <w:t xml:space="preserve">, briežu dzimtas dzīvnieku īpašniekam vai turētājam </w:t>
            </w:r>
            <w:r w:rsidR="001A2534">
              <w:rPr>
                <w:rFonts w:ascii="Times New Roman" w:hAnsi="Times New Roman" w:cs="Times New Roman"/>
                <w:sz w:val="24"/>
                <w:szCs w:val="24"/>
              </w:rPr>
              <w:t xml:space="preserve">jādod </w:t>
            </w:r>
            <w:r w:rsidR="001C3C73" w:rsidRPr="002628D0">
              <w:rPr>
                <w:rFonts w:ascii="Times New Roman" w:hAnsi="Times New Roman" w:cs="Times New Roman"/>
                <w:sz w:val="24"/>
                <w:szCs w:val="24"/>
              </w:rPr>
              <w:t>iespēj</w:t>
            </w:r>
            <w:r w:rsidR="001A2534">
              <w:rPr>
                <w:rFonts w:ascii="Times New Roman" w:hAnsi="Times New Roman" w:cs="Times New Roman"/>
                <w:sz w:val="24"/>
                <w:szCs w:val="24"/>
              </w:rPr>
              <w:t>a</w:t>
            </w:r>
            <w:r w:rsidR="001C3C73" w:rsidRPr="002628D0">
              <w:rPr>
                <w:rFonts w:ascii="Times New Roman" w:hAnsi="Times New Roman" w:cs="Times New Roman"/>
                <w:sz w:val="24"/>
                <w:szCs w:val="24"/>
              </w:rPr>
              <w:t xml:space="preserve"> saņemt valsts kompensāciju par </w:t>
            </w:r>
            <w:r w:rsidR="001C3C73" w:rsidRPr="002628D0">
              <w:rPr>
                <w:rFonts w:ascii="Times New Roman" w:hAnsi="Times New Roman" w:cs="Times New Roman"/>
                <w:bCs/>
                <w:sz w:val="24"/>
                <w:szCs w:val="24"/>
              </w:rPr>
              <w:t>piespiedu kārtā nokautu un iznīcinātu</w:t>
            </w:r>
            <w:r w:rsidR="001C3C73" w:rsidRPr="002628D0">
              <w:rPr>
                <w:rFonts w:ascii="Times New Roman" w:hAnsi="Times New Roman" w:cs="Times New Roman"/>
                <w:sz w:val="24"/>
                <w:szCs w:val="24"/>
              </w:rPr>
              <w:t xml:space="preserve"> briežu dzimtas dzīvnieku</w:t>
            </w:r>
            <w:r w:rsidR="00370EA5" w:rsidRPr="002628D0">
              <w:rPr>
                <w:rFonts w:ascii="Times New Roman" w:hAnsi="Times New Roman" w:cs="Times New Roman"/>
                <w:sz w:val="24"/>
                <w:szCs w:val="24"/>
              </w:rPr>
              <w:t xml:space="preserve"> HNS uzliesmojuma gadījumā</w:t>
            </w:r>
            <w:r w:rsidR="001C3C73" w:rsidRPr="002628D0">
              <w:rPr>
                <w:rFonts w:ascii="Times New Roman" w:hAnsi="Times New Roman" w:cs="Times New Roman"/>
                <w:sz w:val="24"/>
                <w:szCs w:val="24"/>
              </w:rPr>
              <w:t>. Tas</w:t>
            </w:r>
            <w:r w:rsidR="000B7B3F" w:rsidRPr="002628D0">
              <w:rPr>
                <w:rFonts w:ascii="Times New Roman" w:hAnsi="Times New Roman" w:cs="Times New Roman"/>
                <w:sz w:val="24"/>
                <w:szCs w:val="24"/>
              </w:rPr>
              <w:t xml:space="preserve"> </w:t>
            </w:r>
            <w:r w:rsidR="00365C37" w:rsidRPr="002628D0">
              <w:rPr>
                <w:rFonts w:ascii="Times New Roman" w:hAnsi="Times New Roman" w:cs="Times New Roman"/>
                <w:sz w:val="24"/>
                <w:szCs w:val="24"/>
              </w:rPr>
              <w:t xml:space="preserve">ļautu </w:t>
            </w:r>
            <w:r w:rsidR="000B7B3F" w:rsidRPr="002628D0">
              <w:rPr>
                <w:rFonts w:ascii="Times New Roman" w:hAnsi="Times New Roman" w:cs="Times New Roman"/>
                <w:sz w:val="24"/>
                <w:szCs w:val="24"/>
              </w:rPr>
              <w:t>īsteno</w:t>
            </w:r>
            <w:r w:rsidR="00365C37" w:rsidRPr="002628D0">
              <w:rPr>
                <w:rFonts w:ascii="Times New Roman" w:hAnsi="Times New Roman" w:cs="Times New Roman"/>
                <w:sz w:val="24"/>
                <w:szCs w:val="24"/>
              </w:rPr>
              <w:t>t</w:t>
            </w:r>
            <w:r w:rsidR="000B7B3F" w:rsidRPr="002628D0">
              <w:rPr>
                <w:rFonts w:ascii="Times New Roman" w:hAnsi="Times New Roman" w:cs="Times New Roman"/>
                <w:sz w:val="24"/>
                <w:szCs w:val="24"/>
              </w:rPr>
              <w:t xml:space="preserve"> mērķi pēc iespējas ātrāk </w:t>
            </w:r>
            <w:r w:rsidR="00365C37" w:rsidRPr="002628D0">
              <w:rPr>
                <w:rFonts w:ascii="Times New Roman" w:hAnsi="Times New Roman" w:cs="Times New Roman"/>
                <w:sz w:val="24"/>
                <w:szCs w:val="24"/>
              </w:rPr>
              <w:t xml:space="preserve">konstatēt HNS uzliesmojumu </w:t>
            </w:r>
            <w:r w:rsidR="000B7B3F" w:rsidRPr="002628D0">
              <w:rPr>
                <w:rFonts w:ascii="Times New Roman" w:hAnsi="Times New Roman" w:cs="Times New Roman"/>
                <w:sz w:val="24"/>
                <w:szCs w:val="24"/>
              </w:rPr>
              <w:t xml:space="preserve">un ilgtermiņā </w:t>
            </w:r>
            <w:r w:rsidR="00365C37" w:rsidRPr="002628D0">
              <w:rPr>
                <w:rFonts w:ascii="Times New Roman" w:hAnsi="Times New Roman" w:cs="Times New Roman"/>
                <w:sz w:val="24"/>
                <w:szCs w:val="24"/>
              </w:rPr>
              <w:t>pasargāt</w:t>
            </w:r>
            <w:r w:rsidR="000B7B3F" w:rsidRPr="002628D0">
              <w:rPr>
                <w:rFonts w:ascii="Times New Roman" w:hAnsi="Times New Roman" w:cs="Times New Roman"/>
                <w:sz w:val="24"/>
                <w:szCs w:val="24"/>
              </w:rPr>
              <w:t xml:space="preserve"> valsti no </w:t>
            </w:r>
            <w:r w:rsidR="00365C37" w:rsidRPr="002628D0">
              <w:rPr>
                <w:rFonts w:ascii="Times New Roman" w:hAnsi="Times New Roman" w:cs="Times New Roman"/>
                <w:sz w:val="24"/>
                <w:szCs w:val="24"/>
              </w:rPr>
              <w:t xml:space="preserve">HNS </w:t>
            </w:r>
            <w:r w:rsidR="000B7B3F" w:rsidRPr="002628D0">
              <w:rPr>
                <w:rFonts w:ascii="Times New Roman" w:hAnsi="Times New Roman" w:cs="Times New Roman"/>
                <w:sz w:val="24"/>
                <w:szCs w:val="24"/>
              </w:rPr>
              <w:t>uzliesmojuma</w:t>
            </w:r>
            <w:r w:rsidR="00365C37" w:rsidRPr="002628D0">
              <w:rPr>
                <w:rFonts w:ascii="Times New Roman" w:hAnsi="Times New Roman" w:cs="Times New Roman"/>
                <w:sz w:val="24"/>
                <w:szCs w:val="24"/>
              </w:rPr>
              <w:t xml:space="preserve"> izplatības</w:t>
            </w:r>
            <w:r w:rsidR="000B7B3F" w:rsidRPr="002628D0">
              <w:rPr>
                <w:rFonts w:ascii="Times New Roman" w:hAnsi="Times New Roman" w:cs="Times New Roman"/>
                <w:sz w:val="24"/>
                <w:szCs w:val="24"/>
              </w:rPr>
              <w:t xml:space="preserve">, kā arī </w:t>
            </w:r>
            <w:r w:rsidR="00365C37" w:rsidRPr="002628D0">
              <w:rPr>
                <w:rFonts w:ascii="Times New Roman" w:hAnsi="Times New Roman" w:cs="Times New Roman"/>
                <w:sz w:val="24"/>
                <w:szCs w:val="24"/>
              </w:rPr>
              <w:t>briežkopības</w:t>
            </w:r>
            <w:r w:rsidR="000B7B3F" w:rsidRPr="002628D0">
              <w:rPr>
                <w:rFonts w:ascii="Times New Roman" w:hAnsi="Times New Roman" w:cs="Times New Roman"/>
                <w:sz w:val="24"/>
                <w:szCs w:val="24"/>
              </w:rPr>
              <w:t xml:space="preserve"> un ar to saistītajai gaļas nozarei pasargāt </w:t>
            </w:r>
            <w:r w:rsidR="00365C37" w:rsidRPr="002628D0">
              <w:rPr>
                <w:rFonts w:ascii="Times New Roman" w:hAnsi="Times New Roman" w:cs="Times New Roman"/>
                <w:sz w:val="24"/>
                <w:szCs w:val="24"/>
              </w:rPr>
              <w:t>briežu audzētāju</w:t>
            </w:r>
            <w:r w:rsidR="000B7B3F" w:rsidRPr="002628D0">
              <w:rPr>
                <w:rFonts w:ascii="Times New Roman" w:hAnsi="Times New Roman" w:cs="Times New Roman"/>
                <w:sz w:val="24"/>
                <w:szCs w:val="24"/>
              </w:rPr>
              <w:t xml:space="preserve"> un </w:t>
            </w:r>
            <w:r w:rsidR="00365C37" w:rsidRPr="002628D0">
              <w:rPr>
                <w:rFonts w:ascii="Times New Roman" w:hAnsi="Times New Roman" w:cs="Times New Roman"/>
                <w:sz w:val="24"/>
                <w:szCs w:val="24"/>
              </w:rPr>
              <w:t xml:space="preserve">briežu </w:t>
            </w:r>
            <w:r w:rsidR="000B7B3F" w:rsidRPr="002628D0">
              <w:rPr>
                <w:rFonts w:ascii="Times New Roman" w:hAnsi="Times New Roman" w:cs="Times New Roman"/>
                <w:sz w:val="24"/>
                <w:szCs w:val="24"/>
              </w:rPr>
              <w:t>gaļas ražotāju komercdarbības vidi</w:t>
            </w:r>
            <w:r w:rsidR="001C3C73" w:rsidRPr="002628D0">
              <w:rPr>
                <w:rFonts w:ascii="Times New Roman" w:hAnsi="Times New Roman" w:cs="Times New Roman"/>
                <w:sz w:val="24"/>
                <w:szCs w:val="24"/>
              </w:rPr>
              <w:t>.</w:t>
            </w:r>
          </w:p>
          <w:p w:rsidR="001E0B67" w:rsidRPr="002628D0" w:rsidRDefault="001E0B67" w:rsidP="001E0B67">
            <w:pPr>
              <w:pStyle w:val="Bezatstarpm"/>
              <w:jc w:val="both"/>
            </w:pPr>
            <w:r w:rsidRPr="002628D0">
              <w:t xml:space="preserve">Savukārt noteikumos Nr.177 patlaban ir noteikts, ka dzīvnieku īpašnieks var saņemt kompensāciju tikai par </w:t>
            </w:r>
            <w:r w:rsidR="004C3190" w:rsidRPr="002628D0">
              <w:t xml:space="preserve">TSE </w:t>
            </w:r>
            <w:r w:rsidRPr="002628D0">
              <w:t xml:space="preserve">(GSE </w:t>
            </w:r>
            <w:r w:rsidR="00AD2B04">
              <w:t xml:space="preserve">un </w:t>
            </w:r>
            <w:proofErr w:type="spellStart"/>
            <w:r w:rsidR="00AD2B04">
              <w:t>skrepi</w:t>
            </w:r>
            <w:proofErr w:type="spellEnd"/>
            <w:r w:rsidR="00AD2B04">
              <w:t xml:space="preserve"> slimības) uzliesmojuma</w:t>
            </w:r>
            <w:r w:rsidRPr="002628D0">
              <w:t xml:space="preserve"> </w:t>
            </w:r>
            <w:r w:rsidR="00AD2B04">
              <w:t>gadījumu</w:t>
            </w:r>
            <w:r w:rsidR="001A2534">
              <w:t xml:space="preserve">, tāpēc </w:t>
            </w:r>
            <w:r w:rsidR="00AD2B04">
              <w:t xml:space="preserve">ir </w:t>
            </w:r>
            <w:r w:rsidR="001A2534">
              <w:t>jāizdara</w:t>
            </w:r>
            <w:r w:rsidRPr="002628D0">
              <w:t xml:space="preserve"> grozījum</w:t>
            </w:r>
            <w:r w:rsidR="001A2534">
              <w:t>i</w:t>
            </w:r>
            <w:r w:rsidRPr="002628D0">
              <w:t xml:space="preserve"> noteikumos Nr.177</w:t>
            </w:r>
            <w:r w:rsidR="001A2534">
              <w:t>,</w:t>
            </w:r>
            <w:r w:rsidRPr="002628D0">
              <w:t xml:space="preserve"> paredzot, </w:t>
            </w:r>
            <w:r w:rsidR="000B7B3F" w:rsidRPr="002628D0">
              <w:t xml:space="preserve">ka </w:t>
            </w:r>
            <w:r w:rsidR="004C3190" w:rsidRPr="002628D0">
              <w:t>b</w:t>
            </w:r>
            <w:r w:rsidRPr="002628D0">
              <w:t>rie</w:t>
            </w:r>
            <w:r w:rsidR="001D64E4">
              <w:t>žu dzimtas dzīvnieku īpašnieki</w:t>
            </w:r>
            <w:r w:rsidRPr="002628D0">
              <w:t xml:space="preserve"> par </w:t>
            </w:r>
            <w:r w:rsidR="000B7B3F" w:rsidRPr="002628D0">
              <w:rPr>
                <w:bCs/>
              </w:rPr>
              <w:t>piespiedu kārtā nokautu un iznīcinātu</w:t>
            </w:r>
            <w:r w:rsidR="000B7B3F" w:rsidRPr="002628D0">
              <w:t xml:space="preserve"> </w:t>
            </w:r>
            <w:r w:rsidRPr="002628D0">
              <w:t xml:space="preserve">briežu dzimtas dzīvnieku HNS uzliesmojuma un tās apkarošanas laikā </w:t>
            </w:r>
            <w:r w:rsidR="000B7B3F" w:rsidRPr="002628D0">
              <w:t xml:space="preserve">var </w:t>
            </w:r>
            <w:r w:rsidRPr="002628D0">
              <w:t>saņemt kompensāciju.</w:t>
            </w:r>
          </w:p>
          <w:p w:rsidR="00BD150B" w:rsidRPr="002628D0" w:rsidRDefault="00607443" w:rsidP="00DA1C0A">
            <w:pPr>
              <w:autoSpaceDE w:val="0"/>
              <w:autoSpaceDN w:val="0"/>
              <w:adjustRightInd w:val="0"/>
              <w:jc w:val="both"/>
              <w:rPr>
                <w:rFonts w:ascii="Times New Roman" w:hAnsi="Times New Roman" w:cs="Times New Roman"/>
                <w:sz w:val="24"/>
                <w:szCs w:val="24"/>
              </w:rPr>
            </w:pPr>
            <w:r w:rsidRPr="002628D0">
              <w:rPr>
                <w:rFonts w:ascii="Times New Roman" w:hAnsi="Times New Roman" w:cs="Times New Roman"/>
                <w:sz w:val="24"/>
                <w:szCs w:val="24"/>
              </w:rPr>
              <w:t>Ievērojot iepriekšminēto,</w:t>
            </w:r>
            <w:r w:rsidR="00A05B0F" w:rsidRPr="002628D0">
              <w:rPr>
                <w:rFonts w:ascii="Times New Roman" w:hAnsi="Times New Roman" w:cs="Times New Roman"/>
                <w:sz w:val="24"/>
                <w:szCs w:val="24"/>
              </w:rPr>
              <w:t xml:space="preserve"> </w:t>
            </w:r>
            <w:r w:rsidR="00B85D44" w:rsidRPr="002628D0">
              <w:rPr>
                <w:rFonts w:ascii="Times New Roman" w:hAnsi="Times New Roman" w:cs="Times New Roman"/>
                <w:sz w:val="24"/>
                <w:szCs w:val="24"/>
              </w:rPr>
              <w:t xml:space="preserve">ir sagatavots </w:t>
            </w:r>
            <w:r w:rsidR="00BD150B" w:rsidRPr="002628D0">
              <w:rPr>
                <w:rFonts w:ascii="Times New Roman" w:hAnsi="Times New Roman" w:cs="Times New Roman"/>
                <w:sz w:val="24"/>
                <w:szCs w:val="24"/>
              </w:rPr>
              <w:t>Ministru kabineta noteikum</w:t>
            </w:r>
            <w:r w:rsidRPr="002628D0">
              <w:rPr>
                <w:rFonts w:ascii="Times New Roman" w:hAnsi="Times New Roman" w:cs="Times New Roman"/>
                <w:sz w:val="24"/>
                <w:szCs w:val="24"/>
              </w:rPr>
              <w:t>u</w:t>
            </w:r>
            <w:r w:rsidR="00BD150B" w:rsidRPr="002628D0">
              <w:rPr>
                <w:rFonts w:ascii="Times New Roman" w:hAnsi="Times New Roman" w:cs="Times New Roman"/>
                <w:sz w:val="24"/>
                <w:szCs w:val="24"/>
              </w:rPr>
              <w:t xml:space="preserve"> projekt</w:t>
            </w:r>
            <w:r w:rsidR="00B85D44" w:rsidRPr="002628D0">
              <w:rPr>
                <w:rFonts w:ascii="Times New Roman" w:hAnsi="Times New Roman" w:cs="Times New Roman"/>
                <w:sz w:val="24"/>
                <w:szCs w:val="24"/>
              </w:rPr>
              <w:t>s</w:t>
            </w:r>
            <w:r w:rsidR="00BD150B" w:rsidRPr="002628D0">
              <w:rPr>
                <w:rFonts w:ascii="Times New Roman" w:hAnsi="Times New Roman" w:cs="Times New Roman"/>
                <w:sz w:val="24"/>
                <w:szCs w:val="24"/>
              </w:rPr>
              <w:t xml:space="preserve"> “Grozījumi Ministru kabineta 2005. gada 15.</w:t>
            </w:r>
            <w:r w:rsidRPr="002628D0">
              <w:rPr>
                <w:rFonts w:ascii="Times New Roman" w:hAnsi="Times New Roman" w:cs="Times New Roman"/>
                <w:sz w:val="24"/>
                <w:szCs w:val="24"/>
              </w:rPr>
              <w:t> </w:t>
            </w:r>
            <w:r w:rsidR="00BD150B" w:rsidRPr="002628D0">
              <w:rPr>
                <w:rFonts w:ascii="Times New Roman" w:hAnsi="Times New Roman" w:cs="Times New Roman"/>
                <w:sz w:val="24"/>
                <w:szCs w:val="24"/>
              </w:rPr>
              <w:t xml:space="preserve">marta noteikumos Nr.177 „Kārtība, kādā piešķir un dzīvnieku īpašnieks saņem kompensāciju par zaudējumiem, kas radušies valsts uzraudzībā esošas dzīvnieku infekcijas slimības vai epizootijas uzliesmojuma laikā”” </w:t>
            </w:r>
            <w:proofErr w:type="gramStart"/>
            <w:r w:rsidR="00BD150B" w:rsidRPr="002628D0">
              <w:rPr>
                <w:rFonts w:ascii="Times New Roman" w:hAnsi="Times New Roman" w:cs="Times New Roman"/>
                <w:sz w:val="24"/>
                <w:szCs w:val="24"/>
              </w:rPr>
              <w:t>(</w:t>
            </w:r>
            <w:proofErr w:type="gramEnd"/>
            <w:r w:rsidR="00BD150B" w:rsidRPr="002628D0">
              <w:rPr>
                <w:rFonts w:ascii="Times New Roman" w:hAnsi="Times New Roman" w:cs="Times New Roman"/>
                <w:sz w:val="24"/>
                <w:szCs w:val="24"/>
              </w:rPr>
              <w:t>turpmāk – noteikum</w:t>
            </w:r>
            <w:r w:rsidRPr="002628D0">
              <w:rPr>
                <w:rFonts w:ascii="Times New Roman" w:hAnsi="Times New Roman" w:cs="Times New Roman"/>
                <w:sz w:val="24"/>
                <w:szCs w:val="24"/>
              </w:rPr>
              <w:t>u</w:t>
            </w:r>
            <w:r w:rsidR="00BD150B" w:rsidRPr="002628D0">
              <w:rPr>
                <w:rFonts w:ascii="Times New Roman" w:hAnsi="Times New Roman" w:cs="Times New Roman"/>
                <w:sz w:val="24"/>
                <w:szCs w:val="24"/>
              </w:rPr>
              <w:t xml:space="preserve"> </w:t>
            </w:r>
            <w:r w:rsidR="00B85D44" w:rsidRPr="002628D0">
              <w:rPr>
                <w:rFonts w:ascii="Times New Roman" w:hAnsi="Times New Roman" w:cs="Times New Roman"/>
                <w:sz w:val="24"/>
                <w:szCs w:val="24"/>
              </w:rPr>
              <w:t>projekts).</w:t>
            </w:r>
          </w:p>
          <w:p w:rsidR="00E139D4" w:rsidRPr="002628D0" w:rsidRDefault="00607443" w:rsidP="00607443">
            <w:pPr>
              <w:autoSpaceDE w:val="0"/>
              <w:autoSpaceDN w:val="0"/>
              <w:adjustRightInd w:val="0"/>
              <w:jc w:val="both"/>
              <w:rPr>
                <w:rFonts w:ascii="Times New Roman" w:hAnsi="Times New Roman" w:cs="Times New Roman"/>
                <w:sz w:val="24"/>
                <w:szCs w:val="24"/>
              </w:rPr>
            </w:pPr>
            <w:r w:rsidRPr="002628D0">
              <w:rPr>
                <w:rFonts w:ascii="Times New Roman" w:hAnsi="Times New Roman" w:cs="Times New Roman"/>
                <w:sz w:val="24"/>
                <w:szCs w:val="24"/>
              </w:rPr>
              <w:t>Ar noteikumu projektu m</w:t>
            </w:r>
            <w:r w:rsidR="00B85D44" w:rsidRPr="002628D0">
              <w:rPr>
                <w:rFonts w:ascii="Times New Roman" w:hAnsi="Times New Roman" w:cs="Times New Roman"/>
                <w:sz w:val="24"/>
                <w:szCs w:val="24"/>
              </w:rPr>
              <w:t xml:space="preserve">inētās problēmas </w:t>
            </w:r>
            <w:r w:rsidRPr="002628D0">
              <w:rPr>
                <w:rFonts w:ascii="Times New Roman" w:hAnsi="Times New Roman" w:cs="Times New Roman"/>
                <w:sz w:val="24"/>
                <w:szCs w:val="24"/>
              </w:rPr>
              <w:t xml:space="preserve">tiks </w:t>
            </w:r>
            <w:r w:rsidR="00B85D44" w:rsidRPr="002628D0">
              <w:rPr>
                <w:rFonts w:ascii="Times New Roman" w:hAnsi="Times New Roman" w:cs="Times New Roman"/>
                <w:sz w:val="24"/>
                <w:szCs w:val="24"/>
              </w:rPr>
              <w:t>atrisinā</w:t>
            </w:r>
            <w:r w:rsidRPr="002628D0">
              <w:rPr>
                <w:rFonts w:ascii="Times New Roman" w:hAnsi="Times New Roman" w:cs="Times New Roman"/>
                <w:sz w:val="24"/>
                <w:szCs w:val="24"/>
              </w:rPr>
              <w:t>ta</w:t>
            </w:r>
            <w:r w:rsidR="00B85D44" w:rsidRPr="002628D0">
              <w:rPr>
                <w:rFonts w:ascii="Times New Roman" w:hAnsi="Times New Roman" w:cs="Times New Roman"/>
                <w:sz w:val="24"/>
                <w:szCs w:val="24"/>
              </w:rPr>
              <w:t>s pilnībā.</w:t>
            </w:r>
          </w:p>
        </w:tc>
      </w:tr>
      <w:tr w:rsidR="002628D0" w:rsidRPr="002628D0" w:rsidTr="007572E7">
        <w:tc>
          <w:tcPr>
            <w:tcW w:w="562" w:type="dxa"/>
          </w:tcPr>
          <w:p w:rsidR="005A594C" w:rsidRPr="002628D0" w:rsidRDefault="005A594C" w:rsidP="007572E7">
            <w:pPr>
              <w:pStyle w:val="Bezatstarpm"/>
              <w:jc w:val="both"/>
            </w:pPr>
            <w:r w:rsidRPr="002628D0">
              <w:lastRenderedPageBreak/>
              <w:t>3.</w:t>
            </w:r>
          </w:p>
        </w:tc>
        <w:tc>
          <w:tcPr>
            <w:tcW w:w="2240" w:type="dxa"/>
          </w:tcPr>
          <w:p w:rsidR="005A594C" w:rsidRPr="002628D0" w:rsidRDefault="005A594C" w:rsidP="007572E7">
            <w:pPr>
              <w:pStyle w:val="Bezatstarpm"/>
              <w:jc w:val="both"/>
            </w:pPr>
            <w:r w:rsidRPr="002628D0">
              <w:t>Projekta izstrādē iesaistītās institūcijas</w:t>
            </w:r>
          </w:p>
        </w:tc>
        <w:tc>
          <w:tcPr>
            <w:tcW w:w="6549" w:type="dxa"/>
          </w:tcPr>
          <w:p w:rsidR="005A594C" w:rsidRPr="002628D0" w:rsidRDefault="00B35DA7" w:rsidP="00B35DA7">
            <w:pPr>
              <w:pStyle w:val="Bezatstarpm"/>
              <w:jc w:val="both"/>
            </w:pPr>
            <w:r w:rsidRPr="002628D0">
              <w:t>Pārtikas un veterinārais dienests</w:t>
            </w:r>
          </w:p>
        </w:tc>
      </w:tr>
      <w:tr w:rsidR="002628D0" w:rsidRPr="0055226C" w:rsidTr="007572E7">
        <w:tc>
          <w:tcPr>
            <w:tcW w:w="562" w:type="dxa"/>
          </w:tcPr>
          <w:p w:rsidR="005A594C" w:rsidRPr="002628D0" w:rsidRDefault="005A594C" w:rsidP="007572E7">
            <w:pPr>
              <w:pStyle w:val="Bezatstarpm"/>
              <w:jc w:val="both"/>
            </w:pPr>
            <w:r w:rsidRPr="002628D0">
              <w:t>4.</w:t>
            </w:r>
          </w:p>
        </w:tc>
        <w:tc>
          <w:tcPr>
            <w:tcW w:w="2240" w:type="dxa"/>
          </w:tcPr>
          <w:p w:rsidR="005A594C" w:rsidRPr="002628D0" w:rsidRDefault="005A594C" w:rsidP="007572E7">
            <w:pPr>
              <w:pStyle w:val="Bezatstarpm"/>
              <w:jc w:val="both"/>
            </w:pPr>
            <w:r w:rsidRPr="002628D0">
              <w:t>Cita informācija</w:t>
            </w:r>
          </w:p>
        </w:tc>
        <w:tc>
          <w:tcPr>
            <w:tcW w:w="6549" w:type="dxa"/>
          </w:tcPr>
          <w:p w:rsidR="00883D89" w:rsidRPr="002628D0" w:rsidRDefault="00883D89" w:rsidP="002722EB">
            <w:pPr>
              <w:autoSpaceDE w:val="0"/>
              <w:autoSpaceDN w:val="0"/>
              <w:adjustRightInd w:val="0"/>
              <w:jc w:val="both"/>
              <w:rPr>
                <w:rFonts w:ascii="Times New Roman" w:hAnsi="Times New Roman" w:cs="Times New Roman"/>
                <w:iCs/>
                <w:sz w:val="24"/>
                <w:szCs w:val="24"/>
              </w:rPr>
            </w:pPr>
            <w:r w:rsidRPr="002628D0">
              <w:rPr>
                <w:rFonts w:ascii="Times New Roman" w:hAnsi="Times New Roman" w:cs="Times New Roman"/>
                <w:sz w:val="24"/>
                <w:szCs w:val="24"/>
              </w:rPr>
              <w:t>HNS ir hroniska centrālās nervu sistēmas slimība briežu dzimtas dzīvniekiem, kuriem novēro sugai neraksturīgas pārmaiņas uzvedībā, kustību traucējumus un organisma vispārējā stāvokļa pasliktināšanos, kā arī nav izslēgtas a</w:t>
            </w:r>
            <w:r w:rsidRPr="002628D0">
              <w:rPr>
                <w:rFonts w:ascii="Times New Roman" w:hAnsi="Times New Roman" w:cs="Times New Roman"/>
                <w:iCs/>
                <w:sz w:val="24"/>
                <w:szCs w:val="24"/>
              </w:rPr>
              <w:t>izdomas, ka HNS var ra</w:t>
            </w:r>
            <w:r w:rsidRPr="002628D0">
              <w:rPr>
                <w:rFonts w:ascii="Times New Roman" w:hAnsi="Times New Roman" w:cs="Times New Roman"/>
                <w:iCs/>
                <w:sz w:val="24"/>
                <w:szCs w:val="24"/>
                <w:lang w:eastAsia="ko-KR"/>
              </w:rPr>
              <w:t>dīt risku sabiedrības veselībai.</w:t>
            </w:r>
          </w:p>
          <w:p w:rsidR="00241A83" w:rsidRPr="002628D0" w:rsidRDefault="008F78A9" w:rsidP="00267298">
            <w:pPr>
              <w:autoSpaceDE w:val="0"/>
              <w:autoSpaceDN w:val="0"/>
              <w:adjustRightInd w:val="0"/>
              <w:jc w:val="both"/>
              <w:rPr>
                <w:rFonts w:ascii="Times New Roman" w:hAnsi="Times New Roman" w:cs="Times New Roman"/>
                <w:sz w:val="24"/>
                <w:szCs w:val="24"/>
              </w:rPr>
            </w:pPr>
            <w:r w:rsidRPr="002628D0">
              <w:rPr>
                <w:rFonts w:ascii="Times New Roman" w:hAnsi="Times New Roman" w:cs="Times New Roman"/>
                <w:iCs/>
                <w:sz w:val="24"/>
                <w:szCs w:val="24"/>
              </w:rPr>
              <w:t>TSE slimību grup</w:t>
            </w:r>
            <w:r w:rsidR="002722EB" w:rsidRPr="002628D0">
              <w:rPr>
                <w:rFonts w:ascii="Times New Roman" w:hAnsi="Times New Roman" w:cs="Times New Roman"/>
                <w:iCs/>
                <w:sz w:val="24"/>
                <w:szCs w:val="24"/>
              </w:rPr>
              <w:t>ā</w:t>
            </w:r>
            <w:r w:rsidRPr="002628D0">
              <w:rPr>
                <w:rFonts w:ascii="Times New Roman" w:hAnsi="Times New Roman" w:cs="Times New Roman"/>
                <w:iCs/>
                <w:sz w:val="24"/>
                <w:szCs w:val="24"/>
              </w:rPr>
              <w:t xml:space="preserve"> ietilpst </w:t>
            </w:r>
            <w:r w:rsidR="00607443" w:rsidRPr="002628D0">
              <w:rPr>
                <w:rFonts w:ascii="Times New Roman" w:hAnsi="Times New Roman" w:cs="Times New Roman"/>
                <w:sz w:val="24"/>
                <w:szCs w:val="24"/>
              </w:rPr>
              <w:t>t</w:t>
            </w:r>
            <w:r w:rsidRPr="002628D0">
              <w:rPr>
                <w:rFonts w:ascii="Times New Roman" w:hAnsi="Times New Roman" w:cs="Times New Roman"/>
                <w:sz w:val="24"/>
                <w:szCs w:val="24"/>
              </w:rPr>
              <w:t xml:space="preserve">ādas slimības </w:t>
            </w:r>
            <w:r w:rsidR="00607443" w:rsidRPr="002628D0">
              <w:rPr>
                <w:rFonts w:ascii="Times New Roman" w:hAnsi="Times New Roman" w:cs="Times New Roman"/>
                <w:sz w:val="24"/>
                <w:szCs w:val="24"/>
              </w:rPr>
              <w:t>kā</w:t>
            </w:r>
            <w:r w:rsidRPr="002628D0">
              <w:rPr>
                <w:rFonts w:ascii="Times New Roman" w:hAnsi="Times New Roman" w:cs="Times New Roman"/>
                <w:sz w:val="24"/>
                <w:szCs w:val="24"/>
              </w:rPr>
              <w:t xml:space="preserve"> g</w:t>
            </w:r>
            <w:r w:rsidRPr="002628D0">
              <w:rPr>
                <w:rStyle w:val="Izclums"/>
                <w:rFonts w:ascii="Times New Roman" w:hAnsi="Times New Roman"/>
                <w:bCs/>
                <w:i w:val="0"/>
                <w:sz w:val="24"/>
                <w:szCs w:val="24"/>
              </w:rPr>
              <w:t>ovju sūkļveida encefalopātija (turpmāk – GSE),</w:t>
            </w:r>
            <w:r w:rsidRPr="002628D0">
              <w:rPr>
                <w:rStyle w:val="Izclums"/>
                <w:rFonts w:ascii="Times New Roman" w:hAnsi="Times New Roman"/>
                <w:bCs/>
                <w:sz w:val="24"/>
                <w:szCs w:val="24"/>
              </w:rPr>
              <w:t xml:space="preserve"> </w:t>
            </w:r>
            <w:proofErr w:type="spellStart"/>
            <w:r w:rsidRPr="002628D0">
              <w:rPr>
                <w:rStyle w:val="Izclums"/>
                <w:rFonts w:ascii="Times New Roman" w:hAnsi="Times New Roman"/>
                <w:bCs/>
                <w:i w:val="0"/>
                <w:sz w:val="24"/>
                <w:szCs w:val="24"/>
              </w:rPr>
              <w:t>s</w:t>
            </w:r>
            <w:r w:rsidR="00B85D44" w:rsidRPr="002628D0">
              <w:rPr>
                <w:rFonts w:ascii="Times New Roman" w:hAnsi="Times New Roman" w:cs="Times New Roman"/>
                <w:sz w:val="24"/>
                <w:szCs w:val="24"/>
              </w:rPr>
              <w:t>krepi</w:t>
            </w:r>
            <w:proofErr w:type="spellEnd"/>
            <w:r w:rsidR="002722EB" w:rsidRPr="002628D0">
              <w:rPr>
                <w:rFonts w:ascii="Times New Roman" w:hAnsi="Times New Roman" w:cs="Times New Roman"/>
                <w:sz w:val="24"/>
                <w:szCs w:val="24"/>
              </w:rPr>
              <w:t xml:space="preserve"> slimība</w:t>
            </w:r>
            <w:r w:rsidRPr="002628D0">
              <w:rPr>
                <w:rFonts w:ascii="Times New Roman" w:hAnsi="Times New Roman" w:cs="Times New Roman"/>
                <w:sz w:val="24"/>
                <w:szCs w:val="24"/>
              </w:rPr>
              <w:t xml:space="preserve">, </w:t>
            </w:r>
            <w:r w:rsidR="00F865E2" w:rsidRPr="002628D0">
              <w:rPr>
                <w:rFonts w:ascii="Times New Roman" w:hAnsi="Times New Roman" w:cs="Times New Roman"/>
                <w:sz w:val="24"/>
                <w:szCs w:val="24"/>
              </w:rPr>
              <w:t xml:space="preserve">HNS, </w:t>
            </w:r>
            <w:r w:rsidRPr="002628D0">
              <w:rPr>
                <w:rFonts w:ascii="Times New Roman" w:hAnsi="Times New Roman" w:cs="Times New Roman"/>
                <w:sz w:val="24"/>
                <w:szCs w:val="24"/>
              </w:rPr>
              <w:t xml:space="preserve">ūdeļu transmisīvā encefalopātija, kaķu sūkļveida encefalopātija, </w:t>
            </w:r>
            <w:proofErr w:type="spellStart"/>
            <w:r w:rsidRPr="002628D0">
              <w:rPr>
                <w:rFonts w:ascii="Times New Roman" w:hAnsi="Times New Roman" w:cs="Times New Roman"/>
                <w:sz w:val="24"/>
                <w:szCs w:val="24"/>
              </w:rPr>
              <w:t>Kreicfelda-Jakoba</w:t>
            </w:r>
            <w:proofErr w:type="spellEnd"/>
            <w:r w:rsidRPr="002628D0">
              <w:rPr>
                <w:rFonts w:ascii="Times New Roman" w:hAnsi="Times New Roman" w:cs="Times New Roman"/>
                <w:sz w:val="24"/>
                <w:szCs w:val="24"/>
              </w:rPr>
              <w:t xml:space="preserve"> slimība (</w:t>
            </w:r>
            <w:r w:rsidR="00607443" w:rsidRPr="002628D0">
              <w:rPr>
                <w:rFonts w:ascii="Times New Roman" w:hAnsi="Times New Roman" w:cs="Times New Roman"/>
                <w:sz w:val="24"/>
                <w:szCs w:val="24"/>
              </w:rPr>
              <w:t xml:space="preserve">ar to </w:t>
            </w:r>
            <w:r w:rsidRPr="002628D0">
              <w:rPr>
                <w:rFonts w:ascii="Times New Roman" w:hAnsi="Times New Roman" w:cs="Times New Roman"/>
                <w:sz w:val="24"/>
                <w:szCs w:val="24"/>
              </w:rPr>
              <w:t>pārsvarā slimo vecāki cilvēki, slimība zināma kopš 1920. gada)</w:t>
            </w:r>
            <w:r w:rsidR="001A2534">
              <w:rPr>
                <w:rFonts w:ascii="Times New Roman" w:hAnsi="Times New Roman" w:cs="Times New Roman"/>
                <w:sz w:val="24"/>
                <w:szCs w:val="24"/>
              </w:rPr>
              <w:t xml:space="preserve"> un</w:t>
            </w:r>
            <w:r w:rsidRPr="002628D0">
              <w:rPr>
                <w:rFonts w:ascii="Times New Roman" w:hAnsi="Times New Roman" w:cs="Times New Roman"/>
                <w:sz w:val="24"/>
                <w:szCs w:val="24"/>
              </w:rPr>
              <w:t xml:space="preserve"> </w:t>
            </w:r>
            <w:proofErr w:type="spellStart"/>
            <w:r w:rsidRPr="002628D0">
              <w:rPr>
                <w:rFonts w:ascii="Times New Roman" w:hAnsi="Times New Roman" w:cs="Times New Roman"/>
                <w:sz w:val="24"/>
                <w:szCs w:val="24"/>
              </w:rPr>
              <w:t>Kreicfelda-Jakoba</w:t>
            </w:r>
            <w:proofErr w:type="spellEnd"/>
            <w:r w:rsidRPr="002628D0">
              <w:rPr>
                <w:rFonts w:ascii="Times New Roman" w:hAnsi="Times New Roman" w:cs="Times New Roman"/>
                <w:sz w:val="24"/>
                <w:szCs w:val="24"/>
              </w:rPr>
              <w:t xml:space="preserve"> slimības variants (</w:t>
            </w:r>
            <w:r w:rsidR="00607443" w:rsidRPr="002628D0">
              <w:rPr>
                <w:rFonts w:ascii="Times New Roman" w:hAnsi="Times New Roman" w:cs="Times New Roman"/>
                <w:sz w:val="24"/>
                <w:szCs w:val="24"/>
              </w:rPr>
              <w:t xml:space="preserve">ar to </w:t>
            </w:r>
            <w:r w:rsidRPr="002628D0">
              <w:rPr>
                <w:rFonts w:ascii="Times New Roman" w:hAnsi="Times New Roman" w:cs="Times New Roman"/>
                <w:sz w:val="24"/>
                <w:szCs w:val="24"/>
              </w:rPr>
              <w:t>pārsvarā slimo jaunāki cilvēki, slimība zināma kopš 1996.</w:t>
            </w:r>
            <w:r w:rsidR="001D64E4">
              <w:rPr>
                <w:rFonts w:ascii="Times New Roman" w:hAnsi="Times New Roman" w:cs="Times New Roman"/>
                <w:sz w:val="24"/>
                <w:szCs w:val="24"/>
              </w:rPr>
              <w:t xml:space="preserve"> </w:t>
            </w:r>
            <w:r w:rsidRPr="002628D0">
              <w:rPr>
                <w:rFonts w:ascii="Times New Roman" w:hAnsi="Times New Roman" w:cs="Times New Roman"/>
                <w:sz w:val="24"/>
                <w:szCs w:val="24"/>
              </w:rPr>
              <w:t xml:space="preserve">gada, </w:t>
            </w:r>
            <w:r w:rsidR="00607443" w:rsidRPr="002628D0">
              <w:rPr>
                <w:rFonts w:ascii="Times New Roman" w:hAnsi="Times New Roman" w:cs="Times New Roman"/>
                <w:sz w:val="24"/>
                <w:szCs w:val="24"/>
              </w:rPr>
              <w:t xml:space="preserve">un </w:t>
            </w:r>
            <w:r w:rsidRPr="002628D0">
              <w:rPr>
                <w:rFonts w:ascii="Times New Roman" w:hAnsi="Times New Roman" w:cs="Times New Roman"/>
                <w:sz w:val="24"/>
                <w:szCs w:val="24"/>
              </w:rPr>
              <w:t>tiek uzskatīts, ka šīs slimības cēlonis ir ar GSE slimu dzīvnieku gaļa</w:t>
            </w:r>
            <w:r w:rsidR="00607443" w:rsidRPr="002628D0">
              <w:rPr>
                <w:rFonts w:ascii="Times New Roman" w:hAnsi="Times New Roman" w:cs="Times New Roman"/>
                <w:sz w:val="24"/>
                <w:szCs w:val="24"/>
              </w:rPr>
              <w:t>s</w:t>
            </w:r>
            <w:r w:rsidRPr="002628D0">
              <w:rPr>
                <w:rFonts w:ascii="Times New Roman" w:hAnsi="Times New Roman" w:cs="Times New Roman"/>
                <w:sz w:val="24"/>
                <w:szCs w:val="24"/>
              </w:rPr>
              <w:t xml:space="preserve"> un to produktu lietošana pārtikā).</w:t>
            </w:r>
          </w:p>
        </w:tc>
      </w:tr>
      <w:tr w:rsidR="002628D0" w:rsidRPr="002B7A5C" w:rsidTr="007572E7">
        <w:tc>
          <w:tcPr>
            <w:tcW w:w="9351" w:type="dxa"/>
            <w:gridSpan w:val="3"/>
          </w:tcPr>
          <w:p w:rsidR="005A594C" w:rsidRPr="002628D0" w:rsidRDefault="005A594C" w:rsidP="007572E7">
            <w:pPr>
              <w:pStyle w:val="Bezatstarpm"/>
              <w:jc w:val="center"/>
              <w:rPr>
                <w:b/>
              </w:rPr>
            </w:pPr>
            <w:r w:rsidRPr="002628D0">
              <w:rPr>
                <w:b/>
              </w:rPr>
              <w:t>II. Tiesību akta projekta ietekme uz sabiedrību, tautsaimniecības attīstību un administratīvo slogu</w:t>
            </w:r>
          </w:p>
        </w:tc>
      </w:tr>
      <w:tr w:rsidR="002628D0" w:rsidRPr="0055226C" w:rsidTr="007572E7">
        <w:tc>
          <w:tcPr>
            <w:tcW w:w="562" w:type="dxa"/>
          </w:tcPr>
          <w:p w:rsidR="005A594C" w:rsidRPr="002628D0" w:rsidRDefault="005A594C" w:rsidP="007572E7">
            <w:pPr>
              <w:pStyle w:val="Bezatstarpm"/>
              <w:jc w:val="both"/>
            </w:pPr>
            <w:r w:rsidRPr="002628D0">
              <w:t>1.</w:t>
            </w:r>
          </w:p>
        </w:tc>
        <w:tc>
          <w:tcPr>
            <w:tcW w:w="2240" w:type="dxa"/>
          </w:tcPr>
          <w:p w:rsidR="005A594C" w:rsidRPr="002628D0" w:rsidRDefault="005A594C" w:rsidP="007572E7">
            <w:pPr>
              <w:pStyle w:val="Bezatstarpm"/>
              <w:jc w:val="both"/>
            </w:pPr>
            <w:r w:rsidRPr="002628D0">
              <w:t>Sabiedrības mērķgrupas, kuras tiesiskais regulējums ietekmē vai varētu ietekmēt</w:t>
            </w:r>
          </w:p>
        </w:tc>
        <w:tc>
          <w:tcPr>
            <w:tcW w:w="6549" w:type="dxa"/>
          </w:tcPr>
          <w:p w:rsidR="005A594C" w:rsidRPr="002628D0" w:rsidRDefault="00B85D44" w:rsidP="003E16E2">
            <w:pPr>
              <w:pStyle w:val="Bezatstarpm"/>
              <w:jc w:val="both"/>
            </w:pPr>
            <w:r w:rsidRPr="002628D0">
              <w:t>Noteikumu projekta tiesiskais regulējums attieksies uz dzīvnieku īpašniekiem vai turētājiem, kas audzē un tur briežu dzimtas dzīvniekus. Pēc Lauksaimniecības datu centra informācijas, Latvijā 201</w:t>
            </w:r>
            <w:r w:rsidR="003E16E2" w:rsidRPr="002628D0">
              <w:t>7</w:t>
            </w:r>
            <w:r w:rsidRPr="002628D0">
              <w:t xml:space="preserve">. gada 1. </w:t>
            </w:r>
            <w:r w:rsidR="003E16E2" w:rsidRPr="002628D0">
              <w:t>janvārī</w:t>
            </w:r>
            <w:r w:rsidRPr="002628D0">
              <w:t xml:space="preserve"> ir reģistrēti 142 briežu dzimtas dzīvnieku īpašnieki un 112 579 briežu dzimtas dzīvnieki.</w:t>
            </w:r>
          </w:p>
        </w:tc>
      </w:tr>
      <w:tr w:rsidR="002628D0" w:rsidRPr="0055226C" w:rsidTr="007572E7">
        <w:tc>
          <w:tcPr>
            <w:tcW w:w="562" w:type="dxa"/>
          </w:tcPr>
          <w:p w:rsidR="005A594C" w:rsidRPr="002628D0" w:rsidRDefault="005A594C" w:rsidP="007572E7">
            <w:pPr>
              <w:pStyle w:val="Bezatstarpm"/>
              <w:jc w:val="both"/>
            </w:pPr>
            <w:r w:rsidRPr="002628D0">
              <w:t>2.</w:t>
            </w:r>
          </w:p>
        </w:tc>
        <w:tc>
          <w:tcPr>
            <w:tcW w:w="2240" w:type="dxa"/>
          </w:tcPr>
          <w:p w:rsidR="005A594C" w:rsidRPr="002628D0" w:rsidRDefault="005A594C" w:rsidP="007572E7">
            <w:pPr>
              <w:pStyle w:val="Bezatstarpm"/>
              <w:jc w:val="both"/>
            </w:pPr>
            <w:r w:rsidRPr="002628D0">
              <w:t xml:space="preserve">Tiesiskā regulējuma ietekme uz </w:t>
            </w:r>
            <w:r w:rsidRPr="002628D0">
              <w:lastRenderedPageBreak/>
              <w:t>tautsaimniecību un administratīvo slogu</w:t>
            </w:r>
          </w:p>
        </w:tc>
        <w:tc>
          <w:tcPr>
            <w:tcW w:w="6549" w:type="dxa"/>
          </w:tcPr>
          <w:p w:rsidR="005A594C" w:rsidRPr="002628D0" w:rsidRDefault="00B35DA7" w:rsidP="00607443">
            <w:pPr>
              <w:pStyle w:val="Bezatstarpm"/>
              <w:jc w:val="both"/>
            </w:pPr>
            <w:r w:rsidRPr="002628D0">
              <w:lastRenderedPageBreak/>
              <w:t xml:space="preserve">HNS uzliesmojuma gadījumā briežu dzimtas dzīvnieku īpašniekam </w:t>
            </w:r>
            <w:r w:rsidR="00607443" w:rsidRPr="002628D0">
              <w:t xml:space="preserve">būs iespēja saņemt </w:t>
            </w:r>
            <w:r w:rsidRPr="002628D0">
              <w:t>zaudējumu kompensāciju, tād</w:t>
            </w:r>
            <w:r w:rsidR="00607443" w:rsidRPr="002628D0">
              <w:t>ē</w:t>
            </w:r>
            <w:r w:rsidRPr="002628D0">
              <w:t>jādi mazinot radīto finansiālo slogu.</w:t>
            </w:r>
          </w:p>
        </w:tc>
      </w:tr>
      <w:tr w:rsidR="002628D0" w:rsidRPr="002628D0" w:rsidTr="007572E7">
        <w:tc>
          <w:tcPr>
            <w:tcW w:w="562" w:type="dxa"/>
          </w:tcPr>
          <w:p w:rsidR="005A594C" w:rsidRPr="002628D0" w:rsidRDefault="005A594C" w:rsidP="007572E7">
            <w:pPr>
              <w:pStyle w:val="Bezatstarpm"/>
              <w:jc w:val="both"/>
            </w:pPr>
            <w:r w:rsidRPr="002628D0">
              <w:t>3.</w:t>
            </w:r>
          </w:p>
        </w:tc>
        <w:tc>
          <w:tcPr>
            <w:tcW w:w="2240" w:type="dxa"/>
          </w:tcPr>
          <w:p w:rsidR="005A594C" w:rsidRPr="002628D0" w:rsidRDefault="005A594C" w:rsidP="007572E7">
            <w:pPr>
              <w:pStyle w:val="Bezatstarpm"/>
              <w:jc w:val="both"/>
            </w:pPr>
            <w:r w:rsidRPr="002628D0">
              <w:t>Administratīvo izmaksu monetārs novērtējums</w:t>
            </w:r>
          </w:p>
        </w:tc>
        <w:tc>
          <w:tcPr>
            <w:tcW w:w="6549" w:type="dxa"/>
          </w:tcPr>
          <w:p w:rsidR="005A594C" w:rsidRPr="002628D0" w:rsidRDefault="005A594C" w:rsidP="007572E7">
            <w:pPr>
              <w:pStyle w:val="Bezatstarpm"/>
              <w:jc w:val="both"/>
            </w:pPr>
            <w:r w:rsidRPr="002628D0">
              <w:t>Projekts šo jomu neskar.</w:t>
            </w:r>
          </w:p>
        </w:tc>
      </w:tr>
      <w:tr w:rsidR="005A594C" w:rsidRPr="002628D0" w:rsidTr="007572E7">
        <w:tc>
          <w:tcPr>
            <w:tcW w:w="562" w:type="dxa"/>
          </w:tcPr>
          <w:p w:rsidR="005A594C" w:rsidRPr="002628D0" w:rsidRDefault="005A594C" w:rsidP="007572E7">
            <w:pPr>
              <w:pStyle w:val="Bezatstarpm"/>
              <w:jc w:val="both"/>
            </w:pPr>
            <w:r w:rsidRPr="002628D0">
              <w:t>4.</w:t>
            </w:r>
          </w:p>
        </w:tc>
        <w:tc>
          <w:tcPr>
            <w:tcW w:w="2240" w:type="dxa"/>
          </w:tcPr>
          <w:p w:rsidR="005A594C" w:rsidRPr="002628D0" w:rsidRDefault="005A594C" w:rsidP="007572E7">
            <w:pPr>
              <w:pStyle w:val="Bezatstarpm"/>
              <w:jc w:val="both"/>
            </w:pPr>
            <w:r w:rsidRPr="002628D0">
              <w:t>Cita informācija</w:t>
            </w:r>
          </w:p>
        </w:tc>
        <w:tc>
          <w:tcPr>
            <w:tcW w:w="6549" w:type="dxa"/>
          </w:tcPr>
          <w:p w:rsidR="009A699C" w:rsidRPr="002628D0" w:rsidRDefault="00B85D44" w:rsidP="00455CF2">
            <w:pPr>
              <w:pStyle w:val="Bezatstarpm"/>
              <w:jc w:val="both"/>
            </w:pPr>
            <w:r w:rsidRPr="002628D0">
              <w:t>Nav</w:t>
            </w:r>
          </w:p>
        </w:tc>
      </w:tr>
    </w:tbl>
    <w:p w:rsidR="00A162B4" w:rsidRPr="002628D0" w:rsidRDefault="00A162B4" w:rsidP="005A594C">
      <w:pPr>
        <w:pStyle w:val="Bezatstarpm"/>
        <w:jc w:val="both"/>
        <w:rPr>
          <w:i/>
        </w:rPr>
      </w:pPr>
    </w:p>
    <w:p w:rsidR="009A24EB" w:rsidRPr="002628D0" w:rsidRDefault="009A24EB" w:rsidP="009A24EB">
      <w:pPr>
        <w:pStyle w:val="Bezatstarpm"/>
        <w:jc w:val="both"/>
        <w:rPr>
          <w:i/>
        </w:rPr>
      </w:pPr>
    </w:p>
    <w:tbl>
      <w:tblPr>
        <w:tblStyle w:val="Reatabula"/>
        <w:tblW w:w="9769" w:type="dxa"/>
        <w:tblInd w:w="-289" w:type="dxa"/>
        <w:tblLayout w:type="fixed"/>
        <w:tblLook w:val="04A0" w:firstRow="1" w:lastRow="0" w:firstColumn="1" w:lastColumn="0" w:noHBand="0" w:noVBand="1"/>
      </w:tblPr>
      <w:tblGrid>
        <w:gridCol w:w="2263"/>
        <w:gridCol w:w="1134"/>
        <w:gridCol w:w="1707"/>
        <w:gridCol w:w="1559"/>
        <w:gridCol w:w="1560"/>
        <w:gridCol w:w="1531"/>
        <w:gridCol w:w="15"/>
      </w:tblGrid>
      <w:tr w:rsidR="002628D0" w:rsidRPr="0055226C" w:rsidTr="00FE0908">
        <w:tc>
          <w:tcPr>
            <w:tcW w:w="9769" w:type="dxa"/>
            <w:gridSpan w:val="7"/>
          </w:tcPr>
          <w:p w:rsidR="009A24EB" w:rsidRPr="002628D0" w:rsidRDefault="009A24EB" w:rsidP="00FE0908">
            <w:pPr>
              <w:pStyle w:val="Bezatstarpm"/>
              <w:jc w:val="center"/>
              <w:rPr>
                <w:i/>
              </w:rPr>
            </w:pPr>
            <w:r w:rsidRPr="002628D0">
              <w:rPr>
                <w:b/>
                <w:bCs/>
              </w:rPr>
              <w:t>III. Tiesību akta projekta ietekme uz valsts budžetu un pašvaldību budžetiem</w:t>
            </w:r>
          </w:p>
        </w:tc>
      </w:tr>
      <w:tr w:rsidR="002628D0" w:rsidRPr="002628D0" w:rsidTr="00FE0908">
        <w:trPr>
          <w:gridAfter w:val="1"/>
          <w:wAfter w:w="15" w:type="dxa"/>
        </w:trPr>
        <w:tc>
          <w:tcPr>
            <w:tcW w:w="2263" w:type="dxa"/>
            <w:vMerge w:val="restart"/>
          </w:tcPr>
          <w:p w:rsidR="009A24EB" w:rsidRPr="002628D0" w:rsidRDefault="009A24EB" w:rsidP="00FE0908">
            <w:pPr>
              <w:pStyle w:val="Bezatstarpm"/>
              <w:jc w:val="both"/>
              <w:rPr>
                <w:i/>
              </w:rPr>
            </w:pPr>
            <w:r w:rsidRPr="002628D0">
              <w:rPr>
                <w:b/>
                <w:bCs/>
              </w:rPr>
              <w:t>Rādītāji</w:t>
            </w:r>
          </w:p>
        </w:tc>
        <w:tc>
          <w:tcPr>
            <w:tcW w:w="2841" w:type="dxa"/>
            <w:gridSpan w:val="2"/>
            <w:vMerge w:val="restart"/>
            <w:vAlign w:val="center"/>
          </w:tcPr>
          <w:p w:rsidR="009A24EB" w:rsidRPr="002628D0" w:rsidRDefault="009A24EB" w:rsidP="00FE0908">
            <w:pPr>
              <w:pStyle w:val="Bezatstarpm"/>
              <w:jc w:val="center"/>
              <w:rPr>
                <w:i/>
              </w:rPr>
            </w:pPr>
            <w:r w:rsidRPr="002628D0">
              <w:rPr>
                <w:b/>
                <w:bCs/>
              </w:rPr>
              <w:t>2017. gads</w:t>
            </w:r>
          </w:p>
        </w:tc>
        <w:tc>
          <w:tcPr>
            <w:tcW w:w="4650" w:type="dxa"/>
            <w:gridSpan w:val="3"/>
          </w:tcPr>
          <w:p w:rsidR="009A24EB" w:rsidRPr="002628D0" w:rsidRDefault="009A24EB" w:rsidP="00FE0908">
            <w:pPr>
              <w:pStyle w:val="Bezatstarpm"/>
              <w:jc w:val="both"/>
              <w:rPr>
                <w:i/>
              </w:rPr>
            </w:pPr>
            <w:r w:rsidRPr="002628D0">
              <w:rPr>
                <w:b/>
              </w:rPr>
              <w:t>Turpmākie trīs gadi (</w:t>
            </w:r>
            <w:proofErr w:type="spellStart"/>
            <w:r w:rsidRPr="002628D0">
              <w:rPr>
                <w:b/>
              </w:rPr>
              <w:t>euro</w:t>
            </w:r>
            <w:proofErr w:type="spellEnd"/>
            <w:r w:rsidRPr="002628D0">
              <w:rPr>
                <w:b/>
              </w:rPr>
              <w:t>)</w:t>
            </w:r>
          </w:p>
        </w:tc>
      </w:tr>
      <w:tr w:rsidR="002628D0" w:rsidRPr="002628D0" w:rsidTr="00FE0908">
        <w:trPr>
          <w:gridAfter w:val="1"/>
          <w:wAfter w:w="15" w:type="dxa"/>
        </w:trPr>
        <w:tc>
          <w:tcPr>
            <w:tcW w:w="2263" w:type="dxa"/>
            <w:vMerge/>
          </w:tcPr>
          <w:p w:rsidR="009A24EB" w:rsidRPr="002628D0" w:rsidRDefault="009A24EB" w:rsidP="00FE0908">
            <w:pPr>
              <w:pStyle w:val="Bezatstarpm"/>
              <w:jc w:val="both"/>
              <w:rPr>
                <w:i/>
              </w:rPr>
            </w:pPr>
          </w:p>
        </w:tc>
        <w:tc>
          <w:tcPr>
            <w:tcW w:w="2841" w:type="dxa"/>
            <w:gridSpan w:val="2"/>
            <w:vMerge/>
          </w:tcPr>
          <w:p w:rsidR="009A24EB" w:rsidRPr="002628D0" w:rsidRDefault="009A24EB" w:rsidP="00FE0908">
            <w:pPr>
              <w:pStyle w:val="Bezatstarpm"/>
              <w:jc w:val="both"/>
              <w:rPr>
                <w:i/>
              </w:rPr>
            </w:pPr>
          </w:p>
        </w:tc>
        <w:tc>
          <w:tcPr>
            <w:tcW w:w="1559" w:type="dxa"/>
          </w:tcPr>
          <w:p w:rsidR="009A24EB" w:rsidRPr="002628D0" w:rsidRDefault="009A24EB" w:rsidP="00FE0908">
            <w:pPr>
              <w:pStyle w:val="Bezatstarpm"/>
            </w:pPr>
            <w:r w:rsidRPr="002628D0">
              <w:rPr>
                <w:b/>
                <w:bCs/>
              </w:rPr>
              <w:t>(2018. gads)</w:t>
            </w:r>
          </w:p>
        </w:tc>
        <w:tc>
          <w:tcPr>
            <w:tcW w:w="1560" w:type="dxa"/>
          </w:tcPr>
          <w:p w:rsidR="009A24EB" w:rsidRPr="002628D0" w:rsidRDefault="009A24EB" w:rsidP="00FE0908">
            <w:pPr>
              <w:pStyle w:val="Bezatstarpm"/>
            </w:pPr>
            <w:r w:rsidRPr="002628D0">
              <w:rPr>
                <w:b/>
                <w:bCs/>
              </w:rPr>
              <w:t>(2019. gads)</w:t>
            </w:r>
          </w:p>
        </w:tc>
        <w:tc>
          <w:tcPr>
            <w:tcW w:w="1531" w:type="dxa"/>
          </w:tcPr>
          <w:p w:rsidR="009A24EB" w:rsidRPr="002628D0" w:rsidRDefault="009A24EB" w:rsidP="00FE0908">
            <w:pPr>
              <w:pStyle w:val="Bezatstarpm"/>
            </w:pPr>
            <w:r w:rsidRPr="002628D0">
              <w:rPr>
                <w:b/>
                <w:bCs/>
              </w:rPr>
              <w:t>(2020. gads)</w:t>
            </w:r>
          </w:p>
        </w:tc>
      </w:tr>
      <w:tr w:rsidR="002628D0" w:rsidRPr="002628D0" w:rsidTr="00FE0908">
        <w:trPr>
          <w:gridAfter w:val="1"/>
          <w:wAfter w:w="15" w:type="dxa"/>
        </w:trPr>
        <w:tc>
          <w:tcPr>
            <w:tcW w:w="2263" w:type="dxa"/>
          </w:tcPr>
          <w:p w:rsidR="009A24EB" w:rsidRPr="002628D0" w:rsidRDefault="009A24EB" w:rsidP="00FE0908">
            <w:pPr>
              <w:pStyle w:val="Bezatstarpm"/>
              <w:jc w:val="both"/>
              <w:rPr>
                <w:i/>
              </w:rPr>
            </w:pPr>
          </w:p>
        </w:tc>
        <w:tc>
          <w:tcPr>
            <w:tcW w:w="1134" w:type="dxa"/>
          </w:tcPr>
          <w:p w:rsidR="009A24EB" w:rsidRPr="002628D0" w:rsidRDefault="009A24EB" w:rsidP="00FE0908">
            <w:pPr>
              <w:pStyle w:val="Bezatstarpm"/>
            </w:pPr>
            <w:r w:rsidRPr="002628D0">
              <w:t> Saskaņā ar valsts budžetu kārtējam gadam</w:t>
            </w:r>
          </w:p>
        </w:tc>
        <w:tc>
          <w:tcPr>
            <w:tcW w:w="1707" w:type="dxa"/>
          </w:tcPr>
          <w:p w:rsidR="009A24EB" w:rsidRPr="002628D0" w:rsidRDefault="009A24EB" w:rsidP="00FE0908">
            <w:pPr>
              <w:pStyle w:val="Bezatstarpm"/>
            </w:pPr>
            <w:r w:rsidRPr="002628D0">
              <w:t> Izmaiņas kārtējā gadā, salīdzinot ar budžetu kārtējam gadam</w:t>
            </w:r>
          </w:p>
        </w:tc>
        <w:tc>
          <w:tcPr>
            <w:tcW w:w="1559" w:type="dxa"/>
          </w:tcPr>
          <w:p w:rsidR="009A24EB" w:rsidRPr="002628D0" w:rsidRDefault="009A24EB" w:rsidP="00FE0908">
            <w:pPr>
              <w:pStyle w:val="Bezatstarpm"/>
            </w:pPr>
            <w:r w:rsidRPr="002628D0">
              <w:t>Izmaiņas, salīdzinot ar kārtējo 2017. gadu</w:t>
            </w:r>
          </w:p>
        </w:tc>
        <w:tc>
          <w:tcPr>
            <w:tcW w:w="1560" w:type="dxa"/>
          </w:tcPr>
          <w:p w:rsidR="009A24EB" w:rsidRPr="002628D0" w:rsidRDefault="009A24EB" w:rsidP="00FE0908">
            <w:pPr>
              <w:pStyle w:val="Bezatstarpm"/>
            </w:pPr>
            <w:r w:rsidRPr="002628D0">
              <w:t>Izmaiņas, salīdzinot ar kārtējo 2017. gadu</w:t>
            </w:r>
          </w:p>
        </w:tc>
        <w:tc>
          <w:tcPr>
            <w:tcW w:w="1531" w:type="dxa"/>
          </w:tcPr>
          <w:p w:rsidR="009A24EB" w:rsidRPr="002628D0" w:rsidRDefault="009A24EB" w:rsidP="00FE0908">
            <w:pPr>
              <w:pStyle w:val="Bezatstarpm"/>
            </w:pPr>
            <w:r w:rsidRPr="002628D0">
              <w:t> Izmaiņas, salīdzinot ar kārtējo 2017. gadu</w:t>
            </w:r>
          </w:p>
        </w:tc>
      </w:tr>
      <w:tr w:rsidR="002628D0" w:rsidRPr="002628D0" w:rsidTr="00FE0908">
        <w:trPr>
          <w:gridAfter w:val="1"/>
          <w:wAfter w:w="15" w:type="dxa"/>
        </w:trPr>
        <w:tc>
          <w:tcPr>
            <w:tcW w:w="2263" w:type="dxa"/>
          </w:tcPr>
          <w:p w:rsidR="009A24EB" w:rsidRPr="002628D0" w:rsidRDefault="009A24EB" w:rsidP="00FE0908">
            <w:pPr>
              <w:pStyle w:val="Bezatstarpm"/>
              <w:jc w:val="center"/>
            </w:pPr>
            <w:r w:rsidRPr="002628D0">
              <w:t>1</w:t>
            </w:r>
          </w:p>
        </w:tc>
        <w:tc>
          <w:tcPr>
            <w:tcW w:w="1134" w:type="dxa"/>
          </w:tcPr>
          <w:p w:rsidR="009A24EB" w:rsidRPr="002628D0" w:rsidRDefault="009A24EB" w:rsidP="00FE0908">
            <w:pPr>
              <w:pStyle w:val="Bezatstarpm"/>
              <w:jc w:val="center"/>
            </w:pPr>
            <w:r w:rsidRPr="002628D0">
              <w:t>2</w:t>
            </w:r>
          </w:p>
        </w:tc>
        <w:tc>
          <w:tcPr>
            <w:tcW w:w="1707" w:type="dxa"/>
          </w:tcPr>
          <w:p w:rsidR="009A24EB" w:rsidRPr="002628D0" w:rsidRDefault="009A24EB" w:rsidP="00FE0908">
            <w:pPr>
              <w:pStyle w:val="Bezatstarpm"/>
              <w:jc w:val="center"/>
            </w:pPr>
            <w:r w:rsidRPr="002628D0">
              <w:t>3</w:t>
            </w:r>
          </w:p>
        </w:tc>
        <w:tc>
          <w:tcPr>
            <w:tcW w:w="1559" w:type="dxa"/>
          </w:tcPr>
          <w:p w:rsidR="009A24EB" w:rsidRPr="002628D0" w:rsidRDefault="009A24EB" w:rsidP="00FE0908">
            <w:pPr>
              <w:pStyle w:val="Bezatstarpm"/>
              <w:jc w:val="center"/>
            </w:pPr>
            <w:r w:rsidRPr="002628D0">
              <w:t>4</w:t>
            </w:r>
          </w:p>
        </w:tc>
        <w:tc>
          <w:tcPr>
            <w:tcW w:w="1560" w:type="dxa"/>
          </w:tcPr>
          <w:p w:rsidR="009A24EB" w:rsidRPr="002628D0" w:rsidRDefault="009A24EB" w:rsidP="00FE0908">
            <w:pPr>
              <w:pStyle w:val="Bezatstarpm"/>
              <w:jc w:val="center"/>
            </w:pPr>
            <w:r w:rsidRPr="002628D0">
              <w:t>5</w:t>
            </w:r>
          </w:p>
        </w:tc>
        <w:tc>
          <w:tcPr>
            <w:tcW w:w="1531" w:type="dxa"/>
          </w:tcPr>
          <w:p w:rsidR="009A24EB" w:rsidRPr="002628D0" w:rsidRDefault="009A24EB" w:rsidP="00FE0908">
            <w:pPr>
              <w:pStyle w:val="Bezatstarpm"/>
              <w:jc w:val="center"/>
            </w:pPr>
            <w:r w:rsidRPr="002628D0">
              <w:t>6</w:t>
            </w:r>
          </w:p>
        </w:tc>
      </w:tr>
      <w:tr w:rsidR="002628D0" w:rsidRPr="002628D0" w:rsidTr="00FE0908">
        <w:trPr>
          <w:gridAfter w:val="1"/>
          <w:wAfter w:w="15" w:type="dxa"/>
        </w:trPr>
        <w:tc>
          <w:tcPr>
            <w:tcW w:w="2263" w:type="dxa"/>
          </w:tcPr>
          <w:p w:rsidR="009A24EB" w:rsidRPr="002628D0" w:rsidRDefault="009A24EB" w:rsidP="00FE0908">
            <w:pPr>
              <w:pStyle w:val="Bezatstarpm"/>
            </w:pPr>
            <w:r w:rsidRPr="002628D0">
              <w:t>1. Budžeta ieņēmumi:</w:t>
            </w:r>
          </w:p>
        </w:tc>
        <w:tc>
          <w:tcPr>
            <w:tcW w:w="1134" w:type="dxa"/>
          </w:tcPr>
          <w:p w:rsidR="009A24EB" w:rsidRPr="002628D0" w:rsidRDefault="009A24EB" w:rsidP="00FE0908">
            <w:pPr>
              <w:pStyle w:val="Bezatstarpm"/>
            </w:pPr>
            <w:r w:rsidRPr="002628D0">
              <w:t>0</w:t>
            </w:r>
          </w:p>
        </w:tc>
        <w:tc>
          <w:tcPr>
            <w:tcW w:w="1707" w:type="dxa"/>
          </w:tcPr>
          <w:p w:rsidR="009A24EB" w:rsidRPr="002628D0" w:rsidRDefault="009A24EB" w:rsidP="00FE0908">
            <w:pPr>
              <w:pStyle w:val="Bezatstarpm"/>
            </w:pPr>
            <w:r w:rsidRPr="002628D0">
              <w:t>0</w:t>
            </w:r>
          </w:p>
        </w:tc>
        <w:tc>
          <w:tcPr>
            <w:tcW w:w="1559" w:type="dxa"/>
          </w:tcPr>
          <w:p w:rsidR="009A24EB" w:rsidRPr="002628D0" w:rsidRDefault="009A24EB" w:rsidP="00FE0908">
            <w:pPr>
              <w:pStyle w:val="Bezatstarpm"/>
              <w:jc w:val="center"/>
            </w:pPr>
            <w:r w:rsidRPr="002628D0">
              <w:t>0</w:t>
            </w:r>
          </w:p>
        </w:tc>
        <w:tc>
          <w:tcPr>
            <w:tcW w:w="1560" w:type="dxa"/>
          </w:tcPr>
          <w:p w:rsidR="009A24EB" w:rsidRPr="002628D0" w:rsidRDefault="009A24EB" w:rsidP="00FE0908">
            <w:pPr>
              <w:pStyle w:val="Bezatstarpm"/>
              <w:jc w:val="center"/>
            </w:pPr>
            <w:r w:rsidRPr="002628D0">
              <w:t>0</w:t>
            </w:r>
          </w:p>
        </w:tc>
        <w:tc>
          <w:tcPr>
            <w:tcW w:w="1531" w:type="dxa"/>
          </w:tcPr>
          <w:p w:rsidR="009A24EB" w:rsidRPr="002628D0" w:rsidRDefault="009A24EB" w:rsidP="00FE0908">
            <w:pPr>
              <w:pStyle w:val="Bezatstarpm"/>
              <w:jc w:val="center"/>
            </w:pPr>
            <w:r w:rsidRPr="002628D0">
              <w:t>0</w:t>
            </w:r>
          </w:p>
        </w:tc>
      </w:tr>
      <w:tr w:rsidR="002628D0" w:rsidRPr="002628D0" w:rsidTr="00FE0908">
        <w:trPr>
          <w:gridAfter w:val="1"/>
          <w:wAfter w:w="15" w:type="dxa"/>
        </w:trPr>
        <w:tc>
          <w:tcPr>
            <w:tcW w:w="2263" w:type="dxa"/>
          </w:tcPr>
          <w:p w:rsidR="009A24EB" w:rsidRPr="002628D0" w:rsidRDefault="009A24EB" w:rsidP="00FE0908">
            <w:pPr>
              <w:pStyle w:val="Bezatstarpm"/>
              <w:jc w:val="both"/>
            </w:pPr>
            <w:r w:rsidRPr="002628D0">
              <w:t xml:space="preserve">1.1. valsts </w:t>
            </w:r>
            <w:proofErr w:type="spellStart"/>
            <w:r w:rsidRPr="002628D0">
              <w:t>pamatbu-džets,</w:t>
            </w:r>
            <w:proofErr w:type="spellEnd"/>
            <w:r w:rsidRPr="002628D0">
              <w:t xml:space="preserve"> tai skaitā ieņēmumi no maksas pakalpojumiem un citi pašu ieņēmumi</w:t>
            </w:r>
          </w:p>
        </w:tc>
        <w:tc>
          <w:tcPr>
            <w:tcW w:w="1134" w:type="dxa"/>
          </w:tcPr>
          <w:p w:rsidR="009A24EB" w:rsidRPr="002628D0" w:rsidRDefault="009A24EB" w:rsidP="00FE0908">
            <w:pPr>
              <w:pStyle w:val="Bezatstarpm"/>
            </w:pPr>
            <w:r w:rsidRPr="002628D0">
              <w:t>0</w:t>
            </w:r>
          </w:p>
        </w:tc>
        <w:tc>
          <w:tcPr>
            <w:tcW w:w="1707" w:type="dxa"/>
          </w:tcPr>
          <w:p w:rsidR="009A24EB" w:rsidRPr="002628D0" w:rsidRDefault="009A24EB" w:rsidP="00FE0908">
            <w:pPr>
              <w:pStyle w:val="Bezatstarpm"/>
            </w:pPr>
            <w:r w:rsidRPr="002628D0">
              <w:t>0</w:t>
            </w:r>
          </w:p>
        </w:tc>
        <w:tc>
          <w:tcPr>
            <w:tcW w:w="1559" w:type="dxa"/>
          </w:tcPr>
          <w:p w:rsidR="009A24EB" w:rsidRPr="002628D0" w:rsidRDefault="009A24EB" w:rsidP="00FE0908">
            <w:pPr>
              <w:pStyle w:val="Bezatstarpm"/>
              <w:jc w:val="center"/>
            </w:pPr>
            <w:r w:rsidRPr="002628D0">
              <w:t>0</w:t>
            </w:r>
          </w:p>
        </w:tc>
        <w:tc>
          <w:tcPr>
            <w:tcW w:w="1560" w:type="dxa"/>
          </w:tcPr>
          <w:p w:rsidR="009A24EB" w:rsidRPr="002628D0" w:rsidRDefault="009A24EB" w:rsidP="00FE0908">
            <w:pPr>
              <w:pStyle w:val="Bezatstarpm"/>
              <w:jc w:val="center"/>
            </w:pPr>
            <w:r w:rsidRPr="002628D0">
              <w:t>0</w:t>
            </w:r>
          </w:p>
        </w:tc>
        <w:tc>
          <w:tcPr>
            <w:tcW w:w="1531" w:type="dxa"/>
          </w:tcPr>
          <w:p w:rsidR="009A24EB" w:rsidRPr="002628D0" w:rsidRDefault="009A24EB" w:rsidP="00FE0908">
            <w:pPr>
              <w:pStyle w:val="Bezatstarpm"/>
              <w:jc w:val="center"/>
            </w:pPr>
            <w:r w:rsidRPr="002628D0">
              <w:t>0</w:t>
            </w:r>
          </w:p>
        </w:tc>
      </w:tr>
      <w:tr w:rsidR="002628D0" w:rsidRPr="002628D0" w:rsidTr="00FE0908">
        <w:trPr>
          <w:gridAfter w:val="1"/>
          <w:wAfter w:w="15" w:type="dxa"/>
        </w:trPr>
        <w:tc>
          <w:tcPr>
            <w:tcW w:w="2263" w:type="dxa"/>
          </w:tcPr>
          <w:p w:rsidR="009A24EB" w:rsidRPr="002628D0" w:rsidRDefault="009A24EB" w:rsidP="00FE0908">
            <w:pPr>
              <w:pStyle w:val="Bezatstarpm"/>
            </w:pPr>
            <w:r w:rsidRPr="002628D0">
              <w:t>1.2. valsts speciālais budžets</w:t>
            </w:r>
          </w:p>
        </w:tc>
        <w:tc>
          <w:tcPr>
            <w:tcW w:w="1134" w:type="dxa"/>
          </w:tcPr>
          <w:p w:rsidR="009A24EB" w:rsidRPr="002628D0" w:rsidRDefault="009A24EB" w:rsidP="00FE0908">
            <w:pPr>
              <w:pStyle w:val="Bezatstarpm"/>
            </w:pPr>
            <w:r w:rsidRPr="002628D0">
              <w:t>0</w:t>
            </w:r>
          </w:p>
        </w:tc>
        <w:tc>
          <w:tcPr>
            <w:tcW w:w="1707" w:type="dxa"/>
          </w:tcPr>
          <w:p w:rsidR="009A24EB" w:rsidRPr="002628D0" w:rsidRDefault="009A24EB" w:rsidP="00FE0908">
            <w:pPr>
              <w:pStyle w:val="Bezatstarpm"/>
            </w:pPr>
            <w:r w:rsidRPr="002628D0">
              <w:t>0</w:t>
            </w:r>
          </w:p>
        </w:tc>
        <w:tc>
          <w:tcPr>
            <w:tcW w:w="1559" w:type="dxa"/>
          </w:tcPr>
          <w:p w:rsidR="009A24EB" w:rsidRPr="002628D0" w:rsidRDefault="009A24EB" w:rsidP="00FE0908">
            <w:pPr>
              <w:pStyle w:val="Bezatstarpm"/>
              <w:jc w:val="center"/>
            </w:pPr>
            <w:r w:rsidRPr="002628D0">
              <w:t>0</w:t>
            </w:r>
          </w:p>
        </w:tc>
        <w:tc>
          <w:tcPr>
            <w:tcW w:w="1560" w:type="dxa"/>
          </w:tcPr>
          <w:p w:rsidR="009A24EB" w:rsidRPr="002628D0" w:rsidRDefault="009A24EB" w:rsidP="00FE0908">
            <w:pPr>
              <w:pStyle w:val="Bezatstarpm"/>
              <w:jc w:val="center"/>
            </w:pPr>
            <w:r w:rsidRPr="002628D0">
              <w:t>0</w:t>
            </w:r>
          </w:p>
        </w:tc>
        <w:tc>
          <w:tcPr>
            <w:tcW w:w="1531" w:type="dxa"/>
          </w:tcPr>
          <w:p w:rsidR="009A24EB" w:rsidRPr="002628D0" w:rsidRDefault="009A24EB" w:rsidP="00FE0908">
            <w:pPr>
              <w:pStyle w:val="Bezatstarpm"/>
              <w:jc w:val="center"/>
            </w:pPr>
            <w:r w:rsidRPr="002628D0">
              <w:t>0</w:t>
            </w:r>
          </w:p>
        </w:tc>
      </w:tr>
      <w:tr w:rsidR="002628D0" w:rsidRPr="002628D0" w:rsidTr="00FE0908">
        <w:trPr>
          <w:gridAfter w:val="1"/>
          <w:wAfter w:w="15" w:type="dxa"/>
        </w:trPr>
        <w:tc>
          <w:tcPr>
            <w:tcW w:w="2263" w:type="dxa"/>
          </w:tcPr>
          <w:p w:rsidR="009A24EB" w:rsidRPr="002628D0" w:rsidRDefault="009A24EB" w:rsidP="00FE0908">
            <w:pPr>
              <w:pStyle w:val="Bezatstarpm"/>
            </w:pPr>
            <w:r w:rsidRPr="002628D0">
              <w:t>1.3. pašvaldību budžets</w:t>
            </w:r>
          </w:p>
        </w:tc>
        <w:tc>
          <w:tcPr>
            <w:tcW w:w="1134" w:type="dxa"/>
          </w:tcPr>
          <w:p w:rsidR="009A24EB" w:rsidRPr="002628D0" w:rsidRDefault="009A24EB" w:rsidP="00FE0908">
            <w:pPr>
              <w:pStyle w:val="Bezatstarpm"/>
            </w:pPr>
            <w:r w:rsidRPr="002628D0">
              <w:t>0</w:t>
            </w:r>
          </w:p>
        </w:tc>
        <w:tc>
          <w:tcPr>
            <w:tcW w:w="1707" w:type="dxa"/>
          </w:tcPr>
          <w:p w:rsidR="009A24EB" w:rsidRPr="002628D0" w:rsidRDefault="009A24EB" w:rsidP="00FE0908">
            <w:pPr>
              <w:pStyle w:val="Bezatstarpm"/>
            </w:pPr>
            <w:r w:rsidRPr="002628D0">
              <w:t>0</w:t>
            </w:r>
          </w:p>
        </w:tc>
        <w:tc>
          <w:tcPr>
            <w:tcW w:w="1559" w:type="dxa"/>
          </w:tcPr>
          <w:p w:rsidR="009A24EB" w:rsidRPr="002628D0" w:rsidRDefault="009A24EB" w:rsidP="00FE0908">
            <w:pPr>
              <w:pStyle w:val="Bezatstarpm"/>
              <w:jc w:val="center"/>
            </w:pPr>
            <w:r w:rsidRPr="002628D0">
              <w:t>0</w:t>
            </w:r>
          </w:p>
        </w:tc>
        <w:tc>
          <w:tcPr>
            <w:tcW w:w="1560" w:type="dxa"/>
          </w:tcPr>
          <w:p w:rsidR="009A24EB" w:rsidRPr="002628D0" w:rsidRDefault="009A24EB" w:rsidP="00FE0908">
            <w:pPr>
              <w:pStyle w:val="Bezatstarpm"/>
              <w:jc w:val="center"/>
            </w:pPr>
            <w:r w:rsidRPr="002628D0">
              <w:t>0</w:t>
            </w:r>
          </w:p>
        </w:tc>
        <w:tc>
          <w:tcPr>
            <w:tcW w:w="1531" w:type="dxa"/>
          </w:tcPr>
          <w:p w:rsidR="009A24EB" w:rsidRPr="002628D0" w:rsidRDefault="009A24EB" w:rsidP="00FE0908">
            <w:pPr>
              <w:pStyle w:val="Bezatstarpm"/>
              <w:jc w:val="center"/>
            </w:pPr>
            <w:r w:rsidRPr="002628D0">
              <w:t>0</w:t>
            </w:r>
          </w:p>
        </w:tc>
      </w:tr>
      <w:tr w:rsidR="002628D0" w:rsidRPr="002628D0" w:rsidTr="00FE0908">
        <w:trPr>
          <w:gridAfter w:val="1"/>
          <w:wAfter w:w="15" w:type="dxa"/>
        </w:trPr>
        <w:tc>
          <w:tcPr>
            <w:tcW w:w="2263" w:type="dxa"/>
          </w:tcPr>
          <w:p w:rsidR="009A24EB" w:rsidRPr="002628D0" w:rsidRDefault="009A24EB" w:rsidP="00FE0908">
            <w:pPr>
              <w:pStyle w:val="Bezatstarpm"/>
            </w:pPr>
            <w:r w:rsidRPr="002628D0">
              <w:t>2. Budžeta izdevumi:</w:t>
            </w:r>
          </w:p>
        </w:tc>
        <w:tc>
          <w:tcPr>
            <w:tcW w:w="1134" w:type="dxa"/>
          </w:tcPr>
          <w:p w:rsidR="009A24EB" w:rsidRPr="002628D0" w:rsidRDefault="009A24EB" w:rsidP="00FE0908">
            <w:pPr>
              <w:pStyle w:val="Bezatstarpm"/>
            </w:pPr>
            <w:r w:rsidRPr="002628D0">
              <w:t>0</w:t>
            </w:r>
          </w:p>
        </w:tc>
        <w:tc>
          <w:tcPr>
            <w:tcW w:w="1707" w:type="dxa"/>
          </w:tcPr>
          <w:p w:rsidR="009A24EB" w:rsidRPr="002628D0" w:rsidRDefault="009A24EB" w:rsidP="00370EA5">
            <w:pPr>
              <w:pStyle w:val="Bezatstarpm"/>
            </w:pPr>
            <w:r w:rsidRPr="002628D0">
              <w:t>1</w:t>
            </w:r>
            <w:r w:rsidR="00370EA5" w:rsidRPr="002628D0">
              <w:t> </w:t>
            </w:r>
            <w:r w:rsidRPr="002628D0">
              <w:t>69</w:t>
            </w:r>
            <w:r w:rsidR="00370EA5" w:rsidRPr="002628D0">
              <w:t>6 849</w:t>
            </w:r>
          </w:p>
        </w:tc>
        <w:tc>
          <w:tcPr>
            <w:tcW w:w="1559" w:type="dxa"/>
          </w:tcPr>
          <w:p w:rsidR="009A24EB" w:rsidRPr="002628D0" w:rsidRDefault="009A24EB" w:rsidP="009118C7">
            <w:pPr>
              <w:pStyle w:val="Bezatstarpm"/>
              <w:jc w:val="center"/>
            </w:pPr>
            <w:r w:rsidRPr="002628D0">
              <w:t>42</w:t>
            </w:r>
            <w:r w:rsidR="009118C7" w:rsidRPr="002628D0">
              <w:t>7</w:t>
            </w:r>
          </w:p>
        </w:tc>
        <w:tc>
          <w:tcPr>
            <w:tcW w:w="1560" w:type="dxa"/>
          </w:tcPr>
          <w:p w:rsidR="009A24EB" w:rsidRPr="002628D0" w:rsidRDefault="009118C7" w:rsidP="00FE0908">
            <w:pPr>
              <w:pStyle w:val="Bezatstarpm"/>
              <w:jc w:val="center"/>
            </w:pPr>
            <w:r w:rsidRPr="002628D0">
              <w:t>427</w:t>
            </w:r>
          </w:p>
        </w:tc>
        <w:tc>
          <w:tcPr>
            <w:tcW w:w="1531" w:type="dxa"/>
          </w:tcPr>
          <w:p w:rsidR="009A24EB" w:rsidRPr="002628D0" w:rsidRDefault="009118C7" w:rsidP="009118C7">
            <w:pPr>
              <w:pStyle w:val="Bezatstarpm"/>
              <w:jc w:val="center"/>
            </w:pPr>
            <w:r w:rsidRPr="002628D0">
              <w:t>427</w:t>
            </w:r>
          </w:p>
        </w:tc>
      </w:tr>
      <w:tr w:rsidR="002628D0" w:rsidRPr="002628D0" w:rsidTr="00FE0908">
        <w:trPr>
          <w:gridAfter w:val="1"/>
          <w:wAfter w:w="15" w:type="dxa"/>
        </w:trPr>
        <w:tc>
          <w:tcPr>
            <w:tcW w:w="2263" w:type="dxa"/>
          </w:tcPr>
          <w:p w:rsidR="009A24EB" w:rsidRPr="002628D0" w:rsidRDefault="009A24EB" w:rsidP="00FE0908">
            <w:pPr>
              <w:pStyle w:val="Bezatstarpm"/>
            </w:pPr>
            <w:r w:rsidRPr="002628D0">
              <w:t>2.1. valsts pamatbudžets</w:t>
            </w:r>
          </w:p>
        </w:tc>
        <w:tc>
          <w:tcPr>
            <w:tcW w:w="1134" w:type="dxa"/>
          </w:tcPr>
          <w:p w:rsidR="009A24EB" w:rsidRPr="002628D0" w:rsidRDefault="009A24EB" w:rsidP="00FE0908">
            <w:pPr>
              <w:pStyle w:val="Bezatstarpm"/>
            </w:pPr>
            <w:r w:rsidRPr="002628D0">
              <w:t>0</w:t>
            </w:r>
          </w:p>
        </w:tc>
        <w:tc>
          <w:tcPr>
            <w:tcW w:w="1707" w:type="dxa"/>
          </w:tcPr>
          <w:p w:rsidR="009A24EB" w:rsidRPr="002628D0" w:rsidRDefault="00370EA5" w:rsidP="00FE0908">
            <w:pPr>
              <w:pStyle w:val="Bezatstarpm"/>
            </w:pPr>
            <w:r w:rsidRPr="002628D0">
              <w:t>1 696 849</w:t>
            </w:r>
          </w:p>
        </w:tc>
        <w:tc>
          <w:tcPr>
            <w:tcW w:w="1559" w:type="dxa"/>
          </w:tcPr>
          <w:p w:rsidR="009A24EB" w:rsidRPr="002628D0" w:rsidRDefault="009118C7" w:rsidP="00FE0908">
            <w:pPr>
              <w:jc w:val="center"/>
              <w:rPr>
                <w:rFonts w:ascii="Times New Roman" w:hAnsi="Times New Roman" w:cs="Times New Roman"/>
                <w:sz w:val="24"/>
                <w:szCs w:val="24"/>
              </w:rPr>
            </w:pPr>
            <w:r w:rsidRPr="002628D0">
              <w:rPr>
                <w:rFonts w:ascii="Times New Roman" w:hAnsi="Times New Roman" w:cs="Times New Roman"/>
                <w:sz w:val="24"/>
                <w:szCs w:val="24"/>
              </w:rPr>
              <w:t>427</w:t>
            </w:r>
          </w:p>
        </w:tc>
        <w:tc>
          <w:tcPr>
            <w:tcW w:w="1560" w:type="dxa"/>
          </w:tcPr>
          <w:p w:rsidR="009A24EB" w:rsidRPr="002628D0" w:rsidRDefault="009A24EB" w:rsidP="009118C7">
            <w:pPr>
              <w:jc w:val="center"/>
              <w:rPr>
                <w:rFonts w:ascii="Times New Roman" w:hAnsi="Times New Roman" w:cs="Times New Roman"/>
                <w:sz w:val="24"/>
                <w:szCs w:val="24"/>
              </w:rPr>
            </w:pPr>
            <w:r w:rsidRPr="002628D0">
              <w:rPr>
                <w:rFonts w:ascii="Times New Roman" w:hAnsi="Times New Roman" w:cs="Times New Roman"/>
                <w:sz w:val="24"/>
                <w:szCs w:val="24"/>
              </w:rPr>
              <w:t>42</w:t>
            </w:r>
            <w:r w:rsidR="009118C7" w:rsidRPr="002628D0">
              <w:rPr>
                <w:rFonts w:ascii="Times New Roman" w:hAnsi="Times New Roman" w:cs="Times New Roman"/>
                <w:sz w:val="24"/>
                <w:szCs w:val="24"/>
              </w:rPr>
              <w:t>7</w:t>
            </w:r>
          </w:p>
        </w:tc>
        <w:tc>
          <w:tcPr>
            <w:tcW w:w="1531" w:type="dxa"/>
          </w:tcPr>
          <w:p w:rsidR="009A24EB" w:rsidRPr="002628D0" w:rsidRDefault="009A24EB" w:rsidP="009118C7">
            <w:pPr>
              <w:jc w:val="center"/>
              <w:rPr>
                <w:rFonts w:ascii="Times New Roman" w:hAnsi="Times New Roman" w:cs="Times New Roman"/>
                <w:sz w:val="24"/>
                <w:szCs w:val="24"/>
              </w:rPr>
            </w:pPr>
            <w:r w:rsidRPr="002628D0">
              <w:rPr>
                <w:rFonts w:ascii="Times New Roman" w:hAnsi="Times New Roman" w:cs="Times New Roman"/>
                <w:sz w:val="24"/>
                <w:szCs w:val="24"/>
              </w:rPr>
              <w:t>42</w:t>
            </w:r>
            <w:r w:rsidR="009118C7" w:rsidRPr="002628D0">
              <w:rPr>
                <w:rFonts w:ascii="Times New Roman" w:hAnsi="Times New Roman" w:cs="Times New Roman"/>
                <w:sz w:val="24"/>
                <w:szCs w:val="24"/>
              </w:rPr>
              <w:t>7</w:t>
            </w:r>
          </w:p>
        </w:tc>
      </w:tr>
      <w:tr w:rsidR="002628D0" w:rsidRPr="002628D0" w:rsidTr="00FE0908">
        <w:trPr>
          <w:gridAfter w:val="1"/>
          <w:wAfter w:w="15" w:type="dxa"/>
        </w:trPr>
        <w:tc>
          <w:tcPr>
            <w:tcW w:w="2263" w:type="dxa"/>
          </w:tcPr>
          <w:p w:rsidR="009A24EB" w:rsidRPr="002628D0" w:rsidRDefault="009A24EB" w:rsidP="00FE0908">
            <w:pPr>
              <w:pStyle w:val="Bezatstarpm"/>
            </w:pPr>
            <w:r w:rsidRPr="002628D0">
              <w:t>2.2. valsts speciālais budžets</w:t>
            </w:r>
          </w:p>
        </w:tc>
        <w:tc>
          <w:tcPr>
            <w:tcW w:w="1134" w:type="dxa"/>
          </w:tcPr>
          <w:p w:rsidR="009A24EB" w:rsidRPr="002628D0" w:rsidRDefault="009A24EB" w:rsidP="00FE0908">
            <w:pPr>
              <w:pStyle w:val="Bezatstarpm"/>
            </w:pPr>
            <w:r w:rsidRPr="002628D0">
              <w:t>0</w:t>
            </w:r>
          </w:p>
        </w:tc>
        <w:tc>
          <w:tcPr>
            <w:tcW w:w="1707" w:type="dxa"/>
          </w:tcPr>
          <w:p w:rsidR="009A24EB" w:rsidRPr="002628D0" w:rsidRDefault="009A24EB" w:rsidP="00FE0908">
            <w:pPr>
              <w:pStyle w:val="Bezatstarpm"/>
            </w:pPr>
            <w:r w:rsidRPr="002628D0">
              <w:t>0</w:t>
            </w:r>
          </w:p>
        </w:tc>
        <w:tc>
          <w:tcPr>
            <w:tcW w:w="1559" w:type="dxa"/>
          </w:tcPr>
          <w:p w:rsidR="009A24EB" w:rsidRPr="002628D0" w:rsidRDefault="009A24EB" w:rsidP="00FE0908">
            <w:pPr>
              <w:pStyle w:val="Bezatstarpm"/>
              <w:jc w:val="center"/>
            </w:pPr>
            <w:r w:rsidRPr="002628D0">
              <w:t>0</w:t>
            </w:r>
          </w:p>
        </w:tc>
        <w:tc>
          <w:tcPr>
            <w:tcW w:w="1560" w:type="dxa"/>
          </w:tcPr>
          <w:p w:rsidR="009A24EB" w:rsidRPr="002628D0" w:rsidRDefault="009A24EB" w:rsidP="00FE0908">
            <w:pPr>
              <w:pStyle w:val="Bezatstarpm"/>
              <w:jc w:val="center"/>
            </w:pPr>
            <w:r w:rsidRPr="002628D0">
              <w:t>0</w:t>
            </w:r>
          </w:p>
        </w:tc>
        <w:tc>
          <w:tcPr>
            <w:tcW w:w="1531" w:type="dxa"/>
          </w:tcPr>
          <w:p w:rsidR="009A24EB" w:rsidRPr="002628D0" w:rsidRDefault="009A24EB" w:rsidP="00FE0908">
            <w:pPr>
              <w:pStyle w:val="Bezatstarpm"/>
              <w:jc w:val="center"/>
            </w:pPr>
            <w:r w:rsidRPr="002628D0">
              <w:t>0</w:t>
            </w:r>
          </w:p>
        </w:tc>
      </w:tr>
      <w:tr w:rsidR="002628D0" w:rsidRPr="002628D0" w:rsidTr="00FE0908">
        <w:trPr>
          <w:gridAfter w:val="1"/>
          <w:wAfter w:w="15" w:type="dxa"/>
        </w:trPr>
        <w:tc>
          <w:tcPr>
            <w:tcW w:w="2263" w:type="dxa"/>
          </w:tcPr>
          <w:p w:rsidR="009A24EB" w:rsidRPr="002628D0" w:rsidRDefault="009A24EB" w:rsidP="00FE0908">
            <w:pPr>
              <w:pStyle w:val="Bezatstarpm"/>
            </w:pPr>
            <w:r w:rsidRPr="002628D0">
              <w:t>2.3. pašvaldību budžets</w:t>
            </w:r>
          </w:p>
        </w:tc>
        <w:tc>
          <w:tcPr>
            <w:tcW w:w="1134" w:type="dxa"/>
          </w:tcPr>
          <w:p w:rsidR="009A24EB" w:rsidRPr="002628D0" w:rsidRDefault="009A24EB" w:rsidP="00FE0908">
            <w:pPr>
              <w:pStyle w:val="Bezatstarpm"/>
            </w:pPr>
            <w:r w:rsidRPr="002628D0">
              <w:t>0</w:t>
            </w:r>
          </w:p>
        </w:tc>
        <w:tc>
          <w:tcPr>
            <w:tcW w:w="1707" w:type="dxa"/>
          </w:tcPr>
          <w:p w:rsidR="009A24EB" w:rsidRPr="002628D0" w:rsidRDefault="009A24EB" w:rsidP="00FE0908">
            <w:pPr>
              <w:pStyle w:val="Bezatstarpm"/>
            </w:pPr>
            <w:r w:rsidRPr="002628D0">
              <w:t>0</w:t>
            </w:r>
          </w:p>
        </w:tc>
        <w:tc>
          <w:tcPr>
            <w:tcW w:w="1559" w:type="dxa"/>
          </w:tcPr>
          <w:p w:rsidR="009A24EB" w:rsidRPr="002628D0" w:rsidRDefault="009A24EB" w:rsidP="00FE0908">
            <w:pPr>
              <w:pStyle w:val="Bezatstarpm"/>
              <w:jc w:val="center"/>
            </w:pPr>
            <w:r w:rsidRPr="002628D0">
              <w:t>0</w:t>
            </w:r>
          </w:p>
        </w:tc>
        <w:tc>
          <w:tcPr>
            <w:tcW w:w="1560" w:type="dxa"/>
          </w:tcPr>
          <w:p w:rsidR="009A24EB" w:rsidRPr="002628D0" w:rsidRDefault="009A24EB" w:rsidP="00FE0908">
            <w:pPr>
              <w:pStyle w:val="Bezatstarpm"/>
              <w:jc w:val="center"/>
            </w:pPr>
            <w:r w:rsidRPr="002628D0">
              <w:t>0</w:t>
            </w:r>
          </w:p>
        </w:tc>
        <w:tc>
          <w:tcPr>
            <w:tcW w:w="1531" w:type="dxa"/>
          </w:tcPr>
          <w:p w:rsidR="009A24EB" w:rsidRPr="002628D0" w:rsidRDefault="009A24EB" w:rsidP="00FE0908">
            <w:pPr>
              <w:pStyle w:val="Bezatstarpm"/>
              <w:jc w:val="center"/>
            </w:pPr>
            <w:r w:rsidRPr="002628D0">
              <w:t>0</w:t>
            </w:r>
          </w:p>
        </w:tc>
      </w:tr>
      <w:tr w:rsidR="002628D0" w:rsidRPr="002628D0" w:rsidTr="00FE0908">
        <w:trPr>
          <w:gridAfter w:val="1"/>
          <w:wAfter w:w="15" w:type="dxa"/>
        </w:trPr>
        <w:tc>
          <w:tcPr>
            <w:tcW w:w="2263" w:type="dxa"/>
          </w:tcPr>
          <w:p w:rsidR="009A24EB" w:rsidRPr="002628D0" w:rsidRDefault="009A24EB" w:rsidP="00FE0908">
            <w:pPr>
              <w:pStyle w:val="Bezatstarpm"/>
            </w:pPr>
            <w:r w:rsidRPr="002628D0">
              <w:t>3. Finansiālā ietekme:</w:t>
            </w:r>
          </w:p>
        </w:tc>
        <w:tc>
          <w:tcPr>
            <w:tcW w:w="1134" w:type="dxa"/>
          </w:tcPr>
          <w:p w:rsidR="009A24EB" w:rsidRPr="002628D0" w:rsidRDefault="009A24EB" w:rsidP="00FE0908">
            <w:pPr>
              <w:pStyle w:val="Bezatstarpm"/>
            </w:pPr>
            <w:r w:rsidRPr="002628D0">
              <w:t>0</w:t>
            </w:r>
          </w:p>
        </w:tc>
        <w:tc>
          <w:tcPr>
            <w:tcW w:w="1707" w:type="dxa"/>
          </w:tcPr>
          <w:p w:rsidR="009A24EB" w:rsidRPr="002628D0" w:rsidRDefault="009A24EB" w:rsidP="00370EA5">
            <w:pPr>
              <w:pStyle w:val="Bezatstarpm"/>
            </w:pPr>
            <w:r w:rsidRPr="002628D0">
              <w:t xml:space="preserve">– </w:t>
            </w:r>
            <w:r w:rsidR="00370EA5" w:rsidRPr="002628D0">
              <w:t>1 696 849</w:t>
            </w:r>
          </w:p>
        </w:tc>
        <w:tc>
          <w:tcPr>
            <w:tcW w:w="1559" w:type="dxa"/>
          </w:tcPr>
          <w:p w:rsidR="009A24EB" w:rsidRPr="002628D0" w:rsidRDefault="009A24EB" w:rsidP="009118C7">
            <w:pPr>
              <w:pStyle w:val="Bezatstarpm"/>
              <w:jc w:val="center"/>
            </w:pPr>
            <w:r w:rsidRPr="002628D0">
              <w:t>– 42</w:t>
            </w:r>
            <w:r w:rsidR="009118C7" w:rsidRPr="002628D0">
              <w:t>7</w:t>
            </w:r>
          </w:p>
        </w:tc>
        <w:tc>
          <w:tcPr>
            <w:tcW w:w="1560" w:type="dxa"/>
          </w:tcPr>
          <w:p w:rsidR="009A24EB" w:rsidRPr="002628D0" w:rsidRDefault="009A24EB" w:rsidP="009118C7">
            <w:pPr>
              <w:pStyle w:val="Bezatstarpm"/>
              <w:jc w:val="center"/>
            </w:pPr>
            <w:r w:rsidRPr="002628D0">
              <w:t>– 42</w:t>
            </w:r>
            <w:r w:rsidR="009118C7" w:rsidRPr="002628D0">
              <w:t>7</w:t>
            </w:r>
          </w:p>
        </w:tc>
        <w:tc>
          <w:tcPr>
            <w:tcW w:w="1531" w:type="dxa"/>
          </w:tcPr>
          <w:p w:rsidR="009A24EB" w:rsidRPr="002628D0" w:rsidRDefault="009A24EB" w:rsidP="009118C7">
            <w:pPr>
              <w:pStyle w:val="Bezatstarpm"/>
              <w:jc w:val="center"/>
            </w:pPr>
            <w:r w:rsidRPr="002628D0">
              <w:t>– 42</w:t>
            </w:r>
            <w:r w:rsidR="009118C7" w:rsidRPr="002628D0">
              <w:t>7</w:t>
            </w:r>
          </w:p>
        </w:tc>
      </w:tr>
      <w:tr w:rsidR="002628D0" w:rsidRPr="002628D0" w:rsidTr="00FE0908">
        <w:trPr>
          <w:gridAfter w:val="1"/>
          <w:wAfter w:w="15" w:type="dxa"/>
        </w:trPr>
        <w:tc>
          <w:tcPr>
            <w:tcW w:w="2263" w:type="dxa"/>
          </w:tcPr>
          <w:p w:rsidR="009A24EB" w:rsidRPr="002628D0" w:rsidRDefault="009A24EB" w:rsidP="00FE0908">
            <w:pPr>
              <w:pStyle w:val="Bezatstarpm"/>
            </w:pPr>
            <w:r w:rsidRPr="002628D0">
              <w:t>3.1. valsts pamatbudžets</w:t>
            </w:r>
          </w:p>
        </w:tc>
        <w:tc>
          <w:tcPr>
            <w:tcW w:w="1134" w:type="dxa"/>
          </w:tcPr>
          <w:p w:rsidR="009A24EB" w:rsidRPr="002628D0" w:rsidRDefault="009A24EB" w:rsidP="00FE0908">
            <w:pPr>
              <w:pStyle w:val="Bezatstarpm"/>
            </w:pPr>
            <w:r w:rsidRPr="002628D0">
              <w:t>0</w:t>
            </w:r>
          </w:p>
        </w:tc>
        <w:tc>
          <w:tcPr>
            <w:tcW w:w="1707" w:type="dxa"/>
          </w:tcPr>
          <w:p w:rsidR="009A24EB" w:rsidRPr="002628D0" w:rsidRDefault="009A24EB" w:rsidP="00370EA5">
            <w:pPr>
              <w:pStyle w:val="Bezatstarpm"/>
            </w:pPr>
            <w:r w:rsidRPr="002628D0">
              <w:t xml:space="preserve">– </w:t>
            </w:r>
            <w:r w:rsidR="00370EA5" w:rsidRPr="002628D0">
              <w:t>1 696 849</w:t>
            </w:r>
          </w:p>
        </w:tc>
        <w:tc>
          <w:tcPr>
            <w:tcW w:w="1559" w:type="dxa"/>
          </w:tcPr>
          <w:p w:rsidR="009A24EB" w:rsidRPr="002628D0" w:rsidRDefault="009A24EB" w:rsidP="009118C7">
            <w:pPr>
              <w:pStyle w:val="Bezatstarpm"/>
              <w:jc w:val="center"/>
            </w:pPr>
            <w:r w:rsidRPr="002628D0">
              <w:t>– 42</w:t>
            </w:r>
            <w:r w:rsidR="009118C7" w:rsidRPr="002628D0">
              <w:t>7</w:t>
            </w:r>
          </w:p>
        </w:tc>
        <w:tc>
          <w:tcPr>
            <w:tcW w:w="1560" w:type="dxa"/>
          </w:tcPr>
          <w:p w:rsidR="009A24EB" w:rsidRPr="002628D0" w:rsidRDefault="009A24EB" w:rsidP="009118C7">
            <w:pPr>
              <w:pStyle w:val="Bezatstarpm"/>
              <w:jc w:val="center"/>
            </w:pPr>
            <w:r w:rsidRPr="002628D0">
              <w:t>– 42</w:t>
            </w:r>
            <w:r w:rsidR="009118C7" w:rsidRPr="002628D0">
              <w:t>7</w:t>
            </w:r>
          </w:p>
        </w:tc>
        <w:tc>
          <w:tcPr>
            <w:tcW w:w="1531" w:type="dxa"/>
          </w:tcPr>
          <w:p w:rsidR="009A24EB" w:rsidRPr="002628D0" w:rsidRDefault="009A24EB" w:rsidP="009118C7">
            <w:pPr>
              <w:pStyle w:val="Bezatstarpm"/>
              <w:jc w:val="center"/>
            </w:pPr>
            <w:r w:rsidRPr="002628D0">
              <w:t>– 42</w:t>
            </w:r>
            <w:r w:rsidR="009118C7" w:rsidRPr="002628D0">
              <w:t>7</w:t>
            </w:r>
          </w:p>
        </w:tc>
      </w:tr>
      <w:tr w:rsidR="002628D0" w:rsidRPr="002628D0" w:rsidTr="00FE0908">
        <w:trPr>
          <w:gridAfter w:val="1"/>
          <w:wAfter w:w="15" w:type="dxa"/>
        </w:trPr>
        <w:tc>
          <w:tcPr>
            <w:tcW w:w="2263" w:type="dxa"/>
          </w:tcPr>
          <w:p w:rsidR="009A24EB" w:rsidRPr="002628D0" w:rsidRDefault="009A24EB" w:rsidP="00FE0908">
            <w:pPr>
              <w:pStyle w:val="Bezatstarpm"/>
            </w:pPr>
            <w:r w:rsidRPr="002628D0">
              <w:t>3.2. speciālais budžets</w:t>
            </w:r>
          </w:p>
        </w:tc>
        <w:tc>
          <w:tcPr>
            <w:tcW w:w="1134" w:type="dxa"/>
          </w:tcPr>
          <w:p w:rsidR="009A24EB" w:rsidRPr="002628D0" w:rsidRDefault="009A24EB" w:rsidP="00FE0908">
            <w:pPr>
              <w:pStyle w:val="Bezatstarpm"/>
            </w:pPr>
            <w:r w:rsidRPr="002628D0">
              <w:t>0</w:t>
            </w:r>
          </w:p>
        </w:tc>
        <w:tc>
          <w:tcPr>
            <w:tcW w:w="1707" w:type="dxa"/>
          </w:tcPr>
          <w:p w:rsidR="009A24EB" w:rsidRPr="002628D0" w:rsidRDefault="009A24EB" w:rsidP="00FE0908">
            <w:pPr>
              <w:pStyle w:val="Bezatstarpm"/>
            </w:pPr>
            <w:r w:rsidRPr="002628D0">
              <w:t>0</w:t>
            </w:r>
          </w:p>
        </w:tc>
        <w:tc>
          <w:tcPr>
            <w:tcW w:w="1559" w:type="dxa"/>
          </w:tcPr>
          <w:p w:rsidR="009A24EB" w:rsidRPr="002628D0" w:rsidRDefault="009A24EB" w:rsidP="00FE0908">
            <w:pPr>
              <w:pStyle w:val="Bezatstarpm"/>
              <w:jc w:val="center"/>
            </w:pPr>
            <w:r w:rsidRPr="002628D0">
              <w:t>0</w:t>
            </w:r>
          </w:p>
        </w:tc>
        <w:tc>
          <w:tcPr>
            <w:tcW w:w="1560" w:type="dxa"/>
          </w:tcPr>
          <w:p w:rsidR="009A24EB" w:rsidRPr="002628D0" w:rsidRDefault="009A24EB" w:rsidP="00FE0908">
            <w:pPr>
              <w:pStyle w:val="Bezatstarpm"/>
              <w:jc w:val="center"/>
            </w:pPr>
            <w:r w:rsidRPr="002628D0">
              <w:t>0</w:t>
            </w:r>
          </w:p>
        </w:tc>
        <w:tc>
          <w:tcPr>
            <w:tcW w:w="1531" w:type="dxa"/>
          </w:tcPr>
          <w:p w:rsidR="009A24EB" w:rsidRPr="002628D0" w:rsidRDefault="009A24EB" w:rsidP="00FE0908">
            <w:pPr>
              <w:pStyle w:val="Bezatstarpm"/>
              <w:jc w:val="center"/>
            </w:pPr>
            <w:r w:rsidRPr="002628D0">
              <w:t>0</w:t>
            </w:r>
          </w:p>
        </w:tc>
      </w:tr>
      <w:tr w:rsidR="002628D0" w:rsidRPr="002628D0" w:rsidTr="00FE0908">
        <w:trPr>
          <w:gridAfter w:val="1"/>
          <w:wAfter w:w="15" w:type="dxa"/>
        </w:trPr>
        <w:tc>
          <w:tcPr>
            <w:tcW w:w="2263" w:type="dxa"/>
          </w:tcPr>
          <w:p w:rsidR="009A24EB" w:rsidRPr="002628D0" w:rsidRDefault="009A24EB" w:rsidP="00FE0908">
            <w:pPr>
              <w:pStyle w:val="Bezatstarpm"/>
            </w:pPr>
            <w:r w:rsidRPr="002628D0">
              <w:t>3.3. pašvaldību budžets</w:t>
            </w:r>
          </w:p>
        </w:tc>
        <w:tc>
          <w:tcPr>
            <w:tcW w:w="1134" w:type="dxa"/>
          </w:tcPr>
          <w:p w:rsidR="009A24EB" w:rsidRPr="002628D0" w:rsidRDefault="009A24EB" w:rsidP="00FE0908">
            <w:pPr>
              <w:pStyle w:val="Bezatstarpm"/>
            </w:pPr>
            <w:r w:rsidRPr="002628D0">
              <w:t>0</w:t>
            </w:r>
          </w:p>
        </w:tc>
        <w:tc>
          <w:tcPr>
            <w:tcW w:w="1707" w:type="dxa"/>
          </w:tcPr>
          <w:p w:rsidR="009A24EB" w:rsidRPr="002628D0" w:rsidRDefault="009A24EB" w:rsidP="00FE0908">
            <w:pPr>
              <w:pStyle w:val="Bezatstarpm"/>
            </w:pPr>
            <w:r w:rsidRPr="002628D0">
              <w:t>0</w:t>
            </w:r>
          </w:p>
        </w:tc>
        <w:tc>
          <w:tcPr>
            <w:tcW w:w="1559" w:type="dxa"/>
          </w:tcPr>
          <w:p w:rsidR="009A24EB" w:rsidRPr="002628D0" w:rsidRDefault="009A24EB" w:rsidP="00FE0908">
            <w:pPr>
              <w:pStyle w:val="Bezatstarpm"/>
              <w:jc w:val="center"/>
            </w:pPr>
            <w:r w:rsidRPr="002628D0">
              <w:t>0</w:t>
            </w:r>
          </w:p>
        </w:tc>
        <w:tc>
          <w:tcPr>
            <w:tcW w:w="1560" w:type="dxa"/>
          </w:tcPr>
          <w:p w:rsidR="009A24EB" w:rsidRPr="002628D0" w:rsidRDefault="009A24EB" w:rsidP="00FE0908">
            <w:pPr>
              <w:pStyle w:val="Bezatstarpm"/>
              <w:jc w:val="center"/>
            </w:pPr>
            <w:r w:rsidRPr="002628D0">
              <w:t>0</w:t>
            </w:r>
          </w:p>
        </w:tc>
        <w:tc>
          <w:tcPr>
            <w:tcW w:w="1531" w:type="dxa"/>
          </w:tcPr>
          <w:p w:rsidR="009A24EB" w:rsidRPr="002628D0" w:rsidRDefault="009A24EB" w:rsidP="00FE0908">
            <w:pPr>
              <w:pStyle w:val="Bezatstarpm"/>
              <w:jc w:val="center"/>
            </w:pPr>
            <w:r w:rsidRPr="002628D0">
              <w:t>0</w:t>
            </w:r>
          </w:p>
        </w:tc>
      </w:tr>
      <w:tr w:rsidR="002628D0" w:rsidRPr="002628D0" w:rsidTr="00091C93">
        <w:trPr>
          <w:gridAfter w:val="1"/>
          <w:wAfter w:w="15" w:type="dxa"/>
          <w:trHeight w:val="1518"/>
        </w:trPr>
        <w:tc>
          <w:tcPr>
            <w:tcW w:w="2263" w:type="dxa"/>
          </w:tcPr>
          <w:p w:rsidR="001F3606" w:rsidRPr="002628D0" w:rsidRDefault="001F3606" w:rsidP="00FE0908">
            <w:pPr>
              <w:pStyle w:val="Bezatstarpm"/>
              <w:jc w:val="both"/>
            </w:pPr>
            <w:r w:rsidRPr="002628D0">
              <w:t>4. Finanšu līdzekļi papildu izde</w:t>
            </w:r>
            <w:r w:rsidRPr="002628D0">
              <w:softHyphen/>
              <w:t>vumu finansēšanai (</w:t>
            </w:r>
            <w:proofErr w:type="spellStart"/>
            <w:r w:rsidRPr="002628D0">
              <w:t>kompen-sējošu</w:t>
            </w:r>
            <w:proofErr w:type="spellEnd"/>
            <w:r w:rsidRPr="002628D0">
              <w:t xml:space="preserve"> izdevumu </w:t>
            </w:r>
            <w:r w:rsidRPr="002628D0">
              <w:lastRenderedPageBreak/>
              <w:t>samazinājumu norāda ar "+" zīmi)</w:t>
            </w:r>
          </w:p>
        </w:tc>
        <w:tc>
          <w:tcPr>
            <w:tcW w:w="1134" w:type="dxa"/>
          </w:tcPr>
          <w:p w:rsidR="001F3606" w:rsidRPr="002628D0" w:rsidRDefault="001F3606" w:rsidP="00FE0908">
            <w:pPr>
              <w:pStyle w:val="Bezatstarpm"/>
            </w:pPr>
            <w:r w:rsidRPr="002628D0">
              <w:lastRenderedPageBreak/>
              <w:t>X</w:t>
            </w:r>
          </w:p>
        </w:tc>
        <w:tc>
          <w:tcPr>
            <w:tcW w:w="1707" w:type="dxa"/>
          </w:tcPr>
          <w:p w:rsidR="001F3606" w:rsidRPr="002628D0" w:rsidRDefault="001F3606" w:rsidP="00575BA2">
            <w:pPr>
              <w:pStyle w:val="Bezatstarpm"/>
            </w:pPr>
            <w:r w:rsidRPr="002628D0">
              <w:t xml:space="preserve">+ 1 696 </w:t>
            </w:r>
            <w:r w:rsidR="00575BA2" w:rsidRPr="002628D0">
              <w:t>422</w:t>
            </w:r>
          </w:p>
        </w:tc>
        <w:tc>
          <w:tcPr>
            <w:tcW w:w="1559" w:type="dxa"/>
          </w:tcPr>
          <w:p w:rsidR="001F3606" w:rsidRPr="002628D0" w:rsidRDefault="001F3606" w:rsidP="00FE0908">
            <w:pPr>
              <w:pStyle w:val="Bezatstarpm"/>
              <w:jc w:val="center"/>
            </w:pPr>
            <w:r w:rsidRPr="002628D0">
              <w:t>0</w:t>
            </w:r>
          </w:p>
        </w:tc>
        <w:tc>
          <w:tcPr>
            <w:tcW w:w="1560" w:type="dxa"/>
          </w:tcPr>
          <w:p w:rsidR="001F3606" w:rsidRPr="002628D0" w:rsidRDefault="001F3606" w:rsidP="00FE0908">
            <w:pPr>
              <w:pStyle w:val="Bezatstarpm"/>
              <w:jc w:val="center"/>
            </w:pPr>
            <w:r w:rsidRPr="002628D0">
              <w:t>0</w:t>
            </w:r>
          </w:p>
        </w:tc>
        <w:tc>
          <w:tcPr>
            <w:tcW w:w="1531" w:type="dxa"/>
          </w:tcPr>
          <w:p w:rsidR="001F3606" w:rsidRPr="002628D0" w:rsidRDefault="001F3606" w:rsidP="00FE0908">
            <w:pPr>
              <w:pStyle w:val="Bezatstarpm"/>
              <w:jc w:val="center"/>
            </w:pPr>
            <w:r w:rsidRPr="002628D0">
              <w:t>0</w:t>
            </w:r>
          </w:p>
        </w:tc>
      </w:tr>
      <w:tr w:rsidR="002628D0" w:rsidRPr="002628D0" w:rsidTr="00FE0908">
        <w:trPr>
          <w:gridAfter w:val="1"/>
          <w:wAfter w:w="15" w:type="dxa"/>
        </w:trPr>
        <w:tc>
          <w:tcPr>
            <w:tcW w:w="2263" w:type="dxa"/>
          </w:tcPr>
          <w:p w:rsidR="009A24EB" w:rsidRPr="002628D0" w:rsidRDefault="009A24EB" w:rsidP="00FE0908">
            <w:pPr>
              <w:pStyle w:val="Bezatstarpm"/>
            </w:pPr>
            <w:r w:rsidRPr="002628D0">
              <w:t>5. Precizēta finansiālā ietekme:</w:t>
            </w:r>
          </w:p>
        </w:tc>
        <w:tc>
          <w:tcPr>
            <w:tcW w:w="1134" w:type="dxa"/>
            <w:vMerge w:val="restart"/>
          </w:tcPr>
          <w:p w:rsidR="009A24EB" w:rsidRPr="002628D0" w:rsidRDefault="009A24EB" w:rsidP="00FE0908">
            <w:pPr>
              <w:pStyle w:val="Bezatstarpm"/>
            </w:pPr>
            <w:r w:rsidRPr="002628D0">
              <w:t>X</w:t>
            </w:r>
          </w:p>
        </w:tc>
        <w:tc>
          <w:tcPr>
            <w:tcW w:w="1707" w:type="dxa"/>
          </w:tcPr>
          <w:p w:rsidR="009A24EB" w:rsidRPr="002628D0" w:rsidRDefault="00575BA2" w:rsidP="00FE0908">
            <w:pPr>
              <w:pStyle w:val="Bezatstarpm"/>
            </w:pPr>
            <w:r w:rsidRPr="002628D0">
              <w:t>– 427</w:t>
            </w:r>
          </w:p>
        </w:tc>
        <w:tc>
          <w:tcPr>
            <w:tcW w:w="1559" w:type="dxa"/>
          </w:tcPr>
          <w:p w:rsidR="009A24EB" w:rsidRPr="002628D0" w:rsidRDefault="009A24EB" w:rsidP="009118C7">
            <w:pPr>
              <w:pStyle w:val="Bezatstarpm"/>
              <w:jc w:val="center"/>
            </w:pPr>
            <w:r w:rsidRPr="002628D0">
              <w:t>– 42</w:t>
            </w:r>
            <w:r w:rsidR="009118C7" w:rsidRPr="002628D0">
              <w:t>7</w:t>
            </w:r>
          </w:p>
        </w:tc>
        <w:tc>
          <w:tcPr>
            <w:tcW w:w="1560" w:type="dxa"/>
          </w:tcPr>
          <w:p w:rsidR="009A24EB" w:rsidRPr="002628D0" w:rsidRDefault="009A24EB" w:rsidP="009118C7">
            <w:pPr>
              <w:pStyle w:val="Bezatstarpm"/>
              <w:jc w:val="center"/>
            </w:pPr>
            <w:r w:rsidRPr="002628D0">
              <w:t>– 42</w:t>
            </w:r>
            <w:r w:rsidR="009118C7" w:rsidRPr="002628D0">
              <w:t>7</w:t>
            </w:r>
          </w:p>
        </w:tc>
        <w:tc>
          <w:tcPr>
            <w:tcW w:w="1531" w:type="dxa"/>
          </w:tcPr>
          <w:p w:rsidR="009A24EB" w:rsidRPr="002628D0" w:rsidRDefault="009A24EB" w:rsidP="009118C7">
            <w:pPr>
              <w:pStyle w:val="Bezatstarpm"/>
              <w:jc w:val="center"/>
            </w:pPr>
            <w:r w:rsidRPr="002628D0">
              <w:t>– 42</w:t>
            </w:r>
            <w:r w:rsidR="009118C7" w:rsidRPr="002628D0">
              <w:t>7</w:t>
            </w:r>
          </w:p>
        </w:tc>
      </w:tr>
      <w:tr w:rsidR="002628D0" w:rsidRPr="002628D0" w:rsidTr="00FE0908">
        <w:trPr>
          <w:gridAfter w:val="1"/>
          <w:wAfter w:w="15" w:type="dxa"/>
        </w:trPr>
        <w:tc>
          <w:tcPr>
            <w:tcW w:w="2263" w:type="dxa"/>
          </w:tcPr>
          <w:p w:rsidR="009A24EB" w:rsidRPr="002628D0" w:rsidRDefault="009A24EB" w:rsidP="00FE0908">
            <w:pPr>
              <w:pStyle w:val="Bezatstarpm"/>
            </w:pPr>
            <w:r w:rsidRPr="002628D0">
              <w:t>5.1. valsts pamatbudžets</w:t>
            </w:r>
          </w:p>
        </w:tc>
        <w:tc>
          <w:tcPr>
            <w:tcW w:w="1134" w:type="dxa"/>
            <w:vMerge/>
          </w:tcPr>
          <w:p w:rsidR="009A24EB" w:rsidRPr="002628D0" w:rsidRDefault="009A24EB" w:rsidP="00FE0908">
            <w:pPr>
              <w:pStyle w:val="Bezatstarpm"/>
            </w:pPr>
          </w:p>
        </w:tc>
        <w:tc>
          <w:tcPr>
            <w:tcW w:w="1707" w:type="dxa"/>
          </w:tcPr>
          <w:p w:rsidR="009A24EB" w:rsidRPr="002628D0" w:rsidRDefault="00575BA2" w:rsidP="00FE0908">
            <w:pPr>
              <w:pStyle w:val="Bezatstarpm"/>
            </w:pPr>
            <w:r w:rsidRPr="002628D0">
              <w:t>– 427</w:t>
            </w:r>
          </w:p>
        </w:tc>
        <w:tc>
          <w:tcPr>
            <w:tcW w:w="1559" w:type="dxa"/>
          </w:tcPr>
          <w:p w:rsidR="009A24EB" w:rsidRPr="002628D0" w:rsidRDefault="009A24EB" w:rsidP="009118C7">
            <w:pPr>
              <w:pStyle w:val="Bezatstarpm"/>
              <w:jc w:val="center"/>
            </w:pPr>
            <w:r w:rsidRPr="002628D0">
              <w:t>– 42</w:t>
            </w:r>
            <w:r w:rsidR="009118C7" w:rsidRPr="002628D0">
              <w:t>7</w:t>
            </w:r>
          </w:p>
        </w:tc>
        <w:tc>
          <w:tcPr>
            <w:tcW w:w="1560" w:type="dxa"/>
          </w:tcPr>
          <w:p w:rsidR="009A24EB" w:rsidRPr="002628D0" w:rsidRDefault="009A24EB" w:rsidP="009118C7">
            <w:pPr>
              <w:pStyle w:val="Bezatstarpm"/>
              <w:jc w:val="center"/>
            </w:pPr>
            <w:r w:rsidRPr="002628D0">
              <w:t>– 42</w:t>
            </w:r>
            <w:r w:rsidR="009118C7" w:rsidRPr="002628D0">
              <w:t>7</w:t>
            </w:r>
          </w:p>
        </w:tc>
        <w:tc>
          <w:tcPr>
            <w:tcW w:w="1531" w:type="dxa"/>
          </w:tcPr>
          <w:p w:rsidR="009A24EB" w:rsidRPr="002628D0" w:rsidRDefault="009A24EB" w:rsidP="009118C7">
            <w:pPr>
              <w:pStyle w:val="Bezatstarpm"/>
              <w:jc w:val="center"/>
            </w:pPr>
            <w:r w:rsidRPr="002628D0">
              <w:t>– 42</w:t>
            </w:r>
            <w:r w:rsidR="009118C7" w:rsidRPr="002628D0">
              <w:t>7</w:t>
            </w:r>
          </w:p>
        </w:tc>
      </w:tr>
      <w:tr w:rsidR="002628D0" w:rsidRPr="002628D0" w:rsidTr="00FE0908">
        <w:trPr>
          <w:gridAfter w:val="1"/>
          <w:wAfter w:w="15" w:type="dxa"/>
        </w:trPr>
        <w:tc>
          <w:tcPr>
            <w:tcW w:w="2263" w:type="dxa"/>
          </w:tcPr>
          <w:p w:rsidR="009A24EB" w:rsidRPr="002628D0" w:rsidRDefault="009A24EB" w:rsidP="00FE0908">
            <w:pPr>
              <w:pStyle w:val="Bezatstarpm"/>
            </w:pPr>
            <w:r w:rsidRPr="002628D0">
              <w:t>5.2. speciālais budžets</w:t>
            </w:r>
          </w:p>
        </w:tc>
        <w:tc>
          <w:tcPr>
            <w:tcW w:w="1134" w:type="dxa"/>
            <w:vMerge/>
          </w:tcPr>
          <w:p w:rsidR="009A24EB" w:rsidRPr="002628D0" w:rsidRDefault="009A24EB" w:rsidP="00FE0908">
            <w:pPr>
              <w:pStyle w:val="Bezatstarpm"/>
            </w:pPr>
          </w:p>
        </w:tc>
        <w:tc>
          <w:tcPr>
            <w:tcW w:w="1707" w:type="dxa"/>
          </w:tcPr>
          <w:p w:rsidR="009A24EB" w:rsidRPr="002628D0" w:rsidRDefault="009A24EB" w:rsidP="00FE0908">
            <w:pPr>
              <w:pStyle w:val="Bezatstarpm"/>
            </w:pPr>
            <w:r w:rsidRPr="002628D0">
              <w:t>0</w:t>
            </w:r>
          </w:p>
        </w:tc>
        <w:tc>
          <w:tcPr>
            <w:tcW w:w="1559" w:type="dxa"/>
          </w:tcPr>
          <w:p w:rsidR="009A24EB" w:rsidRPr="002628D0" w:rsidRDefault="009A24EB" w:rsidP="00FE0908">
            <w:pPr>
              <w:pStyle w:val="Bezatstarpm"/>
              <w:jc w:val="center"/>
            </w:pPr>
            <w:r w:rsidRPr="002628D0">
              <w:t>0</w:t>
            </w:r>
          </w:p>
        </w:tc>
        <w:tc>
          <w:tcPr>
            <w:tcW w:w="1560" w:type="dxa"/>
          </w:tcPr>
          <w:p w:rsidR="009A24EB" w:rsidRPr="002628D0" w:rsidRDefault="009A24EB" w:rsidP="00FE0908">
            <w:pPr>
              <w:pStyle w:val="Bezatstarpm"/>
              <w:jc w:val="center"/>
            </w:pPr>
            <w:r w:rsidRPr="002628D0">
              <w:t>0</w:t>
            </w:r>
          </w:p>
        </w:tc>
        <w:tc>
          <w:tcPr>
            <w:tcW w:w="1531" w:type="dxa"/>
          </w:tcPr>
          <w:p w:rsidR="009A24EB" w:rsidRPr="002628D0" w:rsidRDefault="009A24EB" w:rsidP="00FE0908">
            <w:pPr>
              <w:pStyle w:val="Bezatstarpm"/>
              <w:jc w:val="center"/>
            </w:pPr>
            <w:r w:rsidRPr="002628D0">
              <w:t>0</w:t>
            </w:r>
          </w:p>
        </w:tc>
      </w:tr>
      <w:tr w:rsidR="002628D0" w:rsidRPr="002628D0" w:rsidTr="00FE0908">
        <w:trPr>
          <w:gridAfter w:val="1"/>
          <w:wAfter w:w="15" w:type="dxa"/>
        </w:trPr>
        <w:tc>
          <w:tcPr>
            <w:tcW w:w="2263" w:type="dxa"/>
          </w:tcPr>
          <w:p w:rsidR="009A24EB" w:rsidRPr="002628D0" w:rsidRDefault="009A24EB" w:rsidP="00FE0908">
            <w:pPr>
              <w:pStyle w:val="Bezatstarpm"/>
            </w:pPr>
            <w:r w:rsidRPr="002628D0">
              <w:t> 5.3. pašvaldību budžets</w:t>
            </w:r>
          </w:p>
        </w:tc>
        <w:tc>
          <w:tcPr>
            <w:tcW w:w="1134" w:type="dxa"/>
            <w:vMerge/>
          </w:tcPr>
          <w:p w:rsidR="009A24EB" w:rsidRPr="002628D0" w:rsidRDefault="009A24EB" w:rsidP="00FE0908">
            <w:pPr>
              <w:pStyle w:val="Bezatstarpm"/>
            </w:pPr>
          </w:p>
        </w:tc>
        <w:tc>
          <w:tcPr>
            <w:tcW w:w="1707" w:type="dxa"/>
          </w:tcPr>
          <w:p w:rsidR="009A24EB" w:rsidRPr="002628D0" w:rsidRDefault="009A24EB" w:rsidP="00FE0908">
            <w:pPr>
              <w:pStyle w:val="Bezatstarpm"/>
            </w:pPr>
            <w:r w:rsidRPr="002628D0">
              <w:t>0</w:t>
            </w:r>
          </w:p>
        </w:tc>
        <w:tc>
          <w:tcPr>
            <w:tcW w:w="1559" w:type="dxa"/>
          </w:tcPr>
          <w:p w:rsidR="009A24EB" w:rsidRPr="002628D0" w:rsidRDefault="009A24EB" w:rsidP="00FE0908">
            <w:pPr>
              <w:pStyle w:val="Bezatstarpm"/>
              <w:jc w:val="center"/>
            </w:pPr>
            <w:r w:rsidRPr="002628D0">
              <w:t>0</w:t>
            </w:r>
          </w:p>
        </w:tc>
        <w:tc>
          <w:tcPr>
            <w:tcW w:w="1560" w:type="dxa"/>
          </w:tcPr>
          <w:p w:rsidR="009A24EB" w:rsidRPr="002628D0" w:rsidRDefault="009A24EB" w:rsidP="00FE0908">
            <w:pPr>
              <w:pStyle w:val="Bezatstarpm"/>
              <w:jc w:val="center"/>
            </w:pPr>
            <w:r w:rsidRPr="002628D0">
              <w:t>0</w:t>
            </w:r>
          </w:p>
        </w:tc>
        <w:tc>
          <w:tcPr>
            <w:tcW w:w="1531" w:type="dxa"/>
          </w:tcPr>
          <w:p w:rsidR="009A24EB" w:rsidRPr="002628D0" w:rsidRDefault="009A24EB" w:rsidP="00FE0908">
            <w:pPr>
              <w:pStyle w:val="Bezatstarpm"/>
              <w:jc w:val="center"/>
            </w:pPr>
            <w:r w:rsidRPr="002628D0">
              <w:t>0</w:t>
            </w:r>
          </w:p>
        </w:tc>
      </w:tr>
      <w:tr w:rsidR="002628D0" w:rsidRPr="0055226C" w:rsidTr="00FE0908">
        <w:tc>
          <w:tcPr>
            <w:tcW w:w="2263" w:type="dxa"/>
          </w:tcPr>
          <w:p w:rsidR="009A24EB" w:rsidRPr="002628D0" w:rsidRDefault="009A24EB" w:rsidP="00FE0908">
            <w:pPr>
              <w:pStyle w:val="Bezatstarpm"/>
              <w:jc w:val="both"/>
            </w:pPr>
            <w:r w:rsidRPr="002628D0">
              <w:t>6. Detalizēts ieņēmumu un izdevu</w:t>
            </w:r>
            <w:r w:rsidRPr="002628D0">
              <w:softHyphen/>
              <w:t>mu aprēķins (ja nepieciešams, detalizētu ieņēmumu un izdevumu aprēķinu var pievienot anotācijas pielikumā):</w:t>
            </w:r>
          </w:p>
        </w:tc>
        <w:tc>
          <w:tcPr>
            <w:tcW w:w="7506" w:type="dxa"/>
            <w:gridSpan w:val="6"/>
            <w:vMerge w:val="restart"/>
          </w:tcPr>
          <w:p w:rsidR="009A24EB" w:rsidRPr="002628D0" w:rsidRDefault="009A24EB" w:rsidP="00FE0908">
            <w:pPr>
              <w:pStyle w:val="Bezatstarpm"/>
              <w:jc w:val="both"/>
            </w:pPr>
            <w:r w:rsidRPr="002628D0">
              <w:t xml:space="preserve">Ar Ministru kabineta 2017. gada 21. februāra rīkojumu Nr.90 “Par finanšu līdzekļu piešķiršanu no valsts budžeta programmas “Līdzekļi neparedzētiem gadījumiem”” (turpmāk – rīkojums Nr. 90) Zemkopības ministrijai tika piešķirti </w:t>
            </w:r>
            <w:r w:rsidRPr="002628D0">
              <w:rPr>
                <w:b/>
              </w:rPr>
              <w:t>194</w:t>
            </w:r>
            <w:r w:rsidR="009118C7" w:rsidRPr="002628D0">
              <w:rPr>
                <w:b/>
              </w:rPr>
              <w:t>1</w:t>
            </w:r>
            <w:r w:rsidRPr="002628D0">
              <w:rPr>
                <w:b/>
              </w:rPr>
              <w:t xml:space="preserve"> </w:t>
            </w:r>
            <w:proofErr w:type="spellStart"/>
            <w:r w:rsidRPr="002628D0">
              <w:rPr>
                <w:b/>
                <w:i/>
              </w:rPr>
              <w:t>euro</w:t>
            </w:r>
            <w:proofErr w:type="spellEnd"/>
            <w:r w:rsidRPr="002628D0">
              <w:t xml:space="preserve"> no valsts budžeta programmas 02.00.00. „Līdzekļi neparedzētiem gadījumiem” kompensāciju izmaksai vienam dzīvnieku īpašniekam. </w:t>
            </w:r>
          </w:p>
          <w:p w:rsidR="009A24EB" w:rsidRPr="002628D0" w:rsidRDefault="009A24EB" w:rsidP="00FE0908">
            <w:pPr>
              <w:pStyle w:val="Bezatstarpm"/>
              <w:jc w:val="both"/>
            </w:pPr>
            <w:r w:rsidRPr="002628D0">
              <w:t xml:space="preserve">Ar Ministru kabineta 2017. gada 28. marta rīkojumu Nr.158 “Par finanšu līdzekļu piešķiršanu no valsts budžeta programmas “Līdzekļi neparedzētiem gadījumiem”” (turpmāk – rīkojums Nr.158) Zemkopības ministrijai tika piešķirti </w:t>
            </w:r>
            <w:r w:rsidRPr="002628D0">
              <w:rPr>
                <w:b/>
              </w:rPr>
              <w:t xml:space="preserve">1 546 062 </w:t>
            </w:r>
            <w:proofErr w:type="spellStart"/>
            <w:r w:rsidRPr="002628D0">
              <w:rPr>
                <w:b/>
                <w:i/>
              </w:rPr>
              <w:t>euro</w:t>
            </w:r>
            <w:proofErr w:type="spellEnd"/>
            <w:r w:rsidRPr="002628D0">
              <w:t xml:space="preserve"> no valsts budžeta programmas 02.00.00. „Līdzekļi neparedzētiem gadījumiem” kompensāciju izmaksai trim dzīvnieku īpašniekiem. </w:t>
            </w:r>
          </w:p>
          <w:p w:rsidR="009A24EB" w:rsidRPr="002628D0" w:rsidRDefault="009A24EB" w:rsidP="00FE0908">
            <w:pPr>
              <w:pStyle w:val="Bezatstarpm"/>
              <w:jc w:val="both"/>
            </w:pPr>
            <w:r w:rsidRPr="002628D0">
              <w:t xml:space="preserve">Ar Ministru kabineta 2017. gada 17. maija rīkojumu Nr. 240 “Par finanšu līdzekļu piešķiršanu no valsts budžeta programmas “Līdzekļi neparedzētiem gadījumiem”” (turpmāk – rīkojums Nr. 240) Zemkopības ministrijai tika piešķirti </w:t>
            </w:r>
            <w:r w:rsidRPr="002628D0">
              <w:rPr>
                <w:b/>
              </w:rPr>
              <w:t xml:space="preserve">148 419 </w:t>
            </w:r>
            <w:proofErr w:type="spellStart"/>
            <w:r w:rsidRPr="002628D0">
              <w:rPr>
                <w:b/>
                <w:i/>
              </w:rPr>
              <w:t>euro</w:t>
            </w:r>
            <w:proofErr w:type="spellEnd"/>
            <w:r w:rsidRPr="002628D0">
              <w:t xml:space="preserve"> no valsts budžeta programmas 02.00.00. „Līdzekļi neparedzētiem gadījumiem” kompensāciju izmaksai trim dzīvnieku īpašniekiem.</w:t>
            </w:r>
          </w:p>
          <w:p w:rsidR="009A24EB" w:rsidRPr="002628D0" w:rsidRDefault="009A24EB" w:rsidP="00FE0908">
            <w:pPr>
              <w:pStyle w:val="Bezatstarpm"/>
              <w:jc w:val="both"/>
            </w:pPr>
          </w:p>
          <w:p w:rsidR="009A24EB" w:rsidRPr="002628D0" w:rsidRDefault="009A24EB" w:rsidP="00FE0908">
            <w:pPr>
              <w:pStyle w:val="Bezatstarpm"/>
              <w:jc w:val="both"/>
            </w:pPr>
            <w:r w:rsidRPr="002628D0">
              <w:t xml:space="preserve">Kopā 2017. gadā no valsts budžeta programmas 02.00.00. „Līdzekļi neparedzētiem gadījumiem” Zemkopības ministrijai kompensāciju izmaksai piešķirti </w:t>
            </w:r>
            <w:r w:rsidRPr="002628D0">
              <w:rPr>
                <w:b/>
              </w:rPr>
              <w:t>1</w:t>
            </w:r>
            <w:r w:rsidR="00854776" w:rsidRPr="002628D0">
              <w:rPr>
                <w:b/>
              </w:rPr>
              <w:t> </w:t>
            </w:r>
            <w:r w:rsidRPr="002628D0">
              <w:rPr>
                <w:b/>
              </w:rPr>
              <w:t>69</w:t>
            </w:r>
            <w:r w:rsidR="00854776" w:rsidRPr="002628D0">
              <w:rPr>
                <w:b/>
              </w:rPr>
              <w:t>6 422</w:t>
            </w:r>
            <w:r w:rsidRPr="002628D0">
              <w:rPr>
                <w:b/>
              </w:rPr>
              <w:t xml:space="preserve"> </w:t>
            </w:r>
            <w:proofErr w:type="spellStart"/>
            <w:r w:rsidRPr="002628D0">
              <w:rPr>
                <w:b/>
                <w:i/>
              </w:rPr>
              <w:t>euro</w:t>
            </w:r>
            <w:proofErr w:type="spellEnd"/>
            <w:r w:rsidRPr="002628D0">
              <w:t xml:space="preserve">. </w:t>
            </w:r>
          </w:p>
          <w:p w:rsidR="009A24EB" w:rsidRPr="002628D0" w:rsidRDefault="009A24EB" w:rsidP="00FE0908">
            <w:pPr>
              <w:pStyle w:val="Bezatstarpm"/>
              <w:jc w:val="both"/>
            </w:pPr>
          </w:p>
          <w:p w:rsidR="009A24EB" w:rsidRPr="002628D0" w:rsidRDefault="009A24EB" w:rsidP="00FE0908">
            <w:pPr>
              <w:pStyle w:val="Bezatstarpm"/>
              <w:jc w:val="both"/>
            </w:pPr>
            <w:r w:rsidRPr="002628D0">
              <w:t xml:space="preserve">Detalizēts pieprasīto kompensāciju aprēķins ir </w:t>
            </w:r>
            <w:proofErr w:type="gramStart"/>
            <w:r w:rsidRPr="002628D0">
              <w:t>sniegts</w:t>
            </w:r>
            <w:r w:rsidR="003F4454">
              <w:t xml:space="preserve"> </w:t>
            </w:r>
            <w:r w:rsidRPr="002628D0">
              <w:t>rīkojumu</w:t>
            </w:r>
            <w:proofErr w:type="gramEnd"/>
            <w:r w:rsidRPr="002628D0">
              <w:t xml:space="preserve"> Nr.90, Nr. 158 un Nr. 240 anotācijā:</w:t>
            </w:r>
          </w:p>
          <w:p w:rsidR="009A24EB" w:rsidRPr="002628D0" w:rsidRDefault="0055226C" w:rsidP="00FE0908">
            <w:pPr>
              <w:rPr>
                <w:rFonts w:ascii="Times New Roman" w:hAnsi="Times New Roman" w:cs="Times New Roman"/>
                <w:sz w:val="24"/>
                <w:szCs w:val="24"/>
              </w:rPr>
            </w:pPr>
            <w:hyperlink r:id="rId7" w:history="1">
              <w:r w:rsidR="009A24EB" w:rsidRPr="002628D0">
                <w:rPr>
                  <w:rStyle w:val="Hipersaite"/>
                  <w:rFonts w:ascii="Times New Roman" w:hAnsi="Times New Roman" w:cs="Times New Roman"/>
                  <w:color w:val="auto"/>
                  <w:sz w:val="24"/>
                  <w:szCs w:val="24"/>
                </w:rPr>
                <w:t>https://likumi.lv/ta/id/288917-par-finansu-lidzeklu-pieskirsanu-no-valsts-budzeta-programmas-lidzekli-neparedzetiem-gadijumiem</w:t>
              </w:r>
            </w:hyperlink>
            <w:r w:rsidR="009A24EB" w:rsidRPr="002628D0">
              <w:rPr>
                <w:rFonts w:ascii="Times New Roman" w:hAnsi="Times New Roman" w:cs="Times New Roman"/>
                <w:sz w:val="24"/>
                <w:szCs w:val="24"/>
              </w:rPr>
              <w:t xml:space="preserve"> </w:t>
            </w:r>
          </w:p>
          <w:p w:rsidR="009A24EB" w:rsidRPr="002628D0" w:rsidRDefault="009A24EB" w:rsidP="00FE0908">
            <w:pPr>
              <w:rPr>
                <w:rFonts w:ascii="Times New Roman" w:hAnsi="Times New Roman" w:cs="Times New Roman"/>
                <w:sz w:val="24"/>
                <w:szCs w:val="24"/>
              </w:rPr>
            </w:pPr>
          </w:p>
          <w:p w:rsidR="009A24EB" w:rsidRPr="002628D0" w:rsidRDefault="0055226C" w:rsidP="00FE0908">
            <w:pPr>
              <w:rPr>
                <w:rFonts w:ascii="Times New Roman" w:hAnsi="Times New Roman" w:cs="Times New Roman"/>
                <w:sz w:val="24"/>
                <w:szCs w:val="24"/>
              </w:rPr>
            </w:pPr>
            <w:hyperlink r:id="rId8" w:history="1">
              <w:r w:rsidR="009A24EB" w:rsidRPr="002628D0">
                <w:rPr>
                  <w:rStyle w:val="Hipersaite"/>
                  <w:rFonts w:ascii="Times New Roman" w:hAnsi="Times New Roman" w:cs="Times New Roman"/>
                  <w:color w:val="auto"/>
                  <w:sz w:val="24"/>
                  <w:szCs w:val="24"/>
                </w:rPr>
                <w:t>https://likumi.lv/doc.php?id=289775</w:t>
              </w:r>
            </w:hyperlink>
            <w:r w:rsidR="009A24EB" w:rsidRPr="002628D0">
              <w:rPr>
                <w:rFonts w:ascii="Times New Roman" w:hAnsi="Times New Roman" w:cs="Times New Roman"/>
                <w:sz w:val="24"/>
                <w:szCs w:val="24"/>
              </w:rPr>
              <w:t xml:space="preserve"> </w:t>
            </w:r>
          </w:p>
          <w:p w:rsidR="009A24EB" w:rsidRPr="002628D0" w:rsidRDefault="009A24EB" w:rsidP="00FE0908">
            <w:pPr>
              <w:rPr>
                <w:rFonts w:ascii="Times New Roman" w:hAnsi="Times New Roman" w:cs="Times New Roman"/>
                <w:sz w:val="24"/>
                <w:szCs w:val="24"/>
              </w:rPr>
            </w:pPr>
          </w:p>
          <w:p w:rsidR="009A24EB" w:rsidRPr="002628D0" w:rsidRDefault="0055226C" w:rsidP="00FE0908">
            <w:pPr>
              <w:rPr>
                <w:rFonts w:ascii="Times New Roman" w:hAnsi="Times New Roman" w:cs="Times New Roman"/>
                <w:sz w:val="24"/>
                <w:szCs w:val="24"/>
              </w:rPr>
            </w:pPr>
            <w:hyperlink r:id="rId9" w:history="1">
              <w:r w:rsidR="009A24EB" w:rsidRPr="002628D0">
                <w:rPr>
                  <w:rStyle w:val="Hipersaite"/>
                  <w:rFonts w:ascii="Times New Roman" w:hAnsi="Times New Roman" w:cs="Times New Roman"/>
                  <w:color w:val="auto"/>
                  <w:sz w:val="24"/>
                  <w:szCs w:val="24"/>
                </w:rPr>
                <w:t>https://likumi.lv/ta/id/290861-par-finansu-lidzeklu-pieskirsanu-no-valsts-budzeta-programmas-lidzekli-neparedzetiem-gadijumiem</w:t>
              </w:r>
            </w:hyperlink>
            <w:r w:rsidR="009A24EB" w:rsidRPr="002628D0">
              <w:rPr>
                <w:rFonts w:ascii="Times New Roman" w:hAnsi="Times New Roman" w:cs="Times New Roman"/>
                <w:sz w:val="24"/>
                <w:szCs w:val="24"/>
              </w:rPr>
              <w:t xml:space="preserve"> </w:t>
            </w:r>
          </w:p>
          <w:p w:rsidR="009A24EB" w:rsidRPr="002628D0" w:rsidRDefault="009A24EB" w:rsidP="00FE0908">
            <w:pPr>
              <w:rPr>
                <w:rFonts w:ascii="Times New Roman" w:hAnsi="Times New Roman" w:cs="Times New Roman"/>
                <w:sz w:val="24"/>
                <w:szCs w:val="24"/>
              </w:rPr>
            </w:pPr>
          </w:p>
          <w:p w:rsidR="009A24EB" w:rsidRPr="002628D0" w:rsidRDefault="009A24EB" w:rsidP="00FE0908">
            <w:pPr>
              <w:jc w:val="both"/>
              <w:rPr>
                <w:rFonts w:ascii="Times New Roman" w:hAnsi="Times New Roman" w:cs="Times New Roman"/>
                <w:sz w:val="24"/>
                <w:szCs w:val="24"/>
              </w:rPr>
            </w:pPr>
            <w:r w:rsidRPr="002628D0">
              <w:rPr>
                <w:rFonts w:ascii="Times New Roman" w:hAnsi="Times New Roman" w:cs="Times New Roman"/>
                <w:sz w:val="24"/>
                <w:szCs w:val="24"/>
              </w:rPr>
              <w:t xml:space="preserve">Saskaņā ar noteikumu Nr.177 2. pielikuma 15. punktu (cits nebrīvē audzēts pieaudzis pārnadzis) kompensāciju izmaksas par vienu </w:t>
            </w:r>
            <w:r w:rsidRPr="002628D0">
              <w:rPr>
                <w:rFonts w:ascii="Times New Roman" w:hAnsi="Times New Roman" w:cs="Times New Roman"/>
                <w:bCs/>
                <w:sz w:val="24"/>
                <w:szCs w:val="24"/>
              </w:rPr>
              <w:t xml:space="preserve">piespiedu kārtā nokautu un iznīcinātu </w:t>
            </w:r>
            <w:r w:rsidRPr="002628D0">
              <w:rPr>
                <w:rFonts w:ascii="Times New Roman" w:hAnsi="Times New Roman" w:cs="Times New Roman"/>
                <w:sz w:val="24"/>
                <w:szCs w:val="24"/>
              </w:rPr>
              <w:t xml:space="preserve">briežu dzimtas dzīvnieku </w:t>
            </w:r>
            <w:r w:rsidR="00370EA5" w:rsidRPr="002628D0">
              <w:rPr>
                <w:rFonts w:ascii="Times New Roman" w:hAnsi="Times New Roman" w:cs="Times New Roman"/>
                <w:sz w:val="24"/>
                <w:szCs w:val="24"/>
              </w:rPr>
              <w:t xml:space="preserve">HNS uzliesmojuma gadījumā </w:t>
            </w:r>
            <w:r w:rsidRPr="002628D0">
              <w:rPr>
                <w:rFonts w:ascii="Times New Roman" w:hAnsi="Times New Roman" w:cs="Times New Roman"/>
                <w:sz w:val="24"/>
                <w:szCs w:val="24"/>
              </w:rPr>
              <w:t xml:space="preserve">ir </w:t>
            </w:r>
            <w:r w:rsidRPr="002628D0">
              <w:rPr>
                <w:rFonts w:ascii="Times New Roman" w:hAnsi="Times New Roman" w:cs="Times New Roman"/>
                <w:b/>
                <w:sz w:val="24"/>
                <w:szCs w:val="24"/>
              </w:rPr>
              <w:t>142,29</w:t>
            </w:r>
            <w:r w:rsidR="00E24AFF">
              <w:rPr>
                <w:rFonts w:ascii="Times New Roman" w:hAnsi="Times New Roman" w:cs="Times New Roman"/>
                <w:sz w:val="24"/>
                <w:szCs w:val="24"/>
              </w:rPr>
              <w:t xml:space="preserve"> </w:t>
            </w:r>
            <w:proofErr w:type="spellStart"/>
            <w:r w:rsidR="00E24AFF" w:rsidRPr="00E24AFF">
              <w:rPr>
                <w:rFonts w:ascii="Times New Roman" w:hAnsi="Times New Roman" w:cs="Times New Roman"/>
                <w:i/>
                <w:sz w:val="24"/>
                <w:szCs w:val="24"/>
              </w:rPr>
              <w:t>eu</w:t>
            </w:r>
            <w:r w:rsidRPr="00E24AFF">
              <w:rPr>
                <w:rFonts w:ascii="Times New Roman" w:hAnsi="Times New Roman" w:cs="Times New Roman"/>
                <w:i/>
                <w:sz w:val="24"/>
                <w:szCs w:val="24"/>
              </w:rPr>
              <w:t>ro</w:t>
            </w:r>
            <w:proofErr w:type="spellEnd"/>
            <w:r w:rsidRPr="002628D0">
              <w:rPr>
                <w:rFonts w:ascii="Times New Roman" w:hAnsi="Times New Roman" w:cs="Times New Roman"/>
                <w:sz w:val="24"/>
                <w:szCs w:val="24"/>
              </w:rPr>
              <w:t xml:space="preserve">. </w:t>
            </w:r>
            <w:r w:rsidR="00A57C18" w:rsidRPr="002628D0">
              <w:rPr>
                <w:rFonts w:ascii="Times New Roman" w:hAnsi="Times New Roman" w:cs="Times New Roman"/>
                <w:sz w:val="24"/>
                <w:szCs w:val="24"/>
              </w:rPr>
              <w:t xml:space="preserve">Pamatojoties uz epizootisko situāciju Eiropā, tiek pieļauta varbūtība, ka valstī </w:t>
            </w:r>
            <w:r w:rsidRPr="002628D0">
              <w:rPr>
                <w:rFonts w:ascii="Times New Roman" w:hAnsi="Times New Roman" w:cs="Times New Roman"/>
                <w:sz w:val="24"/>
                <w:szCs w:val="24"/>
              </w:rPr>
              <w:t xml:space="preserve">gada laikā varētu būt trīs </w:t>
            </w:r>
            <w:r w:rsidRPr="002628D0">
              <w:rPr>
                <w:rFonts w:ascii="Times New Roman" w:hAnsi="Times New Roman" w:cs="Times New Roman"/>
                <w:bCs/>
                <w:sz w:val="24"/>
                <w:szCs w:val="24"/>
              </w:rPr>
              <w:t xml:space="preserve">briežu dzimtas </w:t>
            </w:r>
            <w:r w:rsidRPr="002628D0">
              <w:rPr>
                <w:rFonts w:ascii="Times New Roman" w:hAnsi="Times New Roman" w:cs="Times New Roman"/>
                <w:bCs/>
                <w:sz w:val="24"/>
                <w:szCs w:val="24"/>
              </w:rPr>
              <w:lastRenderedPageBreak/>
              <w:t xml:space="preserve">dzīvnieku </w:t>
            </w:r>
            <w:r w:rsidRPr="002628D0">
              <w:rPr>
                <w:rFonts w:ascii="Times New Roman" w:hAnsi="Times New Roman" w:cs="Times New Roman"/>
                <w:sz w:val="24"/>
                <w:szCs w:val="24"/>
              </w:rPr>
              <w:t xml:space="preserve">saslimšanas gadījumi ar HNS. </w:t>
            </w:r>
            <w:r w:rsidR="001A2534">
              <w:rPr>
                <w:rFonts w:ascii="Times New Roman" w:hAnsi="Times New Roman" w:cs="Times New Roman"/>
                <w:sz w:val="24"/>
                <w:szCs w:val="24"/>
              </w:rPr>
              <w:t>Tādējādi</w:t>
            </w:r>
            <w:r w:rsidRPr="002628D0">
              <w:rPr>
                <w:rFonts w:ascii="Times New Roman" w:hAnsi="Times New Roman" w:cs="Times New Roman"/>
                <w:sz w:val="24"/>
                <w:szCs w:val="24"/>
              </w:rPr>
              <w:t xml:space="preserve"> 2017. gadā un turpmākajos gados nepieciešamais finansējums kompensācijai par </w:t>
            </w:r>
            <w:r w:rsidRPr="002628D0">
              <w:rPr>
                <w:rFonts w:ascii="Times New Roman" w:hAnsi="Times New Roman" w:cs="Times New Roman"/>
                <w:bCs/>
                <w:sz w:val="24"/>
                <w:szCs w:val="24"/>
              </w:rPr>
              <w:t xml:space="preserve">piespiedu kārtā nokautu un iznīcinātu briežu dzimtas dzīvnieku iežogotajās platībās </w:t>
            </w:r>
            <w:r w:rsidRPr="002628D0">
              <w:rPr>
                <w:rFonts w:ascii="Times New Roman" w:hAnsi="Times New Roman" w:cs="Times New Roman"/>
                <w:sz w:val="24"/>
                <w:szCs w:val="24"/>
              </w:rPr>
              <w:t xml:space="preserve">varētu būt </w:t>
            </w:r>
            <w:r w:rsidRPr="002628D0">
              <w:rPr>
                <w:rFonts w:ascii="Times New Roman" w:hAnsi="Times New Roman" w:cs="Times New Roman"/>
                <w:b/>
                <w:sz w:val="24"/>
                <w:szCs w:val="24"/>
              </w:rPr>
              <w:t>426,87</w:t>
            </w:r>
            <w:r w:rsidR="005A2FE2">
              <w:rPr>
                <w:rFonts w:ascii="Times New Roman" w:hAnsi="Times New Roman" w:cs="Times New Roman"/>
                <w:sz w:val="24"/>
                <w:szCs w:val="24"/>
              </w:rPr>
              <w:t xml:space="preserve"> </w:t>
            </w:r>
            <w:proofErr w:type="spellStart"/>
            <w:r w:rsidR="005A2FE2" w:rsidRPr="005A2FE2">
              <w:rPr>
                <w:rFonts w:ascii="Times New Roman" w:hAnsi="Times New Roman" w:cs="Times New Roman"/>
                <w:i/>
                <w:sz w:val="24"/>
                <w:szCs w:val="24"/>
              </w:rPr>
              <w:t>eu</w:t>
            </w:r>
            <w:r w:rsidRPr="005A2FE2">
              <w:rPr>
                <w:rFonts w:ascii="Times New Roman" w:hAnsi="Times New Roman" w:cs="Times New Roman"/>
                <w:i/>
                <w:sz w:val="24"/>
                <w:szCs w:val="24"/>
              </w:rPr>
              <w:t>ro</w:t>
            </w:r>
            <w:proofErr w:type="spellEnd"/>
            <w:r w:rsidRPr="002628D0">
              <w:rPr>
                <w:rFonts w:ascii="Times New Roman" w:hAnsi="Times New Roman" w:cs="Times New Roman"/>
                <w:sz w:val="24"/>
                <w:szCs w:val="24"/>
              </w:rPr>
              <w:t>.</w:t>
            </w:r>
          </w:p>
          <w:p w:rsidR="009A24EB" w:rsidRPr="002628D0" w:rsidRDefault="009A24EB" w:rsidP="00FE0908">
            <w:pPr>
              <w:jc w:val="both"/>
              <w:rPr>
                <w:rFonts w:ascii="Times New Roman" w:hAnsi="Times New Roman" w:cs="Times New Roman"/>
                <w:sz w:val="24"/>
                <w:szCs w:val="24"/>
              </w:rPr>
            </w:pPr>
          </w:p>
        </w:tc>
      </w:tr>
      <w:tr w:rsidR="002628D0" w:rsidRPr="002628D0" w:rsidTr="00FE0908">
        <w:tc>
          <w:tcPr>
            <w:tcW w:w="2263" w:type="dxa"/>
          </w:tcPr>
          <w:p w:rsidR="009A24EB" w:rsidRPr="002628D0" w:rsidRDefault="009A24EB" w:rsidP="00FE0908">
            <w:pPr>
              <w:pStyle w:val="Bezatstarpm"/>
            </w:pPr>
            <w:r w:rsidRPr="002628D0">
              <w:t>6.1. detalizēts ieņēmumu aprēķins</w:t>
            </w:r>
          </w:p>
        </w:tc>
        <w:tc>
          <w:tcPr>
            <w:tcW w:w="7506" w:type="dxa"/>
            <w:gridSpan w:val="6"/>
            <w:vMerge/>
          </w:tcPr>
          <w:p w:rsidR="009A24EB" w:rsidRPr="002628D0" w:rsidRDefault="009A24EB" w:rsidP="00FE0908">
            <w:pPr>
              <w:rPr>
                <w:rFonts w:ascii="Times New Roman" w:hAnsi="Times New Roman" w:cs="Times New Roman"/>
                <w:sz w:val="24"/>
                <w:szCs w:val="24"/>
              </w:rPr>
            </w:pPr>
          </w:p>
        </w:tc>
      </w:tr>
      <w:tr w:rsidR="002628D0" w:rsidRPr="002628D0" w:rsidTr="00FE0908">
        <w:tc>
          <w:tcPr>
            <w:tcW w:w="2263" w:type="dxa"/>
          </w:tcPr>
          <w:p w:rsidR="009A24EB" w:rsidRPr="002628D0" w:rsidRDefault="009A24EB" w:rsidP="00FE0908">
            <w:pPr>
              <w:pStyle w:val="Bezatstarpm"/>
            </w:pPr>
            <w:r w:rsidRPr="002628D0">
              <w:t>6.2. detalizēts izdevumu aprēķins</w:t>
            </w:r>
          </w:p>
        </w:tc>
        <w:tc>
          <w:tcPr>
            <w:tcW w:w="7506" w:type="dxa"/>
            <w:gridSpan w:val="6"/>
            <w:vMerge/>
          </w:tcPr>
          <w:p w:rsidR="009A24EB" w:rsidRPr="002628D0" w:rsidRDefault="009A24EB" w:rsidP="00FE0908">
            <w:pPr>
              <w:rPr>
                <w:rFonts w:ascii="Times New Roman" w:hAnsi="Times New Roman" w:cs="Times New Roman"/>
                <w:sz w:val="24"/>
                <w:szCs w:val="24"/>
              </w:rPr>
            </w:pPr>
          </w:p>
        </w:tc>
      </w:tr>
      <w:tr w:rsidR="002628D0" w:rsidRPr="0055226C" w:rsidTr="00FE0908">
        <w:tc>
          <w:tcPr>
            <w:tcW w:w="2263" w:type="dxa"/>
          </w:tcPr>
          <w:p w:rsidR="009A24EB" w:rsidRPr="002628D0" w:rsidRDefault="009A24EB" w:rsidP="00FE0908">
            <w:pPr>
              <w:pStyle w:val="Bezatstarpm"/>
            </w:pPr>
            <w:r w:rsidRPr="002628D0">
              <w:t>7. Cita informācija</w:t>
            </w:r>
          </w:p>
        </w:tc>
        <w:tc>
          <w:tcPr>
            <w:tcW w:w="7506" w:type="dxa"/>
            <w:gridSpan w:val="6"/>
          </w:tcPr>
          <w:p w:rsidR="009A24EB" w:rsidRPr="002628D0" w:rsidRDefault="009A24EB" w:rsidP="00FE0908">
            <w:pPr>
              <w:pStyle w:val="Bezatstarpm"/>
              <w:jc w:val="both"/>
            </w:pPr>
            <w:r w:rsidRPr="002628D0">
              <w:t xml:space="preserve">Kompensācijas tiek izmaksātas no valsts budžeta programmas 02.00.00. „Līdzekļi neparedzētiem gadījumiem”, un līdzekļi kompensāciju izmaksai tiek pieprasīti saskaņā ar Ministru kabineta 2009. gada 22. decembra noteikumiem Nr. 1644 „Kārtība, kādā pieprasa un izlieto budžeta programmas „Līdzekļi neparedzētiem gadījumiem” līdzekļus”. </w:t>
            </w:r>
          </w:p>
        </w:tc>
      </w:tr>
    </w:tbl>
    <w:p w:rsidR="009A24EB" w:rsidRPr="002628D0" w:rsidRDefault="009A24EB" w:rsidP="005A594C">
      <w:pPr>
        <w:pStyle w:val="Bezatstarpm"/>
        <w:jc w:val="both"/>
        <w:rPr>
          <w:i/>
        </w:rPr>
      </w:pPr>
    </w:p>
    <w:p w:rsidR="00CF1237" w:rsidRPr="002628D0" w:rsidRDefault="00CF1237" w:rsidP="005A594C">
      <w:pPr>
        <w:pStyle w:val="Bezatstarpm"/>
        <w:jc w:val="both"/>
        <w:rPr>
          <w:i/>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2442"/>
        <w:gridCol w:w="5974"/>
      </w:tblGrid>
      <w:tr w:rsidR="002628D0" w:rsidRPr="0055226C" w:rsidTr="007755EE">
        <w:tc>
          <w:tcPr>
            <w:tcW w:w="9327" w:type="dxa"/>
            <w:gridSpan w:val="3"/>
          </w:tcPr>
          <w:p w:rsidR="007755EE" w:rsidRPr="002628D0" w:rsidRDefault="007755EE" w:rsidP="005B6FBD">
            <w:pPr>
              <w:pStyle w:val="naisnod"/>
              <w:spacing w:before="0" w:after="0"/>
              <w:jc w:val="center"/>
              <w:rPr>
                <w:b/>
              </w:rPr>
            </w:pPr>
            <w:r w:rsidRPr="002628D0">
              <w:rPr>
                <w:b/>
              </w:rPr>
              <w:t>IV. Tiesību akta projekta ietekme uz spēkā esošo tiesību normu sistēmu</w:t>
            </w:r>
          </w:p>
        </w:tc>
      </w:tr>
      <w:tr w:rsidR="002628D0" w:rsidRPr="0055226C" w:rsidTr="007755EE">
        <w:tc>
          <w:tcPr>
            <w:tcW w:w="911" w:type="dxa"/>
          </w:tcPr>
          <w:p w:rsidR="007755EE" w:rsidRPr="002628D0" w:rsidRDefault="007755EE" w:rsidP="005B6FBD">
            <w:pPr>
              <w:pStyle w:val="Galvene"/>
              <w:tabs>
                <w:tab w:val="left" w:pos="2628"/>
              </w:tabs>
              <w:jc w:val="both"/>
              <w:rPr>
                <w:iCs/>
              </w:rPr>
            </w:pPr>
            <w:r w:rsidRPr="002628D0">
              <w:rPr>
                <w:iCs/>
              </w:rPr>
              <w:t>1.</w:t>
            </w:r>
          </w:p>
        </w:tc>
        <w:tc>
          <w:tcPr>
            <w:tcW w:w="2442" w:type="dxa"/>
          </w:tcPr>
          <w:p w:rsidR="007755EE" w:rsidRPr="002628D0" w:rsidRDefault="007755EE" w:rsidP="005B6FBD">
            <w:pPr>
              <w:pStyle w:val="Galvene"/>
              <w:tabs>
                <w:tab w:val="left" w:pos="2628"/>
              </w:tabs>
              <w:jc w:val="both"/>
              <w:rPr>
                <w:iCs/>
              </w:rPr>
            </w:pPr>
            <w:r w:rsidRPr="002628D0">
              <w:t>Nepieciešamie saistītie tiesību aktu projekti</w:t>
            </w:r>
          </w:p>
        </w:tc>
        <w:tc>
          <w:tcPr>
            <w:tcW w:w="5974" w:type="dxa"/>
          </w:tcPr>
          <w:p w:rsidR="007755EE" w:rsidRPr="002628D0" w:rsidRDefault="007755EE" w:rsidP="007755EE">
            <w:pPr>
              <w:pStyle w:val="naiskr"/>
              <w:spacing w:before="0" w:beforeAutospacing="0" w:after="0" w:afterAutospacing="0"/>
              <w:jc w:val="both"/>
              <w:rPr>
                <w:b/>
              </w:rPr>
            </w:pPr>
            <w:r w:rsidRPr="002628D0">
              <w:rPr>
                <w:rFonts w:eastAsia="Arial Unicode MS"/>
              </w:rPr>
              <w:t>Nepieciešam</w:t>
            </w:r>
            <w:r w:rsidR="00532BB5" w:rsidRPr="002628D0">
              <w:rPr>
                <w:rFonts w:eastAsia="Arial Unicode MS"/>
              </w:rPr>
              <w:t>s</w:t>
            </w:r>
            <w:r w:rsidRPr="002628D0">
              <w:rPr>
                <w:rFonts w:eastAsia="Arial Unicode MS"/>
              </w:rPr>
              <w:t xml:space="preserve"> </w:t>
            </w:r>
            <w:r w:rsidR="00607443" w:rsidRPr="002628D0">
              <w:t>sagatavot</w:t>
            </w:r>
            <w:r w:rsidRPr="002628D0">
              <w:t xml:space="preserve"> Ministru kabineta noteikum</w:t>
            </w:r>
            <w:r w:rsidR="00607443" w:rsidRPr="002628D0">
              <w:t>u</w:t>
            </w:r>
            <w:r w:rsidRPr="002628D0">
              <w:t xml:space="preserve"> projektu „Hroniskās novājēšanas slimības uzraudzības un kontroles </w:t>
            </w:r>
            <w:r w:rsidR="00335895" w:rsidRPr="002628D0">
              <w:t>kārtība</w:t>
            </w:r>
            <w:r w:rsidRPr="002628D0">
              <w:t>”</w:t>
            </w:r>
            <w:r w:rsidR="005D60B8" w:rsidRPr="002628D0">
              <w:t xml:space="preserve"> (VSS</w:t>
            </w:r>
            <w:r w:rsidR="00607443" w:rsidRPr="002628D0">
              <w:t>-</w:t>
            </w:r>
            <w:r w:rsidR="005D60B8" w:rsidRPr="002628D0">
              <w:t>524)</w:t>
            </w:r>
            <w:r w:rsidRPr="002628D0">
              <w:t xml:space="preserve">, kas reglamentētu briežu dzimtas dzīvnieku pārvietošanas nosacījumus starp </w:t>
            </w:r>
            <w:r w:rsidR="00D73589" w:rsidRPr="002628D0">
              <w:t>dalībvalstīm</w:t>
            </w:r>
            <w:r w:rsidRPr="002628D0">
              <w:rPr>
                <w:b/>
              </w:rPr>
              <w:t xml:space="preserve"> </w:t>
            </w:r>
            <w:r w:rsidRPr="002628D0">
              <w:t>un Norvēģiju, kā arī HNS uzraudzības un kontroles pasākumus, nosakot tiesisko regulējumu iesaistītajām personām un institūcijām</w:t>
            </w:r>
            <w:r w:rsidR="005D60B8" w:rsidRPr="002628D0">
              <w:t>.</w:t>
            </w:r>
          </w:p>
          <w:p w:rsidR="007755EE" w:rsidRPr="002628D0" w:rsidRDefault="007755EE" w:rsidP="00827CAE">
            <w:pPr>
              <w:jc w:val="both"/>
              <w:rPr>
                <w:rFonts w:ascii="Times New Roman" w:hAnsi="Times New Roman" w:cs="Times New Roman"/>
                <w:sz w:val="24"/>
                <w:szCs w:val="24"/>
                <w:lang w:val="lv-LV"/>
              </w:rPr>
            </w:pPr>
            <w:r w:rsidRPr="002628D0">
              <w:rPr>
                <w:rFonts w:ascii="Times New Roman" w:hAnsi="Times New Roman" w:cs="Times New Roman"/>
                <w:sz w:val="24"/>
                <w:szCs w:val="24"/>
                <w:lang w:val="lv-LV"/>
              </w:rPr>
              <w:t>Ministru kabineta noteikum</w:t>
            </w:r>
            <w:r w:rsidR="00607443" w:rsidRPr="002628D0">
              <w:rPr>
                <w:rFonts w:ascii="Times New Roman" w:hAnsi="Times New Roman" w:cs="Times New Roman"/>
                <w:sz w:val="24"/>
                <w:szCs w:val="24"/>
                <w:lang w:val="lv-LV"/>
              </w:rPr>
              <w:t>u</w:t>
            </w:r>
            <w:r w:rsidRPr="002628D0">
              <w:rPr>
                <w:rFonts w:ascii="Times New Roman" w:hAnsi="Times New Roman" w:cs="Times New Roman"/>
                <w:sz w:val="24"/>
                <w:szCs w:val="24"/>
                <w:lang w:val="lv-LV"/>
              </w:rPr>
              <w:t xml:space="preserve"> projekts „Hroniskās novājēšanas slimības uzraudzības un kontroles </w:t>
            </w:r>
            <w:r w:rsidR="00827CAE" w:rsidRPr="002628D0">
              <w:rPr>
                <w:rFonts w:ascii="Times New Roman" w:hAnsi="Times New Roman" w:cs="Times New Roman"/>
                <w:sz w:val="24"/>
                <w:szCs w:val="24"/>
                <w:lang w:val="lv-LV"/>
              </w:rPr>
              <w:t>kārtība</w:t>
            </w:r>
            <w:r w:rsidRPr="002628D0">
              <w:rPr>
                <w:rFonts w:ascii="Times New Roman" w:hAnsi="Times New Roman" w:cs="Times New Roman"/>
                <w:sz w:val="24"/>
                <w:szCs w:val="24"/>
                <w:lang w:val="lv-LV"/>
              </w:rPr>
              <w:t xml:space="preserve">” ar </w:t>
            </w:r>
            <w:r w:rsidR="00607443" w:rsidRPr="002628D0">
              <w:rPr>
                <w:rFonts w:ascii="Times New Roman" w:hAnsi="Times New Roman" w:cs="Times New Roman"/>
                <w:sz w:val="24"/>
                <w:szCs w:val="24"/>
                <w:lang w:val="lv-LV"/>
              </w:rPr>
              <w:t xml:space="preserve">šo </w:t>
            </w:r>
            <w:r w:rsidRPr="002628D0">
              <w:rPr>
                <w:rFonts w:ascii="Times New Roman" w:hAnsi="Times New Roman" w:cs="Times New Roman"/>
                <w:sz w:val="24"/>
                <w:szCs w:val="24"/>
                <w:lang w:val="lv-LV"/>
              </w:rPr>
              <w:t>noteikumu projektu ir virzāmi vienotā paketē.</w:t>
            </w:r>
          </w:p>
        </w:tc>
      </w:tr>
      <w:tr w:rsidR="002628D0" w:rsidRPr="002628D0" w:rsidTr="007755EE">
        <w:tc>
          <w:tcPr>
            <w:tcW w:w="911" w:type="dxa"/>
          </w:tcPr>
          <w:p w:rsidR="007755EE" w:rsidRPr="002628D0" w:rsidRDefault="007755EE" w:rsidP="005B6FBD">
            <w:pPr>
              <w:pStyle w:val="Galvene"/>
              <w:tabs>
                <w:tab w:val="left" w:pos="2628"/>
              </w:tabs>
              <w:jc w:val="both"/>
              <w:rPr>
                <w:iCs/>
              </w:rPr>
            </w:pPr>
            <w:r w:rsidRPr="002628D0">
              <w:rPr>
                <w:iCs/>
              </w:rPr>
              <w:t>2.</w:t>
            </w:r>
          </w:p>
        </w:tc>
        <w:tc>
          <w:tcPr>
            <w:tcW w:w="2442" w:type="dxa"/>
          </w:tcPr>
          <w:p w:rsidR="007755EE" w:rsidRPr="002628D0" w:rsidRDefault="007755EE" w:rsidP="005B6FBD">
            <w:pPr>
              <w:pStyle w:val="Galvene"/>
              <w:tabs>
                <w:tab w:val="left" w:pos="2628"/>
              </w:tabs>
              <w:jc w:val="both"/>
            </w:pPr>
            <w:r w:rsidRPr="002628D0">
              <w:t>Atbildīgā institūcija</w:t>
            </w:r>
          </w:p>
        </w:tc>
        <w:tc>
          <w:tcPr>
            <w:tcW w:w="5974" w:type="dxa"/>
          </w:tcPr>
          <w:p w:rsidR="007755EE" w:rsidRPr="002628D0" w:rsidRDefault="007755EE" w:rsidP="005B6FBD">
            <w:pPr>
              <w:pStyle w:val="naiskr"/>
              <w:spacing w:before="0" w:beforeAutospacing="0" w:after="0" w:afterAutospacing="0"/>
              <w:jc w:val="both"/>
            </w:pPr>
            <w:r w:rsidRPr="002628D0">
              <w:t>Zemkopības ministrija</w:t>
            </w:r>
          </w:p>
        </w:tc>
      </w:tr>
      <w:tr w:rsidR="002628D0" w:rsidRPr="002628D0" w:rsidTr="007755EE">
        <w:tc>
          <w:tcPr>
            <w:tcW w:w="911" w:type="dxa"/>
          </w:tcPr>
          <w:p w:rsidR="007755EE" w:rsidRPr="002628D0" w:rsidRDefault="007755EE" w:rsidP="005B6FBD">
            <w:pPr>
              <w:pStyle w:val="Galvene"/>
              <w:tabs>
                <w:tab w:val="left" w:pos="2628"/>
              </w:tabs>
              <w:jc w:val="both"/>
              <w:rPr>
                <w:iCs/>
              </w:rPr>
            </w:pPr>
            <w:r w:rsidRPr="002628D0">
              <w:rPr>
                <w:iCs/>
              </w:rPr>
              <w:t>3.</w:t>
            </w:r>
          </w:p>
        </w:tc>
        <w:tc>
          <w:tcPr>
            <w:tcW w:w="2442" w:type="dxa"/>
          </w:tcPr>
          <w:p w:rsidR="007755EE" w:rsidRPr="002628D0" w:rsidRDefault="007755EE" w:rsidP="005B6FBD">
            <w:pPr>
              <w:pStyle w:val="Galvene"/>
              <w:tabs>
                <w:tab w:val="left" w:pos="2628"/>
              </w:tabs>
              <w:jc w:val="both"/>
              <w:rPr>
                <w:iCs/>
              </w:rPr>
            </w:pPr>
            <w:r w:rsidRPr="002628D0">
              <w:t>Cita informācija</w:t>
            </w:r>
          </w:p>
        </w:tc>
        <w:tc>
          <w:tcPr>
            <w:tcW w:w="5974" w:type="dxa"/>
          </w:tcPr>
          <w:p w:rsidR="007755EE" w:rsidRPr="002628D0" w:rsidRDefault="007755EE" w:rsidP="005B6FBD">
            <w:pPr>
              <w:rPr>
                <w:rFonts w:ascii="Times New Roman" w:hAnsi="Times New Roman" w:cs="Times New Roman"/>
                <w:sz w:val="24"/>
                <w:szCs w:val="24"/>
              </w:rPr>
            </w:pPr>
            <w:r w:rsidRPr="002628D0">
              <w:rPr>
                <w:rFonts w:ascii="Times New Roman" w:hAnsi="Times New Roman" w:cs="Times New Roman"/>
                <w:sz w:val="24"/>
                <w:szCs w:val="24"/>
              </w:rPr>
              <w:t>Nav.</w:t>
            </w:r>
          </w:p>
        </w:tc>
      </w:tr>
    </w:tbl>
    <w:p w:rsidR="007755EE" w:rsidRPr="002628D0" w:rsidRDefault="007755EE" w:rsidP="005A594C">
      <w:pPr>
        <w:pStyle w:val="Bezatstarpm"/>
        <w:jc w:val="both"/>
        <w:rPr>
          <w:i/>
        </w:rPr>
      </w:pPr>
    </w:p>
    <w:p w:rsidR="007755EE" w:rsidRPr="0055226C" w:rsidRDefault="007755EE" w:rsidP="007755EE">
      <w:pPr>
        <w:pStyle w:val="Bezatstarpm"/>
        <w:jc w:val="both"/>
        <w:rPr>
          <w:i/>
          <w:sz w:val="28"/>
        </w:rPr>
      </w:pPr>
      <w:r w:rsidRPr="0055226C">
        <w:rPr>
          <w:i/>
          <w:sz w:val="28"/>
        </w:rPr>
        <w:t>Anotācijas V sadaļa – projekts š</w:t>
      </w:r>
      <w:r w:rsidR="007A09A2" w:rsidRPr="0055226C">
        <w:rPr>
          <w:i/>
          <w:sz w:val="28"/>
        </w:rPr>
        <w:t>o</w:t>
      </w:r>
      <w:r w:rsidRPr="0055226C">
        <w:rPr>
          <w:i/>
          <w:sz w:val="28"/>
        </w:rPr>
        <w:t xml:space="preserve"> jom</w:t>
      </w:r>
      <w:r w:rsidR="007A09A2" w:rsidRPr="0055226C">
        <w:rPr>
          <w:i/>
          <w:sz w:val="28"/>
        </w:rPr>
        <w:t>u</w:t>
      </w:r>
      <w:r w:rsidRPr="0055226C">
        <w:rPr>
          <w:i/>
          <w:sz w:val="28"/>
        </w:rPr>
        <w:t xml:space="preserve"> neskar.</w:t>
      </w:r>
    </w:p>
    <w:p w:rsidR="007755EE" w:rsidRPr="002628D0" w:rsidRDefault="007755EE" w:rsidP="007755EE">
      <w:pPr>
        <w:pStyle w:val="naisf"/>
        <w:spacing w:before="0" w:beforeAutospacing="0" w:after="0" w:afterAutospacing="0"/>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884"/>
        <w:gridCol w:w="5921"/>
      </w:tblGrid>
      <w:tr w:rsidR="002628D0" w:rsidRPr="0055226C" w:rsidTr="00664918">
        <w:trPr>
          <w:trHeight w:val="279"/>
        </w:trPr>
        <w:tc>
          <w:tcPr>
            <w:tcW w:w="5000" w:type="pct"/>
            <w:gridSpan w:val="3"/>
          </w:tcPr>
          <w:p w:rsidR="007755EE" w:rsidRPr="002628D0" w:rsidRDefault="007755EE" w:rsidP="007755EE">
            <w:pPr>
              <w:spacing w:after="0" w:line="240" w:lineRule="auto"/>
              <w:jc w:val="center"/>
              <w:rPr>
                <w:rFonts w:ascii="Times New Roman" w:hAnsi="Times New Roman" w:cs="Times New Roman"/>
                <w:b/>
                <w:sz w:val="24"/>
                <w:szCs w:val="24"/>
                <w:lang w:val="lv-LV"/>
              </w:rPr>
            </w:pPr>
            <w:r w:rsidRPr="002628D0">
              <w:rPr>
                <w:rFonts w:ascii="Times New Roman" w:hAnsi="Times New Roman" w:cs="Times New Roman"/>
                <w:b/>
                <w:sz w:val="24"/>
                <w:szCs w:val="24"/>
                <w:lang w:val="lv-LV"/>
              </w:rPr>
              <w:t>VI. Sabiedrības līdzdalība un komunikācijas aktivitātes</w:t>
            </w:r>
          </w:p>
        </w:tc>
      </w:tr>
      <w:tr w:rsidR="002628D0" w:rsidRPr="002628D0" w:rsidTr="00664918">
        <w:trPr>
          <w:trHeight w:val="279"/>
        </w:trPr>
        <w:tc>
          <w:tcPr>
            <w:tcW w:w="292" w:type="pct"/>
          </w:tcPr>
          <w:p w:rsidR="007755EE" w:rsidRPr="002628D0" w:rsidRDefault="007755EE" w:rsidP="007755EE">
            <w:pPr>
              <w:spacing w:after="0" w:line="240" w:lineRule="auto"/>
              <w:jc w:val="both"/>
              <w:rPr>
                <w:rFonts w:ascii="Times New Roman" w:hAnsi="Times New Roman" w:cs="Times New Roman"/>
                <w:sz w:val="24"/>
                <w:szCs w:val="24"/>
                <w:lang w:val="lv-LV"/>
              </w:rPr>
            </w:pPr>
            <w:r w:rsidRPr="002628D0">
              <w:rPr>
                <w:rFonts w:ascii="Times New Roman" w:hAnsi="Times New Roman" w:cs="Times New Roman"/>
                <w:sz w:val="24"/>
                <w:szCs w:val="24"/>
                <w:lang w:val="lv-LV"/>
              </w:rPr>
              <w:t>1.</w:t>
            </w:r>
          </w:p>
        </w:tc>
        <w:tc>
          <w:tcPr>
            <w:tcW w:w="1542" w:type="pct"/>
          </w:tcPr>
          <w:p w:rsidR="007755EE" w:rsidRPr="002628D0" w:rsidRDefault="007755EE" w:rsidP="007755EE">
            <w:pPr>
              <w:spacing w:after="0" w:line="240" w:lineRule="auto"/>
              <w:rPr>
                <w:rFonts w:ascii="Times New Roman" w:hAnsi="Times New Roman" w:cs="Times New Roman"/>
                <w:sz w:val="24"/>
                <w:szCs w:val="24"/>
                <w:lang w:val="lv-LV"/>
              </w:rPr>
            </w:pPr>
            <w:r w:rsidRPr="002628D0">
              <w:rPr>
                <w:rFonts w:ascii="Times New Roman" w:hAnsi="Times New Roman" w:cs="Times New Roman"/>
                <w:sz w:val="24"/>
                <w:szCs w:val="24"/>
                <w:lang w:val="lv-LV"/>
              </w:rPr>
              <w:t>Plānotās sabiedrības līdzdalības un komunikācijas aktivitātes saistībā ar projektu</w:t>
            </w:r>
          </w:p>
        </w:tc>
        <w:tc>
          <w:tcPr>
            <w:tcW w:w="3167" w:type="pct"/>
          </w:tcPr>
          <w:p w:rsidR="007755EE" w:rsidRPr="002628D0" w:rsidRDefault="0050294B" w:rsidP="007755EE">
            <w:pPr>
              <w:spacing w:after="0" w:line="240" w:lineRule="auto"/>
              <w:jc w:val="both"/>
              <w:rPr>
                <w:rFonts w:ascii="Times New Roman" w:hAnsi="Times New Roman" w:cs="Times New Roman"/>
                <w:sz w:val="24"/>
                <w:szCs w:val="24"/>
                <w:lang w:val="lv-LV"/>
              </w:rPr>
            </w:pPr>
            <w:r w:rsidRPr="002628D0">
              <w:rPr>
                <w:rFonts w:ascii="Times New Roman" w:hAnsi="Times New Roman" w:cs="Times New Roman"/>
                <w:sz w:val="24"/>
                <w:szCs w:val="24"/>
                <w:lang w:val="lv-LV"/>
              </w:rPr>
              <w:t>N</w:t>
            </w:r>
            <w:r w:rsidR="007755EE" w:rsidRPr="002628D0">
              <w:rPr>
                <w:rFonts w:ascii="Times New Roman" w:hAnsi="Times New Roman" w:cs="Times New Roman"/>
                <w:sz w:val="24"/>
                <w:szCs w:val="24"/>
                <w:lang w:val="lv-LV"/>
              </w:rPr>
              <w:t>oteikumu projekt</w:t>
            </w:r>
            <w:r w:rsidRPr="002628D0">
              <w:rPr>
                <w:rFonts w:ascii="Times New Roman" w:hAnsi="Times New Roman" w:cs="Times New Roman"/>
                <w:sz w:val="24"/>
                <w:szCs w:val="24"/>
                <w:lang w:val="lv-LV"/>
              </w:rPr>
              <w:t>s</w:t>
            </w:r>
            <w:r w:rsidR="007755EE" w:rsidRPr="002628D0">
              <w:rPr>
                <w:rFonts w:ascii="Times New Roman" w:hAnsi="Times New Roman" w:cs="Times New Roman"/>
                <w:sz w:val="24"/>
                <w:szCs w:val="24"/>
                <w:lang w:val="lv-LV"/>
              </w:rPr>
              <w:t xml:space="preserve"> ievietot</w:t>
            </w:r>
            <w:r w:rsidRPr="002628D0">
              <w:rPr>
                <w:rFonts w:ascii="Times New Roman" w:hAnsi="Times New Roman" w:cs="Times New Roman"/>
                <w:sz w:val="24"/>
                <w:szCs w:val="24"/>
                <w:lang w:val="lv-LV"/>
              </w:rPr>
              <w:t>s</w:t>
            </w:r>
            <w:r w:rsidR="007755EE" w:rsidRPr="002628D0">
              <w:rPr>
                <w:rFonts w:ascii="Times New Roman" w:hAnsi="Times New Roman" w:cs="Times New Roman"/>
                <w:sz w:val="24"/>
                <w:szCs w:val="24"/>
                <w:lang w:val="lv-LV"/>
              </w:rPr>
              <w:t xml:space="preserve"> Zemkopības ministrijas tīmekļa vietnē </w:t>
            </w:r>
            <w:hyperlink r:id="rId10" w:history="1">
              <w:r w:rsidR="007755EE" w:rsidRPr="002628D0">
                <w:rPr>
                  <w:rStyle w:val="Hipersaite"/>
                  <w:rFonts w:ascii="Times New Roman" w:hAnsi="Times New Roman" w:cs="Times New Roman"/>
                  <w:color w:val="auto"/>
                  <w:sz w:val="24"/>
                  <w:szCs w:val="24"/>
                  <w:lang w:val="lv-LV"/>
                </w:rPr>
                <w:t>www.zm.gov.lv</w:t>
              </w:r>
            </w:hyperlink>
            <w:r w:rsidR="007755EE" w:rsidRPr="002628D0">
              <w:rPr>
                <w:rFonts w:ascii="Times New Roman" w:hAnsi="Times New Roman" w:cs="Times New Roman"/>
                <w:sz w:val="24"/>
                <w:szCs w:val="24"/>
                <w:lang w:val="lv-LV"/>
              </w:rPr>
              <w:t xml:space="preserve"> </w:t>
            </w:r>
            <w:r w:rsidRPr="002628D0">
              <w:rPr>
                <w:rFonts w:ascii="Times New Roman" w:hAnsi="Times New Roman" w:cs="Times New Roman"/>
                <w:sz w:val="24"/>
                <w:szCs w:val="24"/>
                <w:lang w:val="lv-LV"/>
              </w:rPr>
              <w:t>no</w:t>
            </w:r>
            <w:r w:rsidR="00D61FB3" w:rsidRPr="002628D0">
              <w:rPr>
                <w:rFonts w:ascii="Times New Roman" w:hAnsi="Times New Roman" w:cs="Times New Roman"/>
                <w:sz w:val="24"/>
                <w:szCs w:val="24"/>
                <w:lang w:val="lv-LV"/>
              </w:rPr>
              <w:t xml:space="preserve"> 2017. gada 1</w:t>
            </w:r>
            <w:r w:rsidR="00F7153D" w:rsidRPr="002628D0">
              <w:rPr>
                <w:rFonts w:ascii="Times New Roman" w:hAnsi="Times New Roman" w:cs="Times New Roman"/>
                <w:sz w:val="24"/>
                <w:szCs w:val="24"/>
                <w:lang w:val="lv-LV"/>
              </w:rPr>
              <w:t>9</w:t>
            </w:r>
            <w:r w:rsidR="00D61FB3" w:rsidRPr="002628D0">
              <w:rPr>
                <w:rFonts w:ascii="Times New Roman" w:hAnsi="Times New Roman" w:cs="Times New Roman"/>
                <w:sz w:val="24"/>
                <w:szCs w:val="24"/>
                <w:lang w:val="lv-LV"/>
              </w:rPr>
              <w:t>. maija</w:t>
            </w:r>
            <w:r w:rsidRPr="002628D0">
              <w:rPr>
                <w:rFonts w:ascii="Times New Roman" w:hAnsi="Times New Roman" w:cs="Times New Roman"/>
                <w:sz w:val="24"/>
                <w:szCs w:val="24"/>
                <w:lang w:val="lv-LV"/>
              </w:rPr>
              <w:t xml:space="preserve"> līdz </w:t>
            </w:r>
            <w:r w:rsidR="00D61FB3" w:rsidRPr="002628D0">
              <w:rPr>
                <w:rFonts w:ascii="Times New Roman" w:hAnsi="Times New Roman" w:cs="Times New Roman"/>
                <w:sz w:val="24"/>
                <w:szCs w:val="24"/>
                <w:lang w:val="lv-LV"/>
              </w:rPr>
              <w:t>2</w:t>
            </w:r>
            <w:r w:rsidR="00F7153D" w:rsidRPr="002628D0">
              <w:rPr>
                <w:rFonts w:ascii="Times New Roman" w:hAnsi="Times New Roman" w:cs="Times New Roman"/>
                <w:sz w:val="24"/>
                <w:szCs w:val="24"/>
                <w:lang w:val="lv-LV"/>
              </w:rPr>
              <w:t>6</w:t>
            </w:r>
            <w:r w:rsidR="00D61FB3" w:rsidRPr="002628D0">
              <w:rPr>
                <w:rFonts w:ascii="Times New Roman" w:hAnsi="Times New Roman" w:cs="Times New Roman"/>
                <w:sz w:val="24"/>
                <w:szCs w:val="24"/>
                <w:lang w:val="lv-LV"/>
              </w:rPr>
              <w:t>.</w:t>
            </w:r>
            <w:r w:rsidR="003E16E2" w:rsidRPr="002628D0">
              <w:rPr>
                <w:rFonts w:ascii="Times New Roman" w:hAnsi="Times New Roman" w:cs="Times New Roman"/>
                <w:sz w:val="24"/>
                <w:szCs w:val="24"/>
                <w:lang w:val="lv-LV"/>
              </w:rPr>
              <w:t> </w:t>
            </w:r>
            <w:r w:rsidR="00D61FB3" w:rsidRPr="002628D0">
              <w:rPr>
                <w:rFonts w:ascii="Times New Roman" w:hAnsi="Times New Roman" w:cs="Times New Roman"/>
                <w:sz w:val="24"/>
                <w:szCs w:val="24"/>
                <w:lang w:val="lv-LV"/>
              </w:rPr>
              <w:t>maijam</w:t>
            </w:r>
            <w:r w:rsidRPr="002628D0">
              <w:rPr>
                <w:rFonts w:ascii="Times New Roman" w:hAnsi="Times New Roman" w:cs="Times New Roman"/>
                <w:sz w:val="24"/>
                <w:szCs w:val="24"/>
                <w:lang w:val="lv-LV"/>
              </w:rPr>
              <w:t>.</w:t>
            </w:r>
          </w:p>
        </w:tc>
      </w:tr>
      <w:tr w:rsidR="002628D0" w:rsidRPr="0055226C" w:rsidTr="00664918">
        <w:trPr>
          <w:trHeight w:val="279"/>
        </w:trPr>
        <w:tc>
          <w:tcPr>
            <w:tcW w:w="292" w:type="pct"/>
          </w:tcPr>
          <w:p w:rsidR="007755EE" w:rsidRPr="002628D0" w:rsidRDefault="007755EE" w:rsidP="007755EE">
            <w:pPr>
              <w:spacing w:after="0" w:line="240" w:lineRule="auto"/>
              <w:jc w:val="both"/>
              <w:rPr>
                <w:rFonts w:ascii="Times New Roman" w:hAnsi="Times New Roman" w:cs="Times New Roman"/>
                <w:sz w:val="24"/>
                <w:szCs w:val="24"/>
                <w:lang w:val="lv-LV"/>
              </w:rPr>
            </w:pPr>
            <w:r w:rsidRPr="002628D0">
              <w:rPr>
                <w:rFonts w:ascii="Times New Roman" w:hAnsi="Times New Roman" w:cs="Times New Roman"/>
                <w:sz w:val="24"/>
                <w:szCs w:val="24"/>
                <w:lang w:val="lv-LV"/>
              </w:rPr>
              <w:t>2.</w:t>
            </w:r>
          </w:p>
        </w:tc>
        <w:tc>
          <w:tcPr>
            <w:tcW w:w="1542" w:type="pct"/>
          </w:tcPr>
          <w:p w:rsidR="007755EE" w:rsidRPr="002628D0" w:rsidRDefault="007755EE" w:rsidP="007755EE">
            <w:pPr>
              <w:spacing w:after="0" w:line="240" w:lineRule="auto"/>
              <w:jc w:val="both"/>
              <w:rPr>
                <w:rFonts w:ascii="Times New Roman" w:hAnsi="Times New Roman" w:cs="Times New Roman"/>
                <w:sz w:val="24"/>
                <w:szCs w:val="24"/>
                <w:lang w:val="lv-LV"/>
              </w:rPr>
            </w:pPr>
            <w:r w:rsidRPr="002628D0">
              <w:rPr>
                <w:rFonts w:ascii="Times New Roman" w:hAnsi="Times New Roman" w:cs="Times New Roman"/>
                <w:sz w:val="24"/>
                <w:szCs w:val="24"/>
                <w:lang w:val="lv-LV"/>
              </w:rPr>
              <w:t>Sabiedrības līdzdalība projekta izstrādē</w:t>
            </w:r>
          </w:p>
        </w:tc>
        <w:tc>
          <w:tcPr>
            <w:tcW w:w="3167" w:type="pct"/>
          </w:tcPr>
          <w:p w:rsidR="00913FF9" w:rsidRPr="002628D0" w:rsidRDefault="00F7153D" w:rsidP="00913FF9">
            <w:pPr>
              <w:pStyle w:val="naiskr"/>
              <w:spacing w:before="0" w:beforeAutospacing="0" w:after="0" w:afterAutospacing="0"/>
              <w:jc w:val="both"/>
            </w:pPr>
            <w:r w:rsidRPr="002628D0">
              <w:t>Noteikumu projekts elektroniski nosūtīts biedrīb</w:t>
            </w:r>
            <w:r w:rsidR="001A2534">
              <w:t>ām</w:t>
            </w:r>
            <w:r w:rsidRPr="002628D0">
              <w:t xml:space="preserve"> „Lauksaimnieku organizāciju sadarbības padome”, „Zemnieku saeima” un „Latvijas Veterinārārstu biedrība” </w:t>
            </w:r>
            <w:r w:rsidRPr="002628D0">
              <w:rPr>
                <w:bCs/>
              </w:rPr>
              <w:t>2017. gada 18. maijā.</w:t>
            </w:r>
          </w:p>
        </w:tc>
      </w:tr>
      <w:tr w:rsidR="002628D0" w:rsidRPr="0055226C" w:rsidTr="00664918">
        <w:trPr>
          <w:trHeight w:val="279"/>
        </w:trPr>
        <w:tc>
          <w:tcPr>
            <w:tcW w:w="292" w:type="pct"/>
          </w:tcPr>
          <w:p w:rsidR="007755EE" w:rsidRPr="002628D0" w:rsidRDefault="007755EE" w:rsidP="007755EE">
            <w:pPr>
              <w:spacing w:after="0" w:line="240" w:lineRule="auto"/>
              <w:jc w:val="both"/>
              <w:rPr>
                <w:rFonts w:ascii="Times New Roman" w:hAnsi="Times New Roman" w:cs="Times New Roman"/>
                <w:sz w:val="24"/>
                <w:szCs w:val="24"/>
                <w:lang w:val="lv-LV"/>
              </w:rPr>
            </w:pPr>
            <w:r w:rsidRPr="002628D0">
              <w:rPr>
                <w:rFonts w:ascii="Times New Roman" w:hAnsi="Times New Roman" w:cs="Times New Roman"/>
                <w:sz w:val="24"/>
                <w:szCs w:val="24"/>
                <w:lang w:val="lv-LV"/>
              </w:rPr>
              <w:t>3.</w:t>
            </w:r>
          </w:p>
        </w:tc>
        <w:tc>
          <w:tcPr>
            <w:tcW w:w="1542" w:type="pct"/>
          </w:tcPr>
          <w:p w:rsidR="007755EE" w:rsidRPr="002628D0" w:rsidRDefault="007755EE" w:rsidP="007755EE">
            <w:pPr>
              <w:spacing w:after="0" w:line="240" w:lineRule="auto"/>
              <w:jc w:val="both"/>
              <w:rPr>
                <w:rFonts w:ascii="Times New Roman" w:hAnsi="Times New Roman" w:cs="Times New Roman"/>
                <w:sz w:val="24"/>
                <w:szCs w:val="24"/>
                <w:lang w:val="lv-LV"/>
              </w:rPr>
            </w:pPr>
            <w:r w:rsidRPr="002628D0">
              <w:rPr>
                <w:rFonts w:ascii="Times New Roman" w:hAnsi="Times New Roman" w:cs="Times New Roman"/>
                <w:sz w:val="24"/>
                <w:szCs w:val="24"/>
                <w:lang w:val="lv-LV"/>
              </w:rPr>
              <w:t>Sabiedrības līdzdalības rezultāti</w:t>
            </w:r>
          </w:p>
        </w:tc>
        <w:tc>
          <w:tcPr>
            <w:tcW w:w="3167" w:type="pct"/>
          </w:tcPr>
          <w:p w:rsidR="00F7153D" w:rsidRPr="002628D0" w:rsidRDefault="00F7153D" w:rsidP="00F7153D">
            <w:pPr>
              <w:jc w:val="both"/>
              <w:rPr>
                <w:rFonts w:ascii="Times New Roman" w:hAnsi="Times New Roman" w:cs="Times New Roman"/>
                <w:bCs/>
                <w:sz w:val="24"/>
                <w:szCs w:val="24"/>
                <w:lang w:val="lv-LV"/>
              </w:rPr>
            </w:pPr>
            <w:r w:rsidRPr="002628D0">
              <w:rPr>
                <w:rFonts w:ascii="Times New Roman" w:hAnsi="Times New Roman" w:cs="Times New Roman"/>
                <w:sz w:val="24"/>
                <w:szCs w:val="24"/>
                <w:lang w:val="lv-LV"/>
              </w:rPr>
              <w:t xml:space="preserve">Biedrība „Lauksaimnieku organizāciju sadarbības padome” 2017. gada </w:t>
            </w:r>
            <w:r w:rsidR="00D8016F" w:rsidRPr="002628D0">
              <w:rPr>
                <w:rFonts w:ascii="Times New Roman" w:hAnsi="Times New Roman" w:cs="Times New Roman"/>
                <w:sz w:val="24"/>
                <w:szCs w:val="24"/>
                <w:lang w:val="lv-LV"/>
              </w:rPr>
              <w:t>2</w:t>
            </w:r>
            <w:r w:rsidR="009E7172" w:rsidRPr="002628D0">
              <w:rPr>
                <w:rFonts w:ascii="Times New Roman" w:hAnsi="Times New Roman" w:cs="Times New Roman"/>
                <w:sz w:val="24"/>
                <w:szCs w:val="24"/>
                <w:lang w:val="lv-LV"/>
              </w:rPr>
              <w:t>6</w:t>
            </w:r>
            <w:r w:rsidR="00D8016F" w:rsidRPr="002628D0">
              <w:rPr>
                <w:rFonts w:ascii="Times New Roman" w:hAnsi="Times New Roman" w:cs="Times New Roman"/>
                <w:sz w:val="24"/>
                <w:szCs w:val="24"/>
                <w:lang w:val="lv-LV"/>
              </w:rPr>
              <w:t>.</w:t>
            </w:r>
            <w:r w:rsidR="009E7172" w:rsidRPr="002628D0">
              <w:rPr>
                <w:rFonts w:ascii="Times New Roman" w:hAnsi="Times New Roman" w:cs="Times New Roman"/>
                <w:sz w:val="24"/>
                <w:szCs w:val="24"/>
                <w:lang w:val="lv-LV"/>
              </w:rPr>
              <w:t> </w:t>
            </w:r>
            <w:r w:rsidR="00D8016F" w:rsidRPr="002628D0">
              <w:rPr>
                <w:rFonts w:ascii="Times New Roman" w:hAnsi="Times New Roman" w:cs="Times New Roman"/>
                <w:sz w:val="24"/>
                <w:szCs w:val="24"/>
                <w:lang w:val="lv-LV"/>
              </w:rPr>
              <w:t>maijā</w:t>
            </w:r>
            <w:r w:rsidRPr="002628D0">
              <w:rPr>
                <w:rFonts w:ascii="Times New Roman" w:hAnsi="Times New Roman" w:cs="Times New Roman"/>
                <w:sz w:val="24"/>
                <w:szCs w:val="24"/>
                <w:lang w:val="lv-LV"/>
              </w:rPr>
              <w:t xml:space="preserve"> </w:t>
            </w:r>
            <w:r w:rsidRPr="002628D0">
              <w:rPr>
                <w:rFonts w:ascii="Times New Roman" w:hAnsi="Times New Roman" w:cs="Times New Roman"/>
                <w:bCs/>
                <w:sz w:val="24"/>
                <w:szCs w:val="24"/>
                <w:lang w:val="lv-LV"/>
              </w:rPr>
              <w:t>saskaņoja noteikumu projektu bez iebildumiem.</w:t>
            </w:r>
          </w:p>
          <w:p w:rsidR="007755EE" w:rsidRPr="002628D0" w:rsidRDefault="00F7153D" w:rsidP="00F7153D">
            <w:pPr>
              <w:pStyle w:val="naiskr"/>
              <w:spacing w:before="0" w:beforeAutospacing="0" w:after="0" w:afterAutospacing="0"/>
              <w:jc w:val="both"/>
            </w:pPr>
            <w:r w:rsidRPr="002628D0">
              <w:rPr>
                <w:iCs/>
              </w:rPr>
              <w:t xml:space="preserve">Par tīmekļa vietnē </w:t>
            </w:r>
            <w:proofErr w:type="spellStart"/>
            <w:r w:rsidRPr="002628D0">
              <w:rPr>
                <w:iCs/>
              </w:rPr>
              <w:t>www.zm.gov.lv</w:t>
            </w:r>
            <w:proofErr w:type="spellEnd"/>
            <w:r w:rsidRPr="002628D0">
              <w:rPr>
                <w:iCs/>
              </w:rPr>
              <w:t xml:space="preserve"> ievietoto noteikumu projektu iebildumi un priekšlikumi no sabiedrības netika saņemti.</w:t>
            </w:r>
          </w:p>
        </w:tc>
      </w:tr>
      <w:tr w:rsidR="007755EE" w:rsidRPr="002628D0" w:rsidTr="00664918">
        <w:trPr>
          <w:trHeight w:val="279"/>
        </w:trPr>
        <w:tc>
          <w:tcPr>
            <w:tcW w:w="292" w:type="pct"/>
          </w:tcPr>
          <w:p w:rsidR="007755EE" w:rsidRPr="002628D0" w:rsidRDefault="007755EE" w:rsidP="007755EE">
            <w:pPr>
              <w:spacing w:after="0" w:line="240" w:lineRule="auto"/>
              <w:jc w:val="both"/>
              <w:rPr>
                <w:rFonts w:ascii="Times New Roman" w:hAnsi="Times New Roman" w:cs="Times New Roman"/>
                <w:sz w:val="24"/>
                <w:szCs w:val="24"/>
                <w:lang w:val="lv-LV"/>
              </w:rPr>
            </w:pPr>
            <w:r w:rsidRPr="002628D0">
              <w:rPr>
                <w:rFonts w:ascii="Times New Roman" w:hAnsi="Times New Roman" w:cs="Times New Roman"/>
                <w:sz w:val="24"/>
                <w:szCs w:val="24"/>
                <w:lang w:val="lv-LV"/>
              </w:rPr>
              <w:t>4.</w:t>
            </w:r>
          </w:p>
        </w:tc>
        <w:tc>
          <w:tcPr>
            <w:tcW w:w="1542" w:type="pct"/>
          </w:tcPr>
          <w:p w:rsidR="007755EE" w:rsidRPr="002628D0" w:rsidRDefault="007755EE" w:rsidP="007755EE">
            <w:pPr>
              <w:spacing w:after="0" w:line="240" w:lineRule="auto"/>
              <w:jc w:val="both"/>
              <w:rPr>
                <w:rFonts w:ascii="Times New Roman" w:hAnsi="Times New Roman" w:cs="Times New Roman"/>
                <w:sz w:val="24"/>
                <w:szCs w:val="24"/>
                <w:lang w:val="lv-LV"/>
              </w:rPr>
            </w:pPr>
            <w:r w:rsidRPr="002628D0">
              <w:rPr>
                <w:rFonts w:ascii="Times New Roman" w:hAnsi="Times New Roman" w:cs="Times New Roman"/>
                <w:sz w:val="24"/>
                <w:szCs w:val="24"/>
                <w:lang w:val="lv-LV"/>
              </w:rPr>
              <w:t>Cita informācija</w:t>
            </w:r>
          </w:p>
        </w:tc>
        <w:tc>
          <w:tcPr>
            <w:tcW w:w="3167" w:type="pct"/>
          </w:tcPr>
          <w:p w:rsidR="007755EE" w:rsidRPr="002628D0" w:rsidRDefault="007755EE" w:rsidP="007755EE">
            <w:pPr>
              <w:spacing w:after="0" w:line="240" w:lineRule="auto"/>
              <w:jc w:val="both"/>
              <w:rPr>
                <w:rFonts w:ascii="Times New Roman" w:hAnsi="Times New Roman" w:cs="Times New Roman"/>
                <w:sz w:val="24"/>
                <w:szCs w:val="24"/>
                <w:lang w:val="lv-LV"/>
              </w:rPr>
            </w:pPr>
            <w:r w:rsidRPr="002628D0">
              <w:rPr>
                <w:rFonts w:ascii="Times New Roman" w:hAnsi="Times New Roman" w:cs="Times New Roman"/>
                <w:sz w:val="24"/>
                <w:szCs w:val="24"/>
                <w:lang w:val="lv-LV"/>
              </w:rPr>
              <w:t>Nav.</w:t>
            </w:r>
          </w:p>
        </w:tc>
      </w:tr>
    </w:tbl>
    <w:p w:rsidR="007755EE" w:rsidRPr="002628D0" w:rsidRDefault="007755EE" w:rsidP="007755EE">
      <w:pPr>
        <w:pStyle w:val="Bezatstarpm"/>
        <w:jc w:val="both"/>
        <w:rPr>
          <w:i/>
        </w:rPr>
      </w:pPr>
    </w:p>
    <w:tbl>
      <w:tblPr>
        <w:tblStyle w:val="Reatabula"/>
        <w:tblW w:w="9351" w:type="dxa"/>
        <w:tblLook w:val="04A0" w:firstRow="1" w:lastRow="0" w:firstColumn="1" w:lastColumn="0" w:noHBand="0" w:noVBand="1"/>
      </w:tblPr>
      <w:tblGrid>
        <w:gridCol w:w="800"/>
        <w:gridCol w:w="3844"/>
        <w:gridCol w:w="4707"/>
      </w:tblGrid>
      <w:tr w:rsidR="002628D0" w:rsidRPr="0055226C" w:rsidTr="007572E7">
        <w:tc>
          <w:tcPr>
            <w:tcW w:w="9351" w:type="dxa"/>
            <w:gridSpan w:val="3"/>
          </w:tcPr>
          <w:p w:rsidR="005A594C" w:rsidRPr="002628D0" w:rsidRDefault="005A594C" w:rsidP="007755EE">
            <w:pPr>
              <w:pStyle w:val="Bezatstarpm"/>
              <w:jc w:val="center"/>
              <w:rPr>
                <w:b/>
              </w:rPr>
            </w:pPr>
            <w:r w:rsidRPr="002628D0">
              <w:rPr>
                <w:b/>
              </w:rPr>
              <w:t>VII. Tiesību akta projekta izpildes nodrošināšana un tās ietekme uz institūcijām</w:t>
            </w:r>
          </w:p>
        </w:tc>
      </w:tr>
      <w:tr w:rsidR="002628D0" w:rsidRPr="002628D0" w:rsidTr="007572E7">
        <w:tc>
          <w:tcPr>
            <w:tcW w:w="800" w:type="dxa"/>
          </w:tcPr>
          <w:p w:rsidR="005A594C" w:rsidRPr="002628D0" w:rsidRDefault="005A594C" w:rsidP="007755EE">
            <w:pPr>
              <w:pStyle w:val="Bezatstarpm"/>
              <w:jc w:val="both"/>
            </w:pPr>
            <w:r w:rsidRPr="002628D0">
              <w:t>1.</w:t>
            </w:r>
          </w:p>
        </w:tc>
        <w:tc>
          <w:tcPr>
            <w:tcW w:w="3844" w:type="dxa"/>
          </w:tcPr>
          <w:p w:rsidR="005A594C" w:rsidRPr="002628D0" w:rsidRDefault="005A594C" w:rsidP="007755EE">
            <w:pPr>
              <w:pStyle w:val="Bezatstarpm"/>
              <w:jc w:val="both"/>
            </w:pPr>
            <w:r w:rsidRPr="002628D0">
              <w:t>Projekta izpildē iesaistītās institūcijas</w:t>
            </w:r>
          </w:p>
        </w:tc>
        <w:tc>
          <w:tcPr>
            <w:tcW w:w="4707" w:type="dxa"/>
          </w:tcPr>
          <w:p w:rsidR="005A594C" w:rsidRPr="002628D0" w:rsidRDefault="001D64E4" w:rsidP="001D64E4">
            <w:pPr>
              <w:pStyle w:val="Bezatstarpm"/>
              <w:jc w:val="both"/>
            </w:pPr>
            <w:r w:rsidRPr="002628D0">
              <w:t xml:space="preserve">Zemkopības ministrija </w:t>
            </w:r>
            <w:r>
              <w:t xml:space="preserve">un </w:t>
            </w:r>
            <w:r w:rsidR="00B35DA7" w:rsidRPr="002628D0">
              <w:t>Pā</w:t>
            </w:r>
            <w:r>
              <w:t>rtikas un veterinārais dienests</w:t>
            </w:r>
          </w:p>
        </w:tc>
      </w:tr>
      <w:tr w:rsidR="002628D0" w:rsidRPr="002628D0" w:rsidTr="007572E7">
        <w:tc>
          <w:tcPr>
            <w:tcW w:w="800" w:type="dxa"/>
          </w:tcPr>
          <w:p w:rsidR="005A594C" w:rsidRPr="002628D0" w:rsidRDefault="005A594C" w:rsidP="007755EE">
            <w:pPr>
              <w:pStyle w:val="Bezatstarpm"/>
              <w:jc w:val="both"/>
            </w:pPr>
            <w:r w:rsidRPr="002628D0">
              <w:lastRenderedPageBreak/>
              <w:t>2.</w:t>
            </w:r>
          </w:p>
        </w:tc>
        <w:tc>
          <w:tcPr>
            <w:tcW w:w="3844" w:type="dxa"/>
          </w:tcPr>
          <w:p w:rsidR="005A594C" w:rsidRPr="002628D0" w:rsidRDefault="005A594C" w:rsidP="007755EE">
            <w:pPr>
              <w:pStyle w:val="Bezatstarpm"/>
              <w:jc w:val="both"/>
            </w:pPr>
            <w:r w:rsidRPr="002628D0">
              <w:t>Projekta izpildes ietekme uz pārvaldes funkcijām un institucionālo struktūru. Jaunu institūciju izveide, esošo institūciju likvidācija vai reorganizācija, to ietekme uz institūcijas cilvēkresursiem</w:t>
            </w:r>
          </w:p>
        </w:tc>
        <w:tc>
          <w:tcPr>
            <w:tcW w:w="4707" w:type="dxa"/>
          </w:tcPr>
          <w:p w:rsidR="005A594C" w:rsidRPr="002628D0" w:rsidRDefault="005A594C" w:rsidP="007755EE">
            <w:pPr>
              <w:pStyle w:val="Bezatstarpm"/>
              <w:jc w:val="both"/>
            </w:pPr>
            <w:r w:rsidRPr="002628D0">
              <w:t>Projekts šo jomu neskar.</w:t>
            </w:r>
          </w:p>
        </w:tc>
      </w:tr>
      <w:tr w:rsidR="007755EE" w:rsidRPr="002628D0" w:rsidTr="007572E7">
        <w:tc>
          <w:tcPr>
            <w:tcW w:w="800" w:type="dxa"/>
          </w:tcPr>
          <w:p w:rsidR="005A594C" w:rsidRPr="002628D0" w:rsidRDefault="005A594C" w:rsidP="007755EE">
            <w:pPr>
              <w:pStyle w:val="Bezatstarpm"/>
              <w:jc w:val="both"/>
            </w:pPr>
            <w:r w:rsidRPr="002628D0">
              <w:t>3.</w:t>
            </w:r>
          </w:p>
        </w:tc>
        <w:tc>
          <w:tcPr>
            <w:tcW w:w="3844" w:type="dxa"/>
          </w:tcPr>
          <w:p w:rsidR="005A594C" w:rsidRPr="002628D0" w:rsidRDefault="005A594C" w:rsidP="007755EE">
            <w:pPr>
              <w:pStyle w:val="Bezatstarpm"/>
              <w:jc w:val="both"/>
            </w:pPr>
            <w:r w:rsidRPr="002628D0">
              <w:t>Cita informācija</w:t>
            </w:r>
          </w:p>
        </w:tc>
        <w:tc>
          <w:tcPr>
            <w:tcW w:w="4707" w:type="dxa"/>
          </w:tcPr>
          <w:p w:rsidR="005A594C" w:rsidRPr="002628D0" w:rsidRDefault="005A594C" w:rsidP="007755EE">
            <w:pPr>
              <w:pStyle w:val="Bezatstarpm"/>
              <w:jc w:val="both"/>
            </w:pPr>
            <w:r w:rsidRPr="002628D0">
              <w:t xml:space="preserve">Nav </w:t>
            </w:r>
          </w:p>
        </w:tc>
      </w:tr>
    </w:tbl>
    <w:p w:rsidR="00F865E2" w:rsidRDefault="00F865E2" w:rsidP="007755EE">
      <w:pPr>
        <w:pStyle w:val="Bezatstarpm"/>
        <w:jc w:val="both"/>
      </w:pPr>
    </w:p>
    <w:p w:rsidR="0055226C" w:rsidRPr="002628D0" w:rsidRDefault="0055226C" w:rsidP="007755EE">
      <w:pPr>
        <w:pStyle w:val="Bezatstarpm"/>
        <w:jc w:val="both"/>
      </w:pPr>
      <w:bookmarkStart w:id="0" w:name="_GoBack"/>
      <w:bookmarkEnd w:id="0"/>
    </w:p>
    <w:p w:rsidR="000B2D84" w:rsidRPr="002628D0" w:rsidRDefault="000B2D84" w:rsidP="0052361B">
      <w:pPr>
        <w:pStyle w:val="Bezatstarpm"/>
        <w:jc w:val="both"/>
      </w:pPr>
    </w:p>
    <w:p w:rsidR="005A594C" w:rsidRDefault="00F865E2" w:rsidP="000B2D84">
      <w:pPr>
        <w:pStyle w:val="Bezatstarpm"/>
        <w:ind w:firstLine="720"/>
        <w:jc w:val="both"/>
        <w:rPr>
          <w:sz w:val="28"/>
          <w:szCs w:val="28"/>
        </w:rPr>
      </w:pPr>
      <w:r w:rsidRPr="0055226C">
        <w:rPr>
          <w:sz w:val="28"/>
        </w:rPr>
        <w:t>Ze</w:t>
      </w:r>
      <w:r w:rsidR="00DD7916" w:rsidRPr="0055226C">
        <w:rPr>
          <w:sz w:val="28"/>
        </w:rPr>
        <w:t xml:space="preserve">mkopības ministra </w:t>
      </w:r>
      <w:proofErr w:type="spellStart"/>
      <w:r w:rsidR="00DD7916" w:rsidRPr="0055226C">
        <w:rPr>
          <w:sz w:val="28"/>
        </w:rPr>
        <w:t>p.i</w:t>
      </w:r>
      <w:proofErr w:type="spellEnd"/>
      <w:r w:rsidR="00DD7916" w:rsidRPr="0055226C">
        <w:rPr>
          <w:sz w:val="28"/>
        </w:rPr>
        <w:t>.</w:t>
      </w:r>
      <w:r w:rsidRPr="002628D0">
        <w:tab/>
      </w:r>
      <w:r w:rsidRPr="002628D0">
        <w:tab/>
      </w:r>
      <w:r w:rsidR="00320912" w:rsidRPr="002628D0">
        <w:tab/>
      </w:r>
      <w:r w:rsidR="000B2D84" w:rsidRPr="002628D0">
        <w:tab/>
      </w:r>
      <w:r w:rsidR="000B2D84" w:rsidRPr="002628D0">
        <w:tab/>
      </w:r>
      <w:r w:rsidR="0055226C">
        <w:tab/>
      </w:r>
      <w:r w:rsidR="002B7A5C" w:rsidRPr="002B7A5C">
        <w:rPr>
          <w:sz w:val="28"/>
          <w:szCs w:val="28"/>
        </w:rPr>
        <w:t xml:space="preserve"> </w:t>
      </w:r>
      <w:r w:rsidR="0055226C">
        <w:rPr>
          <w:sz w:val="28"/>
          <w:szCs w:val="28"/>
        </w:rPr>
        <w:t>R.</w:t>
      </w:r>
      <w:r w:rsidR="002B7A5C" w:rsidRPr="00E40D86">
        <w:rPr>
          <w:sz w:val="28"/>
          <w:szCs w:val="28"/>
        </w:rPr>
        <w:t xml:space="preserve"> Kozlovsk</w:t>
      </w:r>
      <w:r w:rsidR="002B7A5C">
        <w:rPr>
          <w:sz w:val="28"/>
          <w:szCs w:val="28"/>
        </w:rPr>
        <w:t>is</w:t>
      </w:r>
    </w:p>
    <w:p w:rsidR="0055226C" w:rsidRDefault="0055226C" w:rsidP="000B2D84">
      <w:pPr>
        <w:pStyle w:val="Bezatstarpm"/>
        <w:ind w:firstLine="720"/>
        <w:jc w:val="both"/>
        <w:rPr>
          <w:sz w:val="28"/>
          <w:szCs w:val="28"/>
        </w:rPr>
      </w:pPr>
    </w:p>
    <w:p w:rsidR="0055226C" w:rsidRDefault="0055226C" w:rsidP="000B2D84">
      <w:pPr>
        <w:pStyle w:val="Bezatstarpm"/>
        <w:ind w:firstLine="720"/>
        <w:jc w:val="both"/>
        <w:rPr>
          <w:sz w:val="28"/>
          <w:szCs w:val="28"/>
        </w:rPr>
      </w:pPr>
    </w:p>
    <w:p w:rsidR="0055226C" w:rsidRPr="002628D0" w:rsidRDefault="0055226C" w:rsidP="000B2D84">
      <w:pPr>
        <w:pStyle w:val="Bezatstarpm"/>
        <w:ind w:firstLine="720"/>
        <w:jc w:val="both"/>
      </w:pPr>
      <w:r>
        <w:rPr>
          <w:sz w:val="28"/>
          <w:szCs w:val="28"/>
        </w:rPr>
        <w:t xml:space="preserve">Zemkopības ministrijas valsts sekretāres </w:t>
      </w:r>
      <w:proofErr w:type="spellStart"/>
      <w:r>
        <w:rPr>
          <w:sz w:val="28"/>
          <w:szCs w:val="28"/>
        </w:rPr>
        <w:t>p.i</w:t>
      </w:r>
      <w:proofErr w:type="spellEnd"/>
      <w:r>
        <w:rPr>
          <w:sz w:val="28"/>
          <w:szCs w:val="28"/>
        </w:rPr>
        <w:t>.</w:t>
      </w:r>
      <w:r>
        <w:rPr>
          <w:sz w:val="28"/>
          <w:szCs w:val="28"/>
        </w:rPr>
        <w:tab/>
      </w:r>
      <w:r>
        <w:rPr>
          <w:sz w:val="28"/>
          <w:szCs w:val="28"/>
        </w:rPr>
        <w:tab/>
      </w:r>
      <w:r>
        <w:rPr>
          <w:sz w:val="28"/>
          <w:szCs w:val="28"/>
        </w:rPr>
        <w:tab/>
      </w:r>
      <w:r>
        <w:rPr>
          <w:sz w:val="28"/>
          <w:szCs w:val="28"/>
        </w:rPr>
        <w:tab/>
        <w:t>J. Šnore</w:t>
      </w:r>
    </w:p>
    <w:p w:rsidR="000B2D84" w:rsidRPr="002628D0" w:rsidRDefault="000B2D84" w:rsidP="000B2D84">
      <w:pPr>
        <w:pStyle w:val="Bezatstarpm"/>
        <w:ind w:firstLine="720"/>
        <w:jc w:val="both"/>
      </w:pPr>
    </w:p>
    <w:p w:rsidR="000B2D84" w:rsidRPr="002628D0" w:rsidRDefault="000B2D84" w:rsidP="000B2D84">
      <w:pPr>
        <w:pStyle w:val="Bezatstarpm"/>
        <w:ind w:firstLine="720"/>
        <w:jc w:val="both"/>
      </w:pPr>
    </w:p>
    <w:p w:rsidR="005A594C" w:rsidRPr="002628D0" w:rsidRDefault="005A594C" w:rsidP="007755EE">
      <w:pPr>
        <w:pStyle w:val="Bezatstarpm"/>
        <w:jc w:val="both"/>
      </w:pPr>
    </w:p>
    <w:p w:rsidR="00E141DA" w:rsidRPr="002628D0" w:rsidRDefault="00E141DA" w:rsidP="000046E2">
      <w:pPr>
        <w:pStyle w:val="Galvene"/>
        <w:jc w:val="both"/>
      </w:pPr>
    </w:p>
    <w:p w:rsidR="00E141DA" w:rsidRPr="002628D0" w:rsidRDefault="00E141DA" w:rsidP="000046E2">
      <w:pPr>
        <w:pStyle w:val="Galvene"/>
        <w:jc w:val="both"/>
      </w:pPr>
    </w:p>
    <w:p w:rsidR="00E141DA" w:rsidRPr="002628D0" w:rsidRDefault="00E141DA" w:rsidP="000046E2">
      <w:pPr>
        <w:pStyle w:val="Galvene"/>
        <w:jc w:val="both"/>
      </w:pPr>
    </w:p>
    <w:p w:rsidR="00E141DA" w:rsidRPr="002628D0" w:rsidRDefault="00E141DA" w:rsidP="000046E2">
      <w:pPr>
        <w:pStyle w:val="Galvene"/>
        <w:jc w:val="both"/>
      </w:pPr>
    </w:p>
    <w:p w:rsidR="000B2D84" w:rsidRPr="002628D0" w:rsidRDefault="000B2D84" w:rsidP="000046E2">
      <w:pPr>
        <w:pStyle w:val="Galvene"/>
        <w:jc w:val="both"/>
      </w:pPr>
    </w:p>
    <w:p w:rsidR="000B2D84" w:rsidRDefault="000B2D84" w:rsidP="000046E2">
      <w:pPr>
        <w:pStyle w:val="Galvene"/>
        <w:jc w:val="both"/>
      </w:pPr>
    </w:p>
    <w:p w:rsidR="00A273DA" w:rsidRDefault="00A273DA" w:rsidP="000046E2">
      <w:pPr>
        <w:pStyle w:val="Galvene"/>
        <w:jc w:val="both"/>
      </w:pPr>
    </w:p>
    <w:p w:rsidR="00A273DA" w:rsidRDefault="00A273DA" w:rsidP="000046E2">
      <w:pPr>
        <w:pStyle w:val="Galvene"/>
        <w:jc w:val="both"/>
      </w:pPr>
    </w:p>
    <w:p w:rsidR="00A273DA" w:rsidRPr="002628D0" w:rsidRDefault="00A273DA" w:rsidP="000046E2">
      <w:pPr>
        <w:pStyle w:val="Galvene"/>
        <w:jc w:val="both"/>
      </w:pPr>
    </w:p>
    <w:p w:rsidR="00E141DA" w:rsidRPr="002628D0" w:rsidRDefault="00E141DA" w:rsidP="000046E2">
      <w:pPr>
        <w:pStyle w:val="Galvene"/>
        <w:jc w:val="both"/>
      </w:pPr>
    </w:p>
    <w:p w:rsidR="00E141DA" w:rsidRPr="0055226C" w:rsidRDefault="00827CAE" w:rsidP="00E141DA">
      <w:pPr>
        <w:pStyle w:val="Galvene"/>
        <w:jc w:val="both"/>
        <w:rPr>
          <w:szCs w:val="20"/>
        </w:rPr>
      </w:pPr>
      <w:r w:rsidRPr="0055226C">
        <w:rPr>
          <w:szCs w:val="20"/>
        </w:rPr>
        <w:t>Rubene</w:t>
      </w:r>
      <w:r w:rsidR="00E141DA" w:rsidRPr="0055226C">
        <w:rPr>
          <w:szCs w:val="20"/>
        </w:rPr>
        <w:t xml:space="preserve"> </w:t>
      </w:r>
      <w:r w:rsidR="000046E2" w:rsidRPr="0055226C">
        <w:rPr>
          <w:szCs w:val="20"/>
        </w:rPr>
        <w:t>67027064</w:t>
      </w:r>
    </w:p>
    <w:p w:rsidR="0031283A" w:rsidRPr="0055226C" w:rsidRDefault="009C137B" w:rsidP="000B2D84">
      <w:pPr>
        <w:pStyle w:val="Galvene"/>
        <w:jc w:val="both"/>
        <w:rPr>
          <w:szCs w:val="20"/>
        </w:rPr>
      </w:pPr>
      <w:r w:rsidRPr="0055226C">
        <w:rPr>
          <w:szCs w:val="20"/>
        </w:rPr>
        <w:t>sigita.r</w:t>
      </w:r>
      <w:r w:rsidR="00827CAE" w:rsidRPr="0055226C">
        <w:rPr>
          <w:szCs w:val="20"/>
        </w:rPr>
        <w:t>ubene</w:t>
      </w:r>
      <w:r w:rsidR="000046E2" w:rsidRPr="0055226C">
        <w:rPr>
          <w:szCs w:val="20"/>
        </w:rPr>
        <w:t>@zm.gov.lv</w:t>
      </w:r>
    </w:p>
    <w:sectPr w:rsidR="0031283A" w:rsidRPr="0055226C" w:rsidSect="000B2D8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FC" w:rsidRDefault="00BD27FC" w:rsidP="00B97287">
      <w:pPr>
        <w:spacing w:after="0" w:line="240" w:lineRule="auto"/>
      </w:pPr>
      <w:r>
        <w:separator/>
      </w:r>
    </w:p>
  </w:endnote>
  <w:endnote w:type="continuationSeparator" w:id="0">
    <w:p w:rsidR="00BD27FC" w:rsidRDefault="00BD27FC" w:rsidP="00B9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55226C" w:rsidRDefault="0055226C" w:rsidP="0055226C">
    <w:pPr>
      <w:pStyle w:val="Kjene"/>
    </w:pPr>
    <w:r w:rsidRPr="0055226C">
      <w:rPr>
        <w:rFonts w:ascii="Times New Roman" w:eastAsia="Times New Roman" w:hAnsi="Times New Roman" w:cs="Times New Roman"/>
        <w:sz w:val="20"/>
        <w:szCs w:val="20"/>
        <w:lang w:val="lv-LV" w:eastAsia="lv-LV"/>
      </w:rPr>
      <w:t>ZManot_190617_kompens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55226C" w:rsidRDefault="0055226C" w:rsidP="0055226C">
    <w:pPr>
      <w:pStyle w:val="Kjene"/>
    </w:pPr>
    <w:r w:rsidRPr="0055226C">
      <w:rPr>
        <w:rFonts w:ascii="Times New Roman" w:eastAsia="Times New Roman" w:hAnsi="Times New Roman" w:cs="Times New Roman"/>
        <w:sz w:val="20"/>
        <w:szCs w:val="20"/>
        <w:lang w:val="lv-LV" w:eastAsia="lv-LV"/>
      </w:rPr>
      <w:t>ZManot_190617_kompens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FC" w:rsidRDefault="00BD27FC" w:rsidP="00B97287">
      <w:pPr>
        <w:spacing w:after="0" w:line="240" w:lineRule="auto"/>
      </w:pPr>
      <w:r>
        <w:separator/>
      </w:r>
    </w:p>
  </w:footnote>
  <w:footnote w:type="continuationSeparator" w:id="0">
    <w:p w:rsidR="00BD27FC" w:rsidRDefault="00BD27FC" w:rsidP="00B97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6D68E8" w:rsidRDefault="00177A1D" w:rsidP="0031283A">
        <w:pPr>
          <w:pStyle w:val="Galvene"/>
          <w:jc w:val="center"/>
        </w:pPr>
        <w:r>
          <w:fldChar w:fldCharType="begin"/>
        </w:r>
        <w:r>
          <w:instrText>PAGE   \* MERGEFORMAT</w:instrText>
        </w:r>
        <w:r>
          <w:fldChar w:fldCharType="separate"/>
        </w:r>
        <w:r w:rsidR="0055226C">
          <w:rPr>
            <w:noProof/>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4C"/>
    <w:rsid w:val="00001FE9"/>
    <w:rsid w:val="000022CC"/>
    <w:rsid w:val="00003471"/>
    <w:rsid w:val="000046E2"/>
    <w:rsid w:val="00005DC7"/>
    <w:rsid w:val="000062EF"/>
    <w:rsid w:val="00007A01"/>
    <w:rsid w:val="00007BB5"/>
    <w:rsid w:val="00012FA5"/>
    <w:rsid w:val="0003432B"/>
    <w:rsid w:val="00034B44"/>
    <w:rsid w:val="00040718"/>
    <w:rsid w:val="0004075A"/>
    <w:rsid w:val="00040902"/>
    <w:rsid w:val="00042301"/>
    <w:rsid w:val="00043F68"/>
    <w:rsid w:val="000441FF"/>
    <w:rsid w:val="000464A5"/>
    <w:rsid w:val="000511AD"/>
    <w:rsid w:val="00055155"/>
    <w:rsid w:val="000556F4"/>
    <w:rsid w:val="0005719B"/>
    <w:rsid w:val="00062683"/>
    <w:rsid w:val="00062849"/>
    <w:rsid w:val="00064041"/>
    <w:rsid w:val="000655DD"/>
    <w:rsid w:val="0006695C"/>
    <w:rsid w:val="00067A3E"/>
    <w:rsid w:val="00075613"/>
    <w:rsid w:val="0007568D"/>
    <w:rsid w:val="00077DE5"/>
    <w:rsid w:val="00082036"/>
    <w:rsid w:val="00082B6D"/>
    <w:rsid w:val="00086941"/>
    <w:rsid w:val="00086FF3"/>
    <w:rsid w:val="000948F2"/>
    <w:rsid w:val="0009580B"/>
    <w:rsid w:val="00097EDC"/>
    <w:rsid w:val="000A44BF"/>
    <w:rsid w:val="000A64CD"/>
    <w:rsid w:val="000B2D84"/>
    <w:rsid w:val="000B54E5"/>
    <w:rsid w:val="000B740F"/>
    <w:rsid w:val="000B7B3F"/>
    <w:rsid w:val="000C15D7"/>
    <w:rsid w:val="000C17D2"/>
    <w:rsid w:val="000C1C7A"/>
    <w:rsid w:val="000C2312"/>
    <w:rsid w:val="000C2635"/>
    <w:rsid w:val="000C293B"/>
    <w:rsid w:val="000C59C7"/>
    <w:rsid w:val="000C7DD2"/>
    <w:rsid w:val="000D18B0"/>
    <w:rsid w:val="000D34D3"/>
    <w:rsid w:val="000D3D8B"/>
    <w:rsid w:val="000D72A2"/>
    <w:rsid w:val="000D7DF9"/>
    <w:rsid w:val="000E0D42"/>
    <w:rsid w:val="000E1FC2"/>
    <w:rsid w:val="000E5FC0"/>
    <w:rsid w:val="000E6C55"/>
    <w:rsid w:val="000F3E7E"/>
    <w:rsid w:val="000F443D"/>
    <w:rsid w:val="000F4694"/>
    <w:rsid w:val="00104FAA"/>
    <w:rsid w:val="00105A87"/>
    <w:rsid w:val="00106B37"/>
    <w:rsid w:val="001118EC"/>
    <w:rsid w:val="00120A64"/>
    <w:rsid w:val="0012628E"/>
    <w:rsid w:val="00132206"/>
    <w:rsid w:val="00132A95"/>
    <w:rsid w:val="00136B07"/>
    <w:rsid w:val="0013730D"/>
    <w:rsid w:val="00141BEE"/>
    <w:rsid w:val="00142A81"/>
    <w:rsid w:val="00143B67"/>
    <w:rsid w:val="001447E1"/>
    <w:rsid w:val="00152291"/>
    <w:rsid w:val="00156A22"/>
    <w:rsid w:val="0015779B"/>
    <w:rsid w:val="00161EB7"/>
    <w:rsid w:val="00170F75"/>
    <w:rsid w:val="00173224"/>
    <w:rsid w:val="001743BF"/>
    <w:rsid w:val="001763DF"/>
    <w:rsid w:val="00177991"/>
    <w:rsid w:val="00177A1D"/>
    <w:rsid w:val="0018140D"/>
    <w:rsid w:val="00181838"/>
    <w:rsid w:val="001822AD"/>
    <w:rsid w:val="001830EE"/>
    <w:rsid w:val="00183C3E"/>
    <w:rsid w:val="00190403"/>
    <w:rsid w:val="00193781"/>
    <w:rsid w:val="001A09C2"/>
    <w:rsid w:val="001A12AA"/>
    <w:rsid w:val="001A2534"/>
    <w:rsid w:val="001A5595"/>
    <w:rsid w:val="001A7DF5"/>
    <w:rsid w:val="001B0335"/>
    <w:rsid w:val="001B2271"/>
    <w:rsid w:val="001B7FC9"/>
    <w:rsid w:val="001C249D"/>
    <w:rsid w:val="001C3C73"/>
    <w:rsid w:val="001C7399"/>
    <w:rsid w:val="001D0CC7"/>
    <w:rsid w:val="001D4790"/>
    <w:rsid w:val="001D64E4"/>
    <w:rsid w:val="001D77C9"/>
    <w:rsid w:val="001D78FA"/>
    <w:rsid w:val="001E0991"/>
    <w:rsid w:val="001E0B67"/>
    <w:rsid w:val="001E3427"/>
    <w:rsid w:val="001F3606"/>
    <w:rsid w:val="001F4682"/>
    <w:rsid w:val="001F5163"/>
    <w:rsid w:val="001F5E72"/>
    <w:rsid w:val="00201900"/>
    <w:rsid w:val="0020707D"/>
    <w:rsid w:val="00212E51"/>
    <w:rsid w:val="00215BD0"/>
    <w:rsid w:val="002174D5"/>
    <w:rsid w:val="0022133F"/>
    <w:rsid w:val="00224A1C"/>
    <w:rsid w:val="00230584"/>
    <w:rsid w:val="00233082"/>
    <w:rsid w:val="00233D63"/>
    <w:rsid w:val="00241A83"/>
    <w:rsid w:val="00242D0B"/>
    <w:rsid w:val="0024382B"/>
    <w:rsid w:val="00245A54"/>
    <w:rsid w:val="00252530"/>
    <w:rsid w:val="0025326D"/>
    <w:rsid w:val="00260AF3"/>
    <w:rsid w:val="002628D0"/>
    <w:rsid w:val="002646A7"/>
    <w:rsid w:val="00266ECA"/>
    <w:rsid w:val="00267298"/>
    <w:rsid w:val="00267D75"/>
    <w:rsid w:val="002722EB"/>
    <w:rsid w:val="002723C7"/>
    <w:rsid w:val="0027760E"/>
    <w:rsid w:val="00281699"/>
    <w:rsid w:val="00281AF1"/>
    <w:rsid w:val="00285A15"/>
    <w:rsid w:val="00285C6C"/>
    <w:rsid w:val="00291F81"/>
    <w:rsid w:val="00295ED4"/>
    <w:rsid w:val="00297363"/>
    <w:rsid w:val="0029751E"/>
    <w:rsid w:val="002A3AEC"/>
    <w:rsid w:val="002A41F2"/>
    <w:rsid w:val="002A6C61"/>
    <w:rsid w:val="002A70EE"/>
    <w:rsid w:val="002B131A"/>
    <w:rsid w:val="002B3716"/>
    <w:rsid w:val="002B4D46"/>
    <w:rsid w:val="002B529E"/>
    <w:rsid w:val="002B578F"/>
    <w:rsid w:val="002B72B8"/>
    <w:rsid w:val="002B7A5C"/>
    <w:rsid w:val="002C5611"/>
    <w:rsid w:val="002C724B"/>
    <w:rsid w:val="002D36ED"/>
    <w:rsid w:val="002D4566"/>
    <w:rsid w:val="002E0155"/>
    <w:rsid w:val="002E1934"/>
    <w:rsid w:val="002E410B"/>
    <w:rsid w:val="002F0981"/>
    <w:rsid w:val="002F0F6E"/>
    <w:rsid w:val="002F10F8"/>
    <w:rsid w:val="002F11F8"/>
    <w:rsid w:val="002F58AA"/>
    <w:rsid w:val="002F6D01"/>
    <w:rsid w:val="002F7EAA"/>
    <w:rsid w:val="00304026"/>
    <w:rsid w:val="0030545D"/>
    <w:rsid w:val="00307EE4"/>
    <w:rsid w:val="003118DA"/>
    <w:rsid w:val="0031283A"/>
    <w:rsid w:val="00313C3C"/>
    <w:rsid w:val="00315557"/>
    <w:rsid w:val="0032010D"/>
    <w:rsid w:val="00320912"/>
    <w:rsid w:val="003219DE"/>
    <w:rsid w:val="00325A59"/>
    <w:rsid w:val="003300ED"/>
    <w:rsid w:val="003302EC"/>
    <w:rsid w:val="00331E9A"/>
    <w:rsid w:val="00335895"/>
    <w:rsid w:val="003415CB"/>
    <w:rsid w:val="0034298A"/>
    <w:rsid w:val="00346071"/>
    <w:rsid w:val="003470CB"/>
    <w:rsid w:val="00351252"/>
    <w:rsid w:val="00351939"/>
    <w:rsid w:val="00361391"/>
    <w:rsid w:val="00365C37"/>
    <w:rsid w:val="00365E53"/>
    <w:rsid w:val="003674A9"/>
    <w:rsid w:val="00370EA5"/>
    <w:rsid w:val="0037410A"/>
    <w:rsid w:val="00384C7B"/>
    <w:rsid w:val="0038531A"/>
    <w:rsid w:val="00387C1B"/>
    <w:rsid w:val="00393A46"/>
    <w:rsid w:val="003947A2"/>
    <w:rsid w:val="00394F15"/>
    <w:rsid w:val="00394FEE"/>
    <w:rsid w:val="003A0DA1"/>
    <w:rsid w:val="003A16D8"/>
    <w:rsid w:val="003A262B"/>
    <w:rsid w:val="003A6A20"/>
    <w:rsid w:val="003B05F5"/>
    <w:rsid w:val="003B3E9F"/>
    <w:rsid w:val="003C2303"/>
    <w:rsid w:val="003D25BC"/>
    <w:rsid w:val="003D2C4B"/>
    <w:rsid w:val="003D4938"/>
    <w:rsid w:val="003D4D41"/>
    <w:rsid w:val="003D5C85"/>
    <w:rsid w:val="003D755A"/>
    <w:rsid w:val="003E16E2"/>
    <w:rsid w:val="003E27CD"/>
    <w:rsid w:val="003E2DF5"/>
    <w:rsid w:val="003E3289"/>
    <w:rsid w:val="003E3B13"/>
    <w:rsid w:val="003E46D4"/>
    <w:rsid w:val="003E51AC"/>
    <w:rsid w:val="003E6F19"/>
    <w:rsid w:val="003E7A39"/>
    <w:rsid w:val="003F3D0B"/>
    <w:rsid w:val="003F4454"/>
    <w:rsid w:val="00400150"/>
    <w:rsid w:val="00400707"/>
    <w:rsid w:val="00402A29"/>
    <w:rsid w:val="00402B49"/>
    <w:rsid w:val="004035E6"/>
    <w:rsid w:val="00405C7A"/>
    <w:rsid w:val="004060F4"/>
    <w:rsid w:val="00424A31"/>
    <w:rsid w:val="00427FF4"/>
    <w:rsid w:val="00431714"/>
    <w:rsid w:val="00433C9E"/>
    <w:rsid w:val="00435E09"/>
    <w:rsid w:val="004370C7"/>
    <w:rsid w:val="004371BD"/>
    <w:rsid w:val="004437DE"/>
    <w:rsid w:val="00446CD4"/>
    <w:rsid w:val="00452784"/>
    <w:rsid w:val="004543FD"/>
    <w:rsid w:val="00455CF2"/>
    <w:rsid w:val="004571F8"/>
    <w:rsid w:val="004636E9"/>
    <w:rsid w:val="004649BA"/>
    <w:rsid w:val="00472651"/>
    <w:rsid w:val="004728B6"/>
    <w:rsid w:val="00474375"/>
    <w:rsid w:val="004820AB"/>
    <w:rsid w:val="0048214F"/>
    <w:rsid w:val="0048317E"/>
    <w:rsid w:val="00484837"/>
    <w:rsid w:val="00485698"/>
    <w:rsid w:val="0048753B"/>
    <w:rsid w:val="004876A4"/>
    <w:rsid w:val="00493D93"/>
    <w:rsid w:val="00494943"/>
    <w:rsid w:val="004C3190"/>
    <w:rsid w:val="004C4A7A"/>
    <w:rsid w:val="004C53F1"/>
    <w:rsid w:val="004C7A10"/>
    <w:rsid w:val="004D3052"/>
    <w:rsid w:val="004D48F9"/>
    <w:rsid w:val="004D4D2A"/>
    <w:rsid w:val="004E01A7"/>
    <w:rsid w:val="004F16A6"/>
    <w:rsid w:val="004F7B69"/>
    <w:rsid w:val="0050294B"/>
    <w:rsid w:val="005047FE"/>
    <w:rsid w:val="00510BAC"/>
    <w:rsid w:val="00513ADF"/>
    <w:rsid w:val="00515411"/>
    <w:rsid w:val="00520279"/>
    <w:rsid w:val="0052361B"/>
    <w:rsid w:val="005239E5"/>
    <w:rsid w:val="0052725F"/>
    <w:rsid w:val="0053221D"/>
    <w:rsid w:val="00532BB5"/>
    <w:rsid w:val="00533D7D"/>
    <w:rsid w:val="00534AB2"/>
    <w:rsid w:val="00537E93"/>
    <w:rsid w:val="0054054A"/>
    <w:rsid w:val="005407DF"/>
    <w:rsid w:val="00540B33"/>
    <w:rsid w:val="00542559"/>
    <w:rsid w:val="005451DD"/>
    <w:rsid w:val="0055226C"/>
    <w:rsid w:val="0055587C"/>
    <w:rsid w:val="005562EA"/>
    <w:rsid w:val="00557CD6"/>
    <w:rsid w:val="00562282"/>
    <w:rsid w:val="00562A34"/>
    <w:rsid w:val="00564E92"/>
    <w:rsid w:val="00570F5F"/>
    <w:rsid w:val="00572987"/>
    <w:rsid w:val="00575BA2"/>
    <w:rsid w:val="00577870"/>
    <w:rsid w:val="005831E4"/>
    <w:rsid w:val="005850F9"/>
    <w:rsid w:val="00585824"/>
    <w:rsid w:val="00585B30"/>
    <w:rsid w:val="00587914"/>
    <w:rsid w:val="00587A51"/>
    <w:rsid w:val="0059025D"/>
    <w:rsid w:val="00593A1B"/>
    <w:rsid w:val="005A015B"/>
    <w:rsid w:val="005A20BF"/>
    <w:rsid w:val="005A2FE2"/>
    <w:rsid w:val="005A594C"/>
    <w:rsid w:val="005A5A68"/>
    <w:rsid w:val="005B22D2"/>
    <w:rsid w:val="005B26D0"/>
    <w:rsid w:val="005B2D9E"/>
    <w:rsid w:val="005C1C28"/>
    <w:rsid w:val="005C26D9"/>
    <w:rsid w:val="005C31E6"/>
    <w:rsid w:val="005C49D5"/>
    <w:rsid w:val="005C534F"/>
    <w:rsid w:val="005C61BA"/>
    <w:rsid w:val="005D60B8"/>
    <w:rsid w:val="005D6B09"/>
    <w:rsid w:val="005E06B0"/>
    <w:rsid w:val="005E3476"/>
    <w:rsid w:val="005E43D2"/>
    <w:rsid w:val="005E4E2C"/>
    <w:rsid w:val="005E5EF0"/>
    <w:rsid w:val="005F11AE"/>
    <w:rsid w:val="005F374B"/>
    <w:rsid w:val="005F4BC6"/>
    <w:rsid w:val="005F7E56"/>
    <w:rsid w:val="00602F6B"/>
    <w:rsid w:val="00604F56"/>
    <w:rsid w:val="00606F06"/>
    <w:rsid w:val="00607443"/>
    <w:rsid w:val="006076EA"/>
    <w:rsid w:val="00611DF3"/>
    <w:rsid w:val="006156D1"/>
    <w:rsid w:val="00615D57"/>
    <w:rsid w:val="00616ED3"/>
    <w:rsid w:val="00620C96"/>
    <w:rsid w:val="00625434"/>
    <w:rsid w:val="00626490"/>
    <w:rsid w:val="00627658"/>
    <w:rsid w:val="00634383"/>
    <w:rsid w:val="006351D8"/>
    <w:rsid w:val="0064220A"/>
    <w:rsid w:val="00645296"/>
    <w:rsid w:val="00645A85"/>
    <w:rsid w:val="00646C47"/>
    <w:rsid w:val="0065177B"/>
    <w:rsid w:val="00652796"/>
    <w:rsid w:val="006552DC"/>
    <w:rsid w:val="00655371"/>
    <w:rsid w:val="00664918"/>
    <w:rsid w:val="00671F56"/>
    <w:rsid w:val="00672F60"/>
    <w:rsid w:val="006838F1"/>
    <w:rsid w:val="0068404C"/>
    <w:rsid w:val="00686CA7"/>
    <w:rsid w:val="00687789"/>
    <w:rsid w:val="0069165E"/>
    <w:rsid w:val="00692916"/>
    <w:rsid w:val="00692B56"/>
    <w:rsid w:val="00694EA7"/>
    <w:rsid w:val="006972F8"/>
    <w:rsid w:val="006978C9"/>
    <w:rsid w:val="006A317E"/>
    <w:rsid w:val="006A4ECC"/>
    <w:rsid w:val="006A673D"/>
    <w:rsid w:val="006A72CE"/>
    <w:rsid w:val="006B021A"/>
    <w:rsid w:val="006B0C07"/>
    <w:rsid w:val="006B2E56"/>
    <w:rsid w:val="006B33D0"/>
    <w:rsid w:val="006B42B8"/>
    <w:rsid w:val="006B5869"/>
    <w:rsid w:val="006B5E08"/>
    <w:rsid w:val="006C3C64"/>
    <w:rsid w:val="006C71C2"/>
    <w:rsid w:val="006D56C8"/>
    <w:rsid w:val="006D748F"/>
    <w:rsid w:val="006E36E5"/>
    <w:rsid w:val="006E6FC1"/>
    <w:rsid w:val="006F4FA7"/>
    <w:rsid w:val="006F7A4A"/>
    <w:rsid w:val="00701CE0"/>
    <w:rsid w:val="00704F4C"/>
    <w:rsid w:val="0070644D"/>
    <w:rsid w:val="00706F8A"/>
    <w:rsid w:val="00711253"/>
    <w:rsid w:val="00713036"/>
    <w:rsid w:val="007134E7"/>
    <w:rsid w:val="00713CC3"/>
    <w:rsid w:val="0071518F"/>
    <w:rsid w:val="00715C6A"/>
    <w:rsid w:val="00717BF2"/>
    <w:rsid w:val="00727AEA"/>
    <w:rsid w:val="00727C84"/>
    <w:rsid w:val="00731DBD"/>
    <w:rsid w:val="00732DF7"/>
    <w:rsid w:val="007341B3"/>
    <w:rsid w:val="00736D9D"/>
    <w:rsid w:val="00740D47"/>
    <w:rsid w:val="00741D0C"/>
    <w:rsid w:val="0075001A"/>
    <w:rsid w:val="00750384"/>
    <w:rsid w:val="00751B0A"/>
    <w:rsid w:val="00754B4F"/>
    <w:rsid w:val="00767D06"/>
    <w:rsid w:val="007755EE"/>
    <w:rsid w:val="00777358"/>
    <w:rsid w:val="00783C6B"/>
    <w:rsid w:val="00787F9C"/>
    <w:rsid w:val="00790470"/>
    <w:rsid w:val="00795190"/>
    <w:rsid w:val="00796113"/>
    <w:rsid w:val="007A029B"/>
    <w:rsid w:val="007A05E9"/>
    <w:rsid w:val="007A09A2"/>
    <w:rsid w:val="007A1ED8"/>
    <w:rsid w:val="007A30CE"/>
    <w:rsid w:val="007A5031"/>
    <w:rsid w:val="007A52BA"/>
    <w:rsid w:val="007A7430"/>
    <w:rsid w:val="007B0DA8"/>
    <w:rsid w:val="007B2CAA"/>
    <w:rsid w:val="007B49CF"/>
    <w:rsid w:val="007C3087"/>
    <w:rsid w:val="007D2889"/>
    <w:rsid w:val="007D39CA"/>
    <w:rsid w:val="007D44A1"/>
    <w:rsid w:val="007D44AE"/>
    <w:rsid w:val="007D6F94"/>
    <w:rsid w:val="007E15B4"/>
    <w:rsid w:val="007E516D"/>
    <w:rsid w:val="007E66AB"/>
    <w:rsid w:val="007F1DF0"/>
    <w:rsid w:val="007F658A"/>
    <w:rsid w:val="007F7921"/>
    <w:rsid w:val="0080017E"/>
    <w:rsid w:val="00805170"/>
    <w:rsid w:val="00810785"/>
    <w:rsid w:val="00811E3F"/>
    <w:rsid w:val="0081341F"/>
    <w:rsid w:val="00814B83"/>
    <w:rsid w:val="0081583B"/>
    <w:rsid w:val="00815C8E"/>
    <w:rsid w:val="0082062E"/>
    <w:rsid w:val="0082155A"/>
    <w:rsid w:val="00823A75"/>
    <w:rsid w:val="008255BB"/>
    <w:rsid w:val="00826E71"/>
    <w:rsid w:val="00827CAE"/>
    <w:rsid w:val="008333E8"/>
    <w:rsid w:val="008336FF"/>
    <w:rsid w:val="008339A2"/>
    <w:rsid w:val="0083587B"/>
    <w:rsid w:val="008405D6"/>
    <w:rsid w:val="00842019"/>
    <w:rsid w:val="00842D1F"/>
    <w:rsid w:val="00843D6E"/>
    <w:rsid w:val="00844A26"/>
    <w:rsid w:val="00846B34"/>
    <w:rsid w:val="00854776"/>
    <w:rsid w:val="008575FD"/>
    <w:rsid w:val="008619BA"/>
    <w:rsid w:val="00862E6B"/>
    <w:rsid w:val="0086440A"/>
    <w:rsid w:val="008720D0"/>
    <w:rsid w:val="0087210F"/>
    <w:rsid w:val="00872810"/>
    <w:rsid w:val="008776E6"/>
    <w:rsid w:val="00883D89"/>
    <w:rsid w:val="0089158C"/>
    <w:rsid w:val="008949C0"/>
    <w:rsid w:val="00895A3E"/>
    <w:rsid w:val="008961C3"/>
    <w:rsid w:val="008A0AA1"/>
    <w:rsid w:val="008A2C86"/>
    <w:rsid w:val="008A54C2"/>
    <w:rsid w:val="008A7183"/>
    <w:rsid w:val="008B2236"/>
    <w:rsid w:val="008B500D"/>
    <w:rsid w:val="008B5D37"/>
    <w:rsid w:val="008B7F84"/>
    <w:rsid w:val="008C57CC"/>
    <w:rsid w:val="008D2A81"/>
    <w:rsid w:val="008E1F3F"/>
    <w:rsid w:val="008E1F90"/>
    <w:rsid w:val="008E4558"/>
    <w:rsid w:val="008F1B1C"/>
    <w:rsid w:val="008F3ADB"/>
    <w:rsid w:val="008F6771"/>
    <w:rsid w:val="008F78A9"/>
    <w:rsid w:val="009018B4"/>
    <w:rsid w:val="009018BB"/>
    <w:rsid w:val="00904463"/>
    <w:rsid w:val="0090552F"/>
    <w:rsid w:val="009118C7"/>
    <w:rsid w:val="009126D8"/>
    <w:rsid w:val="00913FF9"/>
    <w:rsid w:val="009152B6"/>
    <w:rsid w:val="00920041"/>
    <w:rsid w:val="00922106"/>
    <w:rsid w:val="009225AB"/>
    <w:rsid w:val="00922A18"/>
    <w:rsid w:val="00924984"/>
    <w:rsid w:val="0092534A"/>
    <w:rsid w:val="00931E49"/>
    <w:rsid w:val="00932B8A"/>
    <w:rsid w:val="00932F6D"/>
    <w:rsid w:val="00933655"/>
    <w:rsid w:val="00934975"/>
    <w:rsid w:val="00937D47"/>
    <w:rsid w:val="00940577"/>
    <w:rsid w:val="00942D6C"/>
    <w:rsid w:val="009453E4"/>
    <w:rsid w:val="00952F69"/>
    <w:rsid w:val="00955C00"/>
    <w:rsid w:val="00956000"/>
    <w:rsid w:val="009617BC"/>
    <w:rsid w:val="00961883"/>
    <w:rsid w:val="00961C00"/>
    <w:rsid w:val="00961C3F"/>
    <w:rsid w:val="009663ED"/>
    <w:rsid w:val="00970613"/>
    <w:rsid w:val="00971D1D"/>
    <w:rsid w:val="009763B2"/>
    <w:rsid w:val="00980A90"/>
    <w:rsid w:val="00983389"/>
    <w:rsid w:val="009902BB"/>
    <w:rsid w:val="009935B5"/>
    <w:rsid w:val="009942B9"/>
    <w:rsid w:val="009974F8"/>
    <w:rsid w:val="009A0071"/>
    <w:rsid w:val="009A24EB"/>
    <w:rsid w:val="009A699C"/>
    <w:rsid w:val="009A7D72"/>
    <w:rsid w:val="009B2129"/>
    <w:rsid w:val="009B3CCE"/>
    <w:rsid w:val="009B3F2D"/>
    <w:rsid w:val="009B6E9A"/>
    <w:rsid w:val="009B7C27"/>
    <w:rsid w:val="009C137B"/>
    <w:rsid w:val="009C58B5"/>
    <w:rsid w:val="009D723F"/>
    <w:rsid w:val="009E3E8F"/>
    <w:rsid w:val="009E7172"/>
    <w:rsid w:val="00A04918"/>
    <w:rsid w:val="00A05B0F"/>
    <w:rsid w:val="00A162B4"/>
    <w:rsid w:val="00A201FA"/>
    <w:rsid w:val="00A2473B"/>
    <w:rsid w:val="00A2699A"/>
    <w:rsid w:val="00A26D48"/>
    <w:rsid w:val="00A273DA"/>
    <w:rsid w:val="00A27F8C"/>
    <w:rsid w:val="00A32F70"/>
    <w:rsid w:val="00A35B4D"/>
    <w:rsid w:val="00A4010C"/>
    <w:rsid w:val="00A434EF"/>
    <w:rsid w:val="00A5151A"/>
    <w:rsid w:val="00A54FCC"/>
    <w:rsid w:val="00A57C18"/>
    <w:rsid w:val="00A652DB"/>
    <w:rsid w:val="00A67C41"/>
    <w:rsid w:val="00A7051F"/>
    <w:rsid w:val="00A71F5B"/>
    <w:rsid w:val="00A778D3"/>
    <w:rsid w:val="00A82223"/>
    <w:rsid w:val="00A83A28"/>
    <w:rsid w:val="00A869DE"/>
    <w:rsid w:val="00A945D7"/>
    <w:rsid w:val="00A96210"/>
    <w:rsid w:val="00AA251E"/>
    <w:rsid w:val="00AA3137"/>
    <w:rsid w:val="00AA501E"/>
    <w:rsid w:val="00AA5522"/>
    <w:rsid w:val="00AB2BA8"/>
    <w:rsid w:val="00AC2230"/>
    <w:rsid w:val="00AC713F"/>
    <w:rsid w:val="00AC71EA"/>
    <w:rsid w:val="00AD17CB"/>
    <w:rsid w:val="00AD1E80"/>
    <w:rsid w:val="00AD2B04"/>
    <w:rsid w:val="00AD3063"/>
    <w:rsid w:val="00AD508A"/>
    <w:rsid w:val="00AE199C"/>
    <w:rsid w:val="00AE3CF4"/>
    <w:rsid w:val="00AE4710"/>
    <w:rsid w:val="00AF3A04"/>
    <w:rsid w:val="00B0595A"/>
    <w:rsid w:val="00B067A6"/>
    <w:rsid w:val="00B07F4D"/>
    <w:rsid w:val="00B1049C"/>
    <w:rsid w:val="00B10C4C"/>
    <w:rsid w:val="00B14230"/>
    <w:rsid w:val="00B15108"/>
    <w:rsid w:val="00B206AF"/>
    <w:rsid w:val="00B32D0C"/>
    <w:rsid w:val="00B33FC0"/>
    <w:rsid w:val="00B35DA7"/>
    <w:rsid w:val="00B36862"/>
    <w:rsid w:val="00B4012F"/>
    <w:rsid w:val="00B4053B"/>
    <w:rsid w:val="00B4126C"/>
    <w:rsid w:val="00B46787"/>
    <w:rsid w:val="00B46B0F"/>
    <w:rsid w:val="00B50A68"/>
    <w:rsid w:val="00B570C3"/>
    <w:rsid w:val="00B606A5"/>
    <w:rsid w:val="00B6397C"/>
    <w:rsid w:val="00B65913"/>
    <w:rsid w:val="00B67459"/>
    <w:rsid w:val="00B679D6"/>
    <w:rsid w:val="00B72F6B"/>
    <w:rsid w:val="00B73CF5"/>
    <w:rsid w:val="00B8272F"/>
    <w:rsid w:val="00B83175"/>
    <w:rsid w:val="00B83FA8"/>
    <w:rsid w:val="00B85D44"/>
    <w:rsid w:val="00B904E5"/>
    <w:rsid w:val="00B90D7D"/>
    <w:rsid w:val="00B946FF"/>
    <w:rsid w:val="00B97287"/>
    <w:rsid w:val="00BA250E"/>
    <w:rsid w:val="00BA3B82"/>
    <w:rsid w:val="00BA7EBB"/>
    <w:rsid w:val="00BB3CE9"/>
    <w:rsid w:val="00BC40B4"/>
    <w:rsid w:val="00BC5E70"/>
    <w:rsid w:val="00BD0A8E"/>
    <w:rsid w:val="00BD135C"/>
    <w:rsid w:val="00BD150B"/>
    <w:rsid w:val="00BD27FC"/>
    <w:rsid w:val="00BD4000"/>
    <w:rsid w:val="00BD76F1"/>
    <w:rsid w:val="00BE4E9C"/>
    <w:rsid w:val="00BF40B5"/>
    <w:rsid w:val="00C0257A"/>
    <w:rsid w:val="00C03EEC"/>
    <w:rsid w:val="00C13F3E"/>
    <w:rsid w:val="00C13F44"/>
    <w:rsid w:val="00C24767"/>
    <w:rsid w:val="00C27BB0"/>
    <w:rsid w:val="00C315B4"/>
    <w:rsid w:val="00C3478F"/>
    <w:rsid w:val="00C36ED6"/>
    <w:rsid w:val="00C404F1"/>
    <w:rsid w:val="00C41085"/>
    <w:rsid w:val="00C43C35"/>
    <w:rsid w:val="00C46327"/>
    <w:rsid w:val="00C4744B"/>
    <w:rsid w:val="00C52C8A"/>
    <w:rsid w:val="00C566C6"/>
    <w:rsid w:val="00C6324B"/>
    <w:rsid w:val="00C64BD6"/>
    <w:rsid w:val="00C64F57"/>
    <w:rsid w:val="00C663AA"/>
    <w:rsid w:val="00C73464"/>
    <w:rsid w:val="00C74B20"/>
    <w:rsid w:val="00C7647B"/>
    <w:rsid w:val="00C807C2"/>
    <w:rsid w:val="00C81772"/>
    <w:rsid w:val="00C845BE"/>
    <w:rsid w:val="00C86BD8"/>
    <w:rsid w:val="00C90F10"/>
    <w:rsid w:val="00C9446B"/>
    <w:rsid w:val="00C95263"/>
    <w:rsid w:val="00C95350"/>
    <w:rsid w:val="00C97429"/>
    <w:rsid w:val="00CA255B"/>
    <w:rsid w:val="00CB20AD"/>
    <w:rsid w:val="00CB2C48"/>
    <w:rsid w:val="00CB525B"/>
    <w:rsid w:val="00CC339C"/>
    <w:rsid w:val="00CC551E"/>
    <w:rsid w:val="00CD0D34"/>
    <w:rsid w:val="00CD338C"/>
    <w:rsid w:val="00CD701D"/>
    <w:rsid w:val="00CE11DF"/>
    <w:rsid w:val="00CE7658"/>
    <w:rsid w:val="00CF04E1"/>
    <w:rsid w:val="00CF1237"/>
    <w:rsid w:val="00CF1C2D"/>
    <w:rsid w:val="00CF4FFA"/>
    <w:rsid w:val="00D00D2C"/>
    <w:rsid w:val="00D016B1"/>
    <w:rsid w:val="00D03733"/>
    <w:rsid w:val="00D03A67"/>
    <w:rsid w:val="00D0553E"/>
    <w:rsid w:val="00D12439"/>
    <w:rsid w:val="00D15FB5"/>
    <w:rsid w:val="00D162B0"/>
    <w:rsid w:val="00D17560"/>
    <w:rsid w:val="00D175A4"/>
    <w:rsid w:val="00D21A80"/>
    <w:rsid w:val="00D231BA"/>
    <w:rsid w:val="00D26595"/>
    <w:rsid w:val="00D32A48"/>
    <w:rsid w:val="00D32D85"/>
    <w:rsid w:val="00D3669F"/>
    <w:rsid w:val="00D3746C"/>
    <w:rsid w:val="00D40066"/>
    <w:rsid w:val="00D4331D"/>
    <w:rsid w:val="00D43613"/>
    <w:rsid w:val="00D45950"/>
    <w:rsid w:val="00D45B2A"/>
    <w:rsid w:val="00D504A3"/>
    <w:rsid w:val="00D505FF"/>
    <w:rsid w:val="00D5077A"/>
    <w:rsid w:val="00D5095C"/>
    <w:rsid w:val="00D52B5A"/>
    <w:rsid w:val="00D604AB"/>
    <w:rsid w:val="00D61FB3"/>
    <w:rsid w:val="00D67720"/>
    <w:rsid w:val="00D72DFC"/>
    <w:rsid w:val="00D73589"/>
    <w:rsid w:val="00D753DA"/>
    <w:rsid w:val="00D8016F"/>
    <w:rsid w:val="00D81771"/>
    <w:rsid w:val="00D82045"/>
    <w:rsid w:val="00D862FF"/>
    <w:rsid w:val="00D8672C"/>
    <w:rsid w:val="00D87662"/>
    <w:rsid w:val="00D954B0"/>
    <w:rsid w:val="00D95D1B"/>
    <w:rsid w:val="00D962B0"/>
    <w:rsid w:val="00D96AAA"/>
    <w:rsid w:val="00DA1C0A"/>
    <w:rsid w:val="00DA6802"/>
    <w:rsid w:val="00DC0293"/>
    <w:rsid w:val="00DC4427"/>
    <w:rsid w:val="00DD69A1"/>
    <w:rsid w:val="00DD7916"/>
    <w:rsid w:val="00DE058B"/>
    <w:rsid w:val="00DE587E"/>
    <w:rsid w:val="00DF13BC"/>
    <w:rsid w:val="00DF5920"/>
    <w:rsid w:val="00DF77BC"/>
    <w:rsid w:val="00E02289"/>
    <w:rsid w:val="00E02664"/>
    <w:rsid w:val="00E02DE9"/>
    <w:rsid w:val="00E0638C"/>
    <w:rsid w:val="00E065E1"/>
    <w:rsid w:val="00E10DA7"/>
    <w:rsid w:val="00E1360E"/>
    <w:rsid w:val="00E1394D"/>
    <w:rsid w:val="00E139D4"/>
    <w:rsid w:val="00E141DA"/>
    <w:rsid w:val="00E1432E"/>
    <w:rsid w:val="00E14AF8"/>
    <w:rsid w:val="00E24AFF"/>
    <w:rsid w:val="00E26BE0"/>
    <w:rsid w:val="00E27575"/>
    <w:rsid w:val="00E33328"/>
    <w:rsid w:val="00E34B1A"/>
    <w:rsid w:val="00E34F79"/>
    <w:rsid w:val="00E36B52"/>
    <w:rsid w:val="00E37A56"/>
    <w:rsid w:val="00E4179F"/>
    <w:rsid w:val="00E433BF"/>
    <w:rsid w:val="00E43C43"/>
    <w:rsid w:val="00E44B60"/>
    <w:rsid w:val="00E45F87"/>
    <w:rsid w:val="00E46453"/>
    <w:rsid w:val="00E51107"/>
    <w:rsid w:val="00E5532B"/>
    <w:rsid w:val="00E56193"/>
    <w:rsid w:val="00E57799"/>
    <w:rsid w:val="00E612E6"/>
    <w:rsid w:val="00E66E9A"/>
    <w:rsid w:val="00E809CD"/>
    <w:rsid w:val="00E8317A"/>
    <w:rsid w:val="00E83C2B"/>
    <w:rsid w:val="00E84212"/>
    <w:rsid w:val="00E877AD"/>
    <w:rsid w:val="00E90101"/>
    <w:rsid w:val="00E92564"/>
    <w:rsid w:val="00E94D2A"/>
    <w:rsid w:val="00E96B16"/>
    <w:rsid w:val="00EA1E40"/>
    <w:rsid w:val="00EA7250"/>
    <w:rsid w:val="00EB00EF"/>
    <w:rsid w:val="00EB671D"/>
    <w:rsid w:val="00EC12B4"/>
    <w:rsid w:val="00EC568A"/>
    <w:rsid w:val="00ED19EB"/>
    <w:rsid w:val="00ED3023"/>
    <w:rsid w:val="00ED518B"/>
    <w:rsid w:val="00ED6867"/>
    <w:rsid w:val="00ED7833"/>
    <w:rsid w:val="00ED7DDB"/>
    <w:rsid w:val="00EE1422"/>
    <w:rsid w:val="00EE29A5"/>
    <w:rsid w:val="00EE6DF5"/>
    <w:rsid w:val="00EF5C0C"/>
    <w:rsid w:val="00EF5C4C"/>
    <w:rsid w:val="00EF5CBA"/>
    <w:rsid w:val="00EF5D8E"/>
    <w:rsid w:val="00EF6595"/>
    <w:rsid w:val="00EF6DE3"/>
    <w:rsid w:val="00F0308B"/>
    <w:rsid w:val="00F03BE7"/>
    <w:rsid w:val="00F03D47"/>
    <w:rsid w:val="00F06E4D"/>
    <w:rsid w:val="00F10CC0"/>
    <w:rsid w:val="00F1667A"/>
    <w:rsid w:val="00F16F00"/>
    <w:rsid w:val="00F22629"/>
    <w:rsid w:val="00F31EFA"/>
    <w:rsid w:val="00F3417D"/>
    <w:rsid w:val="00F34E82"/>
    <w:rsid w:val="00F36CD4"/>
    <w:rsid w:val="00F417D7"/>
    <w:rsid w:val="00F45D51"/>
    <w:rsid w:val="00F504D1"/>
    <w:rsid w:val="00F513FF"/>
    <w:rsid w:val="00F525F6"/>
    <w:rsid w:val="00F65557"/>
    <w:rsid w:val="00F7153D"/>
    <w:rsid w:val="00F726AB"/>
    <w:rsid w:val="00F731CA"/>
    <w:rsid w:val="00F7388E"/>
    <w:rsid w:val="00F749C1"/>
    <w:rsid w:val="00F75DEF"/>
    <w:rsid w:val="00F80A20"/>
    <w:rsid w:val="00F82A7B"/>
    <w:rsid w:val="00F865E2"/>
    <w:rsid w:val="00F86A3A"/>
    <w:rsid w:val="00F90CB0"/>
    <w:rsid w:val="00F9493B"/>
    <w:rsid w:val="00F97F31"/>
    <w:rsid w:val="00FA0D83"/>
    <w:rsid w:val="00FA2C9C"/>
    <w:rsid w:val="00FA4A10"/>
    <w:rsid w:val="00FA728C"/>
    <w:rsid w:val="00FA7651"/>
    <w:rsid w:val="00FB1FE9"/>
    <w:rsid w:val="00FB3111"/>
    <w:rsid w:val="00FB68A6"/>
    <w:rsid w:val="00FC3CE8"/>
    <w:rsid w:val="00FC6DDB"/>
    <w:rsid w:val="00FD1458"/>
    <w:rsid w:val="00FD233D"/>
    <w:rsid w:val="00FE1715"/>
    <w:rsid w:val="00FE24C5"/>
    <w:rsid w:val="00FE5EBC"/>
    <w:rsid w:val="00FF0B99"/>
    <w:rsid w:val="00FF3331"/>
    <w:rsid w:val="00FF4FE5"/>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8342D-7E15-4634-BD7F-581C8E3A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A594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A594C"/>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5A594C"/>
    <w:pPr>
      <w:spacing w:after="0" w:line="240" w:lineRule="auto"/>
    </w:pPr>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5A594C"/>
    <w:pPr>
      <w:tabs>
        <w:tab w:val="center" w:pos="4513"/>
        <w:tab w:val="right" w:pos="9026"/>
      </w:tabs>
      <w:spacing w:after="0" w:line="240" w:lineRule="auto"/>
    </w:pPr>
    <w:rPr>
      <w:rFonts w:ascii="Times New Roman" w:eastAsia="Times New Roman" w:hAnsi="Times New Roman" w:cs="Times New Roman"/>
      <w:sz w:val="24"/>
      <w:szCs w:val="24"/>
      <w:lang w:val="lv-LV" w:eastAsia="lv-LV"/>
    </w:rPr>
  </w:style>
  <w:style w:type="character" w:customStyle="1" w:styleId="GalveneRakstz">
    <w:name w:val="Galvene Rakstz."/>
    <w:basedOn w:val="Noklusjumarindkopasfonts"/>
    <w:link w:val="Galvene"/>
    <w:uiPriority w:val="99"/>
    <w:rsid w:val="005A594C"/>
    <w:rPr>
      <w:rFonts w:ascii="Times New Roman" w:eastAsia="Times New Roman" w:hAnsi="Times New Roman" w:cs="Times New Roman"/>
      <w:sz w:val="24"/>
      <w:szCs w:val="24"/>
      <w:lang w:val="lv-LV" w:eastAsia="lv-LV"/>
    </w:rPr>
  </w:style>
  <w:style w:type="paragraph" w:styleId="Kjene">
    <w:name w:val="footer"/>
    <w:basedOn w:val="Parasts"/>
    <w:link w:val="KjeneRakstz"/>
    <w:unhideWhenUsed/>
    <w:rsid w:val="00B97287"/>
    <w:pPr>
      <w:tabs>
        <w:tab w:val="center" w:pos="4680"/>
        <w:tab w:val="right" w:pos="9360"/>
      </w:tabs>
      <w:spacing w:after="0" w:line="240" w:lineRule="auto"/>
    </w:pPr>
  </w:style>
  <w:style w:type="character" w:customStyle="1" w:styleId="KjeneRakstz">
    <w:name w:val="Kājene Rakstz."/>
    <w:basedOn w:val="Noklusjumarindkopasfonts"/>
    <w:link w:val="Kjene"/>
    <w:rsid w:val="00B97287"/>
  </w:style>
  <w:style w:type="paragraph" w:styleId="Balonteksts">
    <w:name w:val="Balloon Text"/>
    <w:basedOn w:val="Parasts"/>
    <w:link w:val="BalontekstsRakstz"/>
    <w:uiPriority w:val="99"/>
    <w:semiHidden/>
    <w:unhideWhenUsed/>
    <w:rsid w:val="00922A1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2A18"/>
    <w:rPr>
      <w:rFonts w:ascii="Tahoma" w:hAnsi="Tahoma" w:cs="Tahoma"/>
      <w:sz w:val="16"/>
      <w:szCs w:val="16"/>
    </w:rPr>
  </w:style>
  <w:style w:type="character" w:styleId="Hipersaite">
    <w:name w:val="Hyperlink"/>
    <w:basedOn w:val="Noklusjumarindkopasfonts"/>
    <w:unhideWhenUsed/>
    <w:rsid w:val="000062EF"/>
    <w:rPr>
      <w:color w:val="0000FF"/>
      <w:u w:val="single"/>
    </w:rPr>
  </w:style>
  <w:style w:type="paragraph" w:styleId="Paraststmeklis">
    <w:name w:val="Normal (Web)"/>
    <w:basedOn w:val="Parasts"/>
    <w:uiPriority w:val="99"/>
    <w:unhideWhenUsed/>
    <w:rsid w:val="000062EF"/>
    <w:pPr>
      <w:spacing w:before="100" w:beforeAutospacing="1" w:after="100" w:afterAutospacing="1" w:line="240" w:lineRule="auto"/>
    </w:pPr>
    <w:rPr>
      <w:rFonts w:ascii="Times New Roman" w:hAnsi="Times New Roman" w:cs="Times New Roman"/>
      <w:color w:val="000000"/>
      <w:sz w:val="24"/>
      <w:szCs w:val="24"/>
    </w:rPr>
  </w:style>
  <w:style w:type="paragraph" w:customStyle="1" w:styleId="naiskr">
    <w:name w:val="naiskr"/>
    <w:basedOn w:val="Parasts"/>
    <w:rsid w:val="00DA1C0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Izclums">
    <w:name w:val="Emphasis"/>
    <w:uiPriority w:val="20"/>
    <w:qFormat/>
    <w:rsid w:val="00DA1C0A"/>
    <w:rPr>
      <w:rFonts w:cs="Times New Roman"/>
      <w:i/>
      <w:iCs/>
    </w:rPr>
  </w:style>
  <w:style w:type="character" w:styleId="Izmantotahipersaite">
    <w:name w:val="FollowedHyperlink"/>
    <w:basedOn w:val="Noklusjumarindkopasfonts"/>
    <w:uiPriority w:val="99"/>
    <w:semiHidden/>
    <w:unhideWhenUsed/>
    <w:rsid w:val="00B85D44"/>
    <w:rPr>
      <w:color w:val="954F72" w:themeColor="followedHyperlink"/>
      <w:u w:val="single"/>
    </w:rPr>
  </w:style>
  <w:style w:type="paragraph" w:customStyle="1" w:styleId="naisnod">
    <w:name w:val="naisnod"/>
    <w:basedOn w:val="Parasts"/>
    <w:rsid w:val="007755E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f">
    <w:name w:val="naisf"/>
    <w:basedOn w:val="Parasts"/>
    <w:rsid w:val="007755E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5A20BF"/>
    <w:rPr>
      <w:sz w:val="16"/>
      <w:szCs w:val="16"/>
    </w:rPr>
  </w:style>
  <w:style w:type="paragraph" w:styleId="Komentrateksts">
    <w:name w:val="annotation text"/>
    <w:basedOn w:val="Parasts"/>
    <w:link w:val="KomentratekstsRakstz"/>
    <w:uiPriority w:val="99"/>
    <w:semiHidden/>
    <w:unhideWhenUsed/>
    <w:rsid w:val="005A20B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20BF"/>
    <w:rPr>
      <w:sz w:val="20"/>
      <w:szCs w:val="20"/>
    </w:rPr>
  </w:style>
  <w:style w:type="paragraph" w:styleId="Komentratma">
    <w:name w:val="annotation subject"/>
    <w:basedOn w:val="Komentrateksts"/>
    <w:next w:val="Komentrateksts"/>
    <w:link w:val="KomentratmaRakstz"/>
    <w:uiPriority w:val="99"/>
    <w:semiHidden/>
    <w:unhideWhenUsed/>
    <w:rsid w:val="005A20BF"/>
    <w:rPr>
      <w:b/>
      <w:bCs/>
    </w:rPr>
  </w:style>
  <w:style w:type="character" w:customStyle="1" w:styleId="KomentratmaRakstz">
    <w:name w:val="Komentāra tēma Rakstz."/>
    <w:basedOn w:val="KomentratekstsRakstz"/>
    <w:link w:val="Komentratma"/>
    <w:uiPriority w:val="99"/>
    <w:semiHidden/>
    <w:rsid w:val="005A20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66448">
      <w:bodyDiv w:val="1"/>
      <w:marLeft w:val="0"/>
      <w:marRight w:val="0"/>
      <w:marTop w:val="0"/>
      <w:marBottom w:val="0"/>
      <w:divBdr>
        <w:top w:val="none" w:sz="0" w:space="0" w:color="auto"/>
        <w:left w:val="none" w:sz="0" w:space="0" w:color="auto"/>
        <w:bottom w:val="none" w:sz="0" w:space="0" w:color="auto"/>
        <w:right w:val="none" w:sz="0" w:space="0" w:color="auto"/>
      </w:divBdr>
    </w:div>
    <w:div w:id="631861139">
      <w:bodyDiv w:val="1"/>
      <w:marLeft w:val="0"/>
      <w:marRight w:val="0"/>
      <w:marTop w:val="0"/>
      <w:marBottom w:val="0"/>
      <w:divBdr>
        <w:top w:val="none" w:sz="0" w:space="0" w:color="auto"/>
        <w:left w:val="none" w:sz="0" w:space="0" w:color="auto"/>
        <w:bottom w:val="none" w:sz="0" w:space="0" w:color="auto"/>
        <w:right w:val="none" w:sz="0" w:space="0" w:color="auto"/>
      </w:divBdr>
      <w:divsChild>
        <w:div w:id="736171340">
          <w:marLeft w:val="0"/>
          <w:marRight w:val="0"/>
          <w:marTop w:val="0"/>
          <w:marBottom w:val="0"/>
          <w:divBdr>
            <w:top w:val="none" w:sz="0" w:space="0" w:color="auto"/>
            <w:left w:val="none" w:sz="0" w:space="0" w:color="auto"/>
            <w:bottom w:val="none" w:sz="0" w:space="0" w:color="auto"/>
            <w:right w:val="none" w:sz="0" w:space="0" w:color="auto"/>
          </w:divBdr>
          <w:divsChild>
            <w:div w:id="1882397749">
              <w:marLeft w:val="0"/>
              <w:marRight w:val="0"/>
              <w:marTop w:val="0"/>
              <w:marBottom w:val="0"/>
              <w:divBdr>
                <w:top w:val="none" w:sz="0" w:space="0" w:color="auto"/>
                <w:left w:val="none" w:sz="0" w:space="0" w:color="auto"/>
                <w:bottom w:val="none" w:sz="0" w:space="0" w:color="auto"/>
                <w:right w:val="none" w:sz="0" w:space="0" w:color="auto"/>
              </w:divBdr>
              <w:divsChild>
                <w:div w:id="1510370608">
                  <w:marLeft w:val="0"/>
                  <w:marRight w:val="0"/>
                  <w:marTop w:val="0"/>
                  <w:marBottom w:val="0"/>
                  <w:divBdr>
                    <w:top w:val="none" w:sz="0" w:space="0" w:color="auto"/>
                    <w:left w:val="none" w:sz="0" w:space="0" w:color="auto"/>
                    <w:bottom w:val="none" w:sz="0" w:space="0" w:color="auto"/>
                    <w:right w:val="none" w:sz="0" w:space="0" w:color="auto"/>
                  </w:divBdr>
                  <w:divsChild>
                    <w:div w:id="373433265">
                      <w:marLeft w:val="0"/>
                      <w:marRight w:val="0"/>
                      <w:marTop w:val="0"/>
                      <w:marBottom w:val="0"/>
                      <w:divBdr>
                        <w:top w:val="none" w:sz="0" w:space="0" w:color="auto"/>
                        <w:left w:val="none" w:sz="0" w:space="0" w:color="auto"/>
                        <w:bottom w:val="none" w:sz="0" w:space="0" w:color="auto"/>
                        <w:right w:val="none" w:sz="0" w:space="0" w:color="auto"/>
                      </w:divBdr>
                      <w:divsChild>
                        <w:div w:id="518395185">
                          <w:marLeft w:val="0"/>
                          <w:marRight w:val="0"/>
                          <w:marTop w:val="0"/>
                          <w:marBottom w:val="0"/>
                          <w:divBdr>
                            <w:top w:val="none" w:sz="0" w:space="0" w:color="auto"/>
                            <w:left w:val="none" w:sz="0" w:space="0" w:color="auto"/>
                            <w:bottom w:val="none" w:sz="0" w:space="0" w:color="auto"/>
                            <w:right w:val="none" w:sz="0" w:space="0" w:color="auto"/>
                          </w:divBdr>
                          <w:divsChild>
                            <w:div w:id="14155174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977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288917-par-finansu-lidzeklu-pieskirsanu-no-valsts-budzeta-programmas-lidzekli-neparedzetiem-gadijumie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m.gov.lv" TargetMode="External"/><Relationship Id="rId4" Type="http://schemas.openxmlformats.org/officeDocument/2006/relationships/webSettings" Target="webSettings.xml"/><Relationship Id="rId9" Type="http://schemas.openxmlformats.org/officeDocument/2006/relationships/hyperlink" Target="https://likumi.lv/ta/id/290861-par-finansu-lidzeklu-pieskirsanu-no-valsts-budzeta-programmas-lidzekli-neparedzetiem-gadijumi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31CC6-49FE-4743-990F-1FE3C549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8107</Words>
  <Characters>4622</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Grozījumi Ministru kabineta 2005.gada 15.marta noteikumos Nr.177 Kārtība, kādā piešķir un dzīvnieku īpašnieks saņem kompensāciju par zaudējumiem, kas radušies valsts uzraudzībā esošās dzīvnieku infekcijas slimības vai epizootijas uzliesmojuma laikā</vt:lpstr>
    </vt:vector>
  </TitlesOfParts>
  <Manager>Veterinārais un pārtikas departaments</Manager>
  <Company>Zemkopibas Ministrija</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15.marta noteikumos Nr.177 Kārtība, kādā piešķir un dzīvnieku īpašnieks saņem kompensāciju par zaudējumiem, kas radušies valsts uzraudzībā esošās dzīvnieku infekcijas slimības vai epizootijas uzliesmojuma laikā</dc:title>
  <dc:subject>Sākotnējās ietekmes novērtējums (anotācija)</dc:subject>
  <dc:creator>Sigita Rubene</dc:creator>
  <dc:description>Sigita Rubene@zm.gov.lv, 67027064</dc:description>
  <cp:lastModifiedBy>Sanita Žagare</cp:lastModifiedBy>
  <cp:revision>5</cp:revision>
  <cp:lastPrinted>2017-03-15T10:31:00Z</cp:lastPrinted>
  <dcterms:created xsi:type="dcterms:W3CDTF">2017-06-27T06:49:00Z</dcterms:created>
  <dcterms:modified xsi:type="dcterms:W3CDTF">2017-06-27T07:41:00Z</dcterms:modified>
</cp:coreProperties>
</file>