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501B" w14:textId="77777777" w:rsidR="0014572D" w:rsidRPr="004031BD" w:rsidRDefault="0014572D" w:rsidP="0014572D">
      <w:pPr>
        <w:jc w:val="center"/>
        <w:rPr>
          <w:b/>
        </w:rPr>
      </w:pPr>
      <w:r w:rsidRPr="004031BD">
        <w:rPr>
          <w:b/>
        </w:rPr>
        <w:t>Ministru kabineta rīkojuma projekta “Par informācijas sabiedrības attīstības pamatnostādņu ieviešanu publiskās pārvaldes informācijas sistēmu jomā (</w:t>
      </w:r>
      <w:proofErr w:type="spellStart"/>
      <w:r w:rsidRPr="004031BD">
        <w:rPr>
          <w:b/>
        </w:rPr>
        <w:t>mērķarhitektūras</w:t>
      </w:r>
      <w:proofErr w:type="spellEnd"/>
      <w:r w:rsidRPr="004031BD">
        <w:rPr>
          <w:b/>
        </w:rPr>
        <w:t xml:space="preserve"> </w:t>
      </w:r>
      <w:r w:rsidR="00A63195" w:rsidRPr="004031BD">
        <w:rPr>
          <w:b/>
        </w:rPr>
        <w:t xml:space="preserve">27.0 </w:t>
      </w:r>
      <w:r w:rsidRPr="004031BD">
        <w:rPr>
          <w:b/>
        </w:rPr>
        <w:t>versija - Vienotas darba vides izveide visā Ekonomikas ministrijas resorā)” sākotnējās ietekmes novērtējuma ziņojums (anotācija) </w:t>
      </w:r>
    </w:p>
    <w:p w14:paraId="3E90E6E3" w14:textId="77777777" w:rsidR="0014572D" w:rsidRPr="004031BD" w:rsidRDefault="0014572D" w:rsidP="0014572D">
      <w:pPr>
        <w:jc w:val="center"/>
        <w:rPr>
          <w:lang w:eastAsia="en-US"/>
        </w:rPr>
      </w:pPr>
    </w:p>
    <w:tbl>
      <w:tblPr>
        <w:tblStyle w:val="TableGrid"/>
        <w:tblW w:w="9209" w:type="dxa"/>
        <w:tblLook w:val="04A0" w:firstRow="1" w:lastRow="0" w:firstColumn="1" w:lastColumn="0" w:noHBand="0" w:noVBand="1"/>
      </w:tblPr>
      <w:tblGrid>
        <w:gridCol w:w="527"/>
        <w:gridCol w:w="149"/>
        <w:gridCol w:w="1943"/>
        <w:gridCol w:w="420"/>
        <w:gridCol w:w="688"/>
        <w:gridCol w:w="1347"/>
        <w:gridCol w:w="1347"/>
        <w:gridCol w:w="1443"/>
        <w:gridCol w:w="1345"/>
      </w:tblGrid>
      <w:tr w:rsidR="0014572D" w:rsidRPr="004031BD" w14:paraId="23AB7DC0" w14:textId="77777777" w:rsidTr="008C4FBD">
        <w:trPr>
          <w:trHeight w:val="557"/>
        </w:trPr>
        <w:tc>
          <w:tcPr>
            <w:tcW w:w="9209" w:type="dxa"/>
            <w:gridSpan w:val="9"/>
          </w:tcPr>
          <w:p w14:paraId="57F66C74" w14:textId="77777777" w:rsidR="0014572D" w:rsidRPr="004031BD" w:rsidRDefault="0014572D" w:rsidP="007909E0">
            <w:pPr>
              <w:jc w:val="center"/>
              <w:rPr>
                <w:lang w:eastAsia="en-US"/>
              </w:rPr>
            </w:pPr>
            <w:r w:rsidRPr="004031BD">
              <w:rPr>
                <w:b/>
                <w:bCs/>
                <w:lang w:eastAsia="en-US"/>
              </w:rPr>
              <w:t> I. Tiesību akta izstrādes nepieciešamība</w:t>
            </w:r>
          </w:p>
        </w:tc>
      </w:tr>
      <w:tr w:rsidR="0014572D" w:rsidRPr="004031BD" w14:paraId="57B27BA6" w14:textId="77777777" w:rsidTr="008C4FBD">
        <w:trPr>
          <w:trHeight w:val="271"/>
        </w:trPr>
        <w:tc>
          <w:tcPr>
            <w:tcW w:w="676" w:type="dxa"/>
            <w:gridSpan w:val="2"/>
          </w:tcPr>
          <w:p w14:paraId="0503FFE7" w14:textId="77777777" w:rsidR="0014572D" w:rsidRPr="004031BD" w:rsidRDefault="0014572D" w:rsidP="007909E0">
            <w:pPr>
              <w:rPr>
                <w:lang w:eastAsia="en-US"/>
              </w:rPr>
            </w:pPr>
            <w:r w:rsidRPr="004031BD">
              <w:rPr>
                <w:lang w:eastAsia="en-US"/>
              </w:rPr>
              <w:t> 1.</w:t>
            </w:r>
          </w:p>
        </w:tc>
        <w:tc>
          <w:tcPr>
            <w:tcW w:w="1943" w:type="dxa"/>
          </w:tcPr>
          <w:p w14:paraId="057CE988" w14:textId="77777777" w:rsidR="0014572D" w:rsidRPr="004031BD" w:rsidRDefault="0014572D" w:rsidP="007909E0">
            <w:pPr>
              <w:rPr>
                <w:lang w:eastAsia="en-US"/>
              </w:rPr>
            </w:pPr>
            <w:r w:rsidRPr="004031BD">
              <w:rPr>
                <w:lang w:eastAsia="en-US"/>
              </w:rPr>
              <w:t>Pamatojums</w:t>
            </w:r>
          </w:p>
        </w:tc>
        <w:tc>
          <w:tcPr>
            <w:tcW w:w="6590" w:type="dxa"/>
            <w:gridSpan w:val="6"/>
          </w:tcPr>
          <w:p w14:paraId="2417CB1E" w14:textId="6A7066DC" w:rsidR="0014572D" w:rsidRPr="004031BD" w:rsidRDefault="00FF143B" w:rsidP="00FF143B">
            <w:pPr>
              <w:ind w:right="212" w:firstLine="567"/>
              <w:jc w:val="both"/>
            </w:pPr>
            <w:r w:rsidRPr="004031BD">
              <w:t>1) </w:t>
            </w:r>
            <w:r w:rsidR="0014572D" w:rsidRPr="004031BD">
              <w:t xml:space="preserve">Ministru kabineta  2015. gada 17. novembra noteikumu Nr. 653 “Darbības programmas “Izaugsme un nodarbinātība” 2.2.1. specifiskā atbalsta mērķa “Nodrošināt publisko datu </w:t>
            </w:r>
            <w:proofErr w:type="spellStart"/>
            <w:r w:rsidR="0014572D" w:rsidRPr="004031BD">
              <w:t>atkalizmantošanas</w:t>
            </w:r>
            <w:proofErr w:type="spellEnd"/>
            <w:r w:rsidR="0014572D" w:rsidRPr="004031BD">
              <w:t xml:space="preserve"> pieaugumu un efektīvu publiskās pārvaldes un privātā sektora mijiedarbību” 2.2.1.1. pasākuma “Centralizētu publiskās pārvaldes IKT platformu izveide, publiskās pārvaldes procesu optimizēšana un attīstība” īstenošanas no</w:t>
            </w:r>
            <w:r w:rsidR="003C789E" w:rsidRPr="004031BD">
              <w:t xml:space="preserve">teikumi” (turpmāk – īstenošanas </w:t>
            </w:r>
            <w:r w:rsidR="0014572D" w:rsidRPr="004031BD">
              <w:t>noteikumi) 4.</w:t>
            </w:r>
            <w:r w:rsidR="003C789E" w:rsidRPr="004031BD">
              <w:t> </w:t>
            </w:r>
            <w:r w:rsidR="0014572D" w:rsidRPr="004031BD">
              <w:t>punkts un 13.2.</w:t>
            </w:r>
            <w:r w:rsidR="003C789E" w:rsidRPr="004031BD">
              <w:t> </w:t>
            </w:r>
            <w:r w:rsidR="0014572D" w:rsidRPr="004031BD">
              <w:t>apakšpunkts.</w:t>
            </w:r>
          </w:p>
          <w:p w14:paraId="3FD80707" w14:textId="5C51B451" w:rsidR="0014572D" w:rsidRPr="004031BD" w:rsidRDefault="00FF143B" w:rsidP="00FF143B">
            <w:pPr>
              <w:suppressAutoHyphens/>
              <w:ind w:right="210" w:firstLine="567"/>
              <w:jc w:val="both"/>
              <w:rPr>
                <w:lang w:eastAsia="zh-CN"/>
              </w:rPr>
            </w:pPr>
            <w:r w:rsidRPr="004031BD">
              <w:t>2) </w:t>
            </w:r>
            <w:r w:rsidR="0014572D" w:rsidRPr="004031BD">
              <w:t xml:space="preserve">Deklarācijas par Māra Kučinska vadītā </w:t>
            </w:r>
            <w:r w:rsidR="006E29C4" w:rsidRPr="004031BD">
              <w:t xml:space="preserve">Ministru kabineta </w:t>
            </w:r>
            <w:r w:rsidR="0014572D" w:rsidRPr="004031BD">
              <w:t>iecerēto darbību 35 uzdevums “Nodrošināsim IKT publisko investīciju un e</w:t>
            </w:r>
            <w:r w:rsidR="0014572D" w:rsidRPr="004031BD">
              <w:noBreakHyphen/>
              <w:t xml:space="preserve">pakalpojumu orientāciju uz jaunu produktu un pakalpojumu veidošanu un </w:t>
            </w:r>
            <w:proofErr w:type="spellStart"/>
            <w:r w:rsidR="0014572D" w:rsidRPr="004031BD">
              <w:t>komercializāciju</w:t>
            </w:r>
            <w:proofErr w:type="spellEnd"/>
            <w:r w:rsidR="0014572D" w:rsidRPr="004031BD">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r w:rsidR="005213B4" w:rsidRPr="004031BD">
              <w:t>.</w:t>
            </w:r>
          </w:p>
          <w:p w14:paraId="5D927C2C" w14:textId="68E23AE8" w:rsidR="0014572D" w:rsidRPr="004031BD" w:rsidRDefault="00FF143B" w:rsidP="00FF143B">
            <w:pPr>
              <w:suppressAutoHyphens/>
              <w:ind w:right="210" w:firstLine="567"/>
              <w:jc w:val="both"/>
            </w:pPr>
            <w:r w:rsidRPr="004031BD">
              <w:t>3) </w:t>
            </w:r>
            <w:r w:rsidR="00A63195" w:rsidRPr="004031BD">
              <w:t>Ministru kabineta</w:t>
            </w:r>
            <w:r w:rsidR="0014572D" w:rsidRPr="004031BD">
              <w:rPr>
                <w:lang w:eastAsia="zh-CN"/>
              </w:rPr>
              <w:t xml:space="preserve"> 2016.gada 10. februāra rīkojuma Nr.136 “Par informācijas sabiedrības attīstības pamatnostādņu ieviešanu publiskās pārvaldes informācijas sistēmu jomā” 4.</w:t>
            </w:r>
            <w:r w:rsidR="002416A3" w:rsidRPr="004031BD">
              <w:rPr>
                <w:vertAlign w:val="superscript"/>
                <w:lang w:eastAsia="zh-CN"/>
              </w:rPr>
              <w:t>1</w:t>
            </w:r>
            <w:r w:rsidR="0014572D" w:rsidRPr="004031BD">
              <w:rPr>
                <w:lang w:eastAsia="zh-CN"/>
              </w:rPr>
              <w:t>punkts.</w:t>
            </w:r>
          </w:p>
        </w:tc>
      </w:tr>
      <w:tr w:rsidR="0014572D" w:rsidRPr="004031BD" w14:paraId="261A1859" w14:textId="77777777" w:rsidTr="008C4FBD">
        <w:trPr>
          <w:trHeight w:val="1545"/>
        </w:trPr>
        <w:tc>
          <w:tcPr>
            <w:tcW w:w="676" w:type="dxa"/>
            <w:gridSpan w:val="2"/>
          </w:tcPr>
          <w:p w14:paraId="753E7D12" w14:textId="77777777" w:rsidR="0014572D" w:rsidRPr="004031BD" w:rsidRDefault="0014572D" w:rsidP="007909E0">
            <w:pPr>
              <w:rPr>
                <w:lang w:eastAsia="en-US"/>
              </w:rPr>
            </w:pPr>
            <w:r w:rsidRPr="004031BD">
              <w:rPr>
                <w:lang w:eastAsia="en-US"/>
              </w:rPr>
              <w:t> 2.</w:t>
            </w:r>
          </w:p>
        </w:tc>
        <w:tc>
          <w:tcPr>
            <w:tcW w:w="1943" w:type="dxa"/>
          </w:tcPr>
          <w:p w14:paraId="79511FB6" w14:textId="77777777" w:rsidR="0014572D" w:rsidRPr="004031BD" w:rsidRDefault="0014572D" w:rsidP="007909E0">
            <w:pPr>
              <w:rPr>
                <w:lang w:eastAsia="en-US"/>
              </w:rPr>
            </w:pPr>
            <w:r w:rsidRPr="004031BD">
              <w:rPr>
                <w:lang w:eastAsia="en-US"/>
              </w:rPr>
              <w:t>Pašreizējā situācija un problēmas, kuru risināšanai tiesību akta projekts izstrādāts, tiesiskā regulējuma mērķis un būtība</w:t>
            </w:r>
          </w:p>
        </w:tc>
        <w:tc>
          <w:tcPr>
            <w:tcW w:w="6590" w:type="dxa"/>
            <w:gridSpan w:val="6"/>
          </w:tcPr>
          <w:p w14:paraId="383A72D8" w14:textId="65FDA28F" w:rsidR="0014572D" w:rsidRPr="004031BD" w:rsidRDefault="0014572D" w:rsidP="007909E0">
            <w:pPr>
              <w:pStyle w:val="VPBody"/>
              <w:spacing w:after="0" w:line="240" w:lineRule="auto"/>
              <w:ind w:firstLine="495"/>
              <w:jc w:val="both"/>
            </w:pPr>
            <w:r w:rsidRPr="004031BD">
              <w:t xml:space="preserve">Ar </w:t>
            </w:r>
            <w:r w:rsidR="00A63195" w:rsidRPr="004031BD">
              <w:t>Ministru kabineta</w:t>
            </w:r>
            <w:r w:rsidRPr="004031BD">
              <w:t xml:space="preserve"> rīkojuma projektu tiek apstiprināts un iekļauts informācijas un komunikāciju tehnoloģiju (turpmāk – IKT) </w:t>
            </w:r>
            <w:proofErr w:type="spellStart"/>
            <w:r w:rsidRPr="004031BD">
              <w:t>mērķarhitektūras</w:t>
            </w:r>
            <w:proofErr w:type="spellEnd"/>
            <w:r w:rsidRPr="004031BD">
              <w:t xml:space="preserve"> </w:t>
            </w:r>
            <w:r w:rsidR="00A63195" w:rsidRPr="004031BD">
              <w:t>27.0</w:t>
            </w:r>
            <w:r w:rsidRPr="004031BD">
              <w:rPr>
                <w:b/>
              </w:rPr>
              <w:t xml:space="preserve"> </w:t>
            </w:r>
            <w:r w:rsidRPr="004031BD">
              <w:t>versijā  projekta apraksts “Vienotas darba vides izveide visā Ekonomikas ministrijas resorā” (turpmāk –</w:t>
            </w:r>
            <w:r w:rsidR="00D7390F" w:rsidRPr="004031BD">
              <w:t xml:space="preserve"> </w:t>
            </w:r>
            <w:r w:rsidR="00891F6B" w:rsidRPr="004031BD">
              <w:t>p</w:t>
            </w:r>
            <w:r w:rsidRPr="004031BD">
              <w:t xml:space="preserve">rojekts), kas </w:t>
            </w:r>
            <w:r w:rsidR="00D7390F" w:rsidRPr="004031BD">
              <w:t xml:space="preserve">ir Ministru kabineta rīkojuma projekta pielikums un kas </w:t>
            </w:r>
            <w:r w:rsidRPr="004031BD">
              <w:t xml:space="preserve">tika izvērtēts atbilstoši Vides aizsardzības un reģionālās attīstības ministrijas (turpmāk – VARAM) izstrādātajai un apstiprinātajai metodikai par projektu iekļaušanu IKT </w:t>
            </w:r>
            <w:proofErr w:type="spellStart"/>
            <w:r w:rsidRPr="004031BD">
              <w:t>mērķarhitektūrā</w:t>
            </w:r>
            <w:proofErr w:type="spellEnd"/>
            <w:r w:rsidRPr="004031BD">
              <w:t>.</w:t>
            </w:r>
          </w:p>
          <w:p w14:paraId="35548756" w14:textId="1B7B3AFD" w:rsidR="0014572D" w:rsidRPr="004031BD" w:rsidRDefault="0014572D" w:rsidP="007909E0">
            <w:pPr>
              <w:ind w:firstLine="495"/>
              <w:jc w:val="both"/>
              <w:rPr>
                <w:bCs/>
                <w:color w:val="000000" w:themeColor="text1"/>
              </w:rPr>
            </w:pPr>
            <w:r w:rsidRPr="004031BD">
              <w:t xml:space="preserve">VARAM ir atbalstījis Projekta iekļaušanu IKT </w:t>
            </w:r>
            <w:proofErr w:type="spellStart"/>
            <w:r w:rsidRPr="004031BD">
              <w:t>mērķarhitektūras</w:t>
            </w:r>
            <w:proofErr w:type="spellEnd"/>
            <w:r w:rsidRPr="004031BD">
              <w:t xml:space="preserve"> kārtējā versijā. Projekts veicina darbības programmas “Izaugsme un nodarbinātība” specifiskā atbalsta mērķa “Nodrošināt publisko datu </w:t>
            </w:r>
            <w:proofErr w:type="spellStart"/>
            <w:r w:rsidRPr="004031BD">
              <w:t>atkalizmantošanas</w:t>
            </w:r>
            <w:proofErr w:type="spellEnd"/>
            <w:r w:rsidRPr="004031BD">
              <w:t xml:space="preserve"> pieaugumu un efektīvu publiskās pārvaldes un privātā sektora mijiedarbību” 2.2.1.1. pasākumam “Centralizētu publiskās pārvaldes IKT </w:t>
            </w:r>
            <w:r w:rsidRPr="004031BD">
              <w:lastRenderedPageBreak/>
              <w:t xml:space="preserve">platformu izveide, publiskās pārvaldes procesu optimizēšana un attīstība” izvirzīto rādītāju sasniegšanu, </w:t>
            </w:r>
            <w:r w:rsidRPr="004031BD">
              <w:rPr>
                <w:bCs/>
                <w:color w:val="000000" w:themeColor="text1"/>
              </w:rPr>
              <w:t>pilnveidojot 11 publiskās pārvaldes procesus un publicējot 10 datu kopas Atvērto datu portālā.</w:t>
            </w:r>
          </w:p>
          <w:p w14:paraId="6192B9E0" w14:textId="4ED38835" w:rsidR="007305AD" w:rsidRPr="004031BD" w:rsidRDefault="007305AD" w:rsidP="007909E0">
            <w:pPr>
              <w:ind w:firstLine="495"/>
              <w:jc w:val="both"/>
              <w:rPr>
                <w:b/>
                <w:bCs/>
                <w:color w:val="000000" w:themeColor="text1"/>
              </w:rPr>
            </w:pPr>
          </w:p>
          <w:p w14:paraId="241D3AF6" w14:textId="77777777" w:rsidR="00DB5FBA" w:rsidRPr="004031BD" w:rsidRDefault="00DB5FBA" w:rsidP="007909E0">
            <w:pPr>
              <w:ind w:firstLine="495"/>
              <w:jc w:val="both"/>
              <w:rPr>
                <w:b/>
                <w:bCs/>
                <w:color w:val="000000" w:themeColor="text1"/>
              </w:rPr>
            </w:pPr>
          </w:p>
          <w:p w14:paraId="06D8B0EF" w14:textId="77777777" w:rsidR="0014572D" w:rsidRPr="004031BD" w:rsidRDefault="0014572D" w:rsidP="007909E0">
            <w:pPr>
              <w:ind w:firstLine="495"/>
              <w:jc w:val="both"/>
              <w:rPr>
                <w:b/>
                <w:bCs/>
              </w:rPr>
            </w:pPr>
            <w:r w:rsidRPr="004031BD">
              <w:rPr>
                <w:b/>
                <w:bCs/>
              </w:rPr>
              <w:t>Projektam ir izvirzīti šādi mērķi:</w:t>
            </w:r>
          </w:p>
          <w:p w14:paraId="2A9C352B" w14:textId="7ACCDCBB" w:rsidR="00670A85" w:rsidRPr="004031BD" w:rsidRDefault="00670A85" w:rsidP="00670A85">
            <w:pPr>
              <w:pStyle w:val="VPBody"/>
              <w:spacing w:before="120" w:after="0" w:line="240" w:lineRule="auto"/>
              <w:ind w:firstLine="567"/>
              <w:jc w:val="both"/>
            </w:pPr>
            <w:r w:rsidRPr="004031BD">
              <w:t>1. </w:t>
            </w:r>
            <w:r w:rsidR="0014572D" w:rsidRPr="004031BD">
              <w:t xml:space="preserve">Nodrošināt centralizētu, uz modernām tehnoloģijām balstītu informācijas un komunikāciju tehnoloģiju pakalpojumu sniegšanu Ekonomikas ministrijā, Būvniecības valsts kontroles birojā, </w:t>
            </w:r>
            <w:r w:rsidR="00895344" w:rsidRPr="004031BD">
              <w:t>Konkurences padomē</w:t>
            </w:r>
            <w:r w:rsidR="0014572D" w:rsidRPr="004031BD">
              <w:t>, Patērētāju</w:t>
            </w:r>
            <w:r w:rsidR="009D1A49" w:rsidRPr="004031BD">
              <w:t xml:space="preserve"> tiesību aizsardzības centrā un Latvijas Investīciju un attīstības aģentūrā</w:t>
            </w:r>
            <w:r w:rsidR="0014572D" w:rsidRPr="004031BD">
              <w:t xml:space="preserve"> (turpmāk - Ekonomikas ministrijas resors)</w:t>
            </w:r>
            <w:r w:rsidRPr="004031BD">
              <w:t>.</w:t>
            </w:r>
          </w:p>
          <w:p w14:paraId="42086743" w14:textId="4B067B59" w:rsidR="0014572D" w:rsidRPr="004031BD" w:rsidRDefault="00670A85" w:rsidP="00653528">
            <w:pPr>
              <w:pStyle w:val="VPBody"/>
              <w:spacing w:after="0" w:line="240" w:lineRule="auto"/>
              <w:ind w:firstLine="567"/>
              <w:jc w:val="both"/>
            </w:pPr>
            <w:r w:rsidRPr="004031BD">
              <w:t>P</w:t>
            </w:r>
            <w:r w:rsidR="00516C99" w:rsidRPr="004031BD">
              <w:t>ro</w:t>
            </w:r>
            <w:r w:rsidRPr="004031BD">
              <w:t>jekta ietvaros radītais rezultāts var tikt</w:t>
            </w:r>
            <w:r w:rsidR="00516C99" w:rsidRPr="004031BD">
              <w:t xml:space="preserve"> izmantot</w:t>
            </w:r>
            <w:r w:rsidR="00F841CE" w:rsidRPr="004031BD">
              <w:t>s</w:t>
            </w:r>
            <w:r w:rsidR="00516C99" w:rsidRPr="004031BD">
              <w:t xml:space="preserve"> </w:t>
            </w:r>
            <w:r w:rsidRPr="004031BD">
              <w:t xml:space="preserve">nākotnē </w:t>
            </w:r>
            <w:r w:rsidR="00516C99" w:rsidRPr="004031BD">
              <w:t xml:space="preserve">arī Centrālās statistikas pārvaldes vajadzībām. Vienlaikus, lai izpildītu projekta iesniegumu vērtēšanas kritērijus, Ministru kabineta 2015.gada 17.novembra noteikumos Nr.653 “Darbības programmas “Izaugsme un nodarbinātība” 2.2.1. specifiskā atbalsta mērķa “Nodrošināt publisko datu </w:t>
            </w:r>
            <w:proofErr w:type="spellStart"/>
            <w:r w:rsidR="00516C99" w:rsidRPr="004031BD">
              <w:t>atkalizmantošanas</w:t>
            </w:r>
            <w:proofErr w:type="spellEnd"/>
            <w:r w:rsidR="00516C99" w:rsidRPr="004031BD">
              <w:t xml:space="preserve"> pieaugumu un efektīvu publiskās pārvaldes un privātā sektora mijiedarbību” 2.2.1.1. pasākuma “Centralizētu publiskās pārvaldes IKT platformu izveide, publiskās pārvaldes procesu optimizēšana un attīstība” īstenošanas noteikumi” iekļautos nosacījumus un neuzņemtos pārlieku lielas saistības, kas varētu apdraudēt un radīt nelabvēlīgus apstākļus un riska ietekmi uz projekta sekmīgu īstenošanu, nolemts neiekļaut Centrālo statistikas pārvaldi projekta rezultatīvajos rādītājos.</w:t>
            </w:r>
          </w:p>
          <w:p w14:paraId="576E5625" w14:textId="1FA39055" w:rsidR="0014572D" w:rsidRPr="004031BD" w:rsidRDefault="00670A85" w:rsidP="00670A85">
            <w:pPr>
              <w:pStyle w:val="VPBody"/>
              <w:spacing w:after="0" w:line="240" w:lineRule="auto"/>
              <w:ind w:firstLine="567"/>
              <w:jc w:val="both"/>
            </w:pPr>
            <w:r w:rsidRPr="004031BD">
              <w:t>2. </w:t>
            </w:r>
            <w:r w:rsidR="0014572D" w:rsidRPr="004031BD">
              <w:t>Uzlabot darbības procesu elektronizācijas līmeni, samazinot administratīvo slogu Ekonomikas ministrijas resorā un komersantiem, kuri veic datu iesniegšanu.</w:t>
            </w:r>
          </w:p>
          <w:p w14:paraId="60B34130" w14:textId="77777777" w:rsidR="00DB5FBA" w:rsidRPr="004031BD" w:rsidRDefault="00DB5FBA" w:rsidP="008F1875">
            <w:pPr>
              <w:pStyle w:val="VPBody"/>
              <w:spacing w:after="0" w:line="240" w:lineRule="auto"/>
              <w:ind w:firstLine="567"/>
              <w:jc w:val="both"/>
            </w:pPr>
          </w:p>
          <w:p w14:paraId="3EEBBD5B" w14:textId="77777777" w:rsidR="0014572D" w:rsidRPr="004031BD" w:rsidRDefault="0014572D" w:rsidP="007909E0">
            <w:pPr>
              <w:ind w:firstLine="495"/>
              <w:jc w:val="both"/>
              <w:rPr>
                <w:b/>
                <w:bCs/>
              </w:rPr>
            </w:pPr>
            <w:r w:rsidRPr="004031BD">
              <w:rPr>
                <w:b/>
                <w:bCs/>
              </w:rPr>
              <w:t>Esošajā situācijā ir identificētas šādas problēmas:</w:t>
            </w:r>
          </w:p>
          <w:p w14:paraId="74CC25D2" w14:textId="2D5A52F6" w:rsidR="0014572D" w:rsidRPr="004031BD" w:rsidRDefault="00EF426C" w:rsidP="00B84A25">
            <w:pPr>
              <w:pStyle w:val="VPBody"/>
              <w:tabs>
                <w:tab w:val="left" w:pos="0"/>
              </w:tabs>
              <w:spacing w:after="0" w:line="240" w:lineRule="auto"/>
              <w:ind w:firstLine="567"/>
              <w:jc w:val="both"/>
            </w:pPr>
            <w:r w:rsidRPr="004031BD">
              <w:t>1. </w:t>
            </w:r>
            <w:r w:rsidR="0014572D" w:rsidRPr="004031BD">
              <w:t>Zems darbības procesu elektronizācijas līmenis;</w:t>
            </w:r>
          </w:p>
          <w:p w14:paraId="56D3DA5B" w14:textId="4AFCE755" w:rsidR="0014572D" w:rsidRPr="004031BD" w:rsidRDefault="00EF426C" w:rsidP="00B84A25">
            <w:pPr>
              <w:pStyle w:val="VPBody"/>
              <w:tabs>
                <w:tab w:val="left" w:pos="0"/>
              </w:tabs>
              <w:spacing w:after="0" w:line="240" w:lineRule="auto"/>
              <w:ind w:firstLine="567"/>
              <w:jc w:val="both"/>
            </w:pPr>
            <w:r w:rsidRPr="004031BD">
              <w:t>2. </w:t>
            </w:r>
            <w:r w:rsidR="0014572D" w:rsidRPr="004031BD">
              <w:t>Nepietiekama datu apmaiņa ar citām informācijas sistēmām, t.sk. valsts informācijas sistēmām</w:t>
            </w:r>
            <w:r w:rsidR="003E4EF9" w:rsidRPr="004031BD">
              <w:t xml:space="preserve"> (piem., </w:t>
            </w:r>
            <w:r w:rsidR="00F6357E" w:rsidRPr="004031BD">
              <w:t xml:space="preserve">ar </w:t>
            </w:r>
            <w:r w:rsidR="003E4EF9" w:rsidRPr="004031BD">
              <w:t>Uzņēmum</w:t>
            </w:r>
            <w:r w:rsidR="00F6357E" w:rsidRPr="004031BD">
              <w:t>u reģistra informācijas sistēmu, Valsts ieņēmumu dienesta pārziņā esošajām informācijas sistēmām</w:t>
            </w:r>
            <w:r w:rsidR="00FA021B" w:rsidRPr="004031BD">
              <w:t xml:space="preserve">, </w:t>
            </w:r>
            <w:r w:rsidR="004007B5" w:rsidRPr="004031BD">
              <w:t>Nekustamā īpašuma vals</w:t>
            </w:r>
            <w:r w:rsidR="00E6179E" w:rsidRPr="004031BD">
              <w:t>ts kadastra informācijas sistēmu, Valsts adrešu reģistra informācijas sistēmu</w:t>
            </w:r>
            <w:r w:rsidR="00643B0F" w:rsidRPr="004031BD">
              <w:t xml:space="preserve"> un Iedzīvotāju reģistru</w:t>
            </w:r>
            <w:r w:rsidR="003E4EF9" w:rsidRPr="004031BD">
              <w:t>)</w:t>
            </w:r>
            <w:r w:rsidR="0014572D" w:rsidRPr="004031BD">
              <w:t>, datu apstrādes kļūdu iespējamība un nepietiekama uzkrāto datu atbilstoša aizsardzība;</w:t>
            </w:r>
          </w:p>
          <w:p w14:paraId="186CB2A6" w14:textId="0D0A809A" w:rsidR="0014572D" w:rsidRPr="004031BD" w:rsidRDefault="00EF426C" w:rsidP="00B84A25">
            <w:pPr>
              <w:pStyle w:val="VPBody"/>
              <w:tabs>
                <w:tab w:val="left" w:pos="0"/>
              </w:tabs>
              <w:spacing w:after="0" w:line="240" w:lineRule="auto"/>
              <w:ind w:firstLine="567"/>
              <w:jc w:val="both"/>
            </w:pPr>
            <w:r w:rsidRPr="004031BD">
              <w:t>3. </w:t>
            </w:r>
            <w:r w:rsidR="0014572D" w:rsidRPr="004031BD">
              <w:t>Lietu pārvaldības risinājuma trūkums, pierādījuma saglabāšanas un vēsturisko lietu pieejamības problemātika;</w:t>
            </w:r>
          </w:p>
          <w:p w14:paraId="1D0E38C3" w14:textId="16DFF8E1" w:rsidR="0014572D" w:rsidRPr="004031BD" w:rsidRDefault="00EF426C" w:rsidP="00B84A25">
            <w:pPr>
              <w:pStyle w:val="VPBody"/>
              <w:tabs>
                <w:tab w:val="left" w:pos="0"/>
              </w:tabs>
              <w:spacing w:after="0" w:line="240" w:lineRule="auto"/>
              <w:ind w:firstLine="567"/>
              <w:jc w:val="both"/>
            </w:pPr>
            <w:r w:rsidRPr="004031BD">
              <w:t>4. </w:t>
            </w:r>
            <w:r w:rsidR="0014572D" w:rsidRPr="004031BD">
              <w:t>Nepietiekama Ekonomikas ministrijas resorā pieņemto lēmumu, t.sk. izsniegto licenču, uzskaite un reģistru pārvaldība;</w:t>
            </w:r>
          </w:p>
          <w:p w14:paraId="45A45BFE" w14:textId="626F5E84" w:rsidR="0014572D" w:rsidRPr="004031BD" w:rsidRDefault="00EF426C" w:rsidP="00B84A25">
            <w:pPr>
              <w:pStyle w:val="VPBody"/>
              <w:tabs>
                <w:tab w:val="left" w:pos="0"/>
              </w:tabs>
              <w:spacing w:after="0" w:line="240" w:lineRule="auto"/>
              <w:ind w:firstLine="567"/>
              <w:jc w:val="both"/>
            </w:pPr>
            <w:r w:rsidRPr="004031BD">
              <w:t>5. </w:t>
            </w:r>
            <w:r w:rsidR="0014572D" w:rsidRPr="004031BD">
              <w:t>Elektronisko datu analizēs rīka neesamība;</w:t>
            </w:r>
          </w:p>
          <w:p w14:paraId="4D6A003B" w14:textId="7262E20D" w:rsidR="0014572D" w:rsidRPr="004031BD" w:rsidRDefault="00EF426C" w:rsidP="00B84A25">
            <w:pPr>
              <w:pStyle w:val="VPBody"/>
              <w:tabs>
                <w:tab w:val="left" w:pos="0"/>
              </w:tabs>
              <w:spacing w:after="0" w:line="240" w:lineRule="auto"/>
              <w:ind w:firstLine="567"/>
              <w:jc w:val="both"/>
            </w:pPr>
            <w:r w:rsidRPr="004031BD">
              <w:t>6. </w:t>
            </w:r>
            <w:r w:rsidR="0014572D" w:rsidRPr="004031BD">
              <w:t>Informācijas tehnoloģiju infrastruktūras centralizētu risinājumu neesamība Ekonomikas ministrijas resorā;</w:t>
            </w:r>
          </w:p>
          <w:p w14:paraId="7697B2EB" w14:textId="72C4587F" w:rsidR="0014572D" w:rsidRPr="004031BD" w:rsidRDefault="00EF426C" w:rsidP="00B84A25">
            <w:pPr>
              <w:pStyle w:val="VPBody"/>
              <w:tabs>
                <w:tab w:val="left" w:pos="0"/>
              </w:tabs>
              <w:spacing w:after="0" w:line="240" w:lineRule="auto"/>
              <w:ind w:firstLine="567"/>
              <w:jc w:val="both"/>
            </w:pPr>
            <w:r w:rsidRPr="004031BD">
              <w:t>7. </w:t>
            </w:r>
            <w:r w:rsidR="0014572D" w:rsidRPr="004031BD">
              <w:t>Ierobežota iespējamība attālināti piekļūt Ekonomikas ministrijas uzturētajiem iekšējiem informācijas un komunikācijas tehnoloģiju resursiem.</w:t>
            </w:r>
          </w:p>
          <w:p w14:paraId="7183F1F3" w14:textId="77777777" w:rsidR="00EF426C" w:rsidRPr="004031BD" w:rsidRDefault="00EF426C" w:rsidP="00EF426C">
            <w:pPr>
              <w:pStyle w:val="VPBody"/>
              <w:tabs>
                <w:tab w:val="left" w:pos="0"/>
              </w:tabs>
              <w:spacing w:after="0" w:line="240" w:lineRule="auto"/>
              <w:jc w:val="both"/>
            </w:pPr>
          </w:p>
          <w:p w14:paraId="34B7D942" w14:textId="77777777" w:rsidR="0014572D" w:rsidRPr="004031BD" w:rsidRDefault="0014572D" w:rsidP="00360222">
            <w:pPr>
              <w:pStyle w:val="VPBody"/>
              <w:tabs>
                <w:tab w:val="left" w:pos="0"/>
              </w:tabs>
              <w:spacing w:after="0" w:line="240" w:lineRule="auto"/>
              <w:ind w:firstLine="567"/>
              <w:jc w:val="both"/>
            </w:pPr>
            <w:r w:rsidRPr="004031BD">
              <w:t>Lai sasniegtu projekta plānotos mērķus, Projekta ietvaros ir paredzēts attīstīt vairākus risinājumus, kā:</w:t>
            </w:r>
          </w:p>
          <w:p w14:paraId="0C16846F" w14:textId="155C9B3B" w:rsidR="0014572D" w:rsidRPr="004031BD" w:rsidRDefault="00360222" w:rsidP="00360222">
            <w:pPr>
              <w:pStyle w:val="VPBody"/>
              <w:spacing w:before="120" w:after="0" w:line="240" w:lineRule="auto"/>
              <w:ind w:firstLine="851"/>
              <w:jc w:val="both"/>
              <w:rPr>
                <w:b/>
                <w:szCs w:val="24"/>
              </w:rPr>
            </w:pPr>
            <w:r w:rsidRPr="004031BD">
              <w:rPr>
                <w:b/>
                <w:szCs w:val="24"/>
              </w:rPr>
              <w:t>1. </w:t>
            </w:r>
            <w:r w:rsidR="0014572D" w:rsidRPr="004031BD">
              <w:rPr>
                <w:b/>
                <w:szCs w:val="24"/>
              </w:rPr>
              <w:t>Lietu pārvaldības sistēma</w:t>
            </w:r>
          </w:p>
          <w:p w14:paraId="56E3466D" w14:textId="77777777" w:rsidR="0014572D" w:rsidRPr="004031BD" w:rsidRDefault="0014572D" w:rsidP="00470B15">
            <w:pPr>
              <w:pStyle w:val="VPBody"/>
              <w:spacing w:before="120" w:after="0" w:line="240" w:lineRule="auto"/>
              <w:ind w:firstLine="851"/>
              <w:jc w:val="both"/>
              <w:rPr>
                <w:szCs w:val="24"/>
              </w:rPr>
            </w:pPr>
            <w:r w:rsidRPr="004031BD">
              <w:rPr>
                <w:szCs w:val="24"/>
              </w:rPr>
              <w:t>Lai samazinātu datu apstrādes kļūdas un efektīvāk pārvaldītu iestāžu vestās lietas, apstrādātās sūdzības, iesniegumus un sniegtās konsultācijas, Ekonomikas ministrijas resora ietvaros tiks ieviesta iestāžu vajadzībām pielāgojama lietu pārvaldības (</w:t>
            </w:r>
            <w:proofErr w:type="spellStart"/>
            <w:r w:rsidRPr="004031BD">
              <w:rPr>
                <w:i/>
                <w:szCs w:val="24"/>
              </w:rPr>
              <w:t>case</w:t>
            </w:r>
            <w:proofErr w:type="spellEnd"/>
            <w:r w:rsidRPr="004031BD">
              <w:rPr>
                <w:i/>
                <w:szCs w:val="24"/>
              </w:rPr>
              <w:t xml:space="preserve"> </w:t>
            </w:r>
            <w:proofErr w:type="spellStart"/>
            <w:r w:rsidRPr="004031BD">
              <w:rPr>
                <w:i/>
                <w:szCs w:val="24"/>
              </w:rPr>
              <w:t>management</w:t>
            </w:r>
            <w:proofErr w:type="spellEnd"/>
            <w:r w:rsidRPr="004031BD">
              <w:rPr>
                <w:szCs w:val="24"/>
              </w:rPr>
              <w:t xml:space="preserve">) sistēma. Sistēma nodrošinās nepieciešamās starpsistēmu </w:t>
            </w:r>
            <w:proofErr w:type="spellStart"/>
            <w:r w:rsidRPr="004031BD">
              <w:rPr>
                <w:szCs w:val="24"/>
              </w:rPr>
              <w:t>saskarnes</w:t>
            </w:r>
            <w:proofErr w:type="spellEnd"/>
            <w:r w:rsidRPr="004031BD">
              <w:rPr>
                <w:szCs w:val="24"/>
              </w:rPr>
              <w:t xml:space="preserve"> datu saņemšanai un nodošanai citu resora iestāžu un ārējām informācijas sistēmām. Lietu pārvaldības sistēma Ekonomikas ministrijas resorā nodrošinās vismaz šādu funkcionalitāti:</w:t>
            </w:r>
          </w:p>
          <w:p w14:paraId="6811B4F6"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lietu veidošanu;</w:t>
            </w:r>
          </w:p>
          <w:p w14:paraId="0A583AC1"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datu (t.sk. pierādījumu) un lietu sasaisti;</w:t>
            </w:r>
          </w:p>
          <w:p w14:paraId="75D2BB7A" w14:textId="4D48CAD5"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 xml:space="preserve">pieejas vadības kontroles </w:t>
            </w:r>
            <w:proofErr w:type="spellStart"/>
            <w:r w:rsidRPr="004031BD">
              <w:rPr>
                <w:szCs w:val="24"/>
              </w:rPr>
              <w:t>sens</w:t>
            </w:r>
            <w:r w:rsidR="007E6AE0">
              <w:rPr>
                <w:szCs w:val="24"/>
              </w:rPr>
              <w:t>i</w:t>
            </w:r>
            <w:r w:rsidRPr="004031BD">
              <w:rPr>
                <w:szCs w:val="24"/>
              </w:rPr>
              <w:t>tīviem</w:t>
            </w:r>
            <w:proofErr w:type="spellEnd"/>
            <w:r w:rsidRPr="004031BD">
              <w:rPr>
                <w:szCs w:val="24"/>
              </w:rPr>
              <w:t xml:space="preserve"> datiem;</w:t>
            </w:r>
          </w:p>
          <w:p w14:paraId="306F2E75"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incidentu un lietu klasifikāciju;</w:t>
            </w:r>
          </w:p>
          <w:p w14:paraId="34561127"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ekspertu resursu pārvaldību;</w:t>
            </w:r>
          </w:p>
          <w:p w14:paraId="64DCC60E"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lietu pārvaldību un koplietošanas funkcionalitāti;</w:t>
            </w:r>
          </w:p>
          <w:p w14:paraId="04A6EC78"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interaktīvu vēsturisko datu atlasi pēc kritērijiem (piemēram uzņēmuma, iesaistītās personas);</w:t>
            </w:r>
          </w:p>
          <w:p w14:paraId="12CA61DB"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pieņemto lēmumu (t.sk. izsniegto licenču) reģistrēšanu;</w:t>
            </w:r>
          </w:p>
          <w:p w14:paraId="7918D31D"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sasaisti ar citām informācijas sistēmām (gan resorā esošām, piemēram dokumentu vadības sistēmu “Namejs”, gan citu iestāžu).</w:t>
            </w:r>
          </w:p>
          <w:p w14:paraId="48680774" w14:textId="6FAAD361" w:rsidR="0014572D" w:rsidRPr="004031BD" w:rsidRDefault="0014572D" w:rsidP="00BF0AC0">
            <w:pPr>
              <w:pStyle w:val="VPBody"/>
              <w:spacing w:after="0" w:line="240" w:lineRule="auto"/>
              <w:ind w:firstLine="567"/>
              <w:jc w:val="both"/>
              <w:rPr>
                <w:szCs w:val="24"/>
              </w:rPr>
            </w:pPr>
            <w:r w:rsidRPr="004031BD">
              <w:rPr>
                <w:szCs w:val="24"/>
              </w:rPr>
              <w:t xml:space="preserve">Lietu pārvaldības sistēmas izveidē tiks vērtēta iespēja veikt </w:t>
            </w:r>
            <w:r w:rsidR="00612188" w:rsidRPr="004031BD">
              <w:rPr>
                <w:szCs w:val="24"/>
              </w:rPr>
              <w:t xml:space="preserve">Ekonomikas ministrijas </w:t>
            </w:r>
            <w:r w:rsidRPr="004031BD">
              <w:rPr>
                <w:szCs w:val="24"/>
              </w:rPr>
              <w:t>rīcībā esošo nepieciešamo datu migrēšanu no šobrīd izmantotajām informācijas sistēmām (t.sk. sistēmas “Uzraugs”) uz lietu pārvaldības sistēmu.</w:t>
            </w:r>
          </w:p>
          <w:p w14:paraId="59F2DA29" w14:textId="681C8A61" w:rsidR="0014572D" w:rsidRPr="004031BD" w:rsidRDefault="0014572D" w:rsidP="00BF0AC0">
            <w:pPr>
              <w:pStyle w:val="VPBody"/>
              <w:spacing w:after="0" w:line="240" w:lineRule="auto"/>
              <w:ind w:firstLine="567"/>
              <w:jc w:val="both"/>
              <w:rPr>
                <w:szCs w:val="24"/>
              </w:rPr>
            </w:pPr>
            <w:r w:rsidRPr="004031BD">
              <w:rPr>
                <w:szCs w:val="24"/>
              </w:rPr>
              <w:t xml:space="preserve">Šāda sistēma ļaus arī pilnveidot šobrīd Ekonomikas ministrijas resorā izmantotos reģistrus (t.sk. licenču reģistru), kas ir izveidoti </w:t>
            </w:r>
            <w:r w:rsidRPr="004031BD">
              <w:rPr>
                <w:i/>
                <w:szCs w:val="24"/>
              </w:rPr>
              <w:t>Microsoft</w:t>
            </w:r>
            <w:r w:rsidRPr="004031BD">
              <w:rPr>
                <w:szCs w:val="24"/>
              </w:rPr>
              <w:t xml:space="preserve"> </w:t>
            </w:r>
            <w:r w:rsidRPr="004031BD">
              <w:rPr>
                <w:i/>
                <w:szCs w:val="24"/>
              </w:rPr>
              <w:t>Excel</w:t>
            </w:r>
            <w:r w:rsidRPr="004031BD">
              <w:rPr>
                <w:szCs w:val="24"/>
              </w:rPr>
              <w:t xml:space="preserve"> formātā, vai nenodrošina informācijas apmaiņu ar citiem reģistriem un sistēmām, kā arī nodrošināt iestāžu vajadzībām atbilstoš</w:t>
            </w:r>
            <w:r w:rsidR="007E6AE0">
              <w:rPr>
                <w:szCs w:val="24"/>
              </w:rPr>
              <w:t>u</w:t>
            </w:r>
            <w:r w:rsidRPr="004031BD">
              <w:rPr>
                <w:szCs w:val="24"/>
              </w:rPr>
              <w:t xml:space="preserve"> lietu pārvaldības procesa atbalstu.</w:t>
            </w:r>
          </w:p>
          <w:p w14:paraId="4E798EC2" w14:textId="0DEC9CAC" w:rsidR="007872AD" w:rsidRPr="004031BD" w:rsidRDefault="007872AD" w:rsidP="00BF0AC0">
            <w:pPr>
              <w:pStyle w:val="VPBody"/>
              <w:spacing w:after="0" w:line="240" w:lineRule="auto"/>
              <w:ind w:firstLine="567"/>
              <w:jc w:val="both"/>
              <w:rPr>
                <w:szCs w:val="24"/>
              </w:rPr>
            </w:pPr>
            <w:bookmarkStart w:id="0" w:name="_Hlk489186107"/>
            <w:r w:rsidRPr="004031BD">
              <w:rPr>
                <w:szCs w:val="24"/>
              </w:rPr>
              <w:t>Ņemot vērā augstāk minēto</w:t>
            </w:r>
            <w:r w:rsidR="001960BC" w:rsidRPr="004031BD">
              <w:rPr>
                <w:szCs w:val="24"/>
              </w:rPr>
              <w:t>, līdz ar lietu pārvaldības sistēmas ieviešanu</w:t>
            </w:r>
            <w:r w:rsidR="00E96BA2" w:rsidRPr="004031BD">
              <w:rPr>
                <w:szCs w:val="24"/>
              </w:rPr>
              <w:t>, turpmāk vienot</w:t>
            </w:r>
            <w:r w:rsidR="00A3740E">
              <w:rPr>
                <w:szCs w:val="24"/>
              </w:rPr>
              <w:t>ā</w:t>
            </w:r>
            <w:r w:rsidR="00E96BA2" w:rsidRPr="004031BD">
              <w:rPr>
                <w:szCs w:val="24"/>
              </w:rPr>
              <w:t xml:space="preserve"> informācijas sistēm</w:t>
            </w:r>
            <w:r w:rsidR="004A02EF" w:rsidRPr="004031BD">
              <w:rPr>
                <w:szCs w:val="24"/>
              </w:rPr>
              <w:t>a</w:t>
            </w:r>
            <w:r w:rsidR="00E96BA2" w:rsidRPr="004031BD">
              <w:rPr>
                <w:szCs w:val="24"/>
              </w:rPr>
              <w:t>,</w:t>
            </w:r>
            <w:r w:rsidR="00E96BA2" w:rsidRPr="004031BD">
              <w:t xml:space="preserve"> </w:t>
            </w:r>
            <w:r w:rsidR="00E96BA2" w:rsidRPr="004031BD">
              <w:rPr>
                <w:szCs w:val="24"/>
              </w:rPr>
              <w:t>izmantojot tajā iestrādātos tehniskos un loģiskos risinājumus un informācijas resursus (programmatūru), nodrošinā</w:t>
            </w:r>
            <w:r w:rsidR="004A02EF" w:rsidRPr="004031BD">
              <w:rPr>
                <w:szCs w:val="24"/>
              </w:rPr>
              <w:t>s</w:t>
            </w:r>
            <w:r w:rsidR="00E96BA2" w:rsidRPr="004031BD">
              <w:rPr>
                <w:szCs w:val="24"/>
              </w:rPr>
              <w:t xml:space="preserve"> informācijas </w:t>
            </w:r>
            <w:r w:rsidR="004A02EF" w:rsidRPr="004031BD">
              <w:rPr>
                <w:szCs w:val="24"/>
              </w:rPr>
              <w:t xml:space="preserve">apstrādi, </w:t>
            </w:r>
            <w:r w:rsidR="00E96BA2" w:rsidRPr="004031BD">
              <w:rPr>
                <w:szCs w:val="24"/>
              </w:rPr>
              <w:t>pieejamību, nodošanu un apmaiņu tikai tādā apjomā tām personām un institūcijām, kuras ir tiesīgas to saņemt un lietot atbilstoši normatīvo aktu prasībām.</w:t>
            </w:r>
            <w:r w:rsidR="004A02EF" w:rsidRPr="004031BD">
              <w:rPr>
                <w:szCs w:val="24"/>
              </w:rPr>
              <w:t xml:space="preserve"> </w:t>
            </w:r>
            <w:r w:rsidR="00886738" w:rsidRPr="004031BD">
              <w:rPr>
                <w:szCs w:val="24"/>
              </w:rPr>
              <w:t>Savukārt tās informācijas sistēmas, no kur</w:t>
            </w:r>
            <w:r w:rsidR="00C61270">
              <w:rPr>
                <w:szCs w:val="24"/>
              </w:rPr>
              <w:t>ām notiks datu migrācija, vairs</w:t>
            </w:r>
            <w:r w:rsidR="00886738" w:rsidRPr="004031BD">
              <w:rPr>
                <w:szCs w:val="24"/>
              </w:rPr>
              <w:t xml:space="preserve"> netiks izmantotas, tādējādi samazinot uzturēšanas izmaksas attiecībā uz tām.</w:t>
            </w:r>
          </w:p>
          <w:bookmarkEnd w:id="0"/>
          <w:p w14:paraId="54A83BBF" w14:textId="25528565" w:rsidR="0014572D" w:rsidRPr="004031BD" w:rsidRDefault="003C0CF6" w:rsidP="001B480C">
            <w:pPr>
              <w:pStyle w:val="VPBody"/>
              <w:spacing w:before="120" w:after="120" w:line="240" w:lineRule="auto"/>
              <w:ind w:firstLine="567"/>
              <w:jc w:val="both"/>
              <w:rPr>
                <w:b/>
                <w:szCs w:val="24"/>
              </w:rPr>
            </w:pPr>
            <w:r w:rsidRPr="004031BD">
              <w:rPr>
                <w:b/>
                <w:szCs w:val="24"/>
              </w:rPr>
              <w:t>2. </w:t>
            </w:r>
            <w:r w:rsidR="0014572D" w:rsidRPr="004031BD">
              <w:rPr>
                <w:b/>
                <w:szCs w:val="24"/>
              </w:rPr>
              <w:t>Informācijas elektroniskas iesniegšanas un datu analīzes risinājums</w:t>
            </w:r>
          </w:p>
          <w:p w14:paraId="5508FAF5" w14:textId="3A4C84E7" w:rsidR="0014572D" w:rsidRPr="004031BD" w:rsidRDefault="0014572D" w:rsidP="003C0CF6">
            <w:pPr>
              <w:pStyle w:val="VPBody"/>
              <w:spacing w:after="0" w:line="240" w:lineRule="auto"/>
              <w:ind w:firstLine="567"/>
              <w:jc w:val="both"/>
              <w:rPr>
                <w:szCs w:val="24"/>
              </w:rPr>
            </w:pPr>
            <w:r w:rsidRPr="004031BD">
              <w:rPr>
                <w:szCs w:val="24"/>
              </w:rPr>
              <w:t xml:space="preserve">Projekta ietvaros plānots ieviest Ekonomikas ministrijas resorā vienotu informācijas elektroniskas iesniegšanas un datu analīzes risinājumu, kā arī izveidot datu noliktavu datu uzkrāšanas </w:t>
            </w:r>
            <w:r w:rsidRPr="004031BD">
              <w:rPr>
                <w:szCs w:val="24"/>
              </w:rPr>
              <w:lastRenderedPageBreak/>
              <w:t>un apstrādes vajadzībām. Informācijas elektroniskas iesniegšanas risinājums, kas nodrošinās iespēju komersantiem iesniegt datus elektroniski, atbalstīs dažādus datu nodošanas formātus, t.sk. iespēju uzstādīt īpašus ierobežojumus datu nodošanai. Pakalpojums būs pielāgojams dažādiem analīzes risinājumiem, nodrošinot to pielāgojamību.</w:t>
            </w:r>
          </w:p>
          <w:p w14:paraId="24937679" w14:textId="7B3FC7E3" w:rsidR="006D7CBC" w:rsidRPr="004031BD" w:rsidRDefault="006D7CBC" w:rsidP="003C0CF6">
            <w:pPr>
              <w:pStyle w:val="VPBody"/>
              <w:spacing w:after="0" w:line="240" w:lineRule="auto"/>
              <w:ind w:firstLine="567"/>
              <w:jc w:val="both"/>
              <w:rPr>
                <w:szCs w:val="24"/>
              </w:rPr>
            </w:pPr>
            <w:r w:rsidRPr="004031BD">
              <w:rPr>
                <w:szCs w:val="24"/>
              </w:rPr>
              <w:t>Sākotnēji tiks izstrādātas iespējas veikt vismaz šādu datu nodošanu Ekonomikas ministrijai:</w:t>
            </w:r>
          </w:p>
          <w:p w14:paraId="58E43FC8" w14:textId="6FA357E5" w:rsidR="006D7CBC" w:rsidRPr="004031BD" w:rsidRDefault="008E38E3" w:rsidP="00270132">
            <w:pPr>
              <w:pStyle w:val="VPBody"/>
              <w:numPr>
                <w:ilvl w:val="0"/>
                <w:numId w:val="11"/>
              </w:numPr>
              <w:spacing w:after="0" w:line="240" w:lineRule="auto"/>
              <w:ind w:left="695"/>
              <w:jc w:val="both"/>
              <w:rPr>
                <w:szCs w:val="24"/>
              </w:rPr>
            </w:pPr>
            <w:r w:rsidRPr="004031BD">
              <w:rPr>
                <w:szCs w:val="24"/>
              </w:rPr>
              <w:t>patērētāju kreditēšanas pakalpojumu sniedzēju obligāti iesniedzamie dati;</w:t>
            </w:r>
          </w:p>
          <w:p w14:paraId="54D4615B" w14:textId="645B458D" w:rsidR="008E38E3" w:rsidRPr="004031BD" w:rsidRDefault="00270132" w:rsidP="00270132">
            <w:pPr>
              <w:pStyle w:val="VPBody"/>
              <w:numPr>
                <w:ilvl w:val="0"/>
                <w:numId w:val="11"/>
              </w:numPr>
              <w:spacing w:after="0" w:line="240" w:lineRule="auto"/>
              <w:ind w:left="695"/>
              <w:jc w:val="both"/>
              <w:rPr>
                <w:szCs w:val="24"/>
              </w:rPr>
            </w:pPr>
            <w:r w:rsidRPr="004031BD">
              <w:rPr>
                <w:szCs w:val="24"/>
              </w:rPr>
              <w:t>komersantu dati konkurences tirgus uzraudzības ietvaros.</w:t>
            </w:r>
          </w:p>
          <w:p w14:paraId="1C88301B" w14:textId="21C40885" w:rsidR="004F0C7A" w:rsidRPr="004031BD" w:rsidRDefault="004F0C7A" w:rsidP="004F0C7A">
            <w:pPr>
              <w:pStyle w:val="VPBody"/>
              <w:spacing w:after="0" w:line="240" w:lineRule="auto"/>
              <w:ind w:firstLine="567"/>
              <w:jc w:val="both"/>
              <w:rPr>
                <w:szCs w:val="24"/>
              </w:rPr>
            </w:pPr>
            <w:r w:rsidRPr="004031BD">
              <w:rPr>
                <w:szCs w:val="24"/>
              </w:rPr>
              <w:t>Konkrēts datu apjoms tiks apzināts informācijas sistēmas analīzes un izstrādes laikā, iesaistot Ekonomikas ministrijas padotības iestādes.</w:t>
            </w:r>
          </w:p>
          <w:p w14:paraId="54906A69" w14:textId="77777777" w:rsidR="0014572D" w:rsidRPr="004031BD" w:rsidRDefault="0014572D" w:rsidP="003C0CF6">
            <w:pPr>
              <w:pStyle w:val="VPBody"/>
              <w:spacing w:after="0" w:line="240" w:lineRule="auto"/>
              <w:ind w:firstLine="567"/>
              <w:jc w:val="both"/>
              <w:rPr>
                <w:szCs w:val="24"/>
              </w:rPr>
            </w:pPr>
            <w:r w:rsidRPr="004031BD">
              <w:rPr>
                <w:szCs w:val="24"/>
              </w:rPr>
              <w:t>Datu analīzes risinājuma funkcionalitāte nodrošinās iestādēm iespēju veikt saņemtās informācijas analīzi un uzturēto reģistru datu apstrādi. Datu analīzes risinājums ļaus veikt dažādu datu analīzi, piemēram:</w:t>
            </w:r>
          </w:p>
          <w:p w14:paraId="434F1D14" w14:textId="77777777" w:rsidR="0014572D" w:rsidRPr="004031BD" w:rsidRDefault="0014572D" w:rsidP="00F02C07">
            <w:pPr>
              <w:pStyle w:val="VPBody"/>
              <w:numPr>
                <w:ilvl w:val="0"/>
                <w:numId w:val="7"/>
              </w:numPr>
              <w:tabs>
                <w:tab w:val="left" w:pos="0"/>
              </w:tabs>
              <w:spacing w:after="0" w:line="240" w:lineRule="auto"/>
              <w:jc w:val="both"/>
              <w:rPr>
                <w:szCs w:val="24"/>
              </w:rPr>
            </w:pPr>
            <w:r w:rsidRPr="004031BD">
              <w:rPr>
                <w:szCs w:val="24"/>
              </w:rPr>
              <w:t>konkurences uzraudzības procesā uzņēmumu sniegtās informācijas analīzi, nosakot pārdošanas apjomu, cenu izmaiņas laika gaitā;</w:t>
            </w:r>
          </w:p>
          <w:p w14:paraId="4D1B676D" w14:textId="77777777" w:rsidR="0014572D" w:rsidRPr="004031BD" w:rsidRDefault="0014572D" w:rsidP="00F02C07">
            <w:pPr>
              <w:pStyle w:val="VPBody"/>
              <w:numPr>
                <w:ilvl w:val="0"/>
                <w:numId w:val="7"/>
              </w:numPr>
              <w:tabs>
                <w:tab w:val="left" w:pos="0"/>
              </w:tabs>
              <w:spacing w:after="0" w:line="240" w:lineRule="auto"/>
              <w:jc w:val="both"/>
              <w:rPr>
                <w:szCs w:val="24"/>
              </w:rPr>
            </w:pPr>
            <w:r w:rsidRPr="004031BD">
              <w:rPr>
                <w:szCs w:val="24"/>
              </w:rPr>
              <w:t xml:space="preserve">tirgus rādītāju izmaiņu analīzi, ņemot vērā notikumus valstī un </w:t>
            </w:r>
            <w:r w:rsidRPr="004031BD">
              <w:t>Patērētāju tiesību aizsardzības centra</w:t>
            </w:r>
            <w:r w:rsidRPr="004031BD">
              <w:rPr>
                <w:szCs w:val="24"/>
              </w:rPr>
              <w:t xml:space="preserve"> veiktās tirgus uzraudzības darbības u.c.</w:t>
            </w:r>
          </w:p>
          <w:p w14:paraId="2F5B8E4D" w14:textId="77777777" w:rsidR="0014572D" w:rsidRPr="004031BD" w:rsidRDefault="0014572D" w:rsidP="003C0CF6">
            <w:pPr>
              <w:pStyle w:val="VPBody"/>
              <w:spacing w:after="0" w:line="240" w:lineRule="auto"/>
              <w:ind w:firstLine="567"/>
              <w:jc w:val="both"/>
              <w:rPr>
                <w:szCs w:val="24"/>
              </w:rPr>
            </w:pPr>
            <w:r w:rsidRPr="004031BD">
              <w:rPr>
                <w:szCs w:val="24"/>
              </w:rPr>
              <w:t>Veidojot informācijas analīzes risinājumu īpaša uzmanība tiks piešķirta aizsardzībai pret datu noplūdes riskiem, tādēļ tiks izveidoti papildus aizsardzības risinājumi, kas ierobežo iespējas veikt neautorizētu datu kopēšanu (</w:t>
            </w:r>
            <w:proofErr w:type="spellStart"/>
            <w:r w:rsidRPr="004031BD">
              <w:rPr>
                <w:i/>
                <w:szCs w:val="24"/>
              </w:rPr>
              <w:t>Data</w:t>
            </w:r>
            <w:proofErr w:type="spellEnd"/>
            <w:r w:rsidRPr="004031BD">
              <w:rPr>
                <w:i/>
                <w:szCs w:val="24"/>
              </w:rPr>
              <w:t xml:space="preserve"> </w:t>
            </w:r>
            <w:proofErr w:type="spellStart"/>
            <w:r w:rsidRPr="004031BD">
              <w:rPr>
                <w:i/>
                <w:szCs w:val="24"/>
              </w:rPr>
              <w:t>leakage</w:t>
            </w:r>
            <w:proofErr w:type="spellEnd"/>
            <w:r w:rsidRPr="004031BD">
              <w:rPr>
                <w:i/>
                <w:szCs w:val="24"/>
              </w:rPr>
              <w:t xml:space="preserve"> </w:t>
            </w:r>
            <w:proofErr w:type="spellStart"/>
            <w:r w:rsidRPr="004031BD">
              <w:rPr>
                <w:i/>
                <w:szCs w:val="24"/>
              </w:rPr>
              <w:t>prevention</w:t>
            </w:r>
            <w:proofErr w:type="spellEnd"/>
            <w:r w:rsidRPr="004031BD">
              <w:rPr>
                <w:szCs w:val="24"/>
              </w:rPr>
              <w:t>).</w:t>
            </w:r>
          </w:p>
          <w:p w14:paraId="666EE14F" w14:textId="25E5EF4E" w:rsidR="0014572D" w:rsidRPr="004031BD" w:rsidRDefault="004623AB" w:rsidP="00044BB4">
            <w:pPr>
              <w:pStyle w:val="VPBody"/>
              <w:spacing w:before="120" w:after="120" w:line="240" w:lineRule="auto"/>
              <w:ind w:firstLine="567"/>
              <w:jc w:val="both"/>
              <w:rPr>
                <w:b/>
                <w:szCs w:val="24"/>
              </w:rPr>
            </w:pPr>
            <w:r w:rsidRPr="004031BD">
              <w:rPr>
                <w:b/>
                <w:szCs w:val="24"/>
              </w:rPr>
              <w:t>3. </w:t>
            </w:r>
            <w:r w:rsidR="0014572D" w:rsidRPr="004031BD">
              <w:rPr>
                <w:b/>
                <w:szCs w:val="24"/>
              </w:rPr>
              <w:t>Vienotā resora darba vieta</w:t>
            </w:r>
          </w:p>
          <w:p w14:paraId="46C67C86" w14:textId="77777777" w:rsidR="0014572D" w:rsidRPr="004031BD" w:rsidRDefault="0014572D" w:rsidP="00044BB4">
            <w:pPr>
              <w:pStyle w:val="VPBody"/>
              <w:spacing w:after="0" w:line="240" w:lineRule="auto"/>
              <w:ind w:firstLine="567"/>
              <w:jc w:val="both"/>
              <w:rPr>
                <w:szCs w:val="24"/>
              </w:rPr>
            </w:pPr>
            <w:r w:rsidRPr="004031BD">
              <w:rPr>
                <w:szCs w:val="24"/>
              </w:rPr>
              <w:t>Projekta ietvaros tiks attīstīts Ekonomikas ministrijas resora darba vietas uzturēšanas process, nodrošinot centralizētu darba vietu sagatavošanu, lietotāju un pieejas tiesību pārvaldību, kā arī nodrošinot darbiniekiem iespēju veikt attālinātu pieslēgšanos savai darba vietai.</w:t>
            </w:r>
          </w:p>
          <w:p w14:paraId="47A3FEF0" w14:textId="18709BBE" w:rsidR="0014572D" w:rsidRPr="004031BD" w:rsidRDefault="0014572D" w:rsidP="00044BB4">
            <w:pPr>
              <w:pStyle w:val="VPBody"/>
              <w:spacing w:after="0" w:line="240" w:lineRule="auto"/>
              <w:ind w:firstLine="567"/>
              <w:jc w:val="both"/>
              <w:rPr>
                <w:szCs w:val="24"/>
              </w:rPr>
            </w:pPr>
            <w:r w:rsidRPr="004031BD">
              <w:rPr>
                <w:szCs w:val="24"/>
              </w:rPr>
              <w:t xml:space="preserve">Risinājuma ietvaros tiks izstrādāta pamata platforma vienotu virtuālo darba vietu ieviešanai, nodrošinot iespēju realizēt šādu darba vietu skaita palielināšanu, tādejādi pieļaujot iespēju pilnīgi pāriet uz vienotām virtuālām darba vietām nākotnē. Lai nodrošinātu vienoto virtuālo darba vietu ieviešanu visās iesaistītajās iestādēs nepieciešams centralizēt  to darbības nodrošināšanai nepieciešamo informācijas un komunikācijas tehnoloģiju resursu pārvaldību. Šāda centralizācija tiks panākta apvienojot vismaz esošos </w:t>
            </w:r>
            <w:r w:rsidR="009D1A49" w:rsidRPr="004031BD">
              <w:t>Latvijas Investīciju un attīstības aģentūras</w:t>
            </w:r>
            <w:r w:rsidRPr="004031BD">
              <w:rPr>
                <w:szCs w:val="24"/>
              </w:rPr>
              <w:t xml:space="preserve"> un Ekonomikas ministrijas datu. Apvienošanas ietvaros plānots uzlabot sniegto informācijas un komunikācijas tehnoloģiju pakalpojumu efektivitāti un kvalitāti. </w:t>
            </w:r>
          </w:p>
          <w:p w14:paraId="79782A5B" w14:textId="582D2E5C" w:rsidR="0014572D" w:rsidRPr="004031BD" w:rsidRDefault="0014572D" w:rsidP="00044BB4">
            <w:pPr>
              <w:pStyle w:val="VPBody"/>
              <w:spacing w:after="0" w:line="240" w:lineRule="auto"/>
              <w:ind w:firstLine="567"/>
              <w:jc w:val="both"/>
              <w:rPr>
                <w:szCs w:val="24"/>
              </w:rPr>
            </w:pPr>
            <w:r w:rsidRPr="004031BD">
              <w:rPr>
                <w:szCs w:val="24"/>
              </w:rPr>
              <w:t>Risinājuma ietvaros</w:t>
            </w:r>
            <w:r w:rsidR="002D5D18" w:rsidRPr="004031BD">
              <w:rPr>
                <w:szCs w:val="24"/>
              </w:rPr>
              <w:t xml:space="preserve"> </w:t>
            </w:r>
            <w:r w:rsidR="0034713B" w:rsidRPr="004031BD">
              <w:rPr>
                <w:szCs w:val="24"/>
              </w:rPr>
              <w:t xml:space="preserve">- </w:t>
            </w:r>
            <w:r w:rsidR="002D5D18" w:rsidRPr="004031BD">
              <w:rPr>
                <w:szCs w:val="24"/>
              </w:rPr>
              <w:t>informācijas sistēmā</w:t>
            </w:r>
            <w:r w:rsidRPr="004031BD">
              <w:rPr>
                <w:szCs w:val="24"/>
              </w:rPr>
              <w:t xml:space="preserve"> </w:t>
            </w:r>
            <w:r w:rsidR="00B71AFE">
              <w:rPr>
                <w:szCs w:val="24"/>
              </w:rPr>
              <w:t xml:space="preserve">- </w:t>
            </w:r>
            <w:r w:rsidRPr="004031BD">
              <w:rPr>
                <w:szCs w:val="24"/>
              </w:rPr>
              <w:t xml:space="preserve">tiks izveidotas vismaz </w:t>
            </w:r>
            <w:r w:rsidR="005224D0" w:rsidRPr="004031BD">
              <w:rPr>
                <w:szCs w:val="24"/>
              </w:rPr>
              <w:t xml:space="preserve">trīs </w:t>
            </w:r>
            <w:r w:rsidRPr="004031BD">
              <w:rPr>
                <w:szCs w:val="24"/>
              </w:rPr>
              <w:t xml:space="preserve">vienotas darba vietu kategorijas, integrējot tajās esošos </w:t>
            </w:r>
            <w:r w:rsidRPr="004031BD">
              <w:rPr>
                <w:szCs w:val="24"/>
              </w:rPr>
              <w:lastRenderedPageBreak/>
              <w:t>izmantotos risinājumus un jaunos – Projekta gaitā izveidotos risinājumus.</w:t>
            </w:r>
          </w:p>
          <w:p w14:paraId="11FDD7DA" w14:textId="77777777" w:rsidR="0014572D" w:rsidRPr="004031BD" w:rsidRDefault="0014572D" w:rsidP="00044BB4">
            <w:pPr>
              <w:pStyle w:val="VPBody"/>
              <w:numPr>
                <w:ilvl w:val="0"/>
                <w:numId w:val="9"/>
              </w:numPr>
              <w:tabs>
                <w:tab w:val="left" w:pos="0"/>
              </w:tabs>
              <w:spacing w:after="0" w:line="240" w:lineRule="auto"/>
              <w:jc w:val="both"/>
              <w:rPr>
                <w:szCs w:val="24"/>
              </w:rPr>
            </w:pPr>
            <w:r w:rsidRPr="004031BD">
              <w:rPr>
                <w:szCs w:val="24"/>
              </w:rPr>
              <w:t xml:space="preserve">Pamata darba vieta – šī darba vieta nodrošinās lietotāju piekļuvi (t.sk. attālinātu piekļuvi) Ekonomikas ministrijas tīkla resursiem, </w:t>
            </w:r>
            <w:r w:rsidRPr="004031BD">
              <w:rPr>
                <w:i/>
                <w:szCs w:val="24"/>
              </w:rPr>
              <w:t>MS Office</w:t>
            </w:r>
            <w:r w:rsidRPr="004031BD">
              <w:rPr>
                <w:szCs w:val="24"/>
              </w:rPr>
              <w:t xml:space="preserve"> programmatūrai, elektroniskajam pastam, vienotai lietvedības sistēmai u.c. pamata funkcionalitātei. Šī darba vieta ir neatņemama citu darba vietu sastāvdaļa, jo pārējās darba vietas ir papildinājumi Pamata darba vietai.</w:t>
            </w:r>
          </w:p>
          <w:p w14:paraId="524E8429" w14:textId="77777777" w:rsidR="0014572D" w:rsidRPr="004031BD" w:rsidRDefault="0014572D" w:rsidP="00044BB4">
            <w:pPr>
              <w:pStyle w:val="VPBody"/>
              <w:numPr>
                <w:ilvl w:val="0"/>
                <w:numId w:val="9"/>
              </w:numPr>
              <w:tabs>
                <w:tab w:val="left" w:pos="0"/>
              </w:tabs>
              <w:spacing w:after="0" w:line="240" w:lineRule="auto"/>
              <w:jc w:val="both"/>
              <w:rPr>
                <w:szCs w:val="24"/>
              </w:rPr>
            </w:pPr>
            <w:r w:rsidRPr="004031BD">
              <w:rPr>
                <w:szCs w:val="24"/>
              </w:rPr>
              <w:t>Lietu pārvaldības darba vieta – papildu Pamata darba vietas funkcionalitātei šī darba vieta nodrošinās lietu pārvaldības funkcionalitātes izmantošanas iespējas, kas izmantojamas šādu procesu uzlabošanai:</w:t>
            </w:r>
          </w:p>
          <w:p w14:paraId="2930FB0D"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Bīstamo iekārtu uzraudzība;</w:t>
            </w:r>
          </w:p>
          <w:p w14:paraId="571BF99D"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Par patērētāju tiesību pārkāpumiem saņemto patērētāju iesniegumu, sūdzību un konsultāciju izskatīšana;</w:t>
            </w:r>
          </w:p>
          <w:p w14:paraId="6743D858"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Metroloģija;</w:t>
            </w:r>
          </w:p>
          <w:p w14:paraId="30CF9FC8"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Tirgus uzraudzība un kontrole;</w:t>
            </w:r>
          </w:p>
          <w:p w14:paraId="28318024"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Licencēšanas uzraudzība;</w:t>
            </w:r>
          </w:p>
          <w:p w14:paraId="0E0DBFAB"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Patērētāju kolektīvo interešu aizsardzība;</w:t>
            </w:r>
          </w:p>
          <w:p w14:paraId="407ECDC0"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Konkurences likuma pārkāpumu izskatīšanas process;</w:t>
            </w:r>
          </w:p>
          <w:p w14:paraId="5A45B037" w14:textId="6182F7D0" w:rsidR="0014572D" w:rsidRPr="004031BD" w:rsidRDefault="0014572D" w:rsidP="00CE3C6D">
            <w:pPr>
              <w:pStyle w:val="VPBody"/>
              <w:numPr>
                <w:ilvl w:val="1"/>
                <w:numId w:val="4"/>
              </w:numPr>
              <w:tabs>
                <w:tab w:val="left" w:pos="0"/>
              </w:tabs>
              <w:spacing w:after="0" w:line="240" w:lineRule="auto"/>
              <w:jc w:val="both"/>
              <w:rPr>
                <w:szCs w:val="24"/>
              </w:rPr>
            </w:pPr>
            <w:r w:rsidRPr="004031BD">
              <w:rPr>
                <w:szCs w:val="24"/>
              </w:rPr>
              <w:t>Iesniegumu izskatīšanas process;</w:t>
            </w:r>
          </w:p>
          <w:p w14:paraId="3E86233E"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Konkurences tirgus uzraudzības process;</w:t>
            </w:r>
          </w:p>
          <w:p w14:paraId="3B02E5A1" w14:textId="77777777" w:rsidR="0014572D" w:rsidRPr="004031BD" w:rsidRDefault="0014572D" w:rsidP="0014572D">
            <w:pPr>
              <w:pStyle w:val="VPBody"/>
              <w:numPr>
                <w:ilvl w:val="1"/>
                <w:numId w:val="4"/>
              </w:numPr>
              <w:tabs>
                <w:tab w:val="left" w:pos="0"/>
              </w:tabs>
              <w:spacing w:after="0" w:line="240" w:lineRule="auto"/>
              <w:jc w:val="both"/>
              <w:rPr>
                <w:szCs w:val="24"/>
              </w:rPr>
            </w:pPr>
            <w:r w:rsidRPr="004031BD">
              <w:rPr>
                <w:szCs w:val="24"/>
              </w:rPr>
              <w:t>Procesuālo pārkāpumu lietu izskatīšanas process.</w:t>
            </w:r>
          </w:p>
          <w:p w14:paraId="79301EBC"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Analītiķa darba vieta</w:t>
            </w:r>
            <w:r w:rsidR="00891F6B" w:rsidRPr="004031BD">
              <w:rPr>
                <w:szCs w:val="24"/>
              </w:rPr>
              <w:t xml:space="preserve"> </w:t>
            </w:r>
            <w:r w:rsidRPr="004031BD">
              <w:rPr>
                <w:szCs w:val="24"/>
              </w:rPr>
              <w:t>– papildu Pamata darba vietas funkcionalitātei, šī darba vieta nodrošinās piekļuvi pie datu analīzes risinājuma un datu noliktavas, nodrošinot informācijas elektroniskas iesniegšanas un datu analīzes risinājumā aprakstīto funkcionalitāti;</w:t>
            </w:r>
          </w:p>
          <w:p w14:paraId="46181CEA" w14:textId="77777777" w:rsidR="0014572D" w:rsidRPr="004031BD" w:rsidRDefault="0014572D" w:rsidP="0014572D">
            <w:pPr>
              <w:pStyle w:val="VPBody"/>
              <w:numPr>
                <w:ilvl w:val="0"/>
                <w:numId w:val="4"/>
              </w:numPr>
              <w:tabs>
                <w:tab w:val="left" w:pos="0"/>
              </w:tabs>
              <w:spacing w:after="0" w:line="240" w:lineRule="auto"/>
              <w:jc w:val="both"/>
              <w:rPr>
                <w:szCs w:val="24"/>
              </w:rPr>
            </w:pPr>
            <w:r w:rsidRPr="004031BD">
              <w:rPr>
                <w:szCs w:val="24"/>
              </w:rPr>
              <w:t>Plānošanas un kontroles darba vieta – papildu Pamata darba vietas funkcionalitātei, darba vieta nodrošina piekļuvi plānošanas un kontroles modulim un informācijas analīzes risinājumam, uzlabojot Ekonomikas ministrijas resora funkciju un uzdevumu plānošanas un to izpildes kontroles procesu efektivitāti, t.sk. nodrošinot galveno rezultātu rādītāju uzkrāšanu un analīzi dažādos līmeņos. Darba vieta nodrošinās piekļuvi datu noliktavai, kurā tiks uzkrāta informācija no dažādām Ekonomikas ministrijas resorā esošām informācijas sistēmām, nodrošinot visaptverošas informācijas pieejamību efektīvai procesu plānošanai un uzraudzībai, t.sk. analizējot Ekonomikas ministrijas resora personāla pienesumu konkrētu uzdevumu izpildē.</w:t>
            </w:r>
          </w:p>
        </w:tc>
      </w:tr>
      <w:tr w:rsidR="0014572D" w:rsidRPr="004031BD" w14:paraId="5F03183C" w14:textId="77777777" w:rsidTr="008C4FBD">
        <w:trPr>
          <w:trHeight w:val="476"/>
        </w:trPr>
        <w:tc>
          <w:tcPr>
            <w:tcW w:w="676" w:type="dxa"/>
            <w:gridSpan w:val="2"/>
          </w:tcPr>
          <w:p w14:paraId="5224D1EB" w14:textId="77777777" w:rsidR="0014572D" w:rsidRPr="004031BD" w:rsidRDefault="0014572D" w:rsidP="007909E0">
            <w:pPr>
              <w:rPr>
                <w:lang w:eastAsia="en-US"/>
              </w:rPr>
            </w:pPr>
            <w:r w:rsidRPr="004031BD">
              <w:rPr>
                <w:lang w:eastAsia="en-US"/>
              </w:rPr>
              <w:lastRenderedPageBreak/>
              <w:t> 3.</w:t>
            </w:r>
          </w:p>
        </w:tc>
        <w:tc>
          <w:tcPr>
            <w:tcW w:w="1943" w:type="dxa"/>
          </w:tcPr>
          <w:p w14:paraId="6995F810" w14:textId="77777777" w:rsidR="0014572D" w:rsidRPr="004031BD" w:rsidRDefault="0014572D" w:rsidP="007909E0">
            <w:pPr>
              <w:rPr>
                <w:lang w:eastAsia="en-US"/>
              </w:rPr>
            </w:pPr>
            <w:r w:rsidRPr="004031BD">
              <w:rPr>
                <w:lang w:eastAsia="en-US"/>
              </w:rPr>
              <w:t>Projekta izstrādē iesaistītās institūcijas</w:t>
            </w:r>
          </w:p>
        </w:tc>
        <w:tc>
          <w:tcPr>
            <w:tcW w:w="6590" w:type="dxa"/>
            <w:gridSpan w:val="6"/>
          </w:tcPr>
          <w:p w14:paraId="395A79E5" w14:textId="7385DA47" w:rsidR="0014572D" w:rsidRPr="004031BD" w:rsidRDefault="0014572D" w:rsidP="00995F2D">
            <w:pPr>
              <w:ind w:firstLine="567"/>
              <w:jc w:val="both"/>
            </w:pPr>
            <w:r w:rsidRPr="004031BD">
              <w:rPr>
                <w:color w:val="000000" w:themeColor="text1"/>
              </w:rPr>
              <w:t xml:space="preserve">Ekonomikas ministrija, Būvniecības </w:t>
            </w:r>
            <w:r w:rsidRPr="004031BD">
              <w:t xml:space="preserve">valsts kontroles birojs, </w:t>
            </w:r>
            <w:r w:rsidR="00895344" w:rsidRPr="004031BD">
              <w:t>Konkurences padome</w:t>
            </w:r>
            <w:r w:rsidRPr="004031BD">
              <w:t xml:space="preserve">, Patērētāju tiesību aizsardzības centrs, </w:t>
            </w:r>
            <w:r w:rsidR="00404F24" w:rsidRPr="004031BD">
              <w:t>Latvijas Investīciju un attīstības aģentūra</w:t>
            </w:r>
            <w:r w:rsidRPr="004031BD">
              <w:t xml:space="preserve"> un </w:t>
            </w:r>
            <w:r w:rsidR="002D267F" w:rsidRPr="004031BD">
              <w:t>valsts akciju sabiedrība</w:t>
            </w:r>
            <w:r w:rsidR="006421BB" w:rsidRPr="004031BD">
              <w:t xml:space="preserve"> “Latvijas Valsts radio un televīzijas centrs”</w:t>
            </w:r>
            <w:r w:rsidR="00082DC1" w:rsidRPr="004031BD">
              <w:t>.</w:t>
            </w:r>
          </w:p>
        </w:tc>
      </w:tr>
      <w:tr w:rsidR="0014572D" w:rsidRPr="004031BD" w14:paraId="076D2EDB" w14:textId="77777777" w:rsidTr="008C4FBD">
        <w:tc>
          <w:tcPr>
            <w:tcW w:w="676" w:type="dxa"/>
            <w:gridSpan w:val="2"/>
          </w:tcPr>
          <w:p w14:paraId="14C5B208" w14:textId="77777777" w:rsidR="0014572D" w:rsidRPr="004031BD" w:rsidRDefault="0014572D" w:rsidP="007909E0">
            <w:pPr>
              <w:rPr>
                <w:lang w:eastAsia="en-US"/>
              </w:rPr>
            </w:pPr>
            <w:r w:rsidRPr="004031BD">
              <w:rPr>
                <w:lang w:eastAsia="en-US"/>
              </w:rPr>
              <w:t> 4.</w:t>
            </w:r>
          </w:p>
        </w:tc>
        <w:tc>
          <w:tcPr>
            <w:tcW w:w="1943" w:type="dxa"/>
          </w:tcPr>
          <w:p w14:paraId="7F4B9686" w14:textId="77777777" w:rsidR="0014572D" w:rsidRPr="004031BD" w:rsidRDefault="0014572D" w:rsidP="007909E0">
            <w:pPr>
              <w:rPr>
                <w:lang w:eastAsia="en-US"/>
              </w:rPr>
            </w:pPr>
            <w:r w:rsidRPr="004031BD">
              <w:rPr>
                <w:lang w:eastAsia="en-US"/>
              </w:rPr>
              <w:t> Cita informācija</w:t>
            </w:r>
          </w:p>
        </w:tc>
        <w:tc>
          <w:tcPr>
            <w:tcW w:w="6590" w:type="dxa"/>
            <w:gridSpan w:val="6"/>
          </w:tcPr>
          <w:p w14:paraId="11DA86AC" w14:textId="77777777" w:rsidR="0014572D" w:rsidRPr="004031BD" w:rsidRDefault="0014572D" w:rsidP="007909E0">
            <w:pPr>
              <w:jc w:val="both"/>
              <w:rPr>
                <w:lang w:eastAsia="en-US"/>
              </w:rPr>
            </w:pPr>
            <w:r w:rsidRPr="004031BD">
              <w:rPr>
                <w:lang w:eastAsia="en-US"/>
              </w:rPr>
              <w:t>Nav.</w:t>
            </w:r>
          </w:p>
        </w:tc>
      </w:tr>
      <w:tr w:rsidR="00C25271" w:rsidRPr="004031BD" w14:paraId="00E198F8" w14:textId="77777777" w:rsidTr="008C4FBD">
        <w:trPr>
          <w:trHeight w:val="585"/>
        </w:trPr>
        <w:tc>
          <w:tcPr>
            <w:tcW w:w="9209" w:type="dxa"/>
            <w:gridSpan w:val="9"/>
          </w:tcPr>
          <w:p w14:paraId="02AB4E25" w14:textId="77777777" w:rsidR="00C25271" w:rsidRPr="004031BD" w:rsidRDefault="00C25271" w:rsidP="009A5CA1">
            <w:pPr>
              <w:spacing w:before="120" w:after="120"/>
              <w:jc w:val="center"/>
              <w:rPr>
                <w:b/>
                <w:bCs/>
                <w:color w:val="FF0000"/>
              </w:rPr>
            </w:pPr>
            <w:r w:rsidRPr="004031BD">
              <w:rPr>
                <w:b/>
                <w:bCs/>
              </w:rPr>
              <w:lastRenderedPageBreak/>
              <w:t xml:space="preserve"> II. Tiesību akta projekta ietekme uz sabiedrību, tautsaimniecības attīstību un administratīvo slogu </w:t>
            </w:r>
          </w:p>
        </w:tc>
      </w:tr>
      <w:tr w:rsidR="00C25271" w:rsidRPr="004031BD" w14:paraId="520B1D1B" w14:textId="77777777" w:rsidTr="008C4FBD">
        <w:trPr>
          <w:trHeight w:val="905"/>
        </w:trPr>
        <w:tc>
          <w:tcPr>
            <w:tcW w:w="527" w:type="dxa"/>
          </w:tcPr>
          <w:p w14:paraId="69B6060F" w14:textId="77777777" w:rsidR="00C25271" w:rsidRPr="004031BD" w:rsidRDefault="00C25271" w:rsidP="009A5CA1">
            <w:pPr>
              <w:rPr>
                <w:lang w:eastAsia="en-US"/>
              </w:rPr>
            </w:pPr>
            <w:r w:rsidRPr="004031BD">
              <w:rPr>
                <w:lang w:eastAsia="en-US"/>
              </w:rPr>
              <w:t>1.</w:t>
            </w:r>
          </w:p>
        </w:tc>
        <w:tc>
          <w:tcPr>
            <w:tcW w:w="2512" w:type="dxa"/>
            <w:gridSpan w:val="3"/>
          </w:tcPr>
          <w:p w14:paraId="0713657B" w14:textId="77777777" w:rsidR="00C25271" w:rsidRPr="004031BD" w:rsidRDefault="00C25271" w:rsidP="009A5CA1">
            <w:pPr>
              <w:rPr>
                <w:lang w:eastAsia="en-US"/>
              </w:rPr>
            </w:pPr>
            <w:r w:rsidRPr="004031BD">
              <w:rPr>
                <w:lang w:eastAsia="en-US"/>
              </w:rPr>
              <w:t xml:space="preserve">Sabiedrības </w:t>
            </w:r>
            <w:proofErr w:type="spellStart"/>
            <w:r w:rsidRPr="004031BD">
              <w:rPr>
                <w:lang w:eastAsia="en-US"/>
              </w:rPr>
              <w:t>mērķgrupas</w:t>
            </w:r>
            <w:proofErr w:type="spellEnd"/>
            <w:r w:rsidRPr="004031BD">
              <w:rPr>
                <w:lang w:eastAsia="en-US"/>
              </w:rPr>
              <w:t>, kuras tiesiskais regulējums ietekmē vai varētu ietekmēt</w:t>
            </w:r>
          </w:p>
        </w:tc>
        <w:tc>
          <w:tcPr>
            <w:tcW w:w="6170" w:type="dxa"/>
            <w:gridSpan w:val="5"/>
          </w:tcPr>
          <w:p w14:paraId="0E28E5F8" w14:textId="77777777" w:rsidR="00C25271" w:rsidRPr="004031BD" w:rsidRDefault="00C25271" w:rsidP="00E00F97">
            <w:pPr>
              <w:pStyle w:val="naiskr"/>
              <w:spacing w:before="0" w:after="0"/>
              <w:ind w:left="74" w:firstLine="567"/>
              <w:jc w:val="both"/>
              <w:rPr>
                <w:lang w:eastAsia="en-US"/>
              </w:rPr>
            </w:pPr>
            <w:r w:rsidRPr="004031BD">
              <w:rPr>
                <w:lang w:eastAsia="en-US"/>
              </w:rPr>
              <w:t>Iedzīvotāji, komersanti, valsts pārvalde, pašvaldības, biedrības un nodibinājumi.</w:t>
            </w:r>
          </w:p>
        </w:tc>
      </w:tr>
      <w:tr w:rsidR="00C25271" w:rsidRPr="004031BD" w14:paraId="13BE933B" w14:textId="77777777" w:rsidTr="008C4FBD">
        <w:trPr>
          <w:trHeight w:val="628"/>
        </w:trPr>
        <w:tc>
          <w:tcPr>
            <w:tcW w:w="527" w:type="dxa"/>
          </w:tcPr>
          <w:p w14:paraId="0F686FA0" w14:textId="77777777" w:rsidR="00C25271" w:rsidRPr="004031BD" w:rsidRDefault="00C25271" w:rsidP="009A5CA1">
            <w:pPr>
              <w:rPr>
                <w:lang w:eastAsia="en-US"/>
              </w:rPr>
            </w:pPr>
            <w:r w:rsidRPr="004031BD">
              <w:rPr>
                <w:lang w:eastAsia="en-US"/>
              </w:rPr>
              <w:t>2.</w:t>
            </w:r>
          </w:p>
        </w:tc>
        <w:tc>
          <w:tcPr>
            <w:tcW w:w="2512" w:type="dxa"/>
            <w:gridSpan w:val="3"/>
          </w:tcPr>
          <w:p w14:paraId="348F064C" w14:textId="77777777" w:rsidR="00C25271" w:rsidRPr="004031BD" w:rsidRDefault="00C25271" w:rsidP="009A5CA1">
            <w:pPr>
              <w:rPr>
                <w:lang w:eastAsia="en-US"/>
              </w:rPr>
            </w:pPr>
            <w:r w:rsidRPr="004031BD">
              <w:rPr>
                <w:lang w:eastAsia="en-US"/>
              </w:rPr>
              <w:t>Tiesiskā regulējuma ietekme uz tautsaimniecību un administratīvo slogu</w:t>
            </w:r>
          </w:p>
        </w:tc>
        <w:tc>
          <w:tcPr>
            <w:tcW w:w="6170" w:type="dxa"/>
            <w:gridSpan w:val="5"/>
          </w:tcPr>
          <w:p w14:paraId="6DF15BC9" w14:textId="77777777" w:rsidR="00C25271" w:rsidRPr="004031BD" w:rsidRDefault="00C25271" w:rsidP="00DF638F">
            <w:pPr>
              <w:pStyle w:val="VPBody"/>
              <w:tabs>
                <w:tab w:val="left" w:pos="0"/>
              </w:tabs>
              <w:spacing w:after="0" w:line="240" w:lineRule="auto"/>
              <w:ind w:firstLine="567"/>
              <w:jc w:val="both"/>
              <w:rPr>
                <w:szCs w:val="24"/>
              </w:rPr>
            </w:pPr>
            <w:r w:rsidRPr="004031BD">
              <w:rPr>
                <w:szCs w:val="24"/>
              </w:rPr>
              <w:t>Projekta realizācijas ietvaros tiks samazināts administratīvais slogs Ekonomikas ministrijas resorā un komersantiem, kuri veic datu iesniegšanu, uzlabojot darbības procesu elektronizācijas līmeni.</w:t>
            </w:r>
          </w:p>
          <w:p w14:paraId="5F5B277A" w14:textId="77777777" w:rsidR="00C25271" w:rsidRPr="004031BD" w:rsidRDefault="00C25271" w:rsidP="00DF638F">
            <w:pPr>
              <w:pStyle w:val="VPBody"/>
              <w:tabs>
                <w:tab w:val="left" w:pos="0"/>
              </w:tabs>
              <w:spacing w:after="0" w:line="240" w:lineRule="auto"/>
              <w:ind w:firstLine="567"/>
              <w:jc w:val="both"/>
              <w:rPr>
                <w:szCs w:val="24"/>
              </w:rPr>
            </w:pPr>
            <w:r w:rsidRPr="004031BD">
              <w:rPr>
                <w:szCs w:val="24"/>
              </w:rPr>
              <w:t>Mērķis tiks sasniegts:</w:t>
            </w:r>
          </w:p>
          <w:p w14:paraId="47065E18" w14:textId="77777777" w:rsidR="00C25271" w:rsidRPr="004031BD" w:rsidRDefault="00C25271" w:rsidP="00C25271">
            <w:pPr>
              <w:pStyle w:val="VPBody"/>
              <w:numPr>
                <w:ilvl w:val="0"/>
                <w:numId w:val="6"/>
              </w:numPr>
              <w:tabs>
                <w:tab w:val="left" w:pos="0"/>
              </w:tabs>
              <w:spacing w:after="0" w:line="240" w:lineRule="auto"/>
              <w:jc w:val="both"/>
              <w:rPr>
                <w:szCs w:val="24"/>
              </w:rPr>
            </w:pPr>
            <w:r w:rsidRPr="004031BD">
              <w:rPr>
                <w:szCs w:val="24"/>
              </w:rPr>
              <w:t xml:space="preserve">samazinot informācijas dublēšanos vairākās valsts informācijas sistēmās, </w:t>
            </w:r>
            <w:proofErr w:type="spellStart"/>
            <w:r w:rsidRPr="004031BD">
              <w:rPr>
                <w:szCs w:val="24"/>
              </w:rPr>
              <w:t>atkalizmantojot</w:t>
            </w:r>
            <w:proofErr w:type="spellEnd"/>
            <w:r w:rsidRPr="004031BD">
              <w:rPr>
                <w:szCs w:val="24"/>
              </w:rPr>
              <w:t xml:space="preserve"> publiskajā pārvaldē jau pieejamos datus;</w:t>
            </w:r>
          </w:p>
          <w:p w14:paraId="5A549256" w14:textId="77777777" w:rsidR="00C25271" w:rsidRPr="004031BD" w:rsidRDefault="00C25271" w:rsidP="00C25271">
            <w:pPr>
              <w:pStyle w:val="VPBody"/>
              <w:numPr>
                <w:ilvl w:val="0"/>
                <w:numId w:val="6"/>
              </w:numPr>
              <w:tabs>
                <w:tab w:val="left" w:pos="0"/>
              </w:tabs>
              <w:spacing w:after="0" w:line="240" w:lineRule="auto"/>
              <w:jc w:val="both"/>
              <w:rPr>
                <w:szCs w:val="24"/>
              </w:rPr>
            </w:pPr>
            <w:r w:rsidRPr="004031BD">
              <w:rPr>
                <w:szCs w:val="24"/>
              </w:rPr>
              <w:t>samazinot papīra dokumentu apriti un datu iesniegšanu papīra formātā;</w:t>
            </w:r>
          </w:p>
          <w:p w14:paraId="797EE25A" w14:textId="77777777" w:rsidR="00C25271" w:rsidRPr="004031BD" w:rsidRDefault="00C25271" w:rsidP="00C25271">
            <w:pPr>
              <w:pStyle w:val="VPBody"/>
              <w:numPr>
                <w:ilvl w:val="0"/>
                <w:numId w:val="6"/>
              </w:numPr>
              <w:tabs>
                <w:tab w:val="left" w:pos="0"/>
              </w:tabs>
              <w:spacing w:after="0" w:line="240" w:lineRule="auto"/>
              <w:jc w:val="both"/>
              <w:rPr>
                <w:szCs w:val="24"/>
              </w:rPr>
            </w:pPr>
            <w:r w:rsidRPr="004031BD">
              <w:rPr>
                <w:szCs w:val="24"/>
              </w:rPr>
              <w:t>samazinot manuālu datu pārvadi.</w:t>
            </w:r>
          </w:p>
        </w:tc>
      </w:tr>
      <w:tr w:rsidR="00C25271" w:rsidRPr="004031BD" w14:paraId="0F3371CD" w14:textId="77777777" w:rsidTr="008C4FBD">
        <w:tc>
          <w:tcPr>
            <w:tcW w:w="527" w:type="dxa"/>
          </w:tcPr>
          <w:p w14:paraId="1122EDB7" w14:textId="77777777" w:rsidR="00C25271" w:rsidRPr="004031BD" w:rsidRDefault="00C25271" w:rsidP="009A5CA1">
            <w:pPr>
              <w:rPr>
                <w:lang w:eastAsia="en-US"/>
              </w:rPr>
            </w:pPr>
            <w:r w:rsidRPr="004031BD">
              <w:rPr>
                <w:lang w:eastAsia="en-US"/>
              </w:rPr>
              <w:t>3.</w:t>
            </w:r>
          </w:p>
        </w:tc>
        <w:tc>
          <w:tcPr>
            <w:tcW w:w="2512" w:type="dxa"/>
            <w:gridSpan w:val="3"/>
          </w:tcPr>
          <w:p w14:paraId="04065090" w14:textId="77777777" w:rsidR="00C25271" w:rsidRPr="004031BD" w:rsidRDefault="00C25271" w:rsidP="009A5CA1">
            <w:pPr>
              <w:rPr>
                <w:lang w:eastAsia="en-US"/>
              </w:rPr>
            </w:pPr>
            <w:r w:rsidRPr="004031BD">
              <w:rPr>
                <w:lang w:eastAsia="en-US"/>
              </w:rPr>
              <w:t>Administratīvo izmaksu monetārais novērtējums</w:t>
            </w:r>
          </w:p>
        </w:tc>
        <w:tc>
          <w:tcPr>
            <w:tcW w:w="6170" w:type="dxa"/>
            <w:gridSpan w:val="5"/>
          </w:tcPr>
          <w:p w14:paraId="014D57F1" w14:textId="77777777" w:rsidR="00C25271" w:rsidRPr="004031BD" w:rsidRDefault="00C25271" w:rsidP="0025327C">
            <w:pPr>
              <w:ind w:firstLine="567"/>
              <w:jc w:val="both"/>
              <w:rPr>
                <w:lang w:eastAsia="en-US"/>
              </w:rPr>
            </w:pPr>
            <w:r w:rsidRPr="004031BD">
              <w:t>Administratīvo izmaksu monetārais novērtējums ir iekļauts indikatīvajā sociālekonomiskā ieguldījuma aprēķinā un tas ir attiecināms uz valsts pārvaldi kopumā.</w:t>
            </w:r>
          </w:p>
        </w:tc>
      </w:tr>
      <w:tr w:rsidR="00C25271" w:rsidRPr="004031BD" w14:paraId="03BE271C" w14:textId="77777777" w:rsidTr="008C4FBD">
        <w:tc>
          <w:tcPr>
            <w:tcW w:w="527" w:type="dxa"/>
          </w:tcPr>
          <w:p w14:paraId="43A17042" w14:textId="77777777" w:rsidR="00C25271" w:rsidRPr="004031BD" w:rsidRDefault="00C25271" w:rsidP="009A5CA1">
            <w:pPr>
              <w:rPr>
                <w:lang w:eastAsia="en-US"/>
              </w:rPr>
            </w:pPr>
            <w:r w:rsidRPr="004031BD">
              <w:rPr>
                <w:lang w:eastAsia="en-US"/>
              </w:rPr>
              <w:t>4.</w:t>
            </w:r>
          </w:p>
        </w:tc>
        <w:tc>
          <w:tcPr>
            <w:tcW w:w="2512" w:type="dxa"/>
            <w:gridSpan w:val="3"/>
          </w:tcPr>
          <w:p w14:paraId="235C6E74" w14:textId="77777777" w:rsidR="00C25271" w:rsidRPr="004031BD" w:rsidRDefault="00C25271" w:rsidP="009A5CA1">
            <w:pPr>
              <w:rPr>
                <w:lang w:eastAsia="en-US"/>
              </w:rPr>
            </w:pPr>
            <w:r w:rsidRPr="004031BD">
              <w:rPr>
                <w:lang w:eastAsia="en-US"/>
              </w:rPr>
              <w:t>Cita informācija</w:t>
            </w:r>
          </w:p>
        </w:tc>
        <w:tc>
          <w:tcPr>
            <w:tcW w:w="6170" w:type="dxa"/>
            <w:gridSpan w:val="5"/>
          </w:tcPr>
          <w:p w14:paraId="2C062B76" w14:textId="77373872" w:rsidR="00C25271" w:rsidRPr="004031BD" w:rsidRDefault="00C25271" w:rsidP="009A5CA1">
            <w:pPr>
              <w:jc w:val="both"/>
              <w:rPr>
                <w:lang w:eastAsia="en-US"/>
              </w:rPr>
            </w:pPr>
            <w:r w:rsidRPr="004031BD">
              <w:rPr>
                <w:lang w:eastAsia="en-US"/>
              </w:rPr>
              <w:t>Nav</w:t>
            </w:r>
            <w:r w:rsidR="00891F6B" w:rsidRPr="004031BD">
              <w:rPr>
                <w:lang w:eastAsia="en-US"/>
              </w:rPr>
              <w:t>.</w:t>
            </w:r>
          </w:p>
        </w:tc>
      </w:tr>
      <w:tr w:rsidR="00C25271" w:rsidRPr="004031BD" w14:paraId="604A0BDC" w14:textId="77777777" w:rsidTr="008C4FBD">
        <w:tc>
          <w:tcPr>
            <w:tcW w:w="9209" w:type="dxa"/>
            <w:gridSpan w:val="9"/>
            <w:hideMark/>
          </w:tcPr>
          <w:p w14:paraId="30EF1D76" w14:textId="77777777" w:rsidR="00C25271" w:rsidRPr="004031BD" w:rsidRDefault="00C25271" w:rsidP="009A5CA1">
            <w:pPr>
              <w:pStyle w:val="ListParagraph"/>
              <w:tabs>
                <w:tab w:val="left" w:pos="2268"/>
                <w:tab w:val="left" w:pos="2410"/>
              </w:tabs>
              <w:spacing w:before="120" w:after="120"/>
              <w:ind w:left="1077"/>
              <w:jc w:val="center"/>
              <w:rPr>
                <w:b/>
                <w:bCs/>
              </w:rPr>
            </w:pPr>
            <w:r w:rsidRPr="004031BD">
              <w:rPr>
                <w:b/>
                <w:bCs/>
              </w:rPr>
              <w:t>III. Tiesību akta projekta ietekme uz valsts budžetu un pašvaldību budžetiem</w:t>
            </w:r>
          </w:p>
        </w:tc>
      </w:tr>
      <w:tr w:rsidR="00C25271" w:rsidRPr="004031BD" w14:paraId="0E0AF7B0" w14:textId="77777777" w:rsidTr="008C4FBD">
        <w:tc>
          <w:tcPr>
            <w:tcW w:w="2619" w:type="dxa"/>
            <w:gridSpan w:val="3"/>
            <w:vMerge w:val="restart"/>
            <w:hideMark/>
          </w:tcPr>
          <w:p w14:paraId="13B5E884" w14:textId="77777777" w:rsidR="00C25271" w:rsidRPr="004031BD" w:rsidRDefault="00C25271" w:rsidP="009A5CA1">
            <w:pPr>
              <w:jc w:val="center"/>
              <w:rPr>
                <w:b/>
                <w:lang w:eastAsia="en-US"/>
              </w:rPr>
            </w:pPr>
            <w:r w:rsidRPr="004031BD">
              <w:rPr>
                <w:b/>
              </w:rPr>
              <w:t>Rādītāji</w:t>
            </w:r>
          </w:p>
        </w:tc>
        <w:tc>
          <w:tcPr>
            <w:tcW w:w="2455" w:type="dxa"/>
            <w:gridSpan w:val="3"/>
            <w:vMerge w:val="restart"/>
            <w:hideMark/>
          </w:tcPr>
          <w:p w14:paraId="44A5D184" w14:textId="77777777" w:rsidR="00C25271" w:rsidRPr="004031BD" w:rsidRDefault="00C25271" w:rsidP="009A5CA1">
            <w:pPr>
              <w:jc w:val="center"/>
              <w:rPr>
                <w:b/>
                <w:lang w:eastAsia="en-US"/>
              </w:rPr>
            </w:pPr>
            <w:r w:rsidRPr="004031BD">
              <w:rPr>
                <w:b/>
              </w:rPr>
              <w:t>2017.gads</w:t>
            </w:r>
          </w:p>
        </w:tc>
        <w:tc>
          <w:tcPr>
            <w:tcW w:w="4135" w:type="dxa"/>
            <w:gridSpan w:val="3"/>
            <w:hideMark/>
          </w:tcPr>
          <w:p w14:paraId="28638C52" w14:textId="77777777" w:rsidR="00C25271" w:rsidRPr="004031BD" w:rsidRDefault="00C25271" w:rsidP="009A5CA1">
            <w:pPr>
              <w:jc w:val="center"/>
              <w:rPr>
                <w:b/>
                <w:lang w:eastAsia="en-US"/>
              </w:rPr>
            </w:pPr>
            <w:r w:rsidRPr="004031BD">
              <w:rPr>
                <w:b/>
              </w:rPr>
              <w:t>Turpmākie trīs gadi (</w:t>
            </w:r>
            <w:proofErr w:type="spellStart"/>
            <w:r w:rsidRPr="004031BD">
              <w:rPr>
                <w:b/>
                <w:i/>
              </w:rPr>
              <w:t>euro</w:t>
            </w:r>
            <w:proofErr w:type="spellEnd"/>
            <w:r w:rsidRPr="004031BD">
              <w:rPr>
                <w:b/>
              </w:rPr>
              <w:t>)</w:t>
            </w:r>
          </w:p>
        </w:tc>
      </w:tr>
      <w:tr w:rsidR="00C25271" w:rsidRPr="004031BD" w14:paraId="1EA63E99" w14:textId="77777777" w:rsidTr="008C4FBD">
        <w:tc>
          <w:tcPr>
            <w:tcW w:w="2619" w:type="dxa"/>
            <w:gridSpan w:val="3"/>
            <w:vMerge/>
            <w:hideMark/>
          </w:tcPr>
          <w:p w14:paraId="55CCE2DE" w14:textId="77777777" w:rsidR="00C25271" w:rsidRPr="004031BD" w:rsidRDefault="00C25271" w:rsidP="009A5CA1">
            <w:pPr>
              <w:rPr>
                <w:b/>
                <w:lang w:eastAsia="en-US"/>
              </w:rPr>
            </w:pPr>
          </w:p>
        </w:tc>
        <w:tc>
          <w:tcPr>
            <w:tcW w:w="2455" w:type="dxa"/>
            <w:gridSpan w:val="3"/>
            <w:vMerge/>
            <w:hideMark/>
          </w:tcPr>
          <w:p w14:paraId="302846E0" w14:textId="77777777" w:rsidR="00C25271" w:rsidRPr="004031BD" w:rsidRDefault="00C25271" w:rsidP="009A5CA1">
            <w:pPr>
              <w:rPr>
                <w:b/>
                <w:lang w:eastAsia="en-US"/>
              </w:rPr>
            </w:pPr>
          </w:p>
        </w:tc>
        <w:tc>
          <w:tcPr>
            <w:tcW w:w="1347" w:type="dxa"/>
            <w:hideMark/>
          </w:tcPr>
          <w:p w14:paraId="1433CC41" w14:textId="77777777" w:rsidR="00C25271" w:rsidRPr="004031BD" w:rsidRDefault="00C25271" w:rsidP="009A5CA1">
            <w:pPr>
              <w:jc w:val="center"/>
              <w:rPr>
                <w:b/>
                <w:lang w:eastAsia="en-US"/>
              </w:rPr>
            </w:pPr>
            <w:r w:rsidRPr="004031BD">
              <w:rPr>
                <w:b/>
              </w:rPr>
              <w:t>2018.g.</w:t>
            </w:r>
          </w:p>
        </w:tc>
        <w:tc>
          <w:tcPr>
            <w:tcW w:w="1443" w:type="dxa"/>
            <w:hideMark/>
          </w:tcPr>
          <w:p w14:paraId="222F9B07" w14:textId="77777777" w:rsidR="00C25271" w:rsidRPr="004031BD" w:rsidRDefault="00C25271" w:rsidP="009A5CA1">
            <w:pPr>
              <w:jc w:val="center"/>
              <w:rPr>
                <w:b/>
                <w:lang w:eastAsia="en-US"/>
              </w:rPr>
            </w:pPr>
            <w:r w:rsidRPr="004031BD">
              <w:rPr>
                <w:b/>
              </w:rPr>
              <w:t>2019.g.</w:t>
            </w:r>
          </w:p>
        </w:tc>
        <w:tc>
          <w:tcPr>
            <w:tcW w:w="1345" w:type="dxa"/>
            <w:hideMark/>
          </w:tcPr>
          <w:p w14:paraId="175B24FA" w14:textId="77777777" w:rsidR="00C25271" w:rsidRPr="004031BD" w:rsidRDefault="00C25271" w:rsidP="009A5CA1">
            <w:pPr>
              <w:jc w:val="center"/>
              <w:rPr>
                <w:b/>
                <w:lang w:eastAsia="en-US"/>
              </w:rPr>
            </w:pPr>
            <w:r w:rsidRPr="004031BD">
              <w:rPr>
                <w:b/>
              </w:rPr>
              <w:t>2020.g.</w:t>
            </w:r>
          </w:p>
        </w:tc>
      </w:tr>
      <w:tr w:rsidR="00C25271" w:rsidRPr="004031BD" w14:paraId="290B7156" w14:textId="77777777" w:rsidTr="008C4FBD">
        <w:tc>
          <w:tcPr>
            <w:tcW w:w="2619" w:type="dxa"/>
            <w:gridSpan w:val="3"/>
            <w:vMerge/>
            <w:hideMark/>
          </w:tcPr>
          <w:p w14:paraId="6ABC3AC3" w14:textId="77777777" w:rsidR="00C25271" w:rsidRPr="004031BD" w:rsidRDefault="00C25271" w:rsidP="009A5CA1">
            <w:pPr>
              <w:rPr>
                <w:b/>
                <w:lang w:eastAsia="en-US"/>
              </w:rPr>
            </w:pPr>
          </w:p>
        </w:tc>
        <w:tc>
          <w:tcPr>
            <w:tcW w:w="1108" w:type="dxa"/>
            <w:gridSpan w:val="2"/>
            <w:hideMark/>
          </w:tcPr>
          <w:p w14:paraId="52273A1C" w14:textId="77777777" w:rsidR="00C25271" w:rsidRPr="004031BD" w:rsidRDefault="00C25271" w:rsidP="009A5CA1">
            <w:pPr>
              <w:ind w:left="-108" w:right="-108"/>
              <w:jc w:val="center"/>
              <w:rPr>
                <w:b/>
                <w:lang w:eastAsia="en-US"/>
              </w:rPr>
            </w:pPr>
            <w:r w:rsidRPr="004031BD">
              <w:rPr>
                <w:b/>
              </w:rPr>
              <w:t>saskaņā ar valsts budžetu kārtējam gadam</w:t>
            </w:r>
          </w:p>
        </w:tc>
        <w:tc>
          <w:tcPr>
            <w:tcW w:w="1347" w:type="dxa"/>
            <w:hideMark/>
          </w:tcPr>
          <w:p w14:paraId="45ED13E5" w14:textId="77777777" w:rsidR="00C25271" w:rsidRPr="004031BD" w:rsidRDefault="00C25271" w:rsidP="009A5CA1">
            <w:pPr>
              <w:jc w:val="center"/>
              <w:rPr>
                <w:b/>
                <w:lang w:eastAsia="en-US"/>
              </w:rPr>
            </w:pPr>
            <w:r w:rsidRPr="004031BD">
              <w:rPr>
                <w:b/>
              </w:rPr>
              <w:t>izmaiņas kārtējā gadā, salīdzinot ar valsts budžetu kārtējam gadam</w:t>
            </w:r>
          </w:p>
        </w:tc>
        <w:tc>
          <w:tcPr>
            <w:tcW w:w="1347" w:type="dxa"/>
            <w:hideMark/>
          </w:tcPr>
          <w:p w14:paraId="33211C39" w14:textId="77777777" w:rsidR="00C25271" w:rsidRPr="004031BD" w:rsidRDefault="00C25271" w:rsidP="009A5CA1">
            <w:pPr>
              <w:jc w:val="center"/>
              <w:rPr>
                <w:b/>
                <w:lang w:eastAsia="en-US"/>
              </w:rPr>
            </w:pPr>
            <w:r w:rsidRPr="004031BD">
              <w:rPr>
                <w:b/>
              </w:rPr>
              <w:t>izmaiņas, salīdzinot ar kārtējo 2017. gadu</w:t>
            </w:r>
          </w:p>
        </w:tc>
        <w:tc>
          <w:tcPr>
            <w:tcW w:w="1443" w:type="dxa"/>
            <w:hideMark/>
          </w:tcPr>
          <w:p w14:paraId="18447CFE" w14:textId="77777777" w:rsidR="00C25271" w:rsidRPr="004031BD" w:rsidRDefault="00C25271" w:rsidP="009A5CA1">
            <w:pPr>
              <w:jc w:val="center"/>
              <w:rPr>
                <w:b/>
                <w:lang w:eastAsia="en-US"/>
              </w:rPr>
            </w:pPr>
            <w:r w:rsidRPr="004031BD">
              <w:rPr>
                <w:b/>
              </w:rPr>
              <w:t>izmaiņas, salīdzinot ar kārtējo 2017. gadu</w:t>
            </w:r>
          </w:p>
        </w:tc>
        <w:tc>
          <w:tcPr>
            <w:tcW w:w="1345" w:type="dxa"/>
            <w:hideMark/>
          </w:tcPr>
          <w:p w14:paraId="167BDE4A" w14:textId="77777777" w:rsidR="00C25271" w:rsidRPr="004031BD" w:rsidRDefault="00C25271" w:rsidP="009A5CA1">
            <w:pPr>
              <w:jc w:val="center"/>
              <w:rPr>
                <w:b/>
                <w:lang w:eastAsia="en-US"/>
              </w:rPr>
            </w:pPr>
            <w:r w:rsidRPr="004031BD">
              <w:rPr>
                <w:b/>
              </w:rPr>
              <w:t>izmaiņas, salīdzinot ar kārtējo 2017. gadu</w:t>
            </w:r>
          </w:p>
        </w:tc>
      </w:tr>
      <w:tr w:rsidR="00C25271" w:rsidRPr="004031BD" w14:paraId="795B70D2" w14:textId="77777777" w:rsidTr="008C4FBD">
        <w:tc>
          <w:tcPr>
            <w:tcW w:w="2619" w:type="dxa"/>
            <w:gridSpan w:val="3"/>
            <w:hideMark/>
          </w:tcPr>
          <w:p w14:paraId="3707A96A" w14:textId="77777777" w:rsidR="00C25271" w:rsidRPr="004031BD" w:rsidRDefault="00C25271" w:rsidP="009A5CA1">
            <w:pPr>
              <w:jc w:val="center"/>
              <w:rPr>
                <w:lang w:eastAsia="en-US"/>
              </w:rPr>
            </w:pPr>
            <w:r w:rsidRPr="004031BD">
              <w:t>1</w:t>
            </w:r>
          </w:p>
        </w:tc>
        <w:tc>
          <w:tcPr>
            <w:tcW w:w="1108" w:type="dxa"/>
            <w:gridSpan w:val="2"/>
            <w:hideMark/>
          </w:tcPr>
          <w:p w14:paraId="3BFB11B0" w14:textId="77777777" w:rsidR="00C25271" w:rsidRPr="004031BD" w:rsidRDefault="00C25271" w:rsidP="009A5CA1">
            <w:pPr>
              <w:jc w:val="center"/>
              <w:rPr>
                <w:lang w:eastAsia="en-US"/>
              </w:rPr>
            </w:pPr>
            <w:r w:rsidRPr="004031BD">
              <w:t>2</w:t>
            </w:r>
          </w:p>
        </w:tc>
        <w:tc>
          <w:tcPr>
            <w:tcW w:w="1347" w:type="dxa"/>
            <w:hideMark/>
          </w:tcPr>
          <w:p w14:paraId="29E26009" w14:textId="77777777" w:rsidR="00C25271" w:rsidRPr="004031BD" w:rsidRDefault="00C25271" w:rsidP="009A5CA1">
            <w:pPr>
              <w:jc w:val="center"/>
              <w:rPr>
                <w:lang w:eastAsia="en-US"/>
              </w:rPr>
            </w:pPr>
            <w:r w:rsidRPr="004031BD">
              <w:t>3</w:t>
            </w:r>
          </w:p>
        </w:tc>
        <w:tc>
          <w:tcPr>
            <w:tcW w:w="1347" w:type="dxa"/>
            <w:hideMark/>
          </w:tcPr>
          <w:p w14:paraId="6C8AFD9A" w14:textId="77777777" w:rsidR="00C25271" w:rsidRPr="004031BD" w:rsidRDefault="00C25271" w:rsidP="009A5CA1">
            <w:pPr>
              <w:jc w:val="center"/>
              <w:rPr>
                <w:lang w:eastAsia="en-US"/>
              </w:rPr>
            </w:pPr>
            <w:r w:rsidRPr="004031BD">
              <w:t>4</w:t>
            </w:r>
          </w:p>
        </w:tc>
        <w:tc>
          <w:tcPr>
            <w:tcW w:w="1443" w:type="dxa"/>
            <w:hideMark/>
          </w:tcPr>
          <w:p w14:paraId="2B2FEFF6" w14:textId="77777777" w:rsidR="00C25271" w:rsidRPr="004031BD" w:rsidRDefault="00C25271" w:rsidP="009A5CA1">
            <w:pPr>
              <w:jc w:val="center"/>
              <w:rPr>
                <w:lang w:eastAsia="en-US"/>
              </w:rPr>
            </w:pPr>
            <w:r w:rsidRPr="004031BD">
              <w:t>5</w:t>
            </w:r>
          </w:p>
        </w:tc>
        <w:tc>
          <w:tcPr>
            <w:tcW w:w="1345" w:type="dxa"/>
            <w:hideMark/>
          </w:tcPr>
          <w:p w14:paraId="69158350" w14:textId="77777777" w:rsidR="00C25271" w:rsidRPr="004031BD" w:rsidRDefault="00C25271" w:rsidP="009A5CA1">
            <w:pPr>
              <w:jc w:val="center"/>
              <w:rPr>
                <w:lang w:eastAsia="en-US"/>
              </w:rPr>
            </w:pPr>
            <w:r w:rsidRPr="004031BD">
              <w:t>6</w:t>
            </w:r>
          </w:p>
        </w:tc>
      </w:tr>
      <w:tr w:rsidR="00C25271" w:rsidRPr="004031BD" w14:paraId="2FA41544" w14:textId="77777777" w:rsidTr="008C4FBD">
        <w:tc>
          <w:tcPr>
            <w:tcW w:w="2619" w:type="dxa"/>
            <w:gridSpan w:val="3"/>
            <w:hideMark/>
          </w:tcPr>
          <w:p w14:paraId="4404238C" w14:textId="77777777" w:rsidR="00C25271" w:rsidRPr="004031BD" w:rsidRDefault="00C25271" w:rsidP="009A5CA1">
            <w:pPr>
              <w:rPr>
                <w:lang w:eastAsia="en-US"/>
              </w:rPr>
            </w:pPr>
            <w:r w:rsidRPr="004031BD">
              <w:t>1. Budžeta ieņēmumi:</w:t>
            </w:r>
          </w:p>
        </w:tc>
        <w:tc>
          <w:tcPr>
            <w:tcW w:w="1108" w:type="dxa"/>
            <w:gridSpan w:val="2"/>
          </w:tcPr>
          <w:p w14:paraId="6DD4840E" w14:textId="77777777" w:rsidR="00C25271" w:rsidRPr="004031BD" w:rsidRDefault="00C25271" w:rsidP="009A5CA1">
            <w:pPr>
              <w:jc w:val="center"/>
              <w:rPr>
                <w:b/>
                <w:sz w:val="22"/>
                <w:szCs w:val="22"/>
                <w:lang w:eastAsia="en-US"/>
              </w:rPr>
            </w:pPr>
            <w:r w:rsidRPr="004031BD">
              <w:rPr>
                <w:b/>
                <w:sz w:val="22"/>
                <w:szCs w:val="22"/>
                <w:lang w:eastAsia="en-US"/>
              </w:rPr>
              <w:t>0</w:t>
            </w:r>
          </w:p>
        </w:tc>
        <w:tc>
          <w:tcPr>
            <w:tcW w:w="1347" w:type="dxa"/>
          </w:tcPr>
          <w:p w14:paraId="0CDAF0E5" w14:textId="77777777" w:rsidR="00C25271" w:rsidRPr="004031BD" w:rsidRDefault="00C25271" w:rsidP="009A5CA1">
            <w:pPr>
              <w:jc w:val="center"/>
              <w:rPr>
                <w:b/>
                <w:sz w:val="22"/>
                <w:szCs w:val="22"/>
                <w:lang w:eastAsia="en-US"/>
              </w:rPr>
            </w:pPr>
            <w:r w:rsidRPr="004031BD">
              <w:rPr>
                <w:b/>
                <w:color w:val="000000"/>
                <w:sz w:val="22"/>
              </w:rPr>
              <w:t>708 333</w:t>
            </w:r>
          </w:p>
        </w:tc>
        <w:tc>
          <w:tcPr>
            <w:tcW w:w="1347" w:type="dxa"/>
          </w:tcPr>
          <w:p w14:paraId="46583292" w14:textId="77777777" w:rsidR="00C25271" w:rsidRPr="004031BD" w:rsidRDefault="00C25271" w:rsidP="009A5CA1">
            <w:pPr>
              <w:jc w:val="center"/>
              <w:rPr>
                <w:b/>
                <w:sz w:val="22"/>
                <w:szCs w:val="22"/>
                <w:lang w:eastAsia="en-US"/>
              </w:rPr>
            </w:pPr>
            <w:r w:rsidRPr="004031BD">
              <w:rPr>
                <w:b/>
                <w:color w:val="000000"/>
                <w:sz w:val="22"/>
              </w:rPr>
              <w:t>708 333</w:t>
            </w:r>
          </w:p>
        </w:tc>
        <w:tc>
          <w:tcPr>
            <w:tcW w:w="1443" w:type="dxa"/>
          </w:tcPr>
          <w:p w14:paraId="4098D96A" w14:textId="77777777" w:rsidR="00C25271" w:rsidRPr="004031BD" w:rsidRDefault="00C25271" w:rsidP="009A5CA1">
            <w:pPr>
              <w:jc w:val="center"/>
              <w:rPr>
                <w:b/>
                <w:sz w:val="22"/>
                <w:szCs w:val="22"/>
                <w:lang w:eastAsia="en-US"/>
              </w:rPr>
            </w:pPr>
            <w:r w:rsidRPr="004031BD">
              <w:rPr>
                <w:b/>
                <w:color w:val="000000"/>
                <w:sz w:val="22"/>
              </w:rPr>
              <w:t>708 334</w:t>
            </w:r>
          </w:p>
        </w:tc>
        <w:tc>
          <w:tcPr>
            <w:tcW w:w="1345" w:type="dxa"/>
          </w:tcPr>
          <w:p w14:paraId="42D99132" w14:textId="77777777" w:rsidR="00C25271" w:rsidRPr="004031BD" w:rsidRDefault="00C25271" w:rsidP="009A5CA1">
            <w:pPr>
              <w:jc w:val="center"/>
              <w:rPr>
                <w:b/>
                <w:sz w:val="22"/>
                <w:szCs w:val="22"/>
                <w:lang w:eastAsia="en-US"/>
              </w:rPr>
            </w:pPr>
            <w:r w:rsidRPr="004031BD">
              <w:rPr>
                <w:b/>
                <w:sz w:val="22"/>
                <w:szCs w:val="22"/>
                <w:lang w:eastAsia="en-US"/>
              </w:rPr>
              <w:t>0</w:t>
            </w:r>
          </w:p>
        </w:tc>
      </w:tr>
      <w:tr w:rsidR="00C25271" w:rsidRPr="004031BD" w14:paraId="29B979F4" w14:textId="77777777" w:rsidTr="008C4FBD">
        <w:tc>
          <w:tcPr>
            <w:tcW w:w="2619" w:type="dxa"/>
            <w:gridSpan w:val="3"/>
            <w:hideMark/>
          </w:tcPr>
          <w:p w14:paraId="44D08CF9" w14:textId="77777777" w:rsidR="00C25271" w:rsidRPr="004031BD" w:rsidRDefault="00C25271" w:rsidP="009A5CA1">
            <w:pPr>
              <w:rPr>
                <w:lang w:eastAsia="en-US"/>
              </w:rPr>
            </w:pPr>
            <w:r w:rsidRPr="004031BD">
              <w:t>1.1. valsts pamatbudžets, tai skaitā ieņēmumi no maksas pakalpojumiem un citi pašu ieņēmumi</w:t>
            </w:r>
          </w:p>
        </w:tc>
        <w:tc>
          <w:tcPr>
            <w:tcW w:w="1108" w:type="dxa"/>
            <w:gridSpan w:val="2"/>
          </w:tcPr>
          <w:p w14:paraId="0FBCF9F0"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5FCD189E" w14:textId="77777777" w:rsidR="00C25271" w:rsidRPr="004031BD" w:rsidRDefault="00C25271" w:rsidP="009A5CA1">
            <w:pPr>
              <w:jc w:val="center"/>
              <w:rPr>
                <w:sz w:val="22"/>
                <w:szCs w:val="22"/>
                <w:lang w:eastAsia="en-US"/>
              </w:rPr>
            </w:pPr>
            <w:r w:rsidRPr="004031BD">
              <w:rPr>
                <w:color w:val="000000"/>
                <w:sz w:val="22"/>
              </w:rPr>
              <w:t>708 333</w:t>
            </w:r>
          </w:p>
        </w:tc>
        <w:tc>
          <w:tcPr>
            <w:tcW w:w="1347" w:type="dxa"/>
          </w:tcPr>
          <w:p w14:paraId="5A365A96" w14:textId="77777777" w:rsidR="00C25271" w:rsidRPr="004031BD" w:rsidRDefault="00C25271" w:rsidP="009A5CA1">
            <w:pPr>
              <w:jc w:val="center"/>
              <w:rPr>
                <w:sz w:val="22"/>
                <w:szCs w:val="22"/>
                <w:lang w:eastAsia="en-US"/>
              </w:rPr>
            </w:pPr>
            <w:r w:rsidRPr="004031BD">
              <w:rPr>
                <w:color w:val="000000"/>
                <w:sz w:val="22"/>
              </w:rPr>
              <w:t>708 333</w:t>
            </w:r>
          </w:p>
        </w:tc>
        <w:tc>
          <w:tcPr>
            <w:tcW w:w="1443" w:type="dxa"/>
          </w:tcPr>
          <w:p w14:paraId="723E09A0" w14:textId="77777777" w:rsidR="00C25271" w:rsidRPr="004031BD" w:rsidRDefault="00C25271" w:rsidP="009A5CA1">
            <w:pPr>
              <w:jc w:val="center"/>
              <w:rPr>
                <w:sz w:val="22"/>
                <w:szCs w:val="22"/>
                <w:lang w:eastAsia="en-US"/>
              </w:rPr>
            </w:pPr>
            <w:r w:rsidRPr="004031BD">
              <w:rPr>
                <w:color w:val="000000"/>
                <w:sz w:val="22"/>
              </w:rPr>
              <w:t>708 334</w:t>
            </w:r>
          </w:p>
        </w:tc>
        <w:tc>
          <w:tcPr>
            <w:tcW w:w="1345" w:type="dxa"/>
          </w:tcPr>
          <w:p w14:paraId="510436DC"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7C7D22AF" w14:textId="77777777" w:rsidTr="008C4FBD">
        <w:tc>
          <w:tcPr>
            <w:tcW w:w="2619" w:type="dxa"/>
            <w:gridSpan w:val="3"/>
            <w:hideMark/>
          </w:tcPr>
          <w:p w14:paraId="4B884BEC" w14:textId="77777777" w:rsidR="00C25271" w:rsidRPr="004031BD" w:rsidRDefault="00C25271" w:rsidP="009A5CA1">
            <w:pPr>
              <w:rPr>
                <w:lang w:eastAsia="en-US"/>
              </w:rPr>
            </w:pPr>
            <w:r w:rsidRPr="004031BD">
              <w:t>1.2. valsts speciālais budžets</w:t>
            </w:r>
          </w:p>
        </w:tc>
        <w:tc>
          <w:tcPr>
            <w:tcW w:w="1108" w:type="dxa"/>
            <w:gridSpan w:val="2"/>
          </w:tcPr>
          <w:p w14:paraId="46D5851C"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08605DFD"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74026C14"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1BF92BCF"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41127772"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64FB7D26" w14:textId="77777777" w:rsidTr="008C4FBD">
        <w:tc>
          <w:tcPr>
            <w:tcW w:w="2619" w:type="dxa"/>
            <w:gridSpan w:val="3"/>
            <w:hideMark/>
          </w:tcPr>
          <w:p w14:paraId="67A87E58" w14:textId="77777777" w:rsidR="00C25271" w:rsidRPr="004031BD" w:rsidRDefault="00C25271" w:rsidP="009A5CA1">
            <w:pPr>
              <w:rPr>
                <w:lang w:eastAsia="en-US"/>
              </w:rPr>
            </w:pPr>
            <w:r w:rsidRPr="004031BD">
              <w:t>1.3. pašvaldību budžets</w:t>
            </w:r>
          </w:p>
        </w:tc>
        <w:tc>
          <w:tcPr>
            <w:tcW w:w="1108" w:type="dxa"/>
            <w:gridSpan w:val="2"/>
          </w:tcPr>
          <w:p w14:paraId="4603F007"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201C1243"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6FF56662"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3465B9D5"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3D970083"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42A382C1" w14:textId="77777777" w:rsidTr="008C4FBD">
        <w:tc>
          <w:tcPr>
            <w:tcW w:w="2619" w:type="dxa"/>
            <w:gridSpan w:val="3"/>
            <w:hideMark/>
          </w:tcPr>
          <w:p w14:paraId="1EFD19A9" w14:textId="77777777" w:rsidR="00C25271" w:rsidRPr="004031BD" w:rsidRDefault="00C25271" w:rsidP="009A5CA1">
            <w:pPr>
              <w:rPr>
                <w:lang w:eastAsia="en-US"/>
              </w:rPr>
            </w:pPr>
            <w:r w:rsidRPr="004031BD">
              <w:t>2. Budžeta izdevumi:</w:t>
            </w:r>
          </w:p>
        </w:tc>
        <w:tc>
          <w:tcPr>
            <w:tcW w:w="1108" w:type="dxa"/>
            <w:gridSpan w:val="2"/>
          </w:tcPr>
          <w:p w14:paraId="6ECE2FB9" w14:textId="77777777" w:rsidR="00C25271" w:rsidRPr="004031BD" w:rsidRDefault="00C25271" w:rsidP="009A5CA1">
            <w:pPr>
              <w:jc w:val="center"/>
              <w:rPr>
                <w:b/>
                <w:sz w:val="22"/>
                <w:szCs w:val="22"/>
                <w:lang w:eastAsia="en-US"/>
              </w:rPr>
            </w:pPr>
            <w:r w:rsidRPr="004031BD">
              <w:rPr>
                <w:b/>
                <w:sz w:val="22"/>
                <w:szCs w:val="22"/>
                <w:lang w:eastAsia="en-US"/>
              </w:rPr>
              <w:t>0</w:t>
            </w:r>
          </w:p>
        </w:tc>
        <w:tc>
          <w:tcPr>
            <w:tcW w:w="1347" w:type="dxa"/>
          </w:tcPr>
          <w:p w14:paraId="7709C969" w14:textId="77777777" w:rsidR="00C25271" w:rsidRPr="004031BD" w:rsidRDefault="00C25271" w:rsidP="009A5CA1">
            <w:pPr>
              <w:jc w:val="center"/>
              <w:rPr>
                <w:b/>
                <w:sz w:val="22"/>
                <w:szCs w:val="22"/>
                <w:lang w:eastAsia="en-US"/>
              </w:rPr>
            </w:pPr>
            <w:r w:rsidRPr="004031BD">
              <w:rPr>
                <w:b/>
                <w:color w:val="000000"/>
                <w:sz w:val="22"/>
              </w:rPr>
              <w:t>833 333</w:t>
            </w:r>
          </w:p>
        </w:tc>
        <w:tc>
          <w:tcPr>
            <w:tcW w:w="1347" w:type="dxa"/>
          </w:tcPr>
          <w:p w14:paraId="4D80AF10" w14:textId="77777777" w:rsidR="00C25271" w:rsidRPr="004031BD" w:rsidRDefault="00C25271" w:rsidP="009A5CA1">
            <w:pPr>
              <w:jc w:val="center"/>
              <w:rPr>
                <w:b/>
                <w:sz w:val="22"/>
                <w:szCs w:val="22"/>
                <w:lang w:eastAsia="en-US"/>
              </w:rPr>
            </w:pPr>
            <w:r w:rsidRPr="004031BD">
              <w:rPr>
                <w:b/>
                <w:color w:val="000000"/>
                <w:sz w:val="22"/>
              </w:rPr>
              <w:t>833 333</w:t>
            </w:r>
          </w:p>
        </w:tc>
        <w:tc>
          <w:tcPr>
            <w:tcW w:w="1443" w:type="dxa"/>
          </w:tcPr>
          <w:p w14:paraId="5CC8E4A2" w14:textId="77777777" w:rsidR="00C25271" w:rsidRPr="004031BD" w:rsidRDefault="00C25271" w:rsidP="009A5CA1">
            <w:pPr>
              <w:jc w:val="center"/>
              <w:rPr>
                <w:b/>
                <w:sz w:val="22"/>
                <w:szCs w:val="22"/>
                <w:lang w:eastAsia="en-US"/>
              </w:rPr>
            </w:pPr>
            <w:r w:rsidRPr="004031BD">
              <w:rPr>
                <w:b/>
                <w:color w:val="000000"/>
                <w:sz w:val="22"/>
              </w:rPr>
              <w:t>833 334</w:t>
            </w:r>
          </w:p>
        </w:tc>
        <w:tc>
          <w:tcPr>
            <w:tcW w:w="1345" w:type="dxa"/>
          </w:tcPr>
          <w:p w14:paraId="21F8034E" w14:textId="77777777" w:rsidR="00C25271" w:rsidRPr="004031BD" w:rsidRDefault="00C25271" w:rsidP="009A5CA1">
            <w:pPr>
              <w:jc w:val="center"/>
              <w:rPr>
                <w:b/>
                <w:sz w:val="22"/>
                <w:szCs w:val="22"/>
                <w:lang w:eastAsia="en-US"/>
              </w:rPr>
            </w:pPr>
            <w:r w:rsidRPr="004031BD">
              <w:rPr>
                <w:b/>
                <w:sz w:val="22"/>
                <w:szCs w:val="22"/>
                <w:lang w:eastAsia="en-US"/>
              </w:rPr>
              <w:t>250 000</w:t>
            </w:r>
          </w:p>
        </w:tc>
      </w:tr>
      <w:tr w:rsidR="00C25271" w:rsidRPr="004031BD" w14:paraId="10BD0A52" w14:textId="77777777" w:rsidTr="008C4FBD">
        <w:tc>
          <w:tcPr>
            <w:tcW w:w="2619" w:type="dxa"/>
            <w:gridSpan w:val="3"/>
            <w:hideMark/>
          </w:tcPr>
          <w:p w14:paraId="15DC0187" w14:textId="77777777" w:rsidR="00C25271" w:rsidRPr="004031BD" w:rsidRDefault="00C25271" w:rsidP="009A5CA1">
            <w:pPr>
              <w:rPr>
                <w:lang w:eastAsia="en-US"/>
              </w:rPr>
            </w:pPr>
            <w:r w:rsidRPr="004031BD">
              <w:t>2.1. valsts pamatbudžets</w:t>
            </w:r>
          </w:p>
        </w:tc>
        <w:tc>
          <w:tcPr>
            <w:tcW w:w="1108" w:type="dxa"/>
            <w:gridSpan w:val="2"/>
          </w:tcPr>
          <w:p w14:paraId="34336299"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325A5728" w14:textId="77777777" w:rsidR="00C25271" w:rsidRPr="004031BD" w:rsidRDefault="00C25271" w:rsidP="009A5CA1">
            <w:pPr>
              <w:jc w:val="center"/>
              <w:rPr>
                <w:sz w:val="22"/>
                <w:szCs w:val="22"/>
                <w:lang w:eastAsia="en-US"/>
              </w:rPr>
            </w:pPr>
            <w:r w:rsidRPr="004031BD">
              <w:rPr>
                <w:color w:val="000000"/>
                <w:sz w:val="22"/>
              </w:rPr>
              <w:t>833 333</w:t>
            </w:r>
          </w:p>
        </w:tc>
        <w:tc>
          <w:tcPr>
            <w:tcW w:w="1347" w:type="dxa"/>
          </w:tcPr>
          <w:p w14:paraId="4ECE6FA0" w14:textId="77777777" w:rsidR="00C25271" w:rsidRPr="004031BD" w:rsidRDefault="00C25271" w:rsidP="009A5CA1">
            <w:pPr>
              <w:jc w:val="center"/>
              <w:rPr>
                <w:sz w:val="22"/>
                <w:szCs w:val="22"/>
                <w:lang w:eastAsia="en-US"/>
              </w:rPr>
            </w:pPr>
            <w:r w:rsidRPr="004031BD">
              <w:rPr>
                <w:color w:val="000000"/>
                <w:sz w:val="22"/>
              </w:rPr>
              <w:t>833 333</w:t>
            </w:r>
          </w:p>
        </w:tc>
        <w:tc>
          <w:tcPr>
            <w:tcW w:w="1443" w:type="dxa"/>
          </w:tcPr>
          <w:p w14:paraId="609D1BA6" w14:textId="77777777" w:rsidR="00C25271" w:rsidRPr="004031BD" w:rsidRDefault="00C25271" w:rsidP="009A5CA1">
            <w:pPr>
              <w:jc w:val="center"/>
              <w:rPr>
                <w:sz w:val="22"/>
                <w:szCs w:val="22"/>
                <w:lang w:eastAsia="en-US"/>
              </w:rPr>
            </w:pPr>
            <w:r w:rsidRPr="004031BD">
              <w:rPr>
                <w:color w:val="000000"/>
                <w:sz w:val="22"/>
              </w:rPr>
              <w:t>833 334</w:t>
            </w:r>
          </w:p>
        </w:tc>
        <w:tc>
          <w:tcPr>
            <w:tcW w:w="1345" w:type="dxa"/>
          </w:tcPr>
          <w:p w14:paraId="063A96EF" w14:textId="77777777" w:rsidR="00C25271" w:rsidRPr="004031BD" w:rsidRDefault="00C25271" w:rsidP="009A5CA1">
            <w:pPr>
              <w:jc w:val="center"/>
              <w:rPr>
                <w:sz w:val="22"/>
                <w:szCs w:val="22"/>
                <w:lang w:eastAsia="en-US"/>
              </w:rPr>
            </w:pPr>
            <w:r w:rsidRPr="004031BD">
              <w:rPr>
                <w:sz w:val="22"/>
                <w:szCs w:val="22"/>
                <w:lang w:eastAsia="en-US"/>
              </w:rPr>
              <w:t>250 000</w:t>
            </w:r>
          </w:p>
        </w:tc>
      </w:tr>
      <w:tr w:rsidR="00C25271" w:rsidRPr="004031BD" w14:paraId="6834677E" w14:textId="77777777" w:rsidTr="008C4FBD">
        <w:tc>
          <w:tcPr>
            <w:tcW w:w="2619" w:type="dxa"/>
            <w:gridSpan w:val="3"/>
            <w:hideMark/>
          </w:tcPr>
          <w:p w14:paraId="3F41A7CF" w14:textId="77777777" w:rsidR="00C25271" w:rsidRPr="004031BD" w:rsidRDefault="00C25271" w:rsidP="009A5CA1">
            <w:pPr>
              <w:rPr>
                <w:lang w:eastAsia="en-US"/>
              </w:rPr>
            </w:pPr>
            <w:r w:rsidRPr="004031BD">
              <w:t>2.2. valsts speciālais budžets</w:t>
            </w:r>
          </w:p>
        </w:tc>
        <w:tc>
          <w:tcPr>
            <w:tcW w:w="1108" w:type="dxa"/>
            <w:gridSpan w:val="2"/>
          </w:tcPr>
          <w:p w14:paraId="54CF76A2"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3606F4CD"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43EA2F0B"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0A1B9948"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5FD4224A"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0C9331F3" w14:textId="77777777" w:rsidTr="008C4FBD">
        <w:tc>
          <w:tcPr>
            <w:tcW w:w="2619" w:type="dxa"/>
            <w:gridSpan w:val="3"/>
            <w:hideMark/>
          </w:tcPr>
          <w:p w14:paraId="3D733B38" w14:textId="77777777" w:rsidR="00C25271" w:rsidRPr="004031BD" w:rsidRDefault="00C25271" w:rsidP="009A5CA1">
            <w:pPr>
              <w:rPr>
                <w:sz w:val="22"/>
                <w:szCs w:val="22"/>
                <w:lang w:eastAsia="en-US"/>
              </w:rPr>
            </w:pPr>
            <w:r w:rsidRPr="004031BD">
              <w:rPr>
                <w:sz w:val="22"/>
                <w:szCs w:val="22"/>
              </w:rPr>
              <w:lastRenderedPageBreak/>
              <w:t>2.3. pašvaldību budžets</w:t>
            </w:r>
          </w:p>
        </w:tc>
        <w:tc>
          <w:tcPr>
            <w:tcW w:w="1108" w:type="dxa"/>
            <w:gridSpan w:val="2"/>
          </w:tcPr>
          <w:p w14:paraId="08B3A325"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6E868713"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39F8CC6E"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18C75A6D"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32E4BF7F"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5006D356" w14:textId="77777777" w:rsidTr="008C4FBD">
        <w:tc>
          <w:tcPr>
            <w:tcW w:w="2619" w:type="dxa"/>
            <w:gridSpan w:val="3"/>
            <w:hideMark/>
          </w:tcPr>
          <w:p w14:paraId="05EFDD58" w14:textId="77777777" w:rsidR="00C25271" w:rsidRPr="004031BD" w:rsidRDefault="00C25271" w:rsidP="009A5CA1">
            <w:pPr>
              <w:rPr>
                <w:lang w:eastAsia="en-US"/>
              </w:rPr>
            </w:pPr>
            <w:r w:rsidRPr="004031BD">
              <w:t>3. Finansiālā ietekme:</w:t>
            </w:r>
          </w:p>
        </w:tc>
        <w:tc>
          <w:tcPr>
            <w:tcW w:w="1108" w:type="dxa"/>
            <w:gridSpan w:val="2"/>
          </w:tcPr>
          <w:p w14:paraId="5E0B36EF" w14:textId="77777777" w:rsidR="00C25271" w:rsidRPr="004031BD" w:rsidRDefault="00C25271" w:rsidP="009A5CA1">
            <w:pPr>
              <w:jc w:val="center"/>
              <w:rPr>
                <w:b/>
                <w:sz w:val="22"/>
                <w:szCs w:val="22"/>
                <w:lang w:eastAsia="en-US"/>
              </w:rPr>
            </w:pPr>
            <w:r w:rsidRPr="004031BD">
              <w:rPr>
                <w:b/>
                <w:sz w:val="22"/>
                <w:szCs w:val="22"/>
                <w:lang w:eastAsia="en-US"/>
              </w:rPr>
              <w:t>0</w:t>
            </w:r>
          </w:p>
        </w:tc>
        <w:tc>
          <w:tcPr>
            <w:tcW w:w="1347" w:type="dxa"/>
          </w:tcPr>
          <w:p w14:paraId="6F4750FA" w14:textId="77777777" w:rsidR="00C25271" w:rsidRPr="004031BD" w:rsidRDefault="00C25271" w:rsidP="009A5CA1">
            <w:pPr>
              <w:pStyle w:val="ListParagraph"/>
              <w:ind w:left="0"/>
              <w:jc w:val="center"/>
              <w:rPr>
                <w:b/>
                <w:sz w:val="22"/>
                <w:szCs w:val="22"/>
              </w:rPr>
            </w:pPr>
            <w:r w:rsidRPr="004031BD">
              <w:rPr>
                <w:b/>
                <w:color w:val="000000"/>
                <w:sz w:val="22"/>
              </w:rPr>
              <w:t>-125 000</w:t>
            </w:r>
          </w:p>
        </w:tc>
        <w:tc>
          <w:tcPr>
            <w:tcW w:w="1347" w:type="dxa"/>
          </w:tcPr>
          <w:p w14:paraId="1DFA8514" w14:textId="77777777" w:rsidR="00C25271" w:rsidRPr="004031BD" w:rsidRDefault="00C25271" w:rsidP="009A5CA1">
            <w:pPr>
              <w:jc w:val="center"/>
              <w:rPr>
                <w:b/>
                <w:sz w:val="22"/>
                <w:szCs w:val="22"/>
                <w:lang w:eastAsia="en-US"/>
              </w:rPr>
            </w:pPr>
            <w:r w:rsidRPr="004031BD">
              <w:rPr>
                <w:b/>
                <w:color w:val="000000"/>
                <w:sz w:val="22"/>
              </w:rPr>
              <w:t>-125 000</w:t>
            </w:r>
          </w:p>
        </w:tc>
        <w:tc>
          <w:tcPr>
            <w:tcW w:w="1443" w:type="dxa"/>
          </w:tcPr>
          <w:p w14:paraId="2ED0064A" w14:textId="77777777" w:rsidR="00C25271" w:rsidRPr="004031BD" w:rsidRDefault="00C25271" w:rsidP="009A5CA1">
            <w:pPr>
              <w:jc w:val="center"/>
              <w:rPr>
                <w:b/>
                <w:sz w:val="22"/>
                <w:szCs w:val="22"/>
                <w:lang w:eastAsia="en-US"/>
              </w:rPr>
            </w:pPr>
            <w:r w:rsidRPr="004031BD">
              <w:rPr>
                <w:b/>
                <w:color w:val="000000"/>
                <w:sz w:val="22"/>
              </w:rPr>
              <w:t>-125 000</w:t>
            </w:r>
          </w:p>
        </w:tc>
        <w:tc>
          <w:tcPr>
            <w:tcW w:w="1345" w:type="dxa"/>
          </w:tcPr>
          <w:p w14:paraId="7D8E1D4B" w14:textId="77777777" w:rsidR="00C25271" w:rsidRPr="004031BD" w:rsidRDefault="00C25271" w:rsidP="009A5CA1">
            <w:pPr>
              <w:jc w:val="center"/>
              <w:rPr>
                <w:b/>
                <w:sz w:val="22"/>
                <w:szCs w:val="22"/>
                <w:lang w:eastAsia="en-US"/>
              </w:rPr>
            </w:pPr>
            <w:r w:rsidRPr="004031BD">
              <w:rPr>
                <w:b/>
                <w:sz w:val="22"/>
                <w:szCs w:val="22"/>
                <w:lang w:eastAsia="en-US"/>
              </w:rPr>
              <w:t>- 250 000</w:t>
            </w:r>
          </w:p>
        </w:tc>
      </w:tr>
      <w:tr w:rsidR="00C25271" w:rsidRPr="004031BD" w14:paraId="0FDBC0A4" w14:textId="77777777" w:rsidTr="008C4FBD">
        <w:tc>
          <w:tcPr>
            <w:tcW w:w="2619" w:type="dxa"/>
            <w:gridSpan w:val="3"/>
            <w:hideMark/>
          </w:tcPr>
          <w:p w14:paraId="30E66548" w14:textId="77777777" w:rsidR="00C25271" w:rsidRPr="004031BD" w:rsidRDefault="00C25271" w:rsidP="009A5CA1">
            <w:pPr>
              <w:rPr>
                <w:lang w:eastAsia="en-US"/>
              </w:rPr>
            </w:pPr>
            <w:r w:rsidRPr="004031BD">
              <w:t>3.1. valsts pamatbudžets</w:t>
            </w:r>
          </w:p>
        </w:tc>
        <w:tc>
          <w:tcPr>
            <w:tcW w:w="1108" w:type="dxa"/>
            <w:gridSpan w:val="2"/>
          </w:tcPr>
          <w:p w14:paraId="11C8493C"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4BAE409D" w14:textId="77777777" w:rsidR="00C25271" w:rsidRPr="004031BD" w:rsidRDefault="00C25271" w:rsidP="009A5CA1">
            <w:pPr>
              <w:jc w:val="center"/>
              <w:rPr>
                <w:sz w:val="22"/>
                <w:szCs w:val="22"/>
                <w:lang w:eastAsia="en-US"/>
              </w:rPr>
            </w:pPr>
            <w:r w:rsidRPr="004031BD">
              <w:rPr>
                <w:color w:val="000000"/>
                <w:sz w:val="22"/>
              </w:rPr>
              <w:t>- 125 000</w:t>
            </w:r>
          </w:p>
        </w:tc>
        <w:tc>
          <w:tcPr>
            <w:tcW w:w="1347" w:type="dxa"/>
          </w:tcPr>
          <w:p w14:paraId="76F19B40" w14:textId="77777777" w:rsidR="00C25271" w:rsidRPr="004031BD" w:rsidRDefault="00C25271" w:rsidP="009A5CA1">
            <w:pPr>
              <w:jc w:val="center"/>
              <w:rPr>
                <w:sz w:val="22"/>
                <w:szCs w:val="22"/>
                <w:lang w:eastAsia="en-US"/>
              </w:rPr>
            </w:pPr>
            <w:r w:rsidRPr="004031BD">
              <w:rPr>
                <w:color w:val="000000"/>
                <w:sz w:val="22"/>
              </w:rPr>
              <w:t>- 125 000</w:t>
            </w:r>
          </w:p>
        </w:tc>
        <w:tc>
          <w:tcPr>
            <w:tcW w:w="1443" w:type="dxa"/>
          </w:tcPr>
          <w:p w14:paraId="2DDDECBF" w14:textId="77777777" w:rsidR="00C25271" w:rsidRPr="004031BD" w:rsidRDefault="00C25271" w:rsidP="009A5CA1">
            <w:pPr>
              <w:jc w:val="center"/>
              <w:rPr>
                <w:sz w:val="22"/>
                <w:szCs w:val="22"/>
                <w:lang w:eastAsia="en-US"/>
              </w:rPr>
            </w:pPr>
            <w:r w:rsidRPr="004031BD">
              <w:rPr>
                <w:color w:val="000000"/>
                <w:sz w:val="22"/>
              </w:rPr>
              <w:t>- 125 000</w:t>
            </w:r>
          </w:p>
        </w:tc>
        <w:tc>
          <w:tcPr>
            <w:tcW w:w="1345" w:type="dxa"/>
          </w:tcPr>
          <w:p w14:paraId="35D03706" w14:textId="77777777" w:rsidR="00C25271" w:rsidRPr="004031BD" w:rsidRDefault="00C25271" w:rsidP="009A5CA1">
            <w:pPr>
              <w:jc w:val="center"/>
              <w:rPr>
                <w:sz w:val="22"/>
                <w:szCs w:val="22"/>
                <w:lang w:eastAsia="en-US"/>
              </w:rPr>
            </w:pPr>
            <w:r w:rsidRPr="004031BD">
              <w:rPr>
                <w:b/>
                <w:sz w:val="22"/>
                <w:szCs w:val="22"/>
                <w:lang w:eastAsia="en-US"/>
              </w:rPr>
              <w:t>- </w:t>
            </w:r>
            <w:r w:rsidRPr="004031BD">
              <w:rPr>
                <w:sz w:val="22"/>
                <w:szCs w:val="22"/>
                <w:lang w:eastAsia="en-US"/>
              </w:rPr>
              <w:t>250 000</w:t>
            </w:r>
          </w:p>
        </w:tc>
      </w:tr>
      <w:tr w:rsidR="00C25271" w:rsidRPr="004031BD" w14:paraId="46110941" w14:textId="77777777" w:rsidTr="008C4FBD">
        <w:tc>
          <w:tcPr>
            <w:tcW w:w="2619" w:type="dxa"/>
            <w:gridSpan w:val="3"/>
            <w:hideMark/>
          </w:tcPr>
          <w:p w14:paraId="7C7A16C9" w14:textId="77777777" w:rsidR="00C25271" w:rsidRPr="004031BD" w:rsidRDefault="00C25271" w:rsidP="009A5CA1">
            <w:pPr>
              <w:rPr>
                <w:lang w:eastAsia="en-US"/>
              </w:rPr>
            </w:pPr>
            <w:r w:rsidRPr="004031BD">
              <w:t>3.2. speciālais budžets</w:t>
            </w:r>
          </w:p>
        </w:tc>
        <w:tc>
          <w:tcPr>
            <w:tcW w:w="1108" w:type="dxa"/>
            <w:gridSpan w:val="2"/>
          </w:tcPr>
          <w:p w14:paraId="72C91A99"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280E49E8"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47361988"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017E3E7E"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63301135"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5C96E049" w14:textId="77777777" w:rsidTr="008C4FBD">
        <w:tc>
          <w:tcPr>
            <w:tcW w:w="2619" w:type="dxa"/>
            <w:gridSpan w:val="3"/>
            <w:hideMark/>
          </w:tcPr>
          <w:p w14:paraId="169CD03E" w14:textId="77777777" w:rsidR="00C25271" w:rsidRPr="004031BD" w:rsidRDefault="00C25271" w:rsidP="009A5CA1">
            <w:pPr>
              <w:rPr>
                <w:lang w:eastAsia="en-US"/>
              </w:rPr>
            </w:pPr>
            <w:r w:rsidRPr="004031BD">
              <w:t>3.3. pašvaldību budžets</w:t>
            </w:r>
          </w:p>
        </w:tc>
        <w:tc>
          <w:tcPr>
            <w:tcW w:w="1108" w:type="dxa"/>
            <w:gridSpan w:val="2"/>
          </w:tcPr>
          <w:p w14:paraId="18ED94E5"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6D75DBC5"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5D7D18D0"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232DD455"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30378284"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6E96CB55" w14:textId="77777777" w:rsidTr="008C4FBD">
        <w:trPr>
          <w:trHeight w:val="1380"/>
        </w:trPr>
        <w:tc>
          <w:tcPr>
            <w:tcW w:w="2619" w:type="dxa"/>
            <w:gridSpan w:val="3"/>
            <w:hideMark/>
          </w:tcPr>
          <w:p w14:paraId="232744A9" w14:textId="77777777" w:rsidR="00C25271" w:rsidRPr="004031BD" w:rsidRDefault="00C25271" w:rsidP="009A5CA1">
            <w:pPr>
              <w:rPr>
                <w:lang w:eastAsia="en-US"/>
              </w:rPr>
            </w:pPr>
            <w:r w:rsidRPr="004031BD">
              <w:t>4. Finanšu līdzekļi papildu izdevumu finansēšanai (kompensējošu izdevumu samazinājumu norāda ar "+" zīmi</w:t>
            </w:r>
          </w:p>
        </w:tc>
        <w:tc>
          <w:tcPr>
            <w:tcW w:w="1108" w:type="dxa"/>
            <w:gridSpan w:val="2"/>
          </w:tcPr>
          <w:p w14:paraId="3481CFB4" w14:textId="77777777" w:rsidR="00C25271" w:rsidRPr="004031BD" w:rsidRDefault="00C25271" w:rsidP="009A5CA1">
            <w:pPr>
              <w:jc w:val="center"/>
              <w:rPr>
                <w:sz w:val="22"/>
                <w:szCs w:val="22"/>
                <w:lang w:eastAsia="en-US"/>
              </w:rPr>
            </w:pPr>
            <w:r w:rsidRPr="004031BD">
              <w:rPr>
                <w:sz w:val="22"/>
                <w:szCs w:val="22"/>
                <w:lang w:eastAsia="en-US"/>
              </w:rPr>
              <w:t>x</w:t>
            </w:r>
          </w:p>
        </w:tc>
        <w:tc>
          <w:tcPr>
            <w:tcW w:w="1347" w:type="dxa"/>
          </w:tcPr>
          <w:p w14:paraId="7309EABA"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5E7EE691"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45603266"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167A5836"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173EE3EB" w14:textId="77777777" w:rsidTr="008C4FBD">
        <w:tc>
          <w:tcPr>
            <w:tcW w:w="2619" w:type="dxa"/>
            <w:gridSpan w:val="3"/>
            <w:hideMark/>
          </w:tcPr>
          <w:p w14:paraId="2A03732B" w14:textId="77777777" w:rsidR="00C25271" w:rsidRPr="004031BD" w:rsidRDefault="00C25271" w:rsidP="009A5CA1">
            <w:pPr>
              <w:rPr>
                <w:lang w:eastAsia="en-US"/>
              </w:rPr>
            </w:pPr>
            <w:r w:rsidRPr="004031BD">
              <w:t>5. Precizēta finansiālā ietekme:</w:t>
            </w:r>
          </w:p>
        </w:tc>
        <w:tc>
          <w:tcPr>
            <w:tcW w:w="1108" w:type="dxa"/>
            <w:gridSpan w:val="2"/>
            <w:vMerge w:val="restart"/>
          </w:tcPr>
          <w:p w14:paraId="6165F2B0" w14:textId="77777777" w:rsidR="00C25271" w:rsidRPr="004031BD" w:rsidRDefault="00C25271" w:rsidP="009A5CA1">
            <w:pPr>
              <w:jc w:val="center"/>
              <w:rPr>
                <w:sz w:val="22"/>
                <w:szCs w:val="22"/>
                <w:lang w:eastAsia="en-US"/>
              </w:rPr>
            </w:pPr>
            <w:r w:rsidRPr="004031BD">
              <w:rPr>
                <w:sz w:val="22"/>
                <w:szCs w:val="22"/>
                <w:lang w:eastAsia="en-US"/>
              </w:rPr>
              <w:t>x</w:t>
            </w:r>
          </w:p>
        </w:tc>
        <w:tc>
          <w:tcPr>
            <w:tcW w:w="1347" w:type="dxa"/>
          </w:tcPr>
          <w:p w14:paraId="1F1C4160" w14:textId="77777777" w:rsidR="00C25271" w:rsidRPr="004031BD" w:rsidRDefault="00C25271" w:rsidP="009A5CA1">
            <w:pPr>
              <w:jc w:val="center"/>
              <w:rPr>
                <w:sz w:val="22"/>
                <w:szCs w:val="22"/>
                <w:lang w:eastAsia="en-US"/>
              </w:rPr>
            </w:pPr>
            <w:r w:rsidRPr="004031BD">
              <w:rPr>
                <w:b/>
                <w:color w:val="000000"/>
                <w:sz w:val="22"/>
              </w:rPr>
              <w:t>-125 000</w:t>
            </w:r>
          </w:p>
        </w:tc>
        <w:tc>
          <w:tcPr>
            <w:tcW w:w="1347" w:type="dxa"/>
          </w:tcPr>
          <w:p w14:paraId="1A04C7E2" w14:textId="77777777" w:rsidR="00C25271" w:rsidRPr="004031BD" w:rsidRDefault="00C25271" w:rsidP="009A5CA1">
            <w:pPr>
              <w:jc w:val="center"/>
              <w:rPr>
                <w:b/>
                <w:sz w:val="22"/>
                <w:szCs w:val="22"/>
                <w:lang w:eastAsia="en-US"/>
              </w:rPr>
            </w:pPr>
            <w:r w:rsidRPr="004031BD">
              <w:rPr>
                <w:b/>
                <w:color w:val="000000"/>
                <w:sz w:val="22"/>
              </w:rPr>
              <w:t>-125 000</w:t>
            </w:r>
          </w:p>
        </w:tc>
        <w:tc>
          <w:tcPr>
            <w:tcW w:w="1443" w:type="dxa"/>
          </w:tcPr>
          <w:p w14:paraId="4474F1EF" w14:textId="77777777" w:rsidR="00C25271" w:rsidRPr="004031BD" w:rsidRDefault="00C25271" w:rsidP="009A5CA1">
            <w:pPr>
              <w:jc w:val="center"/>
              <w:rPr>
                <w:b/>
                <w:sz w:val="22"/>
                <w:szCs w:val="22"/>
                <w:lang w:eastAsia="en-US"/>
              </w:rPr>
            </w:pPr>
            <w:r w:rsidRPr="004031BD">
              <w:rPr>
                <w:b/>
                <w:color w:val="000000"/>
                <w:sz w:val="22"/>
              </w:rPr>
              <w:t>-125 000</w:t>
            </w:r>
          </w:p>
        </w:tc>
        <w:tc>
          <w:tcPr>
            <w:tcW w:w="1345" w:type="dxa"/>
          </w:tcPr>
          <w:p w14:paraId="55722694" w14:textId="77777777" w:rsidR="00C25271" w:rsidRPr="004031BD" w:rsidRDefault="00C25271" w:rsidP="009A5CA1">
            <w:pPr>
              <w:jc w:val="center"/>
              <w:rPr>
                <w:b/>
                <w:sz w:val="22"/>
                <w:szCs w:val="22"/>
                <w:lang w:eastAsia="en-US"/>
              </w:rPr>
            </w:pPr>
            <w:r w:rsidRPr="004031BD">
              <w:rPr>
                <w:b/>
                <w:sz w:val="22"/>
                <w:szCs w:val="22"/>
                <w:lang w:eastAsia="en-US"/>
              </w:rPr>
              <w:t>- 250 000</w:t>
            </w:r>
          </w:p>
        </w:tc>
      </w:tr>
      <w:tr w:rsidR="00C25271" w:rsidRPr="004031BD" w14:paraId="47348C6F" w14:textId="77777777" w:rsidTr="008C4FBD">
        <w:tc>
          <w:tcPr>
            <w:tcW w:w="2619" w:type="dxa"/>
            <w:gridSpan w:val="3"/>
            <w:hideMark/>
          </w:tcPr>
          <w:p w14:paraId="62BA7447" w14:textId="77777777" w:rsidR="00C25271" w:rsidRPr="004031BD" w:rsidRDefault="00C25271" w:rsidP="009A5CA1">
            <w:pPr>
              <w:rPr>
                <w:lang w:eastAsia="en-US"/>
              </w:rPr>
            </w:pPr>
            <w:r w:rsidRPr="004031BD">
              <w:t>5.1. valsts pamatbudžets</w:t>
            </w:r>
          </w:p>
        </w:tc>
        <w:tc>
          <w:tcPr>
            <w:tcW w:w="1108" w:type="dxa"/>
            <w:gridSpan w:val="2"/>
            <w:vMerge/>
          </w:tcPr>
          <w:p w14:paraId="260BB3B1" w14:textId="77777777" w:rsidR="00C25271" w:rsidRPr="004031BD" w:rsidRDefault="00C25271" w:rsidP="009A5CA1">
            <w:pPr>
              <w:jc w:val="center"/>
              <w:rPr>
                <w:sz w:val="22"/>
                <w:szCs w:val="22"/>
                <w:lang w:eastAsia="en-US"/>
              </w:rPr>
            </w:pPr>
          </w:p>
        </w:tc>
        <w:tc>
          <w:tcPr>
            <w:tcW w:w="1347" w:type="dxa"/>
          </w:tcPr>
          <w:p w14:paraId="29F9565C" w14:textId="77777777" w:rsidR="00C25271" w:rsidRPr="004031BD" w:rsidRDefault="00C25271" w:rsidP="009A5CA1">
            <w:pPr>
              <w:jc w:val="center"/>
              <w:rPr>
                <w:sz w:val="22"/>
                <w:szCs w:val="22"/>
                <w:lang w:eastAsia="en-US"/>
              </w:rPr>
            </w:pPr>
            <w:r w:rsidRPr="004031BD">
              <w:rPr>
                <w:color w:val="000000"/>
                <w:sz w:val="22"/>
              </w:rPr>
              <w:t>-125 000</w:t>
            </w:r>
          </w:p>
        </w:tc>
        <w:tc>
          <w:tcPr>
            <w:tcW w:w="1347" w:type="dxa"/>
          </w:tcPr>
          <w:p w14:paraId="5D72BEB8" w14:textId="77777777" w:rsidR="00C25271" w:rsidRPr="004031BD" w:rsidRDefault="00C25271" w:rsidP="009A5CA1">
            <w:pPr>
              <w:jc w:val="center"/>
              <w:rPr>
                <w:sz w:val="22"/>
                <w:szCs w:val="22"/>
                <w:lang w:eastAsia="en-US"/>
              </w:rPr>
            </w:pPr>
            <w:r w:rsidRPr="004031BD">
              <w:rPr>
                <w:color w:val="000000"/>
                <w:sz w:val="22"/>
              </w:rPr>
              <w:t>-125 000</w:t>
            </w:r>
          </w:p>
        </w:tc>
        <w:tc>
          <w:tcPr>
            <w:tcW w:w="1443" w:type="dxa"/>
          </w:tcPr>
          <w:p w14:paraId="160B74A2" w14:textId="77777777" w:rsidR="00C25271" w:rsidRPr="004031BD" w:rsidRDefault="00C25271" w:rsidP="009A5CA1">
            <w:pPr>
              <w:jc w:val="center"/>
              <w:rPr>
                <w:sz w:val="22"/>
                <w:szCs w:val="22"/>
                <w:lang w:eastAsia="en-US"/>
              </w:rPr>
            </w:pPr>
            <w:r w:rsidRPr="004031BD">
              <w:rPr>
                <w:color w:val="000000"/>
                <w:sz w:val="22"/>
              </w:rPr>
              <w:t>-125 000</w:t>
            </w:r>
          </w:p>
        </w:tc>
        <w:tc>
          <w:tcPr>
            <w:tcW w:w="1345" w:type="dxa"/>
          </w:tcPr>
          <w:p w14:paraId="508631E2" w14:textId="77777777" w:rsidR="00C25271" w:rsidRPr="004031BD" w:rsidRDefault="00C25271" w:rsidP="009A5CA1">
            <w:pPr>
              <w:jc w:val="center"/>
              <w:rPr>
                <w:sz w:val="22"/>
                <w:szCs w:val="22"/>
                <w:lang w:eastAsia="en-US"/>
              </w:rPr>
            </w:pPr>
            <w:r w:rsidRPr="004031BD">
              <w:rPr>
                <w:b/>
                <w:sz w:val="22"/>
                <w:szCs w:val="22"/>
                <w:lang w:eastAsia="en-US"/>
              </w:rPr>
              <w:t>- </w:t>
            </w:r>
            <w:r w:rsidRPr="004031BD">
              <w:rPr>
                <w:sz w:val="22"/>
                <w:szCs w:val="22"/>
                <w:lang w:eastAsia="en-US"/>
              </w:rPr>
              <w:t>250 000</w:t>
            </w:r>
          </w:p>
        </w:tc>
      </w:tr>
      <w:tr w:rsidR="00C25271" w:rsidRPr="004031BD" w14:paraId="49E5007C" w14:textId="77777777" w:rsidTr="008C4FBD">
        <w:tc>
          <w:tcPr>
            <w:tcW w:w="2619" w:type="dxa"/>
            <w:gridSpan w:val="3"/>
            <w:hideMark/>
          </w:tcPr>
          <w:p w14:paraId="45FC564A" w14:textId="77777777" w:rsidR="00C25271" w:rsidRPr="004031BD" w:rsidRDefault="00C25271" w:rsidP="009A5CA1">
            <w:pPr>
              <w:rPr>
                <w:lang w:eastAsia="en-US"/>
              </w:rPr>
            </w:pPr>
            <w:r w:rsidRPr="004031BD">
              <w:t>5.2. speciālais budžets</w:t>
            </w:r>
          </w:p>
        </w:tc>
        <w:tc>
          <w:tcPr>
            <w:tcW w:w="1108" w:type="dxa"/>
            <w:gridSpan w:val="2"/>
            <w:vMerge/>
          </w:tcPr>
          <w:p w14:paraId="7C873829" w14:textId="77777777" w:rsidR="00C25271" w:rsidRPr="004031BD" w:rsidRDefault="00C25271" w:rsidP="009A5CA1">
            <w:pPr>
              <w:jc w:val="center"/>
              <w:rPr>
                <w:sz w:val="22"/>
                <w:szCs w:val="22"/>
                <w:lang w:eastAsia="en-US"/>
              </w:rPr>
            </w:pPr>
          </w:p>
        </w:tc>
        <w:tc>
          <w:tcPr>
            <w:tcW w:w="1347" w:type="dxa"/>
          </w:tcPr>
          <w:p w14:paraId="6A827095"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2925EF5A"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2F5C26C3"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7D47E339"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3274E980" w14:textId="77777777" w:rsidTr="008C4FBD">
        <w:tc>
          <w:tcPr>
            <w:tcW w:w="2619" w:type="dxa"/>
            <w:gridSpan w:val="3"/>
            <w:hideMark/>
          </w:tcPr>
          <w:p w14:paraId="71507BC5" w14:textId="77777777" w:rsidR="00C25271" w:rsidRPr="004031BD" w:rsidRDefault="00C25271" w:rsidP="009A5CA1">
            <w:pPr>
              <w:rPr>
                <w:lang w:eastAsia="en-US"/>
              </w:rPr>
            </w:pPr>
            <w:r w:rsidRPr="004031BD">
              <w:t>5.3. pašvaldību budžets</w:t>
            </w:r>
          </w:p>
        </w:tc>
        <w:tc>
          <w:tcPr>
            <w:tcW w:w="1108" w:type="dxa"/>
            <w:gridSpan w:val="2"/>
            <w:vMerge/>
          </w:tcPr>
          <w:p w14:paraId="37A935E5" w14:textId="77777777" w:rsidR="00C25271" w:rsidRPr="004031BD" w:rsidRDefault="00C25271" w:rsidP="009A5CA1">
            <w:pPr>
              <w:jc w:val="center"/>
              <w:rPr>
                <w:sz w:val="22"/>
                <w:szCs w:val="22"/>
                <w:lang w:eastAsia="en-US"/>
              </w:rPr>
            </w:pPr>
          </w:p>
        </w:tc>
        <w:tc>
          <w:tcPr>
            <w:tcW w:w="1347" w:type="dxa"/>
          </w:tcPr>
          <w:p w14:paraId="71855972" w14:textId="77777777" w:rsidR="00C25271" w:rsidRPr="004031BD" w:rsidRDefault="00C25271" w:rsidP="009A5CA1">
            <w:pPr>
              <w:jc w:val="center"/>
              <w:rPr>
                <w:sz w:val="22"/>
                <w:szCs w:val="22"/>
                <w:lang w:eastAsia="en-US"/>
              </w:rPr>
            </w:pPr>
            <w:r w:rsidRPr="004031BD">
              <w:rPr>
                <w:sz w:val="22"/>
                <w:szCs w:val="22"/>
                <w:lang w:eastAsia="en-US"/>
              </w:rPr>
              <w:t>0</w:t>
            </w:r>
          </w:p>
        </w:tc>
        <w:tc>
          <w:tcPr>
            <w:tcW w:w="1347" w:type="dxa"/>
          </w:tcPr>
          <w:p w14:paraId="23C560A7" w14:textId="77777777" w:rsidR="00C25271" w:rsidRPr="004031BD" w:rsidRDefault="00C25271" w:rsidP="009A5CA1">
            <w:pPr>
              <w:jc w:val="center"/>
              <w:rPr>
                <w:sz w:val="22"/>
                <w:szCs w:val="22"/>
                <w:lang w:eastAsia="en-US"/>
              </w:rPr>
            </w:pPr>
            <w:r w:rsidRPr="004031BD">
              <w:rPr>
                <w:sz w:val="22"/>
                <w:szCs w:val="22"/>
                <w:lang w:eastAsia="en-US"/>
              </w:rPr>
              <w:t>0</w:t>
            </w:r>
          </w:p>
        </w:tc>
        <w:tc>
          <w:tcPr>
            <w:tcW w:w="1443" w:type="dxa"/>
          </w:tcPr>
          <w:p w14:paraId="6619B26B" w14:textId="77777777" w:rsidR="00C25271" w:rsidRPr="004031BD" w:rsidRDefault="00C25271" w:rsidP="009A5CA1">
            <w:pPr>
              <w:jc w:val="center"/>
              <w:rPr>
                <w:sz w:val="22"/>
                <w:szCs w:val="22"/>
                <w:lang w:eastAsia="en-US"/>
              </w:rPr>
            </w:pPr>
            <w:r w:rsidRPr="004031BD">
              <w:rPr>
                <w:sz w:val="22"/>
                <w:szCs w:val="22"/>
                <w:lang w:eastAsia="en-US"/>
              </w:rPr>
              <w:t>0</w:t>
            </w:r>
          </w:p>
        </w:tc>
        <w:tc>
          <w:tcPr>
            <w:tcW w:w="1345" w:type="dxa"/>
          </w:tcPr>
          <w:p w14:paraId="02DEA537" w14:textId="77777777" w:rsidR="00C25271" w:rsidRPr="004031BD" w:rsidRDefault="00C25271" w:rsidP="009A5CA1">
            <w:pPr>
              <w:jc w:val="center"/>
              <w:rPr>
                <w:sz w:val="22"/>
                <w:szCs w:val="22"/>
                <w:lang w:eastAsia="en-US"/>
              </w:rPr>
            </w:pPr>
            <w:r w:rsidRPr="004031BD">
              <w:rPr>
                <w:sz w:val="22"/>
                <w:szCs w:val="22"/>
                <w:lang w:eastAsia="en-US"/>
              </w:rPr>
              <w:t>0</w:t>
            </w:r>
          </w:p>
        </w:tc>
      </w:tr>
      <w:tr w:rsidR="00C25271" w:rsidRPr="004031BD" w14:paraId="7F47FB3D" w14:textId="77777777" w:rsidTr="008C4FBD">
        <w:tc>
          <w:tcPr>
            <w:tcW w:w="2619" w:type="dxa"/>
            <w:gridSpan w:val="3"/>
            <w:hideMark/>
          </w:tcPr>
          <w:p w14:paraId="4A2EA805" w14:textId="77777777" w:rsidR="00C25271" w:rsidRPr="004031BD" w:rsidRDefault="00C25271" w:rsidP="009A5CA1">
            <w:pPr>
              <w:rPr>
                <w:lang w:eastAsia="en-US"/>
              </w:rPr>
            </w:pPr>
            <w:r w:rsidRPr="004031BD">
              <w:t>6. Detalizēts ieņēmumu un izdevumu aprēķins (ja nepieciešams, detalizētu ieņēmumu un izdevumu aprēķinu var pievienot anotācijas pielikumā):</w:t>
            </w:r>
          </w:p>
        </w:tc>
        <w:tc>
          <w:tcPr>
            <w:tcW w:w="6590" w:type="dxa"/>
            <w:gridSpan w:val="6"/>
            <w:vMerge w:val="restart"/>
          </w:tcPr>
          <w:p w14:paraId="775385B0" w14:textId="39BA7F69" w:rsidR="005F5F6F" w:rsidRPr="004031BD" w:rsidRDefault="00C25271" w:rsidP="00727440">
            <w:pPr>
              <w:ind w:firstLine="567"/>
              <w:jc w:val="both"/>
              <w:rPr>
                <w:lang w:eastAsia="en-US"/>
              </w:rPr>
            </w:pPr>
            <w:r w:rsidRPr="004031BD">
              <w:rPr>
                <w:lang w:eastAsia="en-US"/>
              </w:rPr>
              <w:t xml:space="preserve">Lai nodrošinātu ilgtspējīgu Projekta rezultātā izstrādāto IKT risinājumu darbību, pēc Projekta termiņa beigām ir plānojamas IKT risinājumu </w:t>
            </w:r>
            <w:r w:rsidRPr="004031BD">
              <w:rPr>
                <w:lang w:eastAsia="en-US"/>
              </w:rPr>
              <w:t xml:space="preserve">uzturēšanas izmaksas. Izmaksas uzturēšanai ir 250 000 </w:t>
            </w:r>
            <w:proofErr w:type="spellStart"/>
            <w:r w:rsidRPr="004031BD">
              <w:rPr>
                <w:i/>
                <w:lang w:eastAsia="en-US"/>
              </w:rPr>
              <w:t>euro</w:t>
            </w:r>
            <w:proofErr w:type="spellEnd"/>
            <w:r w:rsidRPr="004031BD">
              <w:rPr>
                <w:lang w:eastAsia="en-US"/>
              </w:rPr>
              <w:t xml:space="preserve"> gadā</w:t>
            </w:r>
            <w:r w:rsidR="002747FD">
              <w:rPr>
                <w:lang w:eastAsia="en-US"/>
              </w:rPr>
              <w:t xml:space="preserve"> (</w:t>
            </w:r>
            <w:r w:rsidR="004B12AF">
              <w:rPr>
                <w:lang w:eastAsia="en-US"/>
              </w:rPr>
              <w:t>237 </w:t>
            </w:r>
            <w:r w:rsidR="002747FD" w:rsidRPr="002747FD">
              <w:rPr>
                <w:lang w:eastAsia="en-US"/>
              </w:rPr>
              <w:t xml:space="preserve">512 </w:t>
            </w:r>
            <w:proofErr w:type="spellStart"/>
            <w:r w:rsidR="002747FD" w:rsidRPr="00071FE3">
              <w:rPr>
                <w:i/>
                <w:lang w:eastAsia="en-US"/>
              </w:rPr>
              <w:t>euro</w:t>
            </w:r>
            <w:proofErr w:type="spellEnd"/>
            <w:r w:rsidR="002747FD" w:rsidRPr="002747FD">
              <w:rPr>
                <w:lang w:eastAsia="en-US"/>
              </w:rPr>
              <w:t xml:space="preserve"> pieprasot papildus finansējumu normatīvajos aktos noteiktajā kārtībā</w:t>
            </w:r>
            <w:r w:rsidR="004B12AF">
              <w:rPr>
                <w:lang w:eastAsia="en-US"/>
              </w:rPr>
              <w:t>, savukārt 12 </w:t>
            </w:r>
            <w:r w:rsidR="004B12AF" w:rsidRPr="004B12AF">
              <w:rPr>
                <w:lang w:eastAsia="en-US"/>
              </w:rPr>
              <w:t xml:space="preserve">488 </w:t>
            </w:r>
            <w:proofErr w:type="spellStart"/>
            <w:r w:rsidR="004B12AF" w:rsidRPr="00071FE3">
              <w:rPr>
                <w:i/>
                <w:lang w:eastAsia="en-US"/>
              </w:rPr>
              <w:t>euro</w:t>
            </w:r>
            <w:proofErr w:type="spellEnd"/>
            <w:r w:rsidR="004B12AF" w:rsidRPr="004B12AF">
              <w:rPr>
                <w:lang w:eastAsia="en-US"/>
              </w:rPr>
              <w:t xml:space="preserve"> no Ekonomikas ministrijas piešķirtā valsts budžeta finansējuma</w:t>
            </w:r>
            <w:r w:rsidR="002747FD">
              <w:rPr>
                <w:lang w:eastAsia="en-US"/>
              </w:rPr>
              <w:t>)</w:t>
            </w:r>
            <w:r w:rsidRPr="004031BD">
              <w:rPr>
                <w:lang w:eastAsia="en-US"/>
              </w:rPr>
              <w:t xml:space="preserve">, sākot ar 2020. gadu (no tiem 70 000 </w:t>
            </w:r>
            <w:proofErr w:type="spellStart"/>
            <w:r w:rsidRPr="004031BD">
              <w:rPr>
                <w:i/>
                <w:lang w:eastAsia="en-US"/>
              </w:rPr>
              <w:t>euro</w:t>
            </w:r>
            <w:proofErr w:type="spellEnd"/>
            <w:r w:rsidRPr="004031BD">
              <w:rPr>
                <w:lang w:eastAsia="en-US"/>
              </w:rPr>
              <w:t xml:space="preserve"> kapitālie izdevumi (</w:t>
            </w:r>
            <w:r w:rsidR="00DE6143">
              <w:rPr>
                <w:lang w:eastAsia="en-US"/>
              </w:rPr>
              <w:t>s</w:t>
            </w:r>
            <w:r w:rsidR="00DE6143" w:rsidRPr="00DE6143">
              <w:rPr>
                <w:lang w:eastAsia="en-US"/>
              </w:rPr>
              <w:t>istēmas problēmu, kļūdu novēršanas un profilaktiskās uzturēšanas pakalpojumi</w:t>
            </w:r>
            <w:r w:rsidR="0015548E">
              <w:rPr>
                <w:lang w:eastAsia="en-US"/>
              </w:rPr>
              <w:t xml:space="preserve"> 66 cilvēkdienu apmērā izdevumi ir 24 750 </w:t>
            </w:r>
            <w:proofErr w:type="spellStart"/>
            <w:r w:rsidR="0015548E">
              <w:rPr>
                <w:lang w:eastAsia="en-US"/>
              </w:rPr>
              <w:t>euro</w:t>
            </w:r>
            <w:proofErr w:type="spellEnd"/>
            <w:r w:rsidR="0015548E">
              <w:rPr>
                <w:lang w:eastAsia="en-US"/>
              </w:rPr>
              <w:t xml:space="preserve"> (66 c/d x </w:t>
            </w:r>
            <w:r w:rsidR="0015548E" w:rsidRPr="0015548E">
              <w:rPr>
                <w:lang w:eastAsia="en-US"/>
              </w:rPr>
              <w:t xml:space="preserve">375 </w:t>
            </w:r>
            <w:proofErr w:type="spellStart"/>
            <w:r w:rsidR="0015548E" w:rsidRPr="00071FE3">
              <w:rPr>
                <w:i/>
                <w:lang w:eastAsia="en-US"/>
              </w:rPr>
              <w:t>euro</w:t>
            </w:r>
            <w:proofErr w:type="spellEnd"/>
            <w:r w:rsidR="0015548E" w:rsidRPr="0015548E">
              <w:rPr>
                <w:lang w:eastAsia="en-US"/>
              </w:rPr>
              <w:t>, ieskait</w:t>
            </w:r>
            <w:r w:rsidR="0015548E">
              <w:rPr>
                <w:lang w:eastAsia="en-US"/>
              </w:rPr>
              <w:t xml:space="preserve">ot pievienotās vērtības nodokli) un </w:t>
            </w:r>
            <w:r w:rsidR="00DE6143">
              <w:rPr>
                <w:lang w:eastAsia="en-US"/>
              </w:rPr>
              <w:t>s</w:t>
            </w:r>
            <w:r w:rsidR="00DE6143" w:rsidRPr="00DE6143">
              <w:rPr>
                <w:lang w:eastAsia="en-US"/>
              </w:rPr>
              <w:t>istēmas pielāgošanas pakalpojumi</w:t>
            </w:r>
            <w:r w:rsidR="003A13CB">
              <w:rPr>
                <w:lang w:eastAsia="en-US"/>
              </w:rPr>
              <w:t xml:space="preserve"> 120,66 cilvēkdienu apmērā izdevumi</w:t>
            </w:r>
            <w:r w:rsidR="0015548E">
              <w:rPr>
                <w:lang w:eastAsia="en-US"/>
              </w:rPr>
              <w:t xml:space="preserve"> ir 45 250 </w:t>
            </w:r>
            <w:proofErr w:type="spellStart"/>
            <w:r w:rsidR="0015548E" w:rsidRPr="00071FE3">
              <w:rPr>
                <w:i/>
                <w:lang w:eastAsia="en-US"/>
              </w:rPr>
              <w:t>euro</w:t>
            </w:r>
            <w:proofErr w:type="spellEnd"/>
            <w:r w:rsidR="0015548E">
              <w:rPr>
                <w:lang w:eastAsia="en-US"/>
              </w:rPr>
              <w:t xml:space="preserve"> (120,66 c/d x 375 </w:t>
            </w:r>
            <w:proofErr w:type="spellStart"/>
            <w:r w:rsidR="0015548E">
              <w:rPr>
                <w:lang w:eastAsia="en-US"/>
              </w:rPr>
              <w:t>euro</w:t>
            </w:r>
            <w:proofErr w:type="spellEnd"/>
            <w:r w:rsidR="0015548E">
              <w:rPr>
                <w:lang w:eastAsia="en-US"/>
              </w:rPr>
              <w:t xml:space="preserve">, </w:t>
            </w:r>
            <w:r w:rsidR="0015548E" w:rsidRPr="0015548E">
              <w:rPr>
                <w:lang w:eastAsia="en-US"/>
              </w:rPr>
              <w:t>ieskaitot pievienotās vērtības nodokli</w:t>
            </w:r>
            <w:r w:rsidR="003A13CB">
              <w:rPr>
                <w:lang w:eastAsia="en-US"/>
              </w:rPr>
              <w:t>)</w:t>
            </w:r>
            <w:r w:rsidR="0029461E">
              <w:rPr>
                <w:lang w:eastAsia="en-US"/>
              </w:rPr>
              <w:t xml:space="preserve">, </w:t>
            </w:r>
            <w:r w:rsidR="0029461E" w:rsidRPr="004031BD">
              <w:rPr>
                <w:lang w:eastAsia="en-US"/>
              </w:rPr>
              <w:t xml:space="preserve">pieņemot, ka vidējā cena cilvēkdienai šāda mēroga informācijas un komunikācijas tehnoloģiju resursu uzturēšanai informācijas tehnoloģiju nozarē vidēji ir 375 </w:t>
            </w:r>
            <w:proofErr w:type="spellStart"/>
            <w:r w:rsidR="0029461E" w:rsidRPr="004031BD">
              <w:rPr>
                <w:i/>
                <w:lang w:eastAsia="en-US"/>
              </w:rPr>
              <w:t>euro</w:t>
            </w:r>
            <w:proofErr w:type="spellEnd"/>
            <w:r w:rsidR="0029461E" w:rsidRPr="004031BD">
              <w:rPr>
                <w:lang w:eastAsia="en-US"/>
              </w:rPr>
              <w:t>, ieskaitot pievienotās vērtības nodokli</w:t>
            </w:r>
            <w:r w:rsidR="0015548E">
              <w:rPr>
                <w:lang w:eastAsia="en-US"/>
              </w:rPr>
              <w:t>)</w:t>
            </w:r>
            <w:r w:rsidRPr="004031BD">
              <w:rPr>
                <w:lang w:eastAsia="en-US"/>
              </w:rPr>
              <w:t xml:space="preserve">, 153 124 </w:t>
            </w:r>
            <w:proofErr w:type="spellStart"/>
            <w:r w:rsidRPr="004031BD">
              <w:rPr>
                <w:i/>
                <w:lang w:eastAsia="en-US"/>
              </w:rPr>
              <w:t>euro</w:t>
            </w:r>
            <w:proofErr w:type="spellEnd"/>
            <w:r w:rsidRPr="004031BD">
              <w:rPr>
                <w:lang w:eastAsia="en-US"/>
              </w:rPr>
              <w:t xml:space="preserve"> preces un pakalpojumi (</w:t>
            </w:r>
            <w:r w:rsidR="001D157D">
              <w:rPr>
                <w:lang w:eastAsia="en-US"/>
              </w:rPr>
              <w:t>aptuvenās</w:t>
            </w:r>
            <w:r w:rsidR="00F9018E">
              <w:rPr>
                <w:lang w:eastAsia="en-US"/>
              </w:rPr>
              <w:t xml:space="preserve"> </w:t>
            </w:r>
            <w:r w:rsidRPr="004031BD">
              <w:rPr>
                <w:lang w:eastAsia="en-US"/>
              </w:rPr>
              <w:t>programmatūras</w:t>
            </w:r>
            <w:r w:rsidR="00461B8E">
              <w:rPr>
                <w:lang w:eastAsia="en-US"/>
              </w:rPr>
              <w:t xml:space="preserve"> (datu analīzes risinājuma, </w:t>
            </w:r>
            <w:r w:rsidR="00461B8E" w:rsidRPr="00461B8E">
              <w:rPr>
                <w:lang w:eastAsia="en-US"/>
              </w:rPr>
              <w:t>darbv</w:t>
            </w:r>
            <w:r w:rsidR="00461B8E">
              <w:rPr>
                <w:lang w:eastAsia="en-US"/>
              </w:rPr>
              <w:t>irsmu virtualizācijas risinājuma, lietu  pārvaldības (</w:t>
            </w:r>
            <w:proofErr w:type="spellStart"/>
            <w:r w:rsidR="00461B8E" w:rsidRPr="00071FE3">
              <w:rPr>
                <w:i/>
                <w:lang w:eastAsia="en-US"/>
              </w:rPr>
              <w:t>case</w:t>
            </w:r>
            <w:proofErr w:type="spellEnd"/>
            <w:r w:rsidR="00461B8E" w:rsidRPr="00071FE3">
              <w:rPr>
                <w:i/>
                <w:lang w:eastAsia="en-US"/>
              </w:rPr>
              <w:t xml:space="preserve"> </w:t>
            </w:r>
            <w:proofErr w:type="spellStart"/>
            <w:r w:rsidR="00461B8E" w:rsidRPr="00071FE3">
              <w:rPr>
                <w:i/>
                <w:lang w:eastAsia="en-US"/>
              </w:rPr>
              <w:t>management</w:t>
            </w:r>
            <w:proofErr w:type="spellEnd"/>
            <w:r w:rsidR="00461B8E">
              <w:rPr>
                <w:lang w:eastAsia="en-US"/>
              </w:rPr>
              <w:t>) risinājuma)</w:t>
            </w:r>
            <w:r w:rsidRPr="004031BD">
              <w:rPr>
                <w:lang w:eastAsia="en-US"/>
              </w:rPr>
              <w:t xml:space="preserve"> licen</w:t>
            </w:r>
            <w:r w:rsidR="00F9018E">
              <w:rPr>
                <w:lang w:eastAsia="en-US"/>
              </w:rPr>
              <w:t>ču uzturēšanas gada maksa</w:t>
            </w:r>
            <w:r w:rsidR="00461B8E">
              <w:rPr>
                <w:lang w:eastAsia="en-US"/>
              </w:rPr>
              <w:t xml:space="preserve"> kopā ir 63 </w:t>
            </w:r>
            <w:r w:rsidR="001D157D">
              <w:rPr>
                <w:lang w:eastAsia="en-US"/>
              </w:rPr>
              <w:t>000</w:t>
            </w:r>
            <w:r w:rsidR="00461B8E">
              <w:rPr>
                <w:lang w:eastAsia="en-US"/>
              </w:rPr>
              <w:t xml:space="preserve"> </w:t>
            </w:r>
            <w:proofErr w:type="spellStart"/>
            <w:r w:rsidR="00461B8E">
              <w:rPr>
                <w:i/>
                <w:lang w:eastAsia="en-US"/>
              </w:rPr>
              <w:t>euro</w:t>
            </w:r>
            <w:proofErr w:type="spellEnd"/>
            <w:r w:rsidR="00352A45">
              <w:rPr>
                <w:i/>
                <w:lang w:eastAsia="en-US"/>
              </w:rPr>
              <w:t xml:space="preserve"> </w:t>
            </w:r>
            <w:r w:rsidRPr="004031BD">
              <w:rPr>
                <w:lang w:eastAsia="en-US"/>
              </w:rPr>
              <w:t>un IKT infrastruktūra</w:t>
            </w:r>
            <w:r w:rsidR="007461FF" w:rsidRPr="004031BD">
              <w:rPr>
                <w:lang w:eastAsia="en-US"/>
              </w:rPr>
              <w:t>s uzturēšana</w:t>
            </w:r>
            <w:r w:rsidR="0056513A">
              <w:rPr>
                <w:lang w:eastAsia="en-US"/>
              </w:rPr>
              <w:t>s gada maksa</w:t>
            </w:r>
            <w:r w:rsidR="007461FF" w:rsidRPr="004031BD">
              <w:rPr>
                <w:lang w:eastAsia="en-US"/>
              </w:rPr>
              <w:t xml:space="preserve"> valsts akciju sabiedrības </w:t>
            </w:r>
            <w:r w:rsidR="00042D55" w:rsidRPr="004031BD">
              <w:rPr>
                <w:lang w:eastAsia="en-US"/>
              </w:rPr>
              <w:t>“</w:t>
            </w:r>
            <w:r w:rsidR="00042D55" w:rsidRPr="004031BD">
              <w:t>Latvijas Valsts radio un televīzijas centrs</w:t>
            </w:r>
            <w:r w:rsidR="00042D55" w:rsidRPr="004031BD">
              <w:rPr>
                <w:lang w:eastAsia="en-US"/>
              </w:rPr>
              <w:t>”</w:t>
            </w:r>
            <w:r w:rsidR="007461FF" w:rsidRPr="004031BD">
              <w:rPr>
                <w:lang w:eastAsia="en-US"/>
              </w:rPr>
              <w:t xml:space="preserve"> </w:t>
            </w:r>
            <w:r w:rsidRPr="004031BD">
              <w:rPr>
                <w:lang w:eastAsia="en-US"/>
              </w:rPr>
              <w:t>pārziņā esošajos  datu centros</w:t>
            </w:r>
            <w:r w:rsidR="0056513A">
              <w:rPr>
                <w:lang w:eastAsia="en-US"/>
              </w:rPr>
              <w:t xml:space="preserve"> </w:t>
            </w:r>
            <w:r w:rsidR="002765C7">
              <w:rPr>
                <w:lang w:eastAsia="en-US"/>
              </w:rPr>
              <w:t>–</w:t>
            </w:r>
            <w:r w:rsidR="0056513A">
              <w:rPr>
                <w:lang w:eastAsia="en-US"/>
              </w:rPr>
              <w:t xml:space="preserve"> </w:t>
            </w:r>
            <w:r w:rsidR="002765C7" w:rsidRPr="002765C7">
              <w:rPr>
                <w:lang w:eastAsia="en-US"/>
              </w:rPr>
              <w:t>90</w:t>
            </w:r>
            <w:r w:rsidR="002765C7">
              <w:rPr>
                <w:lang w:eastAsia="en-US"/>
              </w:rPr>
              <w:t> </w:t>
            </w:r>
            <w:r w:rsidR="002765C7" w:rsidRPr="002765C7">
              <w:rPr>
                <w:lang w:eastAsia="en-US"/>
              </w:rPr>
              <w:t xml:space="preserve">124 </w:t>
            </w:r>
            <w:proofErr w:type="spellStart"/>
            <w:r w:rsidR="0056513A">
              <w:rPr>
                <w:i/>
                <w:lang w:eastAsia="en-US"/>
              </w:rPr>
              <w:t>euro</w:t>
            </w:r>
            <w:proofErr w:type="spellEnd"/>
            <w:r w:rsidRPr="004031BD">
              <w:rPr>
                <w:lang w:eastAsia="en-US"/>
              </w:rPr>
              <w:t xml:space="preserve">) un atlīdzībai 26 876 </w:t>
            </w:r>
            <w:proofErr w:type="spellStart"/>
            <w:r w:rsidRPr="004031BD">
              <w:rPr>
                <w:i/>
                <w:lang w:eastAsia="en-US"/>
              </w:rPr>
              <w:t>euro</w:t>
            </w:r>
            <w:proofErr w:type="spellEnd"/>
            <w:r w:rsidRPr="004031BD">
              <w:rPr>
                <w:i/>
                <w:lang w:eastAsia="en-US"/>
              </w:rPr>
              <w:t>,</w:t>
            </w:r>
            <w:r w:rsidRPr="004031BD">
              <w:rPr>
                <w:lang w:eastAsia="en-US"/>
              </w:rPr>
              <w:t xml:space="preserve"> kas ir nepieciešamais papildu finansējums esošo 2 sistēmas administratoru amatu vietu nodrošināšanai). </w:t>
            </w:r>
            <w:r w:rsidR="00AE0B23" w:rsidRPr="004031BD">
              <w:rPr>
                <w:lang w:eastAsia="en-US"/>
              </w:rPr>
              <w:t xml:space="preserve">Ekonomikas ministrijā </w:t>
            </w:r>
            <w:r w:rsidR="00AE0B23" w:rsidRPr="004031BD">
              <w:rPr>
                <w:lang w:eastAsia="en-US"/>
              </w:rPr>
              <w:t>līdz šim bija divas ama</w:t>
            </w:r>
            <w:r w:rsidR="003F7E3A">
              <w:rPr>
                <w:lang w:eastAsia="en-US"/>
              </w:rPr>
              <w:t>ta vietas - informācijas sistēmu</w:t>
            </w:r>
            <w:r w:rsidR="00AE0B23" w:rsidRPr="004031BD">
              <w:rPr>
                <w:lang w:eastAsia="en-US"/>
              </w:rPr>
              <w:t xml:space="preserve"> administrators (19.5 saime IIB līmenis)</w:t>
            </w:r>
            <w:r w:rsidR="000D7125" w:rsidRPr="004031BD">
              <w:rPr>
                <w:lang w:eastAsia="en-US"/>
              </w:rPr>
              <w:t xml:space="preserve">, ņemot vērā to, ka projekta ietvaros informācijas sistēmu, tajā skaitā programmatūras, pārvaldīšana, darbības nodrošināšana un lietotāju administrēšana gan lietotāju skaita ziņā, gan sarežģītības ziņā palielinās, ir plānots mainīt amata vietas līmeni, nosakot abām amata vietām (19.5 saime </w:t>
            </w:r>
            <w:r w:rsidR="00727440" w:rsidRPr="004031BD">
              <w:rPr>
                <w:lang w:eastAsia="en-US"/>
              </w:rPr>
              <w:t>IVA</w:t>
            </w:r>
            <w:r w:rsidR="000D7125" w:rsidRPr="004031BD">
              <w:rPr>
                <w:lang w:eastAsia="en-US"/>
              </w:rPr>
              <w:t xml:space="preserve"> līmenis)</w:t>
            </w:r>
            <w:r w:rsidR="001E5A71" w:rsidRPr="004031BD">
              <w:rPr>
                <w:lang w:eastAsia="en-US"/>
              </w:rPr>
              <w:t xml:space="preserve">, kur viena darbinieka atlīdzība ar mēnešalgu ir 1647 </w:t>
            </w:r>
            <w:proofErr w:type="spellStart"/>
            <w:r w:rsidR="001E5A71" w:rsidRPr="004031BD">
              <w:rPr>
                <w:i/>
                <w:lang w:eastAsia="en-US"/>
              </w:rPr>
              <w:t>euro</w:t>
            </w:r>
            <w:proofErr w:type="spellEnd"/>
            <w:r w:rsidR="001E5A71" w:rsidRPr="004031BD">
              <w:rPr>
                <w:lang w:eastAsia="en-US"/>
              </w:rPr>
              <w:t xml:space="preserve"> mēnesī</w:t>
            </w:r>
            <w:r w:rsidR="005F5F6F" w:rsidRPr="004031BD">
              <w:rPr>
                <w:lang w:eastAsia="en-US"/>
              </w:rPr>
              <w:t>.</w:t>
            </w:r>
          </w:p>
          <w:p w14:paraId="2EFDD761" w14:textId="2CBC17B2" w:rsidR="005F5F6F" w:rsidRPr="004031BD" w:rsidRDefault="005F5F6F" w:rsidP="005F5F6F">
            <w:pPr>
              <w:jc w:val="both"/>
              <w:rPr>
                <w:lang w:eastAsia="en-US"/>
              </w:rPr>
            </w:pPr>
            <w:r w:rsidRPr="004031BD">
              <w:rPr>
                <w:lang w:eastAsia="en-US"/>
              </w:rPr>
              <w:t xml:space="preserve">1 647 </w:t>
            </w:r>
            <w:proofErr w:type="spellStart"/>
            <w:r w:rsidRPr="004031BD">
              <w:rPr>
                <w:i/>
                <w:lang w:eastAsia="en-US"/>
              </w:rPr>
              <w:t>euro</w:t>
            </w:r>
            <w:proofErr w:type="spellEnd"/>
            <w:r w:rsidRPr="004031BD">
              <w:rPr>
                <w:lang w:eastAsia="en-US"/>
              </w:rPr>
              <w:t xml:space="preserve"> x 12 mēneši = 19 764 </w:t>
            </w:r>
            <w:proofErr w:type="spellStart"/>
            <w:r w:rsidRPr="004031BD">
              <w:rPr>
                <w:i/>
                <w:lang w:eastAsia="en-US"/>
              </w:rPr>
              <w:t>euro</w:t>
            </w:r>
            <w:proofErr w:type="spellEnd"/>
            <w:r w:rsidRPr="004031BD">
              <w:rPr>
                <w:lang w:eastAsia="en-US"/>
              </w:rPr>
              <w:t xml:space="preserve"> gadā.</w:t>
            </w:r>
          </w:p>
          <w:p w14:paraId="5B3C7409" w14:textId="45E35476" w:rsidR="005F5F6F" w:rsidRPr="004031BD" w:rsidRDefault="005F5F6F" w:rsidP="005F5F6F">
            <w:pPr>
              <w:jc w:val="both"/>
              <w:rPr>
                <w:lang w:eastAsia="en-US"/>
              </w:rPr>
            </w:pPr>
            <w:r w:rsidRPr="004031BD">
              <w:rPr>
                <w:lang w:eastAsia="en-US"/>
              </w:rPr>
              <w:t xml:space="preserve">10% piemaksa = 1 976,40 </w:t>
            </w:r>
            <w:proofErr w:type="spellStart"/>
            <w:r w:rsidRPr="004031BD">
              <w:rPr>
                <w:lang w:eastAsia="en-US"/>
              </w:rPr>
              <w:t>euro</w:t>
            </w:r>
            <w:proofErr w:type="spellEnd"/>
            <w:r w:rsidRPr="004031BD">
              <w:rPr>
                <w:lang w:eastAsia="en-US"/>
              </w:rPr>
              <w:t xml:space="preserve"> gadā.</w:t>
            </w:r>
          </w:p>
          <w:p w14:paraId="393C6845" w14:textId="1F28A913" w:rsidR="005F5F6F" w:rsidRPr="004031BD" w:rsidRDefault="00391076" w:rsidP="005F5F6F">
            <w:pPr>
              <w:jc w:val="both"/>
              <w:rPr>
                <w:lang w:eastAsia="en-US"/>
              </w:rPr>
            </w:pPr>
            <w:r w:rsidRPr="004031BD">
              <w:rPr>
                <w:lang w:eastAsia="en-US"/>
              </w:rPr>
              <w:lastRenderedPageBreak/>
              <w:t>A</w:t>
            </w:r>
            <w:r w:rsidR="005F5F6F" w:rsidRPr="004031BD">
              <w:rPr>
                <w:lang w:eastAsia="en-US"/>
              </w:rPr>
              <w:t xml:space="preserve">tvaļinājuma pabalsts= 823,50 </w:t>
            </w:r>
            <w:proofErr w:type="spellStart"/>
            <w:r w:rsidR="005F5F6F" w:rsidRPr="004031BD">
              <w:rPr>
                <w:i/>
                <w:lang w:eastAsia="en-US"/>
              </w:rPr>
              <w:t>euro</w:t>
            </w:r>
            <w:proofErr w:type="spellEnd"/>
            <w:r w:rsidR="005F5F6F" w:rsidRPr="004031BD">
              <w:rPr>
                <w:lang w:eastAsia="en-US"/>
              </w:rPr>
              <w:t xml:space="preserve"> gadā</w:t>
            </w:r>
          </w:p>
          <w:p w14:paraId="5D78E13A" w14:textId="322D20F4" w:rsidR="005F5F6F" w:rsidRPr="004031BD" w:rsidRDefault="0086703D" w:rsidP="005F5F6F">
            <w:pPr>
              <w:jc w:val="both"/>
              <w:rPr>
                <w:lang w:eastAsia="en-US"/>
              </w:rPr>
            </w:pPr>
            <w:r w:rsidRPr="004031BD">
              <w:rPr>
                <w:lang w:eastAsia="en-US"/>
              </w:rPr>
              <w:t>N</w:t>
            </w:r>
            <w:r w:rsidR="005F5F6F" w:rsidRPr="004031BD">
              <w:rPr>
                <w:lang w:eastAsia="en-US"/>
              </w:rPr>
              <w:t xml:space="preserve">ovērtēšanas prēmija= 1 235,25 </w:t>
            </w:r>
            <w:proofErr w:type="spellStart"/>
            <w:r w:rsidR="005F5F6F" w:rsidRPr="004031BD">
              <w:rPr>
                <w:i/>
                <w:lang w:eastAsia="en-US"/>
              </w:rPr>
              <w:t>euro</w:t>
            </w:r>
            <w:proofErr w:type="spellEnd"/>
            <w:r w:rsidR="005F5F6F" w:rsidRPr="004031BD">
              <w:rPr>
                <w:lang w:eastAsia="en-US"/>
              </w:rPr>
              <w:t xml:space="preserve"> gadā</w:t>
            </w:r>
          </w:p>
          <w:p w14:paraId="7AF0B476" w14:textId="384D89B4" w:rsidR="00C25271" w:rsidRPr="004031BD" w:rsidRDefault="005C65C1" w:rsidP="00632219">
            <w:pPr>
              <w:jc w:val="both"/>
              <w:rPr>
                <w:lang w:eastAsia="en-US"/>
              </w:rPr>
            </w:pPr>
            <w:r w:rsidRPr="004031BD">
              <w:rPr>
                <w:lang w:eastAsia="en-US"/>
              </w:rPr>
              <w:t>Kopā gadā 23 </w:t>
            </w:r>
            <w:r w:rsidR="005F5F6F" w:rsidRPr="004031BD">
              <w:rPr>
                <w:lang w:eastAsia="en-US"/>
              </w:rPr>
              <w:t>799,15 + 5 614 ,22 (darba dev</w:t>
            </w:r>
            <w:r w:rsidRPr="004031BD">
              <w:rPr>
                <w:lang w:eastAsia="en-US"/>
              </w:rPr>
              <w:t>ēja</w:t>
            </w:r>
            <w:r w:rsidR="005F5F6F" w:rsidRPr="004031BD">
              <w:rPr>
                <w:lang w:eastAsia="en-US"/>
              </w:rPr>
              <w:t xml:space="preserve"> nod</w:t>
            </w:r>
            <w:r w:rsidRPr="004031BD">
              <w:rPr>
                <w:lang w:eastAsia="en-US"/>
              </w:rPr>
              <w:t>oklis</w:t>
            </w:r>
            <w:r w:rsidR="005F5F6F" w:rsidRPr="004031BD">
              <w:rPr>
                <w:lang w:eastAsia="en-US"/>
              </w:rPr>
              <w:t xml:space="preserve"> 23,59%) + 214</w:t>
            </w:r>
            <w:r w:rsidRPr="004031BD">
              <w:rPr>
                <w:lang w:eastAsia="en-US"/>
              </w:rPr>
              <w:t xml:space="preserve"> </w:t>
            </w:r>
            <w:proofErr w:type="spellStart"/>
            <w:r w:rsidRPr="004031BD">
              <w:rPr>
                <w:i/>
                <w:lang w:eastAsia="en-US"/>
              </w:rPr>
              <w:t>euro</w:t>
            </w:r>
            <w:proofErr w:type="spellEnd"/>
            <w:r w:rsidR="005F5F6F" w:rsidRPr="004031BD">
              <w:rPr>
                <w:lang w:eastAsia="en-US"/>
              </w:rPr>
              <w:t xml:space="preserve"> (vesel</w:t>
            </w:r>
            <w:r w:rsidRPr="004031BD">
              <w:rPr>
                <w:lang w:eastAsia="en-US"/>
              </w:rPr>
              <w:t>ības apdrošināšana</w:t>
            </w:r>
            <w:r w:rsidR="005F5F6F" w:rsidRPr="004031BD">
              <w:rPr>
                <w:lang w:eastAsia="en-US"/>
              </w:rPr>
              <w:t>)</w:t>
            </w:r>
            <w:r w:rsidRPr="004031BD">
              <w:rPr>
                <w:lang w:eastAsia="en-US"/>
              </w:rPr>
              <w:t xml:space="preserve"> </w:t>
            </w:r>
            <w:r w:rsidR="005F5F6F" w:rsidRPr="004031BD">
              <w:rPr>
                <w:lang w:eastAsia="en-US"/>
              </w:rPr>
              <w:t xml:space="preserve">= 29 627 </w:t>
            </w:r>
            <w:proofErr w:type="spellStart"/>
            <w:r w:rsidR="005F5F6F" w:rsidRPr="004031BD">
              <w:rPr>
                <w:i/>
                <w:lang w:eastAsia="en-US"/>
              </w:rPr>
              <w:t>euro</w:t>
            </w:r>
            <w:proofErr w:type="spellEnd"/>
            <w:r w:rsidR="005F5F6F" w:rsidRPr="004031BD">
              <w:rPr>
                <w:lang w:eastAsia="en-US"/>
              </w:rPr>
              <w:t xml:space="preserve">, </w:t>
            </w:r>
            <w:r w:rsidR="00452EAA" w:rsidRPr="004031BD">
              <w:rPr>
                <w:lang w:eastAsia="en-US"/>
              </w:rPr>
              <w:t>savukārt 2 amata vietām</w:t>
            </w:r>
            <w:r w:rsidR="005F5F6F" w:rsidRPr="004031BD">
              <w:rPr>
                <w:lang w:eastAsia="en-US"/>
              </w:rPr>
              <w:t xml:space="preserve"> </w:t>
            </w:r>
            <w:r w:rsidR="00452EAA" w:rsidRPr="004031BD">
              <w:rPr>
                <w:lang w:eastAsia="en-US"/>
              </w:rPr>
              <w:t>ir 59 </w:t>
            </w:r>
            <w:r w:rsidR="005F5F6F" w:rsidRPr="004031BD">
              <w:rPr>
                <w:lang w:eastAsia="en-US"/>
              </w:rPr>
              <w:t xml:space="preserve">254 </w:t>
            </w:r>
            <w:proofErr w:type="spellStart"/>
            <w:r w:rsidR="005F5F6F" w:rsidRPr="004031BD">
              <w:rPr>
                <w:i/>
                <w:lang w:eastAsia="en-US"/>
              </w:rPr>
              <w:t>euro</w:t>
            </w:r>
            <w:proofErr w:type="spellEnd"/>
            <w:r w:rsidR="00452EAA" w:rsidRPr="004031BD">
              <w:rPr>
                <w:lang w:eastAsia="en-US"/>
              </w:rPr>
              <w:t xml:space="preserve"> gadā.</w:t>
            </w:r>
            <w:r w:rsidR="00C00BEF" w:rsidRPr="004031BD">
              <w:rPr>
                <w:lang w:eastAsia="en-US"/>
              </w:rPr>
              <w:t xml:space="preserve"> Rēķinot starpību starp esošajām divām amata vietām</w:t>
            </w:r>
            <w:r w:rsidR="00577B1B" w:rsidRPr="004031BD">
              <w:rPr>
                <w:lang w:eastAsia="en-US"/>
              </w:rPr>
              <w:t xml:space="preserve"> un tām paš</w:t>
            </w:r>
            <w:r w:rsidR="004D1D0F" w:rsidRPr="004031BD">
              <w:rPr>
                <w:lang w:eastAsia="en-US"/>
              </w:rPr>
              <w:t>ām</w:t>
            </w:r>
            <w:r w:rsidR="00577B1B" w:rsidRPr="004031BD">
              <w:rPr>
                <w:lang w:eastAsia="en-US"/>
              </w:rPr>
              <w:t xml:space="preserve"> amata vietām ar izmainīto līmeni</w:t>
            </w:r>
            <w:r w:rsidR="0086703D" w:rsidRPr="004031BD">
              <w:rPr>
                <w:lang w:eastAsia="en-US"/>
              </w:rPr>
              <w:t>:</w:t>
            </w:r>
            <w:r w:rsidR="00C00BEF" w:rsidRPr="004031BD">
              <w:rPr>
                <w:lang w:eastAsia="en-US"/>
              </w:rPr>
              <w:t xml:space="preserve"> 59 254 – 32 378 = 26 876 </w:t>
            </w:r>
            <w:proofErr w:type="spellStart"/>
            <w:r w:rsidR="00C00BEF" w:rsidRPr="004031BD">
              <w:rPr>
                <w:i/>
                <w:lang w:eastAsia="en-US"/>
              </w:rPr>
              <w:t>euro</w:t>
            </w:r>
            <w:proofErr w:type="spellEnd"/>
            <w:r w:rsidR="00C00BEF" w:rsidRPr="004031BD">
              <w:rPr>
                <w:lang w:eastAsia="en-US"/>
              </w:rPr>
              <w:t xml:space="preserve"> gadā</w:t>
            </w:r>
            <w:r w:rsidR="003D66F3" w:rsidRPr="004031BD">
              <w:rPr>
                <w:lang w:eastAsia="en-US"/>
              </w:rPr>
              <w:t>, kas ir nepieciešamais papildu finansējums.</w:t>
            </w:r>
            <w:r w:rsidR="00632219" w:rsidRPr="004031BD">
              <w:rPr>
                <w:lang w:eastAsia="en-US"/>
              </w:rPr>
              <w:t xml:space="preserve"> </w:t>
            </w:r>
            <w:r w:rsidR="00C25271" w:rsidRPr="004031BD">
              <w:rPr>
                <w:lang w:eastAsia="en-US"/>
              </w:rPr>
              <w:t>Jaunas amata vietas nav plānots veidot.</w:t>
            </w:r>
          </w:p>
        </w:tc>
      </w:tr>
      <w:tr w:rsidR="00C25271" w:rsidRPr="004031BD" w14:paraId="06CF543D" w14:textId="77777777" w:rsidTr="008C4FBD">
        <w:tc>
          <w:tcPr>
            <w:tcW w:w="2619" w:type="dxa"/>
            <w:gridSpan w:val="3"/>
            <w:hideMark/>
          </w:tcPr>
          <w:p w14:paraId="077E546A" w14:textId="77777777" w:rsidR="00C25271" w:rsidRPr="004031BD" w:rsidRDefault="00C25271" w:rsidP="009A5CA1">
            <w:pPr>
              <w:rPr>
                <w:lang w:eastAsia="en-US"/>
              </w:rPr>
            </w:pPr>
            <w:r w:rsidRPr="004031BD">
              <w:t>6.1. detalizēts ieņēmumu aprēķins</w:t>
            </w:r>
          </w:p>
        </w:tc>
        <w:tc>
          <w:tcPr>
            <w:tcW w:w="6590" w:type="dxa"/>
            <w:gridSpan w:val="6"/>
            <w:vMerge/>
            <w:hideMark/>
          </w:tcPr>
          <w:p w14:paraId="147926B9" w14:textId="77777777" w:rsidR="00C25271" w:rsidRPr="004031BD" w:rsidRDefault="00C25271" w:rsidP="009A5CA1">
            <w:pPr>
              <w:rPr>
                <w:lang w:eastAsia="en-US"/>
              </w:rPr>
            </w:pPr>
          </w:p>
        </w:tc>
      </w:tr>
      <w:tr w:rsidR="00C25271" w:rsidRPr="004031BD" w14:paraId="54F5EE29" w14:textId="77777777" w:rsidTr="008C4FBD">
        <w:tc>
          <w:tcPr>
            <w:tcW w:w="2619" w:type="dxa"/>
            <w:gridSpan w:val="3"/>
            <w:hideMark/>
          </w:tcPr>
          <w:p w14:paraId="5ADF5125" w14:textId="77777777" w:rsidR="00C25271" w:rsidRPr="004031BD" w:rsidRDefault="00C25271" w:rsidP="009A5CA1">
            <w:pPr>
              <w:rPr>
                <w:lang w:eastAsia="en-US"/>
              </w:rPr>
            </w:pPr>
            <w:r w:rsidRPr="004031BD">
              <w:t>6.2. detalizēts izdevumu aprēķins</w:t>
            </w:r>
          </w:p>
        </w:tc>
        <w:tc>
          <w:tcPr>
            <w:tcW w:w="6590" w:type="dxa"/>
            <w:gridSpan w:val="6"/>
            <w:vMerge/>
            <w:hideMark/>
          </w:tcPr>
          <w:p w14:paraId="4438DFFE" w14:textId="77777777" w:rsidR="00C25271" w:rsidRPr="004031BD" w:rsidRDefault="00C25271" w:rsidP="009A5CA1">
            <w:pPr>
              <w:rPr>
                <w:lang w:eastAsia="en-US"/>
              </w:rPr>
            </w:pPr>
          </w:p>
        </w:tc>
      </w:tr>
      <w:tr w:rsidR="00C25271" w:rsidRPr="004031BD" w14:paraId="09BDD770" w14:textId="77777777" w:rsidTr="008C4FBD">
        <w:tc>
          <w:tcPr>
            <w:tcW w:w="2619" w:type="dxa"/>
            <w:gridSpan w:val="3"/>
            <w:hideMark/>
          </w:tcPr>
          <w:p w14:paraId="79BE8165" w14:textId="77777777" w:rsidR="00C25271" w:rsidRPr="004031BD" w:rsidRDefault="00C25271" w:rsidP="009A5CA1">
            <w:pPr>
              <w:rPr>
                <w:lang w:eastAsia="en-US"/>
              </w:rPr>
            </w:pPr>
            <w:r w:rsidRPr="004031BD">
              <w:t>7. Cita informācija</w:t>
            </w:r>
          </w:p>
        </w:tc>
        <w:tc>
          <w:tcPr>
            <w:tcW w:w="6590" w:type="dxa"/>
            <w:gridSpan w:val="6"/>
            <w:hideMark/>
          </w:tcPr>
          <w:p w14:paraId="1C76EC1D" w14:textId="0459A513" w:rsidR="00C25271" w:rsidRPr="004031BD" w:rsidRDefault="00C25271" w:rsidP="004E4D07">
            <w:pPr>
              <w:ind w:firstLine="567"/>
              <w:jc w:val="both"/>
              <w:rPr>
                <w:color w:val="000000"/>
              </w:rPr>
            </w:pPr>
            <w:r w:rsidRPr="004031BD">
              <w:rPr>
                <w:lang w:eastAsia="en-US"/>
              </w:rPr>
              <w:t>Projekts tiks finansēts no Eiropas reģionālās attīstības fonda (turpmāk - ERAF) līdzekļiem un tā kopējais finansējuma apjoms ir 2 500</w:t>
            </w:r>
            <w:r w:rsidR="007670E8" w:rsidRPr="004031BD">
              <w:rPr>
                <w:lang w:eastAsia="en-US"/>
              </w:rPr>
              <w:t> </w:t>
            </w:r>
            <w:r w:rsidRPr="004031BD">
              <w:rPr>
                <w:lang w:eastAsia="en-US"/>
              </w:rPr>
              <w:t>000</w:t>
            </w:r>
            <w:r w:rsidR="007670E8" w:rsidRPr="004031BD">
              <w:rPr>
                <w:lang w:eastAsia="en-US"/>
              </w:rPr>
              <w:t xml:space="preserve"> </w:t>
            </w:r>
            <w:proofErr w:type="spellStart"/>
            <w:r w:rsidRPr="004031BD">
              <w:rPr>
                <w:i/>
                <w:lang w:eastAsia="en-US"/>
              </w:rPr>
              <w:t>euro</w:t>
            </w:r>
            <w:proofErr w:type="spellEnd"/>
            <w:r w:rsidR="009E22C2" w:rsidRPr="004031BD">
              <w:rPr>
                <w:i/>
                <w:lang w:eastAsia="en-US"/>
              </w:rPr>
              <w:t xml:space="preserve"> </w:t>
            </w:r>
            <w:r w:rsidR="009E22C2" w:rsidRPr="004031BD">
              <w:rPr>
                <w:lang w:eastAsia="en-US"/>
              </w:rPr>
              <w:t xml:space="preserve">(t.sk. ERAF līdzfinansējums  </w:t>
            </w:r>
            <w:r w:rsidR="00666314" w:rsidRPr="004031BD">
              <w:rPr>
                <w:lang w:eastAsia="en-US"/>
              </w:rPr>
              <w:t xml:space="preserve">2 125 000 </w:t>
            </w:r>
            <w:proofErr w:type="spellStart"/>
            <w:r w:rsidR="009E22C2" w:rsidRPr="004031BD">
              <w:rPr>
                <w:i/>
                <w:lang w:eastAsia="en-US"/>
              </w:rPr>
              <w:t>euro</w:t>
            </w:r>
            <w:proofErr w:type="spellEnd"/>
            <w:r w:rsidR="009E22C2" w:rsidRPr="004031BD">
              <w:rPr>
                <w:lang w:eastAsia="en-US"/>
              </w:rPr>
              <w:t xml:space="preserve"> un valsts budžeta finansējums – </w:t>
            </w:r>
            <w:r w:rsidR="00CD229C" w:rsidRPr="004031BD">
              <w:rPr>
                <w:lang w:eastAsia="en-US"/>
              </w:rPr>
              <w:t xml:space="preserve">375 000 </w:t>
            </w:r>
            <w:proofErr w:type="spellStart"/>
            <w:r w:rsidR="009E22C2" w:rsidRPr="004031BD">
              <w:rPr>
                <w:i/>
                <w:lang w:eastAsia="en-US"/>
              </w:rPr>
              <w:t>euro</w:t>
            </w:r>
            <w:proofErr w:type="spellEnd"/>
            <w:r w:rsidR="009E22C2" w:rsidRPr="004031BD">
              <w:rPr>
                <w:lang w:eastAsia="en-US"/>
              </w:rPr>
              <w:t>)</w:t>
            </w:r>
            <w:r w:rsidRPr="004031BD">
              <w:rPr>
                <w:lang w:eastAsia="en-US"/>
              </w:rPr>
              <w:t>, no tiem 2017.</w:t>
            </w:r>
            <w:r w:rsidR="005B387C" w:rsidRPr="004031BD">
              <w:rPr>
                <w:lang w:eastAsia="en-US"/>
              </w:rPr>
              <w:t> </w:t>
            </w:r>
            <w:r w:rsidRPr="004031BD">
              <w:rPr>
                <w:lang w:eastAsia="en-US"/>
              </w:rPr>
              <w:t>gadā – 833</w:t>
            </w:r>
            <w:r w:rsidR="001307D4" w:rsidRPr="004031BD">
              <w:rPr>
                <w:lang w:eastAsia="en-US"/>
              </w:rPr>
              <w:t> </w:t>
            </w:r>
            <w:r w:rsidRPr="004031BD">
              <w:rPr>
                <w:lang w:eastAsia="en-US"/>
              </w:rPr>
              <w:t>333</w:t>
            </w:r>
            <w:r w:rsidR="001307D4" w:rsidRPr="004031BD">
              <w:rPr>
                <w:lang w:eastAsia="en-US"/>
              </w:rPr>
              <w:t xml:space="preserve"> </w:t>
            </w:r>
            <w:proofErr w:type="spellStart"/>
            <w:r w:rsidRPr="004031BD">
              <w:rPr>
                <w:i/>
                <w:lang w:eastAsia="en-US"/>
              </w:rPr>
              <w:t>euro</w:t>
            </w:r>
            <w:proofErr w:type="spellEnd"/>
            <w:r w:rsidRPr="004031BD">
              <w:rPr>
                <w:lang w:eastAsia="en-US"/>
              </w:rPr>
              <w:t>, 2018.</w:t>
            </w:r>
            <w:r w:rsidR="005B387C" w:rsidRPr="004031BD">
              <w:rPr>
                <w:lang w:eastAsia="en-US"/>
              </w:rPr>
              <w:t> </w:t>
            </w:r>
            <w:r w:rsidRPr="004031BD">
              <w:rPr>
                <w:lang w:eastAsia="en-US"/>
              </w:rPr>
              <w:t xml:space="preserve">gadā – </w:t>
            </w:r>
            <w:r w:rsidRPr="004031BD">
              <w:rPr>
                <w:color w:val="000000"/>
              </w:rPr>
              <w:t xml:space="preserve">833 333 </w:t>
            </w:r>
            <w:proofErr w:type="spellStart"/>
            <w:r w:rsidRPr="004031BD">
              <w:rPr>
                <w:i/>
                <w:color w:val="000000"/>
              </w:rPr>
              <w:t>euro</w:t>
            </w:r>
            <w:proofErr w:type="spellEnd"/>
            <w:r w:rsidRPr="004031BD">
              <w:rPr>
                <w:color w:val="000000"/>
              </w:rPr>
              <w:t>, 2019.</w:t>
            </w:r>
            <w:r w:rsidR="005B387C" w:rsidRPr="004031BD">
              <w:rPr>
                <w:color w:val="000000"/>
              </w:rPr>
              <w:t> </w:t>
            </w:r>
            <w:r w:rsidRPr="004031BD">
              <w:rPr>
                <w:color w:val="000000"/>
              </w:rPr>
              <w:t>gadā -  833</w:t>
            </w:r>
            <w:r w:rsidR="007670E8" w:rsidRPr="004031BD">
              <w:rPr>
                <w:color w:val="000000"/>
              </w:rPr>
              <w:t> </w:t>
            </w:r>
            <w:r w:rsidRPr="004031BD">
              <w:rPr>
                <w:color w:val="000000"/>
              </w:rPr>
              <w:t>334</w:t>
            </w:r>
            <w:r w:rsidR="007670E8" w:rsidRPr="004031BD">
              <w:rPr>
                <w:color w:val="000000"/>
              </w:rPr>
              <w:t xml:space="preserve"> </w:t>
            </w:r>
            <w:proofErr w:type="spellStart"/>
            <w:r w:rsidRPr="004031BD">
              <w:rPr>
                <w:i/>
                <w:color w:val="000000"/>
              </w:rPr>
              <w:t>euro</w:t>
            </w:r>
            <w:proofErr w:type="spellEnd"/>
            <w:r w:rsidRPr="004031BD">
              <w:rPr>
                <w:color w:val="000000"/>
              </w:rPr>
              <w:t>.</w:t>
            </w:r>
          </w:p>
          <w:p w14:paraId="194CE815" w14:textId="77777777" w:rsidR="00C25271" w:rsidRPr="004031BD" w:rsidRDefault="00C25271" w:rsidP="004E4D07">
            <w:pPr>
              <w:ind w:firstLine="567"/>
              <w:jc w:val="both"/>
              <w:rPr>
                <w:lang w:eastAsia="en-US"/>
              </w:rPr>
            </w:pPr>
            <w:r w:rsidRPr="004031BD">
              <w:rPr>
                <w:lang w:eastAsia="en-US"/>
              </w:rPr>
              <w:t>Projekta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6703569" w14:textId="77777777" w:rsidR="00C25271" w:rsidRPr="004031BD" w:rsidRDefault="00C25271" w:rsidP="004E4D07">
            <w:pPr>
              <w:ind w:firstLine="567"/>
              <w:jc w:val="both"/>
              <w:rPr>
                <w:lang w:eastAsia="en-US"/>
              </w:rPr>
            </w:pPr>
            <w:r w:rsidRPr="004031BD">
              <w:t>Projekta rezultātu uzturēšanai papildus  nepieciešamais finansējums tiks pieprasīts  normatīvajos aktos noteiktajā kārtībā.</w:t>
            </w:r>
          </w:p>
        </w:tc>
      </w:tr>
    </w:tbl>
    <w:p w14:paraId="52FE9271" w14:textId="77777777" w:rsidR="00C25271" w:rsidRPr="004031BD" w:rsidRDefault="00C25271" w:rsidP="0014572D">
      <w:pPr>
        <w:ind w:left="-426"/>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9"/>
        <w:gridCol w:w="2285"/>
        <w:gridCol w:w="6520"/>
      </w:tblGrid>
      <w:tr w:rsidR="00C25271" w:rsidRPr="004031BD" w14:paraId="6C552FBC" w14:textId="77777777" w:rsidTr="008C4FBD">
        <w:tc>
          <w:tcPr>
            <w:tcW w:w="9214" w:type="dxa"/>
            <w:gridSpan w:val="3"/>
            <w:tcBorders>
              <w:top w:val="single" w:sz="4" w:space="0" w:color="auto"/>
            </w:tcBorders>
            <w:tcMar>
              <w:top w:w="57" w:type="dxa"/>
              <w:left w:w="57" w:type="dxa"/>
              <w:bottom w:w="57" w:type="dxa"/>
              <w:right w:w="57" w:type="dxa"/>
            </w:tcMar>
          </w:tcPr>
          <w:p w14:paraId="0B44E015" w14:textId="77777777" w:rsidR="00C25271" w:rsidRPr="004031BD" w:rsidRDefault="00C25271" w:rsidP="009A5CA1">
            <w:pPr>
              <w:pStyle w:val="naisnod"/>
              <w:spacing w:before="0" w:after="0"/>
              <w:ind w:left="57" w:right="57"/>
            </w:pPr>
            <w:r w:rsidRPr="004031BD">
              <w:t>VII. Tiesību akta projekta izpildes nodrošināšana un tās ietekme uz institūcijām</w:t>
            </w:r>
          </w:p>
        </w:tc>
      </w:tr>
      <w:tr w:rsidR="00C25271" w:rsidRPr="004031BD" w14:paraId="467F0B82" w14:textId="77777777" w:rsidTr="003274A3">
        <w:trPr>
          <w:trHeight w:val="427"/>
        </w:trPr>
        <w:tc>
          <w:tcPr>
            <w:tcW w:w="409" w:type="dxa"/>
            <w:tcMar>
              <w:top w:w="57" w:type="dxa"/>
              <w:left w:w="57" w:type="dxa"/>
              <w:bottom w:w="57" w:type="dxa"/>
              <w:right w:w="57" w:type="dxa"/>
            </w:tcMar>
          </w:tcPr>
          <w:p w14:paraId="1B1542A6" w14:textId="77777777" w:rsidR="00C25271" w:rsidRPr="004031BD" w:rsidRDefault="00C25271" w:rsidP="009A5CA1">
            <w:pPr>
              <w:pStyle w:val="naisnod"/>
              <w:spacing w:before="0" w:after="0"/>
              <w:ind w:left="57" w:right="57"/>
              <w:jc w:val="left"/>
              <w:rPr>
                <w:b w:val="0"/>
              </w:rPr>
            </w:pPr>
            <w:r w:rsidRPr="004031BD">
              <w:rPr>
                <w:b w:val="0"/>
              </w:rPr>
              <w:t>1.</w:t>
            </w:r>
          </w:p>
        </w:tc>
        <w:tc>
          <w:tcPr>
            <w:tcW w:w="2285" w:type="dxa"/>
            <w:tcMar>
              <w:top w:w="57" w:type="dxa"/>
              <w:left w:w="57" w:type="dxa"/>
              <w:bottom w:w="57" w:type="dxa"/>
              <w:right w:w="57" w:type="dxa"/>
            </w:tcMar>
          </w:tcPr>
          <w:p w14:paraId="19AA9DD1" w14:textId="77777777" w:rsidR="00C25271" w:rsidRPr="004031BD" w:rsidRDefault="00C25271" w:rsidP="009A5CA1">
            <w:pPr>
              <w:pStyle w:val="naisf"/>
              <w:spacing w:before="0" w:after="0"/>
              <w:ind w:left="57" w:right="57" w:firstLine="0"/>
              <w:jc w:val="left"/>
            </w:pPr>
            <w:r w:rsidRPr="004031BD">
              <w:t xml:space="preserve">Projekta izpildē iesaistītās institūcijas </w:t>
            </w:r>
          </w:p>
        </w:tc>
        <w:tc>
          <w:tcPr>
            <w:tcW w:w="6520" w:type="dxa"/>
            <w:tcMar>
              <w:top w:w="57" w:type="dxa"/>
              <w:left w:w="57" w:type="dxa"/>
              <w:bottom w:w="57" w:type="dxa"/>
              <w:right w:w="57" w:type="dxa"/>
            </w:tcMar>
          </w:tcPr>
          <w:p w14:paraId="417527A7" w14:textId="04C50495" w:rsidR="00C25271" w:rsidRPr="004031BD" w:rsidRDefault="00C25271" w:rsidP="004E4D07">
            <w:pPr>
              <w:pStyle w:val="naiskr"/>
              <w:spacing w:before="0" w:after="0"/>
              <w:ind w:firstLine="567"/>
              <w:jc w:val="both"/>
              <w:rPr>
                <w:color w:val="FF0000"/>
              </w:rPr>
            </w:pPr>
            <w:r w:rsidRPr="004031BD">
              <w:rPr>
                <w:color w:val="000000" w:themeColor="text1"/>
              </w:rPr>
              <w:t xml:space="preserve">Ekonomikas ministrija, Būvniecības </w:t>
            </w:r>
            <w:r w:rsidRPr="004031BD">
              <w:t xml:space="preserve">valsts kontroles birojs, </w:t>
            </w:r>
            <w:r w:rsidR="00895344" w:rsidRPr="004031BD">
              <w:t>Konkurences padome</w:t>
            </w:r>
            <w:r w:rsidRPr="004031BD">
              <w:t xml:space="preserve">, Patērētāju tiesību aizsardzības centrs, </w:t>
            </w:r>
            <w:r w:rsidR="00A3037F" w:rsidRPr="004031BD">
              <w:t>Latvijas Investīciju un attīstības aģentūra</w:t>
            </w:r>
            <w:r w:rsidRPr="004031BD">
              <w:t xml:space="preserve"> un </w:t>
            </w:r>
            <w:r w:rsidR="00FC064B" w:rsidRPr="004031BD">
              <w:t>valsts akciju sabiedrībai “Latvijas Valsts radio un televīzijas centrs”</w:t>
            </w:r>
            <w:r w:rsidRPr="004031BD">
              <w:t>.</w:t>
            </w:r>
          </w:p>
        </w:tc>
      </w:tr>
      <w:tr w:rsidR="00C25271" w:rsidRPr="004031BD" w14:paraId="2CEE01D5" w14:textId="77777777" w:rsidTr="003274A3">
        <w:trPr>
          <w:trHeight w:val="463"/>
        </w:trPr>
        <w:tc>
          <w:tcPr>
            <w:tcW w:w="409" w:type="dxa"/>
            <w:tcMar>
              <w:top w:w="57" w:type="dxa"/>
              <w:left w:w="57" w:type="dxa"/>
              <w:bottom w:w="57" w:type="dxa"/>
              <w:right w:w="57" w:type="dxa"/>
            </w:tcMar>
          </w:tcPr>
          <w:p w14:paraId="12E94BE7" w14:textId="77777777" w:rsidR="00C25271" w:rsidRPr="004031BD" w:rsidRDefault="00C25271" w:rsidP="009A5CA1">
            <w:pPr>
              <w:pStyle w:val="naisnod"/>
              <w:spacing w:before="0" w:after="0"/>
              <w:ind w:left="57" w:right="57"/>
              <w:jc w:val="left"/>
              <w:rPr>
                <w:b w:val="0"/>
              </w:rPr>
            </w:pPr>
            <w:r w:rsidRPr="004031BD">
              <w:rPr>
                <w:b w:val="0"/>
              </w:rPr>
              <w:t>2.</w:t>
            </w:r>
          </w:p>
        </w:tc>
        <w:tc>
          <w:tcPr>
            <w:tcW w:w="2285" w:type="dxa"/>
            <w:tcMar>
              <w:top w:w="57" w:type="dxa"/>
              <w:left w:w="57" w:type="dxa"/>
              <w:bottom w:w="57" w:type="dxa"/>
              <w:right w:w="57" w:type="dxa"/>
            </w:tcMar>
          </w:tcPr>
          <w:p w14:paraId="1B118FF2" w14:textId="77777777" w:rsidR="00C25271" w:rsidRPr="004031BD" w:rsidRDefault="00C25271" w:rsidP="009A5CA1">
            <w:pPr>
              <w:pStyle w:val="naisf"/>
              <w:spacing w:before="0" w:after="0"/>
              <w:ind w:left="57" w:right="57" w:firstLine="0"/>
              <w:jc w:val="left"/>
            </w:pPr>
            <w:r w:rsidRPr="004031BD">
              <w:t>Projekta izpildes ietekme uz pārvaldes funkcijām un institucionālo struktūru</w:t>
            </w:r>
          </w:p>
        </w:tc>
        <w:tc>
          <w:tcPr>
            <w:tcW w:w="6520" w:type="dxa"/>
            <w:tcMar>
              <w:top w:w="57" w:type="dxa"/>
              <w:left w:w="57" w:type="dxa"/>
              <w:bottom w:w="57" w:type="dxa"/>
              <w:right w:w="57" w:type="dxa"/>
            </w:tcMar>
          </w:tcPr>
          <w:p w14:paraId="0BCC0525" w14:textId="77777777" w:rsidR="00C25271" w:rsidRPr="004031BD" w:rsidRDefault="00C25271" w:rsidP="009A5CA1">
            <w:pPr>
              <w:pStyle w:val="naisnod"/>
              <w:spacing w:before="0" w:after="0"/>
              <w:ind w:right="57"/>
              <w:jc w:val="both"/>
              <w:rPr>
                <w:b w:val="0"/>
              </w:rPr>
            </w:pPr>
            <w:r w:rsidRPr="004031BD">
              <w:rPr>
                <w:b w:val="0"/>
              </w:rPr>
              <w:t xml:space="preserve">Nav attiecināms </w:t>
            </w:r>
          </w:p>
        </w:tc>
      </w:tr>
      <w:tr w:rsidR="00C25271" w:rsidRPr="004031BD" w14:paraId="33D8B12F" w14:textId="77777777" w:rsidTr="003274A3">
        <w:trPr>
          <w:trHeight w:val="476"/>
        </w:trPr>
        <w:tc>
          <w:tcPr>
            <w:tcW w:w="409" w:type="dxa"/>
            <w:tcMar>
              <w:top w:w="57" w:type="dxa"/>
              <w:left w:w="57" w:type="dxa"/>
              <w:bottom w:w="57" w:type="dxa"/>
              <w:right w:w="57" w:type="dxa"/>
            </w:tcMar>
          </w:tcPr>
          <w:p w14:paraId="41C9145B" w14:textId="77777777" w:rsidR="00C25271" w:rsidRPr="004031BD" w:rsidRDefault="00C25271" w:rsidP="009A5CA1">
            <w:pPr>
              <w:pStyle w:val="naiskr"/>
              <w:spacing w:before="0" w:after="0"/>
              <w:ind w:left="57" w:right="57"/>
            </w:pPr>
            <w:r w:rsidRPr="004031BD">
              <w:t>3.</w:t>
            </w:r>
          </w:p>
        </w:tc>
        <w:tc>
          <w:tcPr>
            <w:tcW w:w="2285" w:type="dxa"/>
            <w:tcMar>
              <w:top w:w="57" w:type="dxa"/>
              <w:left w:w="57" w:type="dxa"/>
              <w:bottom w:w="57" w:type="dxa"/>
              <w:right w:w="57" w:type="dxa"/>
            </w:tcMar>
          </w:tcPr>
          <w:p w14:paraId="5A1EC7F1" w14:textId="77777777" w:rsidR="00C25271" w:rsidRPr="004031BD" w:rsidRDefault="00C25271" w:rsidP="009A5CA1">
            <w:pPr>
              <w:pStyle w:val="naiskr"/>
              <w:spacing w:before="0" w:after="0"/>
              <w:ind w:left="57" w:right="57"/>
            </w:pPr>
            <w:r w:rsidRPr="004031BD">
              <w:t>Cita informācija</w:t>
            </w:r>
          </w:p>
        </w:tc>
        <w:tc>
          <w:tcPr>
            <w:tcW w:w="6520" w:type="dxa"/>
            <w:tcMar>
              <w:top w:w="57" w:type="dxa"/>
              <w:left w:w="57" w:type="dxa"/>
              <w:bottom w:w="57" w:type="dxa"/>
              <w:right w:w="57" w:type="dxa"/>
            </w:tcMar>
          </w:tcPr>
          <w:p w14:paraId="69E93D11" w14:textId="77777777" w:rsidR="00C25271" w:rsidRPr="004031BD" w:rsidRDefault="00C25271" w:rsidP="009A5CA1">
            <w:pPr>
              <w:pStyle w:val="naiskr"/>
              <w:spacing w:before="0" w:after="0"/>
              <w:ind w:left="57" w:right="57"/>
            </w:pPr>
            <w:r w:rsidRPr="004031BD">
              <w:t>Nav</w:t>
            </w:r>
          </w:p>
        </w:tc>
      </w:tr>
    </w:tbl>
    <w:p w14:paraId="21DB6929" w14:textId="77777777" w:rsidR="0014572D" w:rsidRPr="004031BD" w:rsidRDefault="0014572D" w:rsidP="003B6512">
      <w:pPr>
        <w:jc w:val="both"/>
      </w:pPr>
      <w:r w:rsidRPr="004031BD">
        <w:t>Anotācijas IV, V un VI sadaļa – projekts šīs jomas neskar.</w:t>
      </w:r>
    </w:p>
    <w:p w14:paraId="795E0323" w14:textId="6C5EA089" w:rsidR="00FF404C" w:rsidRDefault="00FF404C" w:rsidP="006772DB">
      <w:pPr>
        <w:pStyle w:val="Signature"/>
        <w:widowControl/>
        <w:spacing w:before="0"/>
        <w:ind w:firstLine="0"/>
        <w:rPr>
          <w:sz w:val="24"/>
          <w:szCs w:val="24"/>
        </w:rPr>
      </w:pPr>
    </w:p>
    <w:p w14:paraId="05419638" w14:textId="77777777" w:rsidR="008C4FBD" w:rsidRPr="008C4FBD" w:rsidRDefault="008C4FBD" w:rsidP="008C4FBD">
      <w:pPr>
        <w:pStyle w:val="EnvelopeReturn"/>
        <w:rPr>
          <w:lang w:eastAsia="en-US"/>
        </w:rPr>
      </w:pPr>
    </w:p>
    <w:p w14:paraId="0A737F86" w14:textId="77777777" w:rsidR="006772DB" w:rsidRPr="004031BD" w:rsidRDefault="006772DB" w:rsidP="006772DB">
      <w:pPr>
        <w:pStyle w:val="Signature"/>
        <w:widowControl/>
        <w:spacing w:before="0"/>
        <w:ind w:firstLine="0"/>
        <w:rPr>
          <w:sz w:val="28"/>
          <w:szCs w:val="28"/>
        </w:rPr>
      </w:pPr>
      <w:r w:rsidRPr="004031BD">
        <w:rPr>
          <w:sz w:val="28"/>
          <w:szCs w:val="28"/>
        </w:rPr>
        <w:t>Ministru prezidenta biedrs,</w:t>
      </w:r>
    </w:p>
    <w:p w14:paraId="0BEFE158" w14:textId="77777777" w:rsidR="006772DB" w:rsidRPr="004031BD" w:rsidRDefault="006772DB" w:rsidP="006772DB">
      <w:pPr>
        <w:pStyle w:val="Signature"/>
        <w:widowControl/>
        <w:spacing w:before="0"/>
        <w:ind w:firstLine="0"/>
        <w:rPr>
          <w:sz w:val="28"/>
          <w:szCs w:val="28"/>
        </w:rPr>
      </w:pPr>
      <w:r w:rsidRPr="004031BD">
        <w:rPr>
          <w:sz w:val="28"/>
          <w:szCs w:val="28"/>
        </w:rPr>
        <w:t>ekonomikas ministrs</w:t>
      </w:r>
      <w:r w:rsidRPr="004031BD">
        <w:rPr>
          <w:sz w:val="28"/>
          <w:szCs w:val="28"/>
        </w:rPr>
        <w:tab/>
        <w:t>A. Ašeradens</w:t>
      </w:r>
    </w:p>
    <w:p w14:paraId="0CA4A026" w14:textId="77777777" w:rsidR="00AA14BE" w:rsidRPr="004031BD" w:rsidRDefault="0053129D">
      <w:pPr>
        <w:rPr>
          <w:sz w:val="28"/>
          <w:szCs w:val="28"/>
        </w:rPr>
      </w:pPr>
    </w:p>
    <w:p w14:paraId="22A0879B" w14:textId="77777777" w:rsidR="006772DB" w:rsidRPr="004031BD" w:rsidRDefault="006772DB">
      <w:pPr>
        <w:rPr>
          <w:sz w:val="28"/>
          <w:szCs w:val="28"/>
        </w:rPr>
      </w:pPr>
    </w:p>
    <w:p w14:paraId="037F08D3" w14:textId="762E3B8B" w:rsidR="006772DB" w:rsidRPr="004031BD" w:rsidRDefault="006772DB" w:rsidP="006772DB">
      <w:pPr>
        <w:rPr>
          <w:sz w:val="28"/>
          <w:szCs w:val="28"/>
        </w:rPr>
      </w:pPr>
      <w:r w:rsidRPr="004031BD">
        <w:rPr>
          <w:sz w:val="28"/>
          <w:szCs w:val="28"/>
        </w:rPr>
        <w:t>Vīza:</w:t>
      </w:r>
    </w:p>
    <w:p w14:paraId="3B822D04" w14:textId="54F6ABCC" w:rsidR="006772DB" w:rsidRPr="004031BD" w:rsidRDefault="008C4FBD" w:rsidP="006415B7">
      <w:pPr>
        <w:tabs>
          <w:tab w:val="left" w:pos="6804"/>
        </w:tabs>
        <w:rPr>
          <w:sz w:val="28"/>
          <w:szCs w:val="28"/>
        </w:rPr>
      </w:pPr>
      <w:r>
        <w:rPr>
          <w:sz w:val="28"/>
          <w:szCs w:val="28"/>
        </w:rPr>
        <w:t>v</w:t>
      </w:r>
      <w:r w:rsidR="006772DB" w:rsidRPr="004031BD">
        <w:rPr>
          <w:sz w:val="28"/>
          <w:szCs w:val="28"/>
        </w:rPr>
        <w:t>alsts sekretārs</w:t>
      </w:r>
      <w:r w:rsidR="00FD04DB" w:rsidRPr="004031BD">
        <w:rPr>
          <w:sz w:val="28"/>
          <w:szCs w:val="28"/>
        </w:rPr>
        <w:tab/>
      </w:r>
      <w:r w:rsidR="006772DB" w:rsidRPr="004031BD">
        <w:rPr>
          <w:sz w:val="28"/>
          <w:szCs w:val="28"/>
        </w:rPr>
        <w:t>J.</w:t>
      </w:r>
      <w:r w:rsidR="00FF404C" w:rsidRPr="004031BD">
        <w:rPr>
          <w:sz w:val="28"/>
          <w:szCs w:val="28"/>
        </w:rPr>
        <w:t> </w:t>
      </w:r>
      <w:r w:rsidR="006772DB" w:rsidRPr="004031BD">
        <w:rPr>
          <w:sz w:val="28"/>
          <w:szCs w:val="28"/>
        </w:rPr>
        <w:t>Stinka</w:t>
      </w:r>
    </w:p>
    <w:p w14:paraId="0C05CC4C" w14:textId="77777777" w:rsidR="006772DB" w:rsidRPr="004031BD" w:rsidRDefault="006772DB" w:rsidP="006772DB">
      <w:pPr>
        <w:rPr>
          <w:sz w:val="28"/>
          <w:szCs w:val="28"/>
        </w:rPr>
      </w:pPr>
    </w:p>
    <w:p w14:paraId="6A928F2B" w14:textId="6FC7CA8A" w:rsidR="006415B7" w:rsidRDefault="0053129D" w:rsidP="006E29C4">
      <w:pPr>
        <w:ind w:right="3969"/>
        <w:jc w:val="both"/>
        <w:rPr>
          <w:iCs/>
          <w:sz w:val="20"/>
          <w:szCs w:val="20"/>
        </w:rPr>
      </w:pPr>
      <w:r>
        <w:rPr>
          <w:iCs/>
          <w:sz w:val="20"/>
          <w:szCs w:val="20"/>
        </w:rPr>
        <w:t>07.08.2017. 20:39</w:t>
      </w:r>
      <w:bookmarkStart w:id="1" w:name="_GoBack"/>
      <w:bookmarkEnd w:id="1"/>
    </w:p>
    <w:p w14:paraId="26BB2A84" w14:textId="5DCF08D4" w:rsidR="008E5F78" w:rsidRPr="00314C35" w:rsidRDefault="008E5F78" w:rsidP="006E29C4">
      <w:pPr>
        <w:ind w:right="3969"/>
        <w:jc w:val="both"/>
        <w:rPr>
          <w:sz w:val="20"/>
          <w:szCs w:val="20"/>
        </w:rPr>
      </w:pPr>
      <w:r w:rsidRPr="00314C35">
        <w:rPr>
          <w:iCs/>
          <w:sz w:val="20"/>
          <w:szCs w:val="20"/>
        </w:rPr>
        <w:t>Jankovskis</w:t>
      </w:r>
      <w:r w:rsidR="00071FE3">
        <w:rPr>
          <w:sz w:val="20"/>
          <w:szCs w:val="20"/>
        </w:rPr>
        <w:t xml:space="preserve">, </w:t>
      </w:r>
      <w:r w:rsidR="00071FE3" w:rsidRPr="00071FE3">
        <w:rPr>
          <w:sz w:val="20"/>
          <w:szCs w:val="20"/>
        </w:rPr>
        <w:t>67013246</w:t>
      </w:r>
      <w:r w:rsidRPr="00314C35">
        <w:rPr>
          <w:sz w:val="20"/>
          <w:szCs w:val="20"/>
        </w:rPr>
        <w:t xml:space="preserve">, </w:t>
      </w:r>
    </w:p>
    <w:p w14:paraId="755ACB83" w14:textId="77777777" w:rsidR="008E5F78" w:rsidRPr="00314C35" w:rsidRDefault="0053129D" w:rsidP="008E5F78">
      <w:pPr>
        <w:tabs>
          <w:tab w:val="left" w:pos="7513"/>
        </w:tabs>
        <w:jc w:val="both"/>
        <w:rPr>
          <w:sz w:val="20"/>
          <w:szCs w:val="20"/>
        </w:rPr>
      </w:pPr>
      <w:hyperlink r:id="rId7" w:history="1">
        <w:r w:rsidR="008E5F78" w:rsidRPr="00314C35">
          <w:rPr>
            <w:rStyle w:val="Hyperlink"/>
            <w:sz w:val="20"/>
            <w:szCs w:val="20"/>
          </w:rPr>
          <w:t>Andrians.Jankovskis@em.gov.lv</w:t>
        </w:r>
      </w:hyperlink>
    </w:p>
    <w:sectPr w:rsidR="008E5F78" w:rsidRPr="00314C35" w:rsidSect="006415B7">
      <w:headerReference w:type="default" r:id="rId8"/>
      <w:footerReference w:type="default" r:id="rId9"/>
      <w:footerReference w:type="first" r:id="rId10"/>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B6395" w14:textId="77777777" w:rsidR="006E5910" w:rsidRDefault="006E5910" w:rsidP="00CE176E">
      <w:r>
        <w:separator/>
      </w:r>
    </w:p>
  </w:endnote>
  <w:endnote w:type="continuationSeparator" w:id="0">
    <w:p w14:paraId="772E88FB" w14:textId="77777777" w:rsidR="006E5910" w:rsidRDefault="006E5910" w:rsidP="00C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66D3" w14:textId="57A53764" w:rsidR="00CE176E" w:rsidRPr="00E3684A" w:rsidRDefault="00E3684A" w:rsidP="00E3684A">
    <w:pPr>
      <w:pStyle w:val="Footer"/>
    </w:pPr>
    <w:r w:rsidRPr="00E3684A">
      <w:rPr>
        <w:sz w:val="20"/>
        <w:szCs w:val="20"/>
      </w:rPr>
      <w:t>EManot_070817_VDV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2985" w14:textId="145F0589" w:rsidR="006E29C4" w:rsidRPr="00E3684A" w:rsidRDefault="00E3684A" w:rsidP="00E3684A">
    <w:pPr>
      <w:pStyle w:val="Footer"/>
    </w:pPr>
    <w:r w:rsidRPr="00E3684A">
      <w:rPr>
        <w:sz w:val="20"/>
        <w:szCs w:val="20"/>
      </w:rPr>
      <w:t>EManot_070817_VDV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D163" w14:textId="77777777" w:rsidR="006E5910" w:rsidRDefault="006E5910" w:rsidP="00CE176E">
      <w:r>
        <w:separator/>
      </w:r>
    </w:p>
  </w:footnote>
  <w:footnote w:type="continuationSeparator" w:id="0">
    <w:p w14:paraId="6D344C24" w14:textId="77777777" w:rsidR="006E5910" w:rsidRDefault="006E5910" w:rsidP="00C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9D0D" w14:textId="68C8A00D" w:rsidR="00F569A6" w:rsidRDefault="00F569A6">
    <w:pPr>
      <w:pStyle w:val="Header"/>
    </w:pPr>
    <w:r>
      <w:tab/>
    </w:r>
    <w:sdt>
      <w:sdtPr>
        <w:id w:val="-9526268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129D">
          <w:rPr>
            <w:noProof/>
          </w:rPr>
          <w:t>8</w:t>
        </w:r>
        <w:r>
          <w:rPr>
            <w:noProof/>
          </w:rPr>
          <w:fldChar w:fldCharType="end"/>
        </w:r>
      </w:sdtContent>
    </w:sdt>
  </w:p>
  <w:p w14:paraId="79BBF7F3" w14:textId="77777777" w:rsidR="00F569A6" w:rsidRDefault="00F5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36"/>
    <w:multiLevelType w:val="hybridMultilevel"/>
    <w:tmpl w:val="34A62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B7683"/>
    <w:multiLevelType w:val="hybridMultilevel"/>
    <w:tmpl w:val="232223A6"/>
    <w:lvl w:ilvl="0" w:tplc="55E6AA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982851"/>
    <w:multiLevelType w:val="hybridMultilevel"/>
    <w:tmpl w:val="2EC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C65D1D"/>
    <w:multiLevelType w:val="hybridMultilevel"/>
    <w:tmpl w:val="C8620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5C7E37"/>
    <w:multiLevelType w:val="hybridMultilevel"/>
    <w:tmpl w:val="C64A9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885A5A"/>
    <w:multiLevelType w:val="hybridMultilevel"/>
    <w:tmpl w:val="F048C05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4F506706"/>
    <w:multiLevelType w:val="hybridMultilevel"/>
    <w:tmpl w:val="22DCB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F152F"/>
    <w:multiLevelType w:val="hybridMultilevel"/>
    <w:tmpl w:val="B8762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073A97"/>
    <w:multiLevelType w:val="hybridMultilevel"/>
    <w:tmpl w:val="DC567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7FC5BAE"/>
    <w:multiLevelType w:val="hybridMultilevel"/>
    <w:tmpl w:val="B72A3C8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8"/>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31"/>
    <w:rsid w:val="0000503A"/>
    <w:rsid w:val="0004087B"/>
    <w:rsid w:val="00042D55"/>
    <w:rsid w:val="00044BB4"/>
    <w:rsid w:val="00051D70"/>
    <w:rsid w:val="00071FE3"/>
    <w:rsid w:val="00082DC1"/>
    <w:rsid w:val="000D7125"/>
    <w:rsid w:val="001231E3"/>
    <w:rsid w:val="001307D4"/>
    <w:rsid w:val="00135CFB"/>
    <w:rsid w:val="0014572D"/>
    <w:rsid w:val="0015548E"/>
    <w:rsid w:val="001960BC"/>
    <w:rsid w:val="001A30EF"/>
    <w:rsid w:val="001B1E3C"/>
    <w:rsid w:val="001B480C"/>
    <w:rsid w:val="001D157D"/>
    <w:rsid w:val="001E5A71"/>
    <w:rsid w:val="001F0F1B"/>
    <w:rsid w:val="00234622"/>
    <w:rsid w:val="002416A3"/>
    <w:rsid w:val="0025327C"/>
    <w:rsid w:val="00262E2C"/>
    <w:rsid w:val="00270132"/>
    <w:rsid w:val="00271CAC"/>
    <w:rsid w:val="00271FE3"/>
    <w:rsid w:val="002747FD"/>
    <w:rsid w:val="002765C7"/>
    <w:rsid w:val="0029461E"/>
    <w:rsid w:val="002D267F"/>
    <w:rsid w:val="002D5D18"/>
    <w:rsid w:val="00307824"/>
    <w:rsid w:val="00314C35"/>
    <w:rsid w:val="003274A3"/>
    <w:rsid w:val="00333CA0"/>
    <w:rsid w:val="00336F5D"/>
    <w:rsid w:val="0034713B"/>
    <w:rsid w:val="00352A45"/>
    <w:rsid w:val="00357502"/>
    <w:rsid w:val="00360222"/>
    <w:rsid w:val="00361B78"/>
    <w:rsid w:val="00391076"/>
    <w:rsid w:val="003A13CB"/>
    <w:rsid w:val="003B118A"/>
    <w:rsid w:val="003B6512"/>
    <w:rsid w:val="003C0CF6"/>
    <w:rsid w:val="003C789E"/>
    <w:rsid w:val="003D1A04"/>
    <w:rsid w:val="003D4D00"/>
    <w:rsid w:val="003D66F3"/>
    <w:rsid w:val="003D6E53"/>
    <w:rsid w:val="003E4EF9"/>
    <w:rsid w:val="003F73AE"/>
    <w:rsid w:val="003F7E3A"/>
    <w:rsid w:val="004007B5"/>
    <w:rsid w:val="004031BD"/>
    <w:rsid w:val="00404F24"/>
    <w:rsid w:val="00444AFB"/>
    <w:rsid w:val="00452EAA"/>
    <w:rsid w:val="0045455B"/>
    <w:rsid w:val="00457446"/>
    <w:rsid w:val="00461B8E"/>
    <w:rsid w:val="004623AB"/>
    <w:rsid w:val="00462488"/>
    <w:rsid w:val="00470B15"/>
    <w:rsid w:val="0049590B"/>
    <w:rsid w:val="004A02EF"/>
    <w:rsid w:val="004B12AF"/>
    <w:rsid w:val="004B519C"/>
    <w:rsid w:val="004C19CC"/>
    <w:rsid w:val="004D1D0F"/>
    <w:rsid w:val="004D4F77"/>
    <w:rsid w:val="004E4D07"/>
    <w:rsid w:val="004F0C7A"/>
    <w:rsid w:val="004F5752"/>
    <w:rsid w:val="004F7737"/>
    <w:rsid w:val="00516C99"/>
    <w:rsid w:val="005213B4"/>
    <w:rsid w:val="005224D0"/>
    <w:rsid w:val="0053129D"/>
    <w:rsid w:val="00532577"/>
    <w:rsid w:val="00547FCF"/>
    <w:rsid w:val="0056513A"/>
    <w:rsid w:val="00577B1B"/>
    <w:rsid w:val="005A7715"/>
    <w:rsid w:val="005B387C"/>
    <w:rsid w:val="005C4BD2"/>
    <w:rsid w:val="005C65C1"/>
    <w:rsid w:val="005F2CE7"/>
    <w:rsid w:val="005F5F6F"/>
    <w:rsid w:val="00612188"/>
    <w:rsid w:val="00632219"/>
    <w:rsid w:val="006415B7"/>
    <w:rsid w:val="006421BB"/>
    <w:rsid w:val="00643B0F"/>
    <w:rsid w:val="00653528"/>
    <w:rsid w:val="00666314"/>
    <w:rsid w:val="00670A85"/>
    <w:rsid w:val="00676DC6"/>
    <w:rsid w:val="006772DB"/>
    <w:rsid w:val="006D7CBC"/>
    <w:rsid w:val="006E29C4"/>
    <w:rsid w:val="006E5910"/>
    <w:rsid w:val="006E5A36"/>
    <w:rsid w:val="00727440"/>
    <w:rsid w:val="007305AD"/>
    <w:rsid w:val="007420D6"/>
    <w:rsid w:val="007461FF"/>
    <w:rsid w:val="007670E8"/>
    <w:rsid w:val="00767991"/>
    <w:rsid w:val="007872AD"/>
    <w:rsid w:val="007B35A3"/>
    <w:rsid w:val="007E3D35"/>
    <w:rsid w:val="007E6AE0"/>
    <w:rsid w:val="00846238"/>
    <w:rsid w:val="0086703D"/>
    <w:rsid w:val="00886738"/>
    <w:rsid w:val="00891F6B"/>
    <w:rsid w:val="00895344"/>
    <w:rsid w:val="008A4A13"/>
    <w:rsid w:val="008B5431"/>
    <w:rsid w:val="008C4FBD"/>
    <w:rsid w:val="008E38E3"/>
    <w:rsid w:val="008E5F78"/>
    <w:rsid w:val="008F1875"/>
    <w:rsid w:val="008F1B74"/>
    <w:rsid w:val="00951FA8"/>
    <w:rsid w:val="00966156"/>
    <w:rsid w:val="009804A1"/>
    <w:rsid w:val="00993CEB"/>
    <w:rsid w:val="00995F2D"/>
    <w:rsid w:val="009B734F"/>
    <w:rsid w:val="009D1A49"/>
    <w:rsid w:val="009D5362"/>
    <w:rsid w:val="009E22C2"/>
    <w:rsid w:val="00A20D0E"/>
    <w:rsid w:val="00A3037F"/>
    <w:rsid w:val="00A3740E"/>
    <w:rsid w:val="00A63195"/>
    <w:rsid w:val="00A84FEF"/>
    <w:rsid w:val="00AA3B15"/>
    <w:rsid w:val="00AC0E14"/>
    <w:rsid w:val="00AE0B23"/>
    <w:rsid w:val="00B40456"/>
    <w:rsid w:val="00B71AFE"/>
    <w:rsid w:val="00B844DD"/>
    <w:rsid w:val="00B84A25"/>
    <w:rsid w:val="00B86354"/>
    <w:rsid w:val="00B97E29"/>
    <w:rsid w:val="00BA3702"/>
    <w:rsid w:val="00BF0AC0"/>
    <w:rsid w:val="00BF1247"/>
    <w:rsid w:val="00BF3BCD"/>
    <w:rsid w:val="00C00BEF"/>
    <w:rsid w:val="00C10326"/>
    <w:rsid w:val="00C176FC"/>
    <w:rsid w:val="00C20395"/>
    <w:rsid w:val="00C213C1"/>
    <w:rsid w:val="00C25271"/>
    <w:rsid w:val="00C61270"/>
    <w:rsid w:val="00C704A4"/>
    <w:rsid w:val="00C85357"/>
    <w:rsid w:val="00C91D3A"/>
    <w:rsid w:val="00CC6F25"/>
    <w:rsid w:val="00CD229C"/>
    <w:rsid w:val="00CE176E"/>
    <w:rsid w:val="00CE3C6D"/>
    <w:rsid w:val="00CE5EB6"/>
    <w:rsid w:val="00D07967"/>
    <w:rsid w:val="00D645CE"/>
    <w:rsid w:val="00D7390F"/>
    <w:rsid w:val="00DB5D07"/>
    <w:rsid w:val="00DB5FBA"/>
    <w:rsid w:val="00DE6143"/>
    <w:rsid w:val="00DF638F"/>
    <w:rsid w:val="00E00F97"/>
    <w:rsid w:val="00E31830"/>
    <w:rsid w:val="00E3684A"/>
    <w:rsid w:val="00E6179E"/>
    <w:rsid w:val="00E96BA2"/>
    <w:rsid w:val="00EC0859"/>
    <w:rsid w:val="00EF3385"/>
    <w:rsid w:val="00EF426C"/>
    <w:rsid w:val="00F02C07"/>
    <w:rsid w:val="00F11067"/>
    <w:rsid w:val="00F222B2"/>
    <w:rsid w:val="00F569A6"/>
    <w:rsid w:val="00F6357E"/>
    <w:rsid w:val="00F73DD7"/>
    <w:rsid w:val="00F841CE"/>
    <w:rsid w:val="00F9018E"/>
    <w:rsid w:val="00FA021B"/>
    <w:rsid w:val="00FB71EF"/>
    <w:rsid w:val="00FC064B"/>
    <w:rsid w:val="00FC38AC"/>
    <w:rsid w:val="00FD04DB"/>
    <w:rsid w:val="00FD4FA2"/>
    <w:rsid w:val="00FF143B"/>
    <w:rsid w:val="00FF404C"/>
    <w:rsid w:val="00FF6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064F"/>
  <w15:chartTrackingRefBased/>
  <w15:docId w15:val="{A2137AC5-F4DC-4C23-9630-19E39F8F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7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14572D"/>
    <w:pPr>
      <w:spacing w:after="160" w:line="256" w:lineRule="auto"/>
    </w:pPr>
    <w:rPr>
      <w:rFonts w:eastAsia="Calibri"/>
      <w:szCs w:val="22"/>
      <w:lang w:eastAsia="en-US"/>
    </w:rPr>
  </w:style>
  <w:style w:type="paragraph" w:styleId="Signature">
    <w:name w:val="Signature"/>
    <w:basedOn w:val="Normal"/>
    <w:next w:val="EnvelopeReturn"/>
    <w:link w:val="SignatureChar"/>
    <w:rsid w:val="006772DB"/>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6772DB"/>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6772DB"/>
    <w:rPr>
      <w:rFonts w:asciiTheme="majorHAnsi" w:eastAsiaTheme="majorEastAsia" w:hAnsiTheme="majorHAnsi" w:cstheme="majorBidi"/>
      <w:sz w:val="20"/>
      <w:szCs w:val="20"/>
    </w:rPr>
  </w:style>
  <w:style w:type="paragraph" w:customStyle="1" w:styleId="naiskr">
    <w:name w:val="naiskr"/>
    <w:basedOn w:val="Normal"/>
    <w:rsid w:val="00C25271"/>
    <w:pPr>
      <w:spacing w:before="75" w:after="75"/>
    </w:pPr>
  </w:style>
  <w:style w:type="paragraph" w:styleId="ListParagraph">
    <w:name w:val="List Paragraph"/>
    <w:aliases w:val="2,H&amp;P List Paragraph,Strip"/>
    <w:basedOn w:val="Normal"/>
    <w:link w:val="ListParagraphChar"/>
    <w:uiPriority w:val="34"/>
    <w:qFormat/>
    <w:rsid w:val="00C25271"/>
    <w:pPr>
      <w:ind w:left="720"/>
      <w:contextualSpacing/>
    </w:pPr>
    <w:rPr>
      <w:lang w:eastAsia="en-US"/>
    </w:rPr>
  </w:style>
  <w:style w:type="character" w:customStyle="1" w:styleId="ListParagraphChar">
    <w:name w:val="List Paragraph Char"/>
    <w:aliases w:val="2 Char,H&amp;P List Paragraph Char,Strip Char"/>
    <w:link w:val="ListParagraph"/>
    <w:uiPriority w:val="34"/>
    <w:locked/>
    <w:rsid w:val="00C25271"/>
    <w:rPr>
      <w:rFonts w:ascii="Times New Roman" w:eastAsia="Times New Roman" w:hAnsi="Times New Roman" w:cs="Times New Roman"/>
      <w:sz w:val="24"/>
      <w:szCs w:val="24"/>
    </w:rPr>
  </w:style>
  <w:style w:type="paragraph" w:customStyle="1" w:styleId="naisf">
    <w:name w:val="naisf"/>
    <w:basedOn w:val="Normal"/>
    <w:rsid w:val="00C25271"/>
    <w:pPr>
      <w:spacing w:before="75" w:after="75"/>
      <w:ind w:firstLine="375"/>
      <w:jc w:val="both"/>
    </w:pPr>
  </w:style>
  <w:style w:type="paragraph" w:customStyle="1" w:styleId="naisnod">
    <w:name w:val="naisnod"/>
    <w:basedOn w:val="Normal"/>
    <w:rsid w:val="00C25271"/>
    <w:pPr>
      <w:spacing w:before="150" w:after="150"/>
      <w:jc w:val="center"/>
    </w:pPr>
    <w:rPr>
      <w:b/>
      <w:bCs/>
    </w:rPr>
  </w:style>
  <w:style w:type="character" w:styleId="Hyperlink">
    <w:name w:val="Hyperlink"/>
    <w:basedOn w:val="DefaultParagraphFont"/>
    <w:unhideWhenUsed/>
    <w:rsid w:val="008E5F78"/>
    <w:rPr>
      <w:color w:val="0563C1" w:themeColor="hyperlink"/>
      <w:u w:val="single"/>
    </w:rPr>
  </w:style>
  <w:style w:type="paragraph" w:styleId="Header">
    <w:name w:val="header"/>
    <w:basedOn w:val="Normal"/>
    <w:link w:val="HeaderChar"/>
    <w:uiPriority w:val="99"/>
    <w:unhideWhenUsed/>
    <w:rsid w:val="00CE176E"/>
    <w:pPr>
      <w:tabs>
        <w:tab w:val="center" w:pos="4153"/>
        <w:tab w:val="right" w:pos="8306"/>
      </w:tabs>
    </w:pPr>
  </w:style>
  <w:style w:type="character" w:customStyle="1" w:styleId="HeaderChar">
    <w:name w:val="Header Char"/>
    <w:basedOn w:val="DefaultParagraphFont"/>
    <w:link w:val="Header"/>
    <w:uiPriority w:val="99"/>
    <w:rsid w:val="00CE176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E176E"/>
    <w:pPr>
      <w:tabs>
        <w:tab w:val="center" w:pos="4153"/>
        <w:tab w:val="right" w:pos="8306"/>
      </w:tabs>
    </w:pPr>
  </w:style>
  <w:style w:type="character" w:customStyle="1" w:styleId="FooterChar">
    <w:name w:val="Footer Char"/>
    <w:basedOn w:val="DefaultParagraphFont"/>
    <w:link w:val="Footer"/>
    <w:uiPriority w:val="99"/>
    <w:rsid w:val="00CE176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E2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C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6E29C4"/>
    <w:rPr>
      <w:sz w:val="16"/>
      <w:szCs w:val="16"/>
    </w:rPr>
  </w:style>
  <w:style w:type="paragraph" w:styleId="CommentText">
    <w:name w:val="annotation text"/>
    <w:basedOn w:val="Normal"/>
    <w:link w:val="CommentTextChar"/>
    <w:uiPriority w:val="99"/>
    <w:semiHidden/>
    <w:unhideWhenUsed/>
    <w:rsid w:val="006E29C4"/>
    <w:rPr>
      <w:sz w:val="20"/>
      <w:szCs w:val="20"/>
    </w:rPr>
  </w:style>
  <w:style w:type="character" w:customStyle="1" w:styleId="CommentTextChar">
    <w:name w:val="Comment Text Char"/>
    <w:basedOn w:val="DefaultParagraphFont"/>
    <w:link w:val="CommentText"/>
    <w:uiPriority w:val="99"/>
    <w:semiHidden/>
    <w:rsid w:val="006E29C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29C4"/>
    <w:rPr>
      <w:b/>
      <w:bCs/>
    </w:rPr>
  </w:style>
  <w:style w:type="character" w:customStyle="1" w:styleId="CommentSubjectChar">
    <w:name w:val="Comment Subject Char"/>
    <w:basedOn w:val="CommentTextChar"/>
    <w:link w:val="CommentSubject"/>
    <w:uiPriority w:val="99"/>
    <w:semiHidden/>
    <w:rsid w:val="006E29C4"/>
    <w:rPr>
      <w:rFonts w:ascii="Times New Roman" w:eastAsia="Times New Roman" w:hAnsi="Times New Roman" w:cs="Times New Roman"/>
      <w:b/>
      <w:bCs/>
      <w:sz w:val="20"/>
      <w:szCs w:val="20"/>
      <w:lang w:eastAsia="lv-LV"/>
    </w:rPr>
  </w:style>
  <w:style w:type="table" w:styleId="TableGrid">
    <w:name w:val="Table Grid"/>
    <w:basedOn w:val="TableNormal"/>
    <w:uiPriority w:val="39"/>
    <w:rsid w:val="00B8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ans.Jankovsk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8</Pages>
  <Words>12550</Words>
  <Characters>7155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EManot_310717_VDV</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EManot_070817_VDV</dc:title>
  <dc:subject/>
  <dc:creator>Andriāns Jankovskis</dc:creator>
  <cp:keywords/>
  <dc:description/>
  <cp:lastModifiedBy>Andriāns Jankovskis</cp:lastModifiedBy>
  <cp:revision>169</cp:revision>
  <dcterms:created xsi:type="dcterms:W3CDTF">2017-07-10T11:13:00Z</dcterms:created>
  <dcterms:modified xsi:type="dcterms:W3CDTF">2017-08-07T17:39:00Z</dcterms:modified>
</cp:coreProperties>
</file>