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3740A" w14:textId="77777777" w:rsidR="00370C20" w:rsidRPr="0072076F" w:rsidRDefault="00370C20" w:rsidP="00370C20">
      <w:pPr>
        <w:shd w:val="clear" w:color="auto" w:fill="FFFFFF"/>
        <w:spacing w:after="0" w:line="240" w:lineRule="auto"/>
        <w:jc w:val="center"/>
        <w:rPr>
          <w:rFonts w:ascii="Times New Roman" w:eastAsia="Times New Roman" w:hAnsi="Times New Roman" w:cs="Times New Roman"/>
          <w:b/>
          <w:bCs/>
          <w:sz w:val="28"/>
          <w:szCs w:val="24"/>
          <w:lang w:eastAsia="lv-LV"/>
        </w:rPr>
      </w:pPr>
      <w:r w:rsidRPr="0072076F">
        <w:rPr>
          <w:rFonts w:ascii="Times New Roman" w:eastAsia="Times New Roman" w:hAnsi="Times New Roman" w:cs="Times New Roman"/>
          <w:b/>
          <w:bCs/>
          <w:sz w:val="28"/>
          <w:szCs w:val="24"/>
          <w:lang w:eastAsia="lv-LV"/>
        </w:rPr>
        <w:t xml:space="preserve">Likumprojekta “Grozījumi Tūrisma likumā” </w:t>
      </w:r>
      <w:r w:rsidRPr="0072076F">
        <w:rPr>
          <w:rFonts w:ascii="Times New Roman" w:eastAsia="Times New Roman" w:hAnsi="Times New Roman" w:cs="Times New Roman"/>
          <w:b/>
          <w:bCs/>
          <w:sz w:val="28"/>
          <w:szCs w:val="24"/>
          <w:lang w:eastAsia="lv-LV"/>
        </w:rPr>
        <w:br/>
        <w:t>sākotnējās ietekmes novērtējuma ziņojums (anotācija)</w:t>
      </w:r>
    </w:p>
    <w:p w14:paraId="38277109" w14:textId="77777777" w:rsidR="00370C20" w:rsidRPr="0072076F" w:rsidRDefault="00370C20" w:rsidP="00370C20">
      <w:pPr>
        <w:shd w:val="clear" w:color="auto" w:fill="FFFFFF"/>
        <w:spacing w:before="45" w:after="0" w:line="248" w:lineRule="atLeast"/>
        <w:ind w:firstLine="300"/>
        <w:jc w:val="center"/>
        <w:rPr>
          <w:rFonts w:ascii="Times New Roman" w:eastAsia="Times New Roman" w:hAnsi="Times New Roman" w:cs="Times New Roman"/>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8"/>
        <w:gridCol w:w="1577"/>
        <w:gridCol w:w="7250"/>
      </w:tblGrid>
      <w:tr w:rsidR="0072076F" w:rsidRPr="0072076F" w14:paraId="0D16BC08" w14:textId="77777777" w:rsidTr="00B34588">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C283218"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I. Tiesību akta projekta izstrādes nepieciešamība</w:t>
            </w:r>
          </w:p>
        </w:tc>
      </w:tr>
      <w:tr w:rsidR="0072076F" w:rsidRPr="0072076F" w14:paraId="0A92C316" w14:textId="77777777" w:rsidTr="00B34588">
        <w:trPr>
          <w:trHeight w:val="324"/>
        </w:trPr>
        <w:tc>
          <w:tcPr>
            <w:tcW w:w="250" w:type="pct"/>
            <w:tcBorders>
              <w:top w:val="outset" w:sz="6" w:space="0" w:color="414142"/>
              <w:left w:val="outset" w:sz="6" w:space="0" w:color="414142"/>
              <w:bottom w:val="outset" w:sz="6" w:space="0" w:color="414142"/>
              <w:right w:val="outset" w:sz="6" w:space="0" w:color="414142"/>
            </w:tcBorders>
            <w:hideMark/>
          </w:tcPr>
          <w:p w14:paraId="3C38354E"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5361C63B"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163BAE19" w14:textId="574F7FEB" w:rsidR="00370C20" w:rsidRPr="0072076F" w:rsidRDefault="001446C1"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Likumprojekts „Grozījumi</w:t>
            </w:r>
            <w:r w:rsidR="00370C20" w:rsidRPr="0072076F">
              <w:rPr>
                <w:rFonts w:ascii="Times New Roman" w:eastAsia="Times New Roman" w:hAnsi="Times New Roman" w:cs="Times New Roman"/>
                <w:sz w:val="24"/>
                <w:szCs w:val="24"/>
                <w:lang w:eastAsia="lv-LV"/>
              </w:rPr>
              <w:t xml:space="preserve"> Tūrisma likumā” (turpmāk – likumprojekts) izstrādāts, lai </w:t>
            </w:r>
            <w:r w:rsidR="00370C20" w:rsidRPr="0072076F">
              <w:rPr>
                <w:rFonts w:ascii="Times New Roman" w:eastAsia="Times New Roman" w:hAnsi="Times New Roman" w:cs="Times New Roman"/>
                <w:iCs/>
                <w:sz w:val="24"/>
                <w:szCs w:val="24"/>
                <w:lang w:eastAsia="lv-LV"/>
              </w:rPr>
              <w:t xml:space="preserve">līdz 2018.gada 1.janvārim transponētu Latvijas normatīvajos aktos Eiropas Parlamenta un Padomes direktīvu </w:t>
            </w:r>
            <w:r w:rsidR="00370C20" w:rsidRPr="0072076F">
              <w:rPr>
                <w:rFonts w:ascii="Times New Roman" w:eastAsia="Times New Roman" w:hAnsi="Times New Roman" w:cs="Times New Roman"/>
                <w:sz w:val="24"/>
                <w:szCs w:val="24"/>
                <w:lang w:eastAsia="lv-LV"/>
              </w:rPr>
              <w:t>(ES) 2015/2302 (</w:t>
            </w:r>
            <w:r w:rsidR="00370C20" w:rsidRPr="0072076F">
              <w:rPr>
                <w:rFonts w:ascii="Times New Roman" w:eastAsia="Times New Roman" w:hAnsi="Times New Roman" w:cs="Times New Roman"/>
                <w:iCs/>
                <w:sz w:val="24"/>
                <w:szCs w:val="24"/>
                <w:lang w:eastAsia="lv-LV"/>
              </w:rPr>
              <w:t xml:space="preserve">2015.gada 25.novembris) par kompleksiem ceļojumiem un saistītiem ceļojumu pakalpojumiem, ar ko groza Regulu (EK) Nr. 2006/2004 un Eiropas Parlamenta un Padomes Direktīvu 2011/83/ES un atceļ Padomes Direktīvu 90/314/EEK (turpmāk – </w:t>
            </w:r>
            <w:r w:rsidR="00F77AFB" w:rsidRPr="0072076F">
              <w:rPr>
                <w:rFonts w:ascii="Times New Roman" w:eastAsia="Times New Roman" w:hAnsi="Times New Roman" w:cs="Times New Roman"/>
                <w:sz w:val="24"/>
                <w:szCs w:val="24"/>
                <w:lang w:eastAsia="lv-LV"/>
              </w:rPr>
              <w:t>Direktīva).</w:t>
            </w:r>
          </w:p>
        </w:tc>
      </w:tr>
      <w:tr w:rsidR="0072076F" w:rsidRPr="0072076F" w14:paraId="108E10A6" w14:textId="77777777" w:rsidTr="00B34588">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B52D9D7"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747BE571"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501E262C" w14:textId="77777777" w:rsidR="00370C20" w:rsidRPr="0072076F" w:rsidRDefault="00370C20" w:rsidP="00B34588">
            <w:pPr>
              <w:rPr>
                <w:rFonts w:ascii="Times New Roman" w:eastAsia="Times New Roman" w:hAnsi="Times New Roman" w:cs="Times New Roman"/>
                <w:sz w:val="24"/>
                <w:szCs w:val="24"/>
                <w:lang w:eastAsia="lv-LV"/>
              </w:rPr>
            </w:pPr>
          </w:p>
          <w:p w14:paraId="2FAB4538" w14:textId="77777777" w:rsidR="00370C20" w:rsidRPr="0072076F" w:rsidRDefault="00370C20" w:rsidP="00B34588">
            <w:pPr>
              <w:rPr>
                <w:rFonts w:ascii="Times New Roman" w:eastAsia="Times New Roman" w:hAnsi="Times New Roman" w:cs="Times New Roman"/>
                <w:sz w:val="24"/>
                <w:szCs w:val="24"/>
                <w:lang w:eastAsia="lv-LV"/>
              </w:rPr>
            </w:pPr>
          </w:p>
          <w:p w14:paraId="588B4A03" w14:textId="77777777" w:rsidR="00370C20" w:rsidRPr="0072076F" w:rsidRDefault="00370C20" w:rsidP="00B34588">
            <w:pPr>
              <w:rPr>
                <w:rFonts w:ascii="Times New Roman" w:eastAsia="Times New Roman" w:hAnsi="Times New Roman" w:cs="Times New Roman"/>
                <w:sz w:val="24"/>
                <w:szCs w:val="24"/>
                <w:lang w:eastAsia="lv-LV"/>
              </w:rPr>
            </w:pPr>
          </w:p>
          <w:p w14:paraId="72A338AB" w14:textId="77777777" w:rsidR="00370C20" w:rsidRPr="0072076F" w:rsidRDefault="00370C20" w:rsidP="00B34588">
            <w:pPr>
              <w:rPr>
                <w:rFonts w:ascii="Times New Roman" w:eastAsia="Times New Roman" w:hAnsi="Times New Roman" w:cs="Times New Roman"/>
                <w:sz w:val="24"/>
                <w:szCs w:val="24"/>
                <w:lang w:eastAsia="lv-LV"/>
              </w:rPr>
            </w:pPr>
          </w:p>
          <w:p w14:paraId="7AC1E151" w14:textId="77777777" w:rsidR="00370C20" w:rsidRPr="0072076F" w:rsidRDefault="00370C20" w:rsidP="00B34588">
            <w:pPr>
              <w:rPr>
                <w:rFonts w:ascii="Times New Roman" w:eastAsia="Times New Roman" w:hAnsi="Times New Roman" w:cs="Times New Roman"/>
                <w:sz w:val="24"/>
                <w:szCs w:val="24"/>
                <w:lang w:eastAsia="lv-LV"/>
              </w:rPr>
            </w:pPr>
          </w:p>
          <w:p w14:paraId="7AEDE186" w14:textId="77777777" w:rsidR="00370C20" w:rsidRPr="0072076F" w:rsidRDefault="00370C20" w:rsidP="00B34588">
            <w:pPr>
              <w:rPr>
                <w:rFonts w:ascii="Times New Roman" w:eastAsia="Times New Roman" w:hAnsi="Times New Roman" w:cs="Times New Roman"/>
                <w:sz w:val="24"/>
                <w:szCs w:val="24"/>
                <w:lang w:eastAsia="lv-LV"/>
              </w:rPr>
            </w:pPr>
          </w:p>
          <w:p w14:paraId="12F1D0B0" w14:textId="77777777" w:rsidR="00370C20" w:rsidRPr="0072076F" w:rsidRDefault="00370C20" w:rsidP="00B34588">
            <w:pPr>
              <w:rPr>
                <w:rFonts w:ascii="Times New Roman" w:eastAsia="Times New Roman" w:hAnsi="Times New Roman" w:cs="Times New Roman"/>
                <w:sz w:val="24"/>
                <w:szCs w:val="24"/>
                <w:lang w:eastAsia="lv-LV"/>
              </w:rPr>
            </w:pPr>
          </w:p>
          <w:p w14:paraId="61DF9EEA" w14:textId="77777777" w:rsidR="00370C20" w:rsidRPr="0072076F" w:rsidRDefault="00370C20" w:rsidP="00B34588">
            <w:pPr>
              <w:rPr>
                <w:rFonts w:ascii="Times New Roman" w:eastAsia="Times New Roman" w:hAnsi="Times New Roman" w:cs="Times New Roman"/>
                <w:sz w:val="24"/>
                <w:szCs w:val="24"/>
                <w:lang w:eastAsia="lv-LV"/>
              </w:rPr>
            </w:pPr>
          </w:p>
          <w:p w14:paraId="5AE072F0" w14:textId="77777777" w:rsidR="00370C20" w:rsidRPr="0072076F" w:rsidRDefault="00370C20" w:rsidP="00B34588">
            <w:pPr>
              <w:rPr>
                <w:rFonts w:ascii="Times New Roman" w:eastAsia="Times New Roman" w:hAnsi="Times New Roman" w:cs="Times New Roman"/>
                <w:sz w:val="24"/>
                <w:szCs w:val="24"/>
                <w:lang w:eastAsia="lv-LV"/>
              </w:rPr>
            </w:pPr>
          </w:p>
          <w:p w14:paraId="6FA64BA8" w14:textId="77777777" w:rsidR="00370C20" w:rsidRPr="0072076F" w:rsidRDefault="00370C20" w:rsidP="00B34588">
            <w:pPr>
              <w:rPr>
                <w:rFonts w:ascii="Times New Roman" w:eastAsia="Times New Roman" w:hAnsi="Times New Roman" w:cs="Times New Roman"/>
                <w:sz w:val="24"/>
                <w:szCs w:val="24"/>
                <w:lang w:eastAsia="lv-LV"/>
              </w:rPr>
            </w:pPr>
          </w:p>
          <w:p w14:paraId="59B17081" w14:textId="77777777" w:rsidR="00370C20" w:rsidRPr="0072076F" w:rsidRDefault="00370C20" w:rsidP="00B34588">
            <w:pPr>
              <w:rPr>
                <w:rFonts w:ascii="Times New Roman" w:eastAsia="Times New Roman" w:hAnsi="Times New Roman" w:cs="Times New Roman"/>
                <w:sz w:val="24"/>
                <w:szCs w:val="24"/>
                <w:lang w:eastAsia="lv-LV"/>
              </w:rPr>
            </w:pPr>
          </w:p>
          <w:p w14:paraId="0735E41A" w14:textId="77777777" w:rsidR="00370C20" w:rsidRPr="0072076F" w:rsidRDefault="00370C20" w:rsidP="00B34588">
            <w:pPr>
              <w:rPr>
                <w:rFonts w:ascii="Times New Roman" w:eastAsia="Times New Roman" w:hAnsi="Times New Roman" w:cs="Times New Roman"/>
                <w:sz w:val="24"/>
                <w:szCs w:val="24"/>
                <w:lang w:eastAsia="lv-LV"/>
              </w:rPr>
            </w:pPr>
          </w:p>
          <w:p w14:paraId="397C67C0" w14:textId="77777777" w:rsidR="00370C20" w:rsidRPr="0072076F" w:rsidRDefault="00370C20" w:rsidP="00B34588">
            <w:pPr>
              <w:rPr>
                <w:rFonts w:ascii="Times New Roman" w:eastAsia="Times New Roman" w:hAnsi="Times New Roman" w:cs="Times New Roman"/>
                <w:sz w:val="24"/>
                <w:szCs w:val="24"/>
                <w:lang w:eastAsia="lv-LV"/>
              </w:rPr>
            </w:pPr>
          </w:p>
          <w:p w14:paraId="74A51454" w14:textId="77777777" w:rsidR="00370C20" w:rsidRPr="0072076F" w:rsidRDefault="00370C20" w:rsidP="00B34588">
            <w:pPr>
              <w:ind w:firstLine="720"/>
              <w:rPr>
                <w:rFonts w:ascii="Times New Roman" w:eastAsia="Times New Roman" w:hAnsi="Times New Roman" w:cs="Times New Roman"/>
                <w:sz w:val="24"/>
                <w:szCs w:val="24"/>
                <w:lang w:eastAsia="lv-LV"/>
              </w:rPr>
            </w:pPr>
          </w:p>
          <w:p w14:paraId="7C09C3B6" w14:textId="77777777" w:rsidR="00370C20" w:rsidRPr="0072076F" w:rsidRDefault="00370C20" w:rsidP="00B34588">
            <w:pPr>
              <w:rPr>
                <w:rFonts w:ascii="Times New Roman" w:eastAsia="Times New Roman" w:hAnsi="Times New Roman" w:cs="Times New Roman"/>
                <w:sz w:val="24"/>
                <w:szCs w:val="24"/>
                <w:lang w:eastAsia="lv-LV"/>
              </w:rPr>
            </w:pPr>
          </w:p>
          <w:p w14:paraId="1DA61E39" w14:textId="77777777" w:rsidR="00370C20" w:rsidRPr="0072076F" w:rsidRDefault="00370C20" w:rsidP="00B34588">
            <w:pPr>
              <w:rPr>
                <w:rFonts w:ascii="Times New Roman" w:eastAsia="Times New Roman" w:hAnsi="Times New Roman" w:cs="Times New Roman"/>
                <w:sz w:val="24"/>
                <w:szCs w:val="24"/>
                <w:lang w:eastAsia="lv-LV"/>
              </w:rPr>
            </w:pPr>
          </w:p>
          <w:p w14:paraId="08E222FD" w14:textId="77777777" w:rsidR="00370C20" w:rsidRPr="0072076F" w:rsidRDefault="00370C20" w:rsidP="00E7527E">
            <w:pPr>
              <w:jc w:val="center"/>
              <w:rPr>
                <w:rFonts w:ascii="Times New Roman" w:eastAsia="Times New Roman" w:hAnsi="Times New Roman" w:cs="Times New Roman"/>
                <w:sz w:val="24"/>
                <w:szCs w:val="24"/>
                <w:lang w:eastAsia="lv-LV"/>
              </w:rPr>
            </w:pPr>
          </w:p>
          <w:p w14:paraId="6664F2D0" w14:textId="77777777" w:rsidR="00370C20" w:rsidRPr="0072076F" w:rsidRDefault="00370C20" w:rsidP="00B34588">
            <w:pPr>
              <w:rPr>
                <w:rFonts w:ascii="Times New Roman" w:eastAsia="Times New Roman" w:hAnsi="Times New Roman" w:cs="Times New Roman"/>
                <w:sz w:val="24"/>
                <w:szCs w:val="24"/>
                <w:lang w:eastAsia="lv-LV"/>
              </w:rPr>
            </w:pPr>
          </w:p>
          <w:p w14:paraId="49C40A86" w14:textId="77777777" w:rsidR="00370C20" w:rsidRPr="0072076F" w:rsidRDefault="00370C20" w:rsidP="00B34588">
            <w:pPr>
              <w:rPr>
                <w:rFonts w:ascii="Times New Roman" w:eastAsia="Times New Roman" w:hAnsi="Times New Roman" w:cs="Times New Roman"/>
                <w:sz w:val="24"/>
                <w:szCs w:val="24"/>
                <w:lang w:eastAsia="lv-LV"/>
              </w:rPr>
            </w:pPr>
          </w:p>
          <w:p w14:paraId="00D4A547" w14:textId="77777777" w:rsidR="00370C20" w:rsidRPr="0072076F" w:rsidRDefault="00370C20" w:rsidP="00B34588">
            <w:pPr>
              <w:rPr>
                <w:rFonts w:ascii="Times New Roman" w:eastAsia="Times New Roman" w:hAnsi="Times New Roman" w:cs="Times New Roman"/>
                <w:sz w:val="24"/>
                <w:szCs w:val="24"/>
                <w:lang w:eastAsia="lv-LV"/>
              </w:rPr>
            </w:pPr>
          </w:p>
          <w:p w14:paraId="78D54C29" w14:textId="77777777" w:rsidR="00370C20" w:rsidRPr="0072076F" w:rsidRDefault="00370C20" w:rsidP="00B34588">
            <w:pPr>
              <w:rPr>
                <w:rFonts w:ascii="Times New Roman" w:eastAsia="Times New Roman" w:hAnsi="Times New Roman" w:cs="Times New Roman"/>
                <w:sz w:val="24"/>
                <w:szCs w:val="24"/>
                <w:lang w:eastAsia="lv-LV"/>
              </w:rPr>
            </w:pPr>
          </w:p>
          <w:p w14:paraId="29D7CA04" w14:textId="77777777" w:rsidR="00370C20" w:rsidRPr="0072076F" w:rsidRDefault="00370C20" w:rsidP="00B34588">
            <w:pPr>
              <w:rPr>
                <w:rFonts w:ascii="Times New Roman" w:eastAsia="Times New Roman" w:hAnsi="Times New Roman" w:cs="Times New Roman"/>
                <w:sz w:val="24"/>
                <w:szCs w:val="24"/>
                <w:lang w:eastAsia="lv-LV"/>
              </w:rPr>
            </w:pPr>
          </w:p>
          <w:p w14:paraId="566DC9E7" w14:textId="77777777" w:rsidR="00370C20" w:rsidRPr="0072076F" w:rsidRDefault="00370C20" w:rsidP="00B34588">
            <w:pPr>
              <w:rPr>
                <w:rFonts w:ascii="Times New Roman" w:eastAsia="Times New Roman" w:hAnsi="Times New Roman" w:cs="Times New Roman"/>
                <w:sz w:val="24"/>
                <w:szCs w:val="24"/>
                <w:lang w:eastAsia="lv-LV"/>
              </w:rPr>
            </w:pPr>
          </w:p>
          <w:p w14:paraId="4CE78393" w14:textId="77777777" w:rsidR="00370C20" w:rsidRPr="0072076F" w:rsidRDefault="00370C20" w:rsidP="00B34588">
            <w:pPr>
              <w:rPr>
                <w:rFonts w:ascii="Times New Roman" w:eastAsia="Times New Roman" w:hAnsi="Times New Roman" w:cs="Times New Roman"/>
                <w:sz w:val="24"/>
                <w:szCs w:val="24"/>
                <w:lang w:eastAsia="lv-LV"/>
              </w:rPr>
            </w:pPr>
          </w:p>
          <w:p w14:paraId="68AF8461" w14:textId="77777777" w:rsidR="00370C20" w:rsidRPr="0072076F" w:rsidRDefault="00370C20" w:rsidP="00B34588">
            <w:pPr>
              <w:rPr>
                <w:rFonts w:ascii="Times New Roman" w:eastAsia="Times New Roman" w:hAnsi="Times New Roman" w:cs="Times New Roman"/>
                <w:sz w:val="24"/>
                <w:szCs w:val="24"/>
                <w:lang w:eastAsia="lv-LV"/>
              </w:rPr>
            </w:pPr>
          </w:p>
          <w:p w14:paraId="30765F3F" w14:textId="77777777" w:rsidR="00370C20" w:rsidRPr="0072076F" w:rsidRDefault="00370C20" w:rsidP="00B34588">
            <w:pPr>
              <w:rPr>
                <w:rFonts w:ascii="Times New Roman" w:eastAsia="Times New Roman" w:hAnsi="Times New Roman" w:cs="Times New Roman"/>
                <w:sz w:val="24"/>
                <w:szCs w:val="24"/>
                <w:lang w:eastAsia="lv-LV"/>
              </w:rPr>
            </w:pPr>
          </w:p>
          <w:p w14:paraId="4830BDD7" w14:textId="77777777" w:rsidR="00370C20" w:rsidRPr="0072076F" w:rsidRDefault="00370C20" w:rsidP="00B34588">
            <w:pPr>
              <w:rPr>
                <w:rFonts w:ascii="Times New Roman" w:eastAsia="Times New Roman" w:hAnsi="Times New Roman" w:cs="Times New Roman"/>
                <w:sz w:val="24"/>
                <w:szCs w:val="24"/>
                <w:lang w:eastAsia="lv-LV"/>
              </w:rPr>
            </w:pPr>
          </w:p>
          <w:p w14:paraId="10EFC5AA" w14:textId="77777777" w:rsidR="00370C20" w:rsidRPr="0072076F" w:rsidRDefault="00370C20" w:rsidP="00B34588">
            <w:pPr>
              <w:rPr>
                <w:rFonts w:ascii="Times New Roman" w:eastAsia="Times New Roman" w:hAnsi="Times New Roman" w:cs="Times New Roman"/>
                <w:sz w:val="24"/>
                <w:szCs w:val="24"/>
                <w:lang w:eastAsia="lv-LV"/>
              </w:rPr>
            </w:pPr>
          </w:p>
          <w:p w14:paraId="597EB517" w14:textId="77777777" w:rsidR="00370C20" w:rsidRPr="0072076F" w:rsidRDefault="00370C20" w:rsidP="00B34588">
            <w:pPr>
              <w:rPr>
                <w:rFonts w:ascii="Times New Roman" w:eastAsia="Times New Roman" w:hAnsi="Times New Roman" w:cs="Times New Roman"/>
                <w:sz w:val="24"/>
                <w:szCs w:val="24"/>
                <w:lang w:eastAsia="lv-LV"/>
              </w:rPr>
            </w:pPr>
          </w:p>
          <w:p w14:paraId="6CF6253E" w14:textId="77777777" w:rsidR="00370C20" w:rsidRPr="0072076F" w:rsidRDefault="00370C20" w:rsidP="00B34588">
            <w:pPr>
              <w:rPr>
                <w:rFonts w:ascii="Times New Roman" w:eastAsia="Times New Roman" w:hAnsi="Times New Roman" w:cs="Times New Roman"/>
                <w:sz w:val="24"/>
                <w:szCs w:val="24"/>
                <w:lang w:eastAsia="lv-LV"/>
              </w:rPr>
            </w:pPr>
          </w:p>
          <w:p w14:paraId="39FFBF53" w14:textId="77777777" w:rsidR="00370C20" w:rsidRPr="0072076F" w:rsidRDefault="00370C20" w:rsidP="00B34588">
            <w:pPr>
              <w:rPr>
                <w:rFonts w:ascii="Times New Roman" w:eastAsia="Times New Roman" w:hAnsi="Times New Roman" w:cs="Times New Roman"/>
                <w:sz w:val="24"/>
                <w:szCs w:val="24"/>
                <w:lang w:eastAsia="lv-LV"/>
              </w:rPr>
            </w:pPr>
          </w:p>
          <w:p w14:paraId="235B9A1D" w14:textId="77777777" w:rsidR="00370C20" w:rsidRPr="0072076F" w:rsidRDefault="00370C20" w:rsidP="00B34588">
            <w:pPr>
              <w:rPr>
                <w:rFonts w:ascii="Times New Roman" w:eastAsia="Times New Roman" w:hAnsi="Times New Roman" w:cs="Times New Roman"/>
                <w:sz w:val="24"/>
                <w:szCs w:val="24"/>
                <w:lang w:eastAsia="lv-LV"/>
              </w:rPr>
            </w:pPr>
          </w:p>
          <w:p w14:paraId="0C33FE8A" w14:textId="77777777" w:rsidR="00370C20" w:rsidRPr="0072076F" w:rsidRDefault="00370C20" w:rsidP="00B34588">
            <w:pPr>
              <w:rPr>
                <w:rFonts w:ascii="Times New Roman" w:eastAsia="Times New Roman" w:hAnsi="Times New Roman" w:cs="Times New Roman"/>
                <w:sz w:val="24"/>
                <w:szCs w:val="24"/>
                <w:lang w:eastAsia="lv-LV"/>
              </w:rPr>
            </w:pPr>
          </w:p>
          <w:p w14:paraId="41B8A9DB" w14:textId="77777777" w:rsidR="00370C20" w:rsidRPr="0072076F" w:rsidRDefault="00370C20" w:rsidP="00B34588">
            <w:pPr>
              <w:rPr>
                <w:rFonts w:ascii="Times New Roman" w:eastAsia="Times New Roman" w:hAnsi="Times New Roman" w:cs="Times New Roman"/>
                <w:sz w:val="24"/>
                <w:szCs w:val="24"/>
                <w:lang w:eastAsia="lv-LV"/>
              </w:rPr>
            </w:pPr>
          </w:p>
          <w:p w14:paraId="64591976" w14:textId="77777777" w:rsidR="00370C20" w:rsidRPr="0072076F" w:rsidRDefault="00370C20" w:rsidP="00B34588">
            <w:pPr>
              <w:rPr>
                <w:rFonts w:ascii="Times New Roman" w:eastAsia="Times New Roman" w:hAnsi="Times New Roman" w:cs="Times New Roman"/>
                <w:sz w:val="24"/>
                <w:szCs w:val="24"/>
                <w:lang w:eastAsia="lv-LV"/>
              </w:rPr>
            </w:pPr>
          </w:p>
          <w:p w14:paraId="4932BB14" w14:textId="77777777" w:rsidR="00370C20" w:rsidRPr="0072076F" w:rsidRDefault="00370C20" w:rsidP="00B34588">
            <w:pPr>
              <w:rPr>
                <w:rFonts w:ascii="Times New Roman" w:eastAsia="Times New Roman" w:hAnsi="Times New Roman" w:cs="Times New Roman"/>
                <w:sz w:val="24"/>
                <w:szCs w:val="24"/>
                <w:lang w:eastAsia="lv-LV"/>
              </w:rPr>
            </w:pPr>
          </w:p>
          <w:p w14:paraId="3A3FC7BB" w14:textId="77777777" w:rsidR="00370C20" w:rsidRPr="0072076F" w:rsidRDefault="00370C20" w:rsidP="00B34588">
            <w:pPr>
              <w:rPr>
                <w:rFonts w:ascii="Times New Roman" w:eastAsia="Times New Roman" w:hAnsi="Times New Roman" w:cs="Times New Roman"/>
                <w:sz w:val="24"/>
                <w:szCs w:val="24"/>
                <w:lang w:eastAsia="lv-LV"/>
              </w:rPr>
            </w:pPr>
          </w:p>
          <w:p w14:paraId="3BDE2621" w14:textId="77777777" w:rsidR="00370C20" w:rsidRPr="0072076F" w:rsidRDefault="00370C20" w:rsidP="00B34588">
            <w:pPr>
              <w:rPr>
                <w:rFonts w:ascii="Times New Roman" w:eastAsia="Times New Roman" w:hAnsi="Times New Roman" w:cs="Times New Roman"/>
                <w:sz w:val="24"/>
                <w:szCs w:val="24"/>
                <w:lang w:eastAsia="lv-LV"/>
              </w:rPr>
            </w:pPr>
          </w:p>
          <w:p w14:paraId="5469879E" w14:textId="77777777" w:rsidR="00370C20" w:rsidRPr="0072076F" w:rsidRDefault="00370C20" w:rsidP="00B34588">
            <w:pPr>
              <w:rPr>
                <w:rFonts w:ascii="Times New Roman" w:eastAsia="Times New Roman" w:hAnsi="Times New Roman" w:cs="Times New Roman"/>
                <w:sz w:val="24"/>
                <w:szCs w:val="24"/>
                <w:lang w:eastAsia="lv-LV"/>
              </w:rPr>
            </w:pPr>
          </w:p>
          <w:p w14:paraId="6F84AB1C" w14:textId="77777777" w:rsidR="00370C20" w:rsidRPr="0072076F" w:rsidRDefault="00370C20" w:rsidP="00B34588">
            <w:pPr>
              <w:rPr>
                <w:rFonts w:ascii="Times New Roman" w:eastAsia="Times New Roman" w:hAnsi="Times New Roman" w:cs="Times New Roman"/>
                <w:sz w:val="24"/>
                <w:szCs w:val="24"/>
                <w:lang w:eastAsia="lv-LV"/>
              </w:rPr>
            </w:pPr>
          </w:p>
          <w:p w14:paraId="4FA554E5" w14:textId="77777777" w:rsidR="00370C20" w:rsidRPr="0072076F" w:rsidRDefault="00370C20" w:rsidP="00B34588">
            <w:pPr>
              <w:rPr>
                <w:rFonts w:ascii="Times New Roman" w:eastAsia="Times New Roman" w:hAnsi="Times New Roman" w:cs="Times New Roman"/>
                <w:sz w:val="24"/>
                <w:szCs w:val="24"/>
                <w:lang w:eastAsia="lv-LV"/>
              </w:rPr>
            </w:pPr>
          </w:p>
          <w:p w14:paraId="14B6BB9F" w14:textId="77777777" w:rsidR="00370C20" w:rsidRPr="0072076F" w:rsidRDefault="00370C20" w:rsidP="00B34588">
            <w:pPr>
              <w:rPr>
                <w:rFonts w:ascii="Times New Roman" w:eastAsia="Times New Roman" w:hAnsi="Times New Roman" w:cs="Times New Roman"/>
                <w:sz w:val="24"/>
                <w:szCs w:val="24"/>
                <w:lang w:eastAsia="lv-LV"/>
              </w:rPr>
            </w:pPr>
          </w:p>
          <w:p w14:paraId="414881DA" w14:textId="66572440" w:rsidR="00E7527E" w:rsidRPr="0072076F" w:rsidRDefault="00E7527E" w:rsidP="00B34588">
            <w:pPr>
              <w:jc w:val="center"/>
              <w:rPr>
                <w:rFonts w:ascii="Times New Roman" w:eastAsia="Times New Roman" w:hAnsi="Times New Roman" w:cs="Times New Roman"/>
                <w:sz w:val="24"/>
                <w:szCs w:val="24"/>
                <w:lang w:eastAsia="lv-LV"/>
              </w:rPr>
            </w:pPr>
          </w:p>
          <w:p w14:paraId="24FD4F09" w14:textId="77777777" w:rsidR="00E7527E" w:rsidRPr="0072076F" w:rsidRDefault="00E7527E" w:rsidP="00E7527E">
            <w:pPr>
              <w:rPr>
                <w:rFonts w:ascii="Times New Roman" w:eastAsia="Times New Roman" w:hAnsi="Times New Roman" w:cs="Times New Roman"/>
                <w:sz w:val="24"/>
                <w:szCs w:val="24"/>
                <w:lang w:eastAsia="lv-LV"/>
              </w:rPr>
            </w:pPr>
          </w:p>
          <w:p w14:paraId="06FC54A3" w14:textId="77777777" w:rsidR="00E7527E" w:rsidRPr="0072076F" w:rsidRDefault="00E7527E" w:rsidP="00E7527E">
            <w:pPr>
              <w:rPr>
                <w:rFonts w:ascii="Times New Roman" w:eastAsia="Times New Roman" w:hAnsi="Times New Roman" w:cs="Times New Roman"/>
                <w:sz w:val="24"/>
                <w:szCs w:val="24"/>
                <w:lang w:eastAsia="lv-LV"/>
              </w:rPr>
            </w:pPr>
          </w:p>
          <w:p w14:paraId="6BDC539A" w14:textId="77777777" w:rsidR="00E7527E" w:rsidRPr="0072076F" w:rsidRDefault="00E7527E" w:rsidP="00E7527E">
            <w:pPr>
              <w:rPr>
                <w:rFonts w:ascii="Times New Roman" w:eastAsia="Times New Roman" w:hAnsi="Times New Roman" w:cs="Times New Roman"/>
                <w:sz w:val="24"/>
                <w:szCs w:val="24"/>
                <w:lang w:eastAsia="lv-LV"/>
              </w:rPr>
            </w:pPr>
          </w:p>
          <w:p w14:paraId="148A3F3F" w14:textId="77777777" w:rsidR="00E7527E" w:rsidRPr="0072076F" w:rsidRDefault="00E7527E" w:rsidP="00E7527E">
            <w:pPr>
              <w:rPr>
                <w:rFonts w:ascii="Times New Roman" w:eastAsia="Times New Roman" w:hAnsi="Times New Roman" w:cs="Times New Roman"/>
                <w:sz w:val="24"/>
                <w:szCs w:val="24"/>
                <w:lang w:eastAsia="lv-LV"/>
              </w:rPr>
            </w:pPr>
          </w:p>
          <w:p w14:paraId="381692BA" w14:textId="7E80214B" w:rsidR="00370C20" w:rsidRPr="0072076F" w:rsidRDefault="00370C20" w:rsidP="00E7527E">
            <w:pPr>
              <w:jc w:val="center"/>
              <w:rPr>
                <w:rFonts w:ascii="Times New Roman" w:eastAsia="Times New Roman" w:hAnsi="Times New Roman" w:cs="Times New Roman"/>
                <w:sz w:val="24"/>
                <w:szCs w:val="24"/>
                <w:lang w:eastAsia="lv-LV"/>
              </w:rPr>
            </w:pPr>
          </w:p>
        </w:tc>
        <w:tc>
          <w:tcPr>
            <w:tcW w:w="3200" w:type="pct"/>
            <w:tcBorders>
              <w:top w:val="outset" w:sz="6" w:space="0" w:color="414142"/>
              <w:left w:val="outset" w:sz="6" w:space="0" w:color="414142"/>
              <w:bottom w:val="outset" w:sz="6" w:space="0" w:color="414142"/>
              <w:right w:val="outset" w:sz="6" w:space="0" w:color="414142"/>
            </w:tcBorders>
            <w:hideMark/>
          </w:tcPr>
          <w:p w14:paraId="442988D2"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lastRenderedPageBreak/>
              <w:t>Likumprojekts ir izstrādāts, lai uzlabotu esošo tūrisma aģentu un tūrisma operatoru darbības sistēmu Latvijā, kā arī ieviestu 2015.gada 25. novembrī pieņemtās Direktīvas prasības Latvijas normatīvajos aktos. Direktīva paredz, ka Eiropas Savienības (turpmāk – ES) dalībvalstis līdz 2018. gada 1. janvārim pieņem un publicē normatīvos un administratīvos aktus, kas vajadzīgi, lai izpildītu šīs direktīvas prasības. Dalībvalstīm jāpiemēro minētos noteikumus no 2018. gada 1. jūlija.</w:t>
            </w:r>
          </w:p>
          <w:p w14:paraId="0872C239"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3591C7B2"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Būtiskākās izmaiņas jaunajā Direktīvā ir saistītas ar: </w:t>
            </w:r>
          </w:p>
          <w:p w14:paraId="34A6B9FA" w14:textId="77777777" w:rsidR="00370C20" w:rsidRPr="0072076F" w:rsidRDefault="00370C20" w:rsidP="00B34588">
            <w:pPr>
              <w:pStyle w:val="ListParagraph"/>
              <w:numPr>
                <w:ilvl w:val="0"/>
                <w:numId w:val="7"/>
              </w:num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ceļojuma pakalpojuma kombināciju nošķiršanu, vienlaikus diversificējot prasības, kas attiecas uz kompleksajiem un saistītajiem tūrisma pakalpojumiem, </w:t>
            </w:r>
          </w:p>
          <w:p w14:paraId="7B397C24" w14:textId="77777777" w:rsidR="00370C20" w:rsidRPr="0072076F" w:rsidRDefault="00370C20" w:rsidP="00B34588">
            <w:pPr>
              <w:pStyle w:val="ListParagraph"/>
              <w:numPr>
                <w:ilvl w:val="0"/>
                <w:numId w:val="7"/>
              </w:num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informācijas sniegšanas prasībām, </w:t>
            </w:r>
          </w:p>
          <w:p w14:paraId="675C667D" w14:textId="77777777" w:rsidR="00370C20" w:rsidRPr="0072076F" w:rsidRDefault="00370C20" w:rsidP="00B34588">
            <w:pPr>
              <w:pStyle w:val="ListParagraph"/>
              <w:numPr>
                <w:ilvl w:val="0"/>
                <w:numId w:val="7"/>
              </w:num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izvirzītajiem nosacījumiem attiecībā uz pakalpojuma cenām un cenu izmaiņām, </w:t>
            </w:r>
          </w:p>
          <w:p w14:paraId="5ED4BB86" w14:textId="77777777" w:rsidR="00370C20" w:rsidRPr="0072076F" w:rsidRDefault="00370C20" w:rsidP="00B34588">
            <w:pPr>
              <w:pStyle w:val="ListParagraph"/>
              <w:numPr>
                <w:ilvl w:val="0"/>
                <w:numId w:val="7"/>
              </w:num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noteiktajām stingrākām prasībām attiecībā uz pakalpojumu sniedzēju atbildību,</w:t>
            </w:r>
          </w:p>
          <w:p w14:paraId="222AF606" w14:textId="77777777" w:rsidR="00370C20" w:rsidRPr="0072076F" w:rsidRDefault="00370C20" w:rsidP="00B34588">
            <w:pPr>
              <w:pStyle w:val="ListParagraph"/>
              <w:numPr>
                <w:ilvl w:val="0"/>
                <w:numId w:val="7"/>
              </w:num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noteikti precīzāki nosacījumi attiecībā uz ceļotāju aizsardzību pakalpojumu sniedzēju maksātnespējas gadījumā.</w:t>
            </w:r>
          </w:p>
          <w:p w14:paraId="652CFEB2"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0A33ED8D" w14:textId="77777777" w:rsidR="00370C20" w:rsidRPr="0072076F" w:rsidRDefault="00370C20" w:rsidP="00B34588">
            <w:pPr>
              <w:spacing w:after="0" w:line="240" w:lineRule="auto"/>
              <w:jc w:val="both"/>
              <w:rPr>
                <w:rFonts w:ascii="Times New Roman" w:eastAsia="Times New Roman" w:hAnsi="Times New Roman" w:cs="Times New Roman"/>
                <w:bCs/>
                <w:iCs/>
                <w:sz w:val="24"/>
                <w:szCs w:val="24"/>
                <w:lang w:eastAsia="lv-LV"/>
              </w:rPr>
            </w:pPr>
            <w:r w:rsidRPr="0072076F">
              <w:rPr>
                <w:rFonts w:ascii="Times New Roman" w:eastAsia="Times New Roman" w:hAnsi="Times New Roman" w:cs="Times New Roman"/>
                <w:bCs/>
                <w:iCs/>
                <w:sz w:val="24"/>
                <w:szCs w:val="24"/>
                <w:lang w:eastAsia="lv-LV"/>
              </w:rPr>
              <w:t>Pašlaik Tūrisma likums definē tūrisma nozares pakalpojuma sniedzējus kā arī nosaka galvenos kritērijus, kuri ļauj tiem piedāvāt tūrisma pakalpojumus.  Savukārt Ministru kabineta 2010.gada 13. aprīļa noteikumi Nr.353 “Par tūrisma operatora, tūrisma aģenta un klienta tiesībām un pienākumiem, kompleksa tūrismā pakalpojuma sagatavošanas un īstenošanas kartību, klientam sniedzamo informāciju un naudas drošības garantijas iemaksas kārtību”, nosaka Tūrisma operatoru minimālo klientu iemaksātās naudas drošības garantiju (28 457.44 EUR apmērā), un kārtību kādā Tūrisma operatori un tūrisma aģenti tiek reģistrēti datubāze.</w:t>
            </w:r>
          </w:p>
          <w:p w14:paraId="052CE982" w14:textId="77777777" w:rsidR="00370C20" w:rsidRPr="0072076F" w:rsidRDefault="00370C20" w:rsidP="00B34588">
            <w:pPr>
              <w:spacing w:after="0" w:line="240" w:lineRule="auto"/>
              <w:jc w:val="both"/>
              <w:rPr>
                <w:rFonts w:ascii="Times New Roman" w:eastAsia="Times New Roman" w:hAnsi="Times New Roman" w:cs="Times New Roman"/>
                <w:bCs/>
                <w:iCs/>
                <w:sz w:val="24"/>
                <w:szCs w:val="24"/>
                <w:lang w:eastAsia="lv-LV"/>
              </w:rPr>
            </w:pPr>
          </w:p>
          <w:p w14:paraId="2706C4F1" w14:textId="77777777" w:rsidR="00370C20" w:rsidRPr="0072076F" w:rsidRDefault="00370C20" w:rsidP="00B34588">
            <w:pPr>
              <w:spacing w:after="0" w:line="240" w:lineRule="auto"/>
              <w:jc w:val="both"/>
              <w:rPr>
                <w:rFonts w:ascii="Times New Roman" w:eastAsia="Times New Roman" w:hAnsi="Times New Roman" w:cs="Times New Roman"/>
                <w:bCs/>
                <w:iCs/>
                <w:sz w:val="24"/>
                <w:szCs w:val="24"/>
                <w:lang w:eastAsia="lv-LV"/>
              </w:rPr>
            </w:pPr>
            <w:r w:rsidRPr="0072076F">
              <w:rPr>
                <w:rFonts w:ascii="Times New Roman" w:eastAsia="Times New Roman" w:hAnsi="Times New Roman" w:cs="Times New Roman"/>
                <w:bCs/>
                <w:iCs/>
                <w:sz w:val="24"/>
                <w:szCs w:val="24"/>
                <w:lang w:eastAsia="lv-LV"/>
              </w:rPr>
              <w:t>Realitātē sistēma nefunkcionē efektīvi galvenokārt 3 iemeslu dēļ:</w:t>
            </w:r>
          </w:p>
          <w:p w14:paraId="49BE2B8A" w14:textId="20D5F9A5" w:rsidR="00370C20" w:rsidRPr="0072076F" w:rsidRDefault="00370C20" w:rsidP="00B34588">
            <w:pPr>
              <w:numPr>
                <w:ilvl w:val="0"/>
                <w:numId w:val="5"/>
              </w:numPr>
              <w:spacing w:after="0" w:line="240" w:lineRule="auto"/>
              <w:jc w:val="both"/>
              <w:rPr>
                <w:rFonts w:ascii="Times New Roman" w:eastAsia="Times New Roman" w:hAnsi="Times New Roman" w:cs="Times New Roman"/>
                <w:bCs/>
                <w:iCs/>
                <w:sz w:val="24"/>
                <w:szCs w:val="24"/>
                <w:lang w:eastAsia="lv-LV"/>
              </w:rPr>
            </w:pPr>
            <w:r w:rsidRPr="0072076F">
              <w:rPr>
                <w:rFonts w:ascii="Times New Roman" w:eastAsia="Times New Roman" w:hAnsi="Times New Roman" w:cs="Times New Roman"/>
                <w:bCs/>
                <w:iCs/>
                <w:sz w:val="24"/>
                <w:szCs w:val="24"/>
                <w:lang w:eastAsia="lv-LV"/>
              </w:rPr>
              <w:t>28 457 EUR nav pietiekama summa, lai segtu zaudējumus, kas saistīti ar kompleksā tūrisma pakalpojuma nodrošinātāja maksātnespēju;</w:t>
            </w:r>
          </w:p>
          <w:p w14:paraId="1F992CBE" w14:textId="77777777" w:rsidR="00370C20" w:rsidRPr="0072076F" w:rsidRDefault="00370C20" w:rsidP="00B34588">
            <w:pPr>
              <w:numPr>
                <w:ilvl w:val="0"/>
                <w:numId w:val="5"/>
              </w:numPr>
              <w:spacing w:after="0" w:line="240" w:lineRule="auto"/>
              <w:jc w:val="both"/>
              <w:rPr>
                <w:rFonts w:ascii="Times New Roman" w:eastAsia="Times New Roman" w:hAnsi="Times New Roman" w:cs="Times New Roman"/>
                <w:bCs/>
                <w:iCs/>
                <w:sz w:val="24"/>
                <w:szCs w:val="24"/>
                <w:lang w:eastAsia="lv-LV"/>
              </w:rPr>
            </w:pPr>
            <w:r w:rsidRPr="0072076F">
              <w:rPr>
                <w:rFonts w:ascii="Times New Roman" w:eastAsia="Times New Roman" w:hAnsi="Times New Roman" w:cs="Times New Roman"/>
                <w:bCs/>
                <w:iCs/>
                <w:sz w:val="24"/>
                <w:szCs w:val="24"/>
                <w:lang w:eastAsia="lv-LV"/>
              </w:rPr>
              <w:t>minimālās drošības garantijas uzturēšana ir obligāta tikai tūrisma operatoriem, līdz ar to praksē to ir vienkārši apiet tūrisma aģentiem, kuri nenorāda, ka tie darbojas arī kā tūrisma operatori;</w:t>
            </w:r>
          </w:p>
          <w:p w14:paraId="5256462C" w14:textId="3651EB70" w:rsidR="00370C20" w:rsidRPr="0072076F" w:rsidRDefault="00370C20" w:rsidP="00B34588">
            <w:pPr>
              <w:numPr>
                <w:ilvl w:val="0"/>
                <w:numId w:val="5"/>
              </w:numPr>
              <w:spacing w:after="0" w:line="240" w:lineRule="auto"/>
              <w:jc w:val="both"/>
              <w:rPr>
                <w:rFonts w:ascii="Times New Roman" w:eastAsia="Times New Roman" w:hAnsi="Times New Roman" w:cs="Times New Roman"/>
                <w:bCs/>
                <w:iCs/>
                <w:sz w:val="24"/>
                <w:szCs w:val="24"/>
                <w:lang w:eastAsia="lv-LV"/>
              </w:rPr>
            </w:pPr>
            <w:r w:rsidRPr="0072076F">
              <w:rPr>
                <w:rFonts w:ascii="Times New Roman" w:eastAsia="Times New Roman" w:hAnsi="Times New Roman" w:cs="Times New Roman"/>
                <w:bCs/>
                <w:iCs/>
                <w:sz w:val="24"/>
                <w:szCs w:val="24"/>
                <w:lang w:eastAsia="lv-LV"/>
              </w:rPr>
              <w:t>nepilnīgs kontroles mehānisma, lai nodrošinātu uzraudzību</w:t>
            </w:r>
            <w:r w:rsidR="00652500" w:rsidRPr="0072076F">
              <w:rPr>
                <w:rFonts w:ascii="Times New Roman" w:eastAsia="Times New Roman" w:hAnsi="Times New Roman" w:cs="Times New Roman"/>
                <w:bCs/>
                <w:iCs/>
                <w:sz w:val="24"/>
                <w:szCs w:val="24"/>
                <w:lang w:eastAsia="lv-LV"/>
              </w:rPr>
              <w:t>,</w:t>
            </w:r>
            <w:r w:rsidRPr="0072076F">
              <w:rPr>
                <w:rFonts w:ascii="Times New Roman" w:eastAsia="Times New Roman" w:hAnsi="Times New Roman" w:cs="Times New Roman"/>
                <w:bCs/>
                <w:iCs/>
                <w:sz w:val="24"/>
                <w:szCs w:val="24"/>
                <w:lang w:eastAsia="lv-LV"/>
              </w:rPr>
              <w:t xml:space="preserve"> </w:t>
            </w:r>
            <w:r w:rsidR="00652500" w:rsidRPr="0072076F">
              <w:rPr>
                <w:rFonts w:ascii="Times New Roman" w:eastAsia="Times New Roman" w:hAnsi="Times New Roman" w:cs="Times New Roman"/>
                <w:bCs/>
                <w:iCs/>
                <w:sz w:val="24"/>
                <w:szCs w:val="24"/>
                <w:lang w:eastAsia="lv-LV"/>
              </w:rPr>
              <w:t>ka</w:t>
            </w:r>
            <w:r w:rsidRPr="0072076F">
              <w:rPr>
                <w:rFonts w:ascii="Times New Roman" w:eastAsia="Times New Roman" w:hAnsi="Times New Roman" w:cs="Times New Roman"/>
                <w:bCs/>
                <w:iCs/>
                <w:sz w:val="24"/>
                <w:szCs w:val="24"/>
                <w:lang w:eastAsia="lv-LV"/>
              </w:rPr>
              <w:t xml:space="preserve"> visi pakalpojumu sniedzēji, kas reģistrēti kā tūrisma operatori uztur </w:t>
            </w:r>
            <w:r w:rsidRPr="0072076F">
              <w:rPr>
                <w:rFonts w:ascii="Times New Roman" w:eastAsia="Times New Roman" w:hAnsi="Times New Roman" w:cs="Times New Roman"/>
                <w:bCs/>
                <w:iCs/>
                <w:sz w:val="24"/>
                <w:szCs w:val="24"/>
                <w:lang w:eastAsia="lv-LV"/>
              </w:rPr>
              <w:lastRenderedPageBreak/>
              <w:t>nepieciešamo minimālo drošības garantiju, galvenokārt resursu trūkuma dēļ.</w:t>
            </w:r>
          </w:p>
          <w:p w14:paraId="52CED4F5"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63CCA613"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Ņemot vērā to, ka Direktīva paredz komplekso tūrisma pakalpojumu jomas pastiprinātu kontroli valstī, kā arī ievērojot to, ka esošais tūrisma aģentu un tūrisma operatoru darbības regulējums nedod pietiekamas iespējas novērtēt komersantu darbības atbilstību un </w:t>
            </w:r>
            <w:r w:rsidRPr="0072076F">
              <w:rPr>
                <w:rFonts w:ascii="Times New Roman" w:eastAsia="Times New Roman" w:hAnsi="Times New Roman" w:cs="Times New Roman"/>
                <w:sz w:val="24"/>
                <w:szCs w:val="24"/>
                <w:lang w:eastAsia="lv-LV"/>
              </w:rPr>
              <w:t>Direktīvā noteikto patērētāju aizsardzības līmeņa nodrošināšanu</w:t>
            </w:r>
            <w:r w:rsidRPr="0072076F">
              <w:rPr>
                <w:rFonts w:ascii="Times New Roman" w:eastAsia="Times New Roman" w:hAnsi="Times New Roman" w:cs="Times New Roman"/>
                <w:iCs/>
                <w:sz w:val="24"/>
                <w:szCs w:val="24"/>
                <w:lang w:eastAsia="lv-LV"/>
              </w:rPr>
              <w:t xml:space="preserve"> līdzšinējās sistēmas vietā, papildus Direktīvas pantu transponēšanai Latvijas Republikas tiesību aktos ir nepieciešams ieviest tādu komplekso tūrisma pakalpojumu regulējuma modeli, kas nodrošinātu tūrisma pakalpojumu sniegšanas kārtību, efektīvu šīs sistēmas uzraudzības mehānismu un sniegtu maksimālu nodrošinājumu komplekso tūrisma pakalpojuma saņēmējiem.</w:t>
            </w:r>
          </w:p>
          <w:p w14:paraId="3D0C1665" w14:textId="77777777" w:rsidR="00370C20" w:rsidRPr="0072076F" w:rsidRDefault="00370C20" w:rsidP="00B34588">
            <w:pPr>
              <w:spacing w:after="0" w:line="240" w:lineRule="auto"/>
              <w:jc w:val="both"/>
              <w:rPr>
                <w:rFonts w:ascii="Times New Roman" w:eastAsia="Times New Roman" w:hAnsi="Times New Roman" w:cs="Times New Roman"/>
                <w:bCs/>
                <w:iCs/>
                <w:sz w:val="24"/>
                <w:szCs w:val="24"/>
                <w:lang w:eastAsia="lv-LV"/>
              </w:rPr>
            </w:pPr>
          </w:p>
          <w:p w14:paraId="13C40553" w14:textId="77777777" w:rsidR="00370C20" w:rsidRPr="0072076F" w:rsidRDefault="00370C20" w:rsidP="00B34588">
            <w:pPr>
              <w:spacing w:after="0" w:line="240" w:lineRule="auto"/>
              <w:jc w:val="both"/>
              <w:rPr>
                <w:rFonts w:ascii="Times New Roman" w:eastAsia="Times New Roman" w:hAnsi="Times New Roman" w:cs="Times New Roman"/>
                <w:b/>
                <w:bCs/>
                <w:iCs/>
                <w:sz w:val="24"/>
                <w:szCs w:val="24"/>
                <w:lang w:eastAsia="lv-LV"/>
              </w:rPr>
            </w:pPr>
            <w:r w:rsidRPr="0072076F">
              <w:rPr>
                <w:rFonts w:ascii="Times New Roman" w:eastAsia="Times New Roman" w:hAnsi="Times New Roman" w:cs="Times New Roman"/>
                <w:b/>
                <w:bCs/>
                <w:iCs/>
                <w:sz w:val="24"/>
                <w:szCs w:val="24"/>
                <w:lang w:eastAsia="lv-LV"/>
              </w:rPr>
              <w:t>2.1. Jaunas drošības garantijas modeļa ieviešana Latvijā</w:t>
            </w:r>
          </w:p>
          <w:p w14:paraId="620CF274" w14:textId="212027EF" w:rsidR="00370C20" w:rsidRPr="0072076F" w:rsidRDefault="00370C20" w:rsidP="00B34588">
            <w:pPr>
              <w:spacing w:after="0" w:line="240" w:lineRule="auto"/>
              <w:jc w:val="both"/>
              <w:rPr>
                <w:rFonts w:ascii="Times New Roman" w:eastAsia="Times New Roman" w:hAnsi="Times New Roman" w:cs="Times New Roman"/>
                <w:bCs/>
                <w:iCs/>
                <w:sz w:val="24"/>
                <w:szCs w:val="24"/>
                <w:lang w:eastAsia="lv-LV"/>
              </w:rPr>
            </w:pPr>
            <w:r w:rsidRPr="0072076F">
              <w:rPr>
                <w:rFonts w:ascii="Times New Roman" w:eastAsia="Times New Roman" w:hAnsi="Times New Roman" w:cs="Times New Roman"/>
                <w:bCs/>
                <w:iCs/>
                <w:sz w:val="24"/>
                <w:szCs w:val="24"/>
                <w:lang w:eastAsia="lv-LV"/>
              </w:rPr>
              <w:t xml:space="preserve">Atbilstoši spēkā esošajam normatīvajam regulējumam  klientu iemaksātās naudas drošības garantija var tikt īstenota kā apdrošināšana vai bankas garantija. Minimālais nodrošinājuma garantijas apjoms šobrīd noteikts 28457,44 EUR apmērā. Garantija tiek nodrošināta par periodu ne mazāku par vienu gadu, un tai jābūt pietiekamai, lai </w:t>
            </w:r>
            <w:r w:rsidR="0082535B" w:rsidRPr="0072076F">
              <w:rPr>
                <w:rFonts w:ascii="Times New Roman" w:eastAsia="Times New Roman" w:hAnsi="Times New Roman" w:cs="Times New Roman"/>
                <w:bCs/>
                <w:iCs/>
                <w:sz w:val="24"/>
                <w:szCs w:val="24"/>
                <w:lang w:eastAsia="lv-LV"/>
              </w:rPr>
              <w:t xml:space="preserve">tūrisma pakalpojuma sniedzēja </w:t>
            </w:r>
            <w:r w:rsidRPr="0072076F">
              <w:rPr>
                <w:rFonts w:ascii="Times New Roman" w:eastAsia="Times New Roman" w:hAnsi="Times New Roman" w:cs="Times New Roman"/>
                <w:bCs/>
                <w:iCs/>
                <w:sz w:val="24"/>
                <w:szCs w:val="24"/>
                <w:lang w:eastAsia="lv-LV"/>
              </w:rPr>
              <w:t xml:space="preserve">maksātnespējas gadījumā varētu atmaksāt klienta iemaksāto naudas summu pilnā apmērā, kā arī nepieciešamības gadījumā nodrošināt ceļotāju atgriešanos valstī, no kuras sācies ceļojums. Šobrīd šādu garantiju ir jānodrošina komplekso tūrisma pakalpojumu organizatoriem jeb tūrisma operatoriem. Tūrisma aģentiem šāda garantija nav jānodrošina, jo tie darbojās kā mazumtirgotāji, tomēr saskaņā ar Tūrisma likuma 16.panta </w:t>
            </w:r>
            <w:r w:rsidR="0082535B" w:rsidRPr="0072076F">
              <w:rPr>
                <w:rFonts w:ascii="Times New Roman" w:eastAsia="Times New Roman" w:hAnsi="Times New Roman" w:cs="Times New Roman"/>
                <w:bCs/>
                <w:iCs/>
                <w:sz w:val="24"/>
                <w:szCs w:val="24"/>
                <w:lang w:eastAsia="lv-LV"/>
              </w:rPr>
              <w:t>14.</w:t>
            </w:r>
            <w:r w:rsidRPr="0072076F">
              <w:rPr>
                <w:rFonts w:ascii="Times New Roman" w:eastAsia="Times New Roman" w:hAnsi="Times New Roman" w:cs="Times New Roman"/>
                <w:bCs/>
                <w:iCs/>
                <w:sz w:val="24"/>
                <w:szCs w:val="24"/>
                <w:lang w:eastAsia="lv-LV"/>
              </w:rPr>
              <w:t xml:space="preserve"> </w:t>
            </w:r>
            <w:r w:rsidR="0082535B" w:rsidRPr="0072076F">
              <w:rPr>
                <w:rFonts w:ascii="Times New Roman" w:eastAsia="Times New Roman" w:hAnsi="Times New Roman" w:cs="Times New Roman"/>
                <w:bCs/>
                <w:iCs/>
                <w:sz w:val="24"/>
                <w:szCs w:val="24"/>
                <w:lang w:eastAsia="lv-LV"/>
              </w:rPr>
              <w:t>punktu</w:t>
            </w:r>
            <w:r w:rsidRPr="0072076F">
              <w:rPr>
                <w:rFonts w:ascii="Times New Roman" w:eastAsia="Times New Roman" w:hAnsi="Times New Roman" w:cs="Times New Roman"/>
                <w:bCs/>
                <w:iCs/>
                <w:sz w:val="24"/>
                <w:szCs w:val="24"/>
                <w:lang w:eastAsia="lv-LV"/>
              </w:rPr>
              <w:t xml:space="preserve">, tūrisma aģenti drīkst piedāvāt vai pārdot tikai tādu kompleksu tūrisma pakalpojumu, kas ir nodrošināts ar klientu iemaksātās naudas drošības garantiju. </w:t>
            </w:r>
          </w:p>
          <w:p w14:paraId="25BE39EA"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0DC07D75"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Šobrīd normatīvajos aktos noteikts, ka  jānodrošina klientu iemaksātas naudas summas zaudējumu atlīdzību pilnā apmērā̄. Tomēr likumā paredzētās sankcijas tūrisma operatoriem ir neefektīvas, jo tās nenodrošina ceļotāju atgriešanos valstī, no kuras sācies ceļojums. Nepastāv kritēriji, kas noteiktu nepieciešamo garantiju apjomu atkarībā no komplekso tūrisma pakalpojumu sniedzēja izmēra un apgrozījuma. Šobrīd noteiktais atlīdzības saņemšanas mehānisms tūrisma pakalpojuma saņēmējiem ir nepilnīgs, jo priekšroka dota tiem pakalpojuma saņēmējiem, kuri pirmie iesniedz atlīdzības pieprasījuma pieteikumu. </w:t>
            </w:r>
          </w:p>
          <w:p w14:paraId="2C99B4DE"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1FBC6771"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Vērtējot citu ES dalībvalstu pieredzi pārņemot Direktīvas 205/2302 prasības, tiek secināts, ka ES dalībvalstīs pieeja klientu iemaksātās drošības naudas garantiju sistēmas modeļa ieviešanā ir atšķirīga. Daļā dalībvalstu nodrošinājuma garantijas tiek attiecinātas tikai uz tūrisma operatoriem, taču daļā dalībvalstu arī uz tūrisma aģentiem. Daļā ES dalībvalstu pastāv kombinēts nodrošinājuma garantiju modelis, kas ietver gan individuālo apdrošināšanas garantiju, ko sedz tūrisma operators un/vai tūrisma aģents, kā arī garantiju fondu, kurā iemaksas veic lielākie komplekso tūrisma pakalpojumu sniedzēji. </w:t>
            </w:r>
          </w:p>
          <w:p w14:paraId="19D915C5"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3824F77D" w14:textId="236FDA33" w:rsidR="00370C20" w:rsidRPr="0072076F" w:rsidRDefault="00370C20" w:rsidP="00B34588">
            <w:pPr>
              <w:spacing w:after="0" w:line="240" w:lineRule="auto"/>
              <w:jc w:val="both"/>
              <w:rPr>
                <w:rFonts w:ascii="Times New Roman" w:eastAsia="Times New Roman" w:hAnsi="Times New Roman" w:cs="Times New Roman"/>
                <w:bCs/>
                <w:iCs/>
                <w:sz w:val="24"/>
                <w:szCs w:val="24"/>
                <w:lang w:eastAsia="lv-LV"/>
              </w:rPr>
            </w:pPr>
            <w:r w:rsidRPr="0072076F">
              <w:rPr>
                <w:rFonts w:ascii="Times New Roman" w:eastAsia="Times New Roman" w:hAnsi="Times New Roman" w:cs="Times New Roman"/>
                <w:bCs/>
                <w:iCs/>
                <w:sz w:val="24"/>
                <w:szCs w:val="24"/>
                <w:lang w:eastAsia="lv-LV"/>
              </w:rPr>
              <w:lastRenderedPageBreak/>
              <w:t xml:space="preserve">Situācija Latvijā attiecībā uz komplekso tūrisma pakalpojumu sniedzēju maksātnespējas iestāšanos ir bijusi samērā pozitīva, jo </w:t>
            </w:r>
            <w:r w:rsidR="00652500" w:rsidRPr="0072076F">
              <w:rPr>
                <w:rFonts w:ascii="Times New Roman" w:eastAsia="Times New Roman" w:hAnsi="Times New Roman" w:cs="Times New Roman"/>
                <w:bCs/>
                <w:iCs/>
                <w:sz w:val="24"/>
                <w:szCs w:val="24"/>
                <w:lang w:eastAsia="lv-LV"/>
              </w:rPr>
              <w:t>1990.gada, kad stājās spēkā regulējums par komplekso pakalpojumu klientu iemaksātās naudas drošības garantijām</w:t>
            </w:r>
            <w:r w:rsidRPr="0072076F">
              <w:rPr>
                <w:rFonts w:ascii="Times New Roman" w:eastAsia="Times New Roman" w:hAnsi="Times New Roman" w:cs="Times New Roman"/>
                <w:bCs/>
                <w:iCs/>
                <w:sz w:val="24"/>
                <w:szCs w:val="24"/>
                <w:lang w:eastAsia="lv-LV"/>
              </w:rPr>
              <w:t xml:space="preserve">, ir konstatēti tikai daži gadījumi, kuros komplekso tūrisma pakalpojumu sniedzējs nespēja nodrošināt klienta apmaksātos ceļojumus. Kā vienu no ievērojamākajiem gadījumiem var minēt SIA “Royal Tour” un SIA “Planēta LL” gadījumu, kurā abu uzņēmumu kopējo zaudējumu summa sasniedza vairāk kā 300 000 latu (apmēram 443 647 EUR). Kā viens no nesenākajiem gadījumiem minams SIA “Relaks Tūre” maksātnespējas procesa uzsākšana, kur patērētāju pieprasīto kompensāciju apjoms sasniedza vairāk kā 55 000 EUR, kamēr komersants bija apdrošinājis tikai 28 500 EUR, kas saskaņā ar šī brīža normatīvajiem aktiem ir minimālā nepieciešamā garantijas summai. Ņemot vērā nesamērīgo SIA “Relaks Tūre”  apdrošināšanas polises summu ar reālajiem zaudējumiem, kas radušies iesaistītajām pusēm, ir skaidrs, ka visi klienti nespēs atgūt pakalpojuma sniedzējam samaksāto naudu, un šīs situācija vēlreiz pierāda pašreizējās sistēmas ne efektivitāti. </w:t>
            </w:r>
          </w:p>
          <w:p w14:paraId="7D3756D7" w14:textId="77777777" w:rsidR="00370C20" w:rsidRPr="0072076F" w:rsidRDefault="00370C20" w:rsidP="00B34588">
            <w:pPr>
              <w:spacing w:after="0" w:line="240" w:lineRule="auto"/>
              <w:jc w:val="both"/>
              <w:rPr>
                <w:rFonts w:ascii="Times New Roman" w:eastAsia="Times New Roman" w:hAnsi="Times New Roman" w:cs="Times New Roman"/>
                <w:bCs/>
                <w:iCs/>
                <w:sz w:val="24"/>
                <w:szCs w:val="24"/>
                <w:lang w:eastAsia="lv-LV"/>
              </w:rPr>
            </w:pPr>
          </w:p>
          <w:p w14:paraId="4F0B6D8A" w14:textId="158D82DA" w:rsidR="00370C20" w:rsidRPr="0072076F" w:rsidRDefault="00652500" w:rsidP="00B34588">
            <w:pPr>
              <w:spacing w:after="0" w:line="240" w:lineRule="auto"/>
              <w:jc w:val="both"/>
              <w:rPr>
                <w:rFonts w:ascii="Times New Roman" w:eastAsia="Times New Roman" w:hAnsi="Times New Roman" w:cs="Times New Roman"/>
                <w:bCs/>
                <w:iCs/>
                <w:sz w:val="24"/>
                <w:szCs w:val="24"/>
                <w:lang w:eastAsia="lv-LV"/>
              </w:rPr>
            </w:pPr>
            <w:r w:rsidRPr="0072076F">
              <w:rPr>
                <w:rFonts w:ascii="Times New Roman" w:eastAsia="Times New Roman" w:hAnsi="Times New Roman" w:cs="Times New Roman"/>
                <w:iCs/>
                <w:sz w:val="24"/>
                <w:szCs w:val="24"/>
                <w:lang w:eastAsia="lv-LV"/>
              </w:rPr>
              <w:t>Gan Padomes Direktīva 90/314/EEK, gan</w:t>
            </w:r>
            <w:r w:rsidRPr="0072076F">
              <w:rPr>
                <w:rFonts w:ascii="Times New Roman" w:eastAsia="Times New Roman" w:hAnsi="Times New Roman" w:cs="Times New Roman"/>
                <w:bCs/>
                <w:iCs/>
                <w:sz w:val="24"/>
                <w:szCs w:val="24"/>
                <w:lang w:eastAsia="lv-LV"/>
              </w:rPr>
              <w:t xml:space="preserve"> j</w:t>
            </w:r>
            <w:r w:rsidR="00370C20" w:rsidRPr="0072076F">
              <w:rPr>
                <w:rFonts w:ascii="Times New Roman" w:eastAsia="Times New Roman" w:hAnsi="Times New Roman" w:cs="Times New Roman"/>
                <w:bCs/>
                <w:iCs/>
                <w:sz w:val="24"/>
                <w:szCs w:val="24"/>
                <w:lang w:eastAsia="lv-LV"/>
              </w:rPr>
              <w:t>aunā Direktīva paredz Latvijas kā valsts atbildību attiecībā uz tāda modeļa ieviešanu Latvijā, kas nodrošina pilnīgu patērētāju aizsardzību tūrisma operatora maksātnespējas gadījumā. Līdz ar to, augst</w:t>
            </w:r>
            <w:r w:rsidR="00861351" w:rsidRPr="0072076F">
              <w:rPr>
                <w:rFonts w:ascii="Times New Roman" w:eastAsia="Times New Roman" w:hAnsi="Times New Roman" w:cs="Times New Roman"/>
                <w:bCs/>
                <w:iCs/>
                <w:sz w:val="24"/>
                <w:szCs w:val="24"/>
                <w:lang w:eastAsia="lv-LV"/>
              </w:rPr>
              <w:t>āk aprakstītajās situācijās, ja tūrisma pakalpojumu sniedzēja nodrošinājuma</w:t>
            </w:r>
            <w:r w:rsidR="00370C20" w:rsidRPr="0072076F">
              <w:rPr>
                <w:rFonts w:ascii="Times New Roman" w:eastAsia="Times New Roman" w:hAnsi="Times New Roman" w:cs="Times New Roman"/>
                <w:bCs/>
                <w:iCs/>
                <w:sz w:val="24"/>
                <w:szCs w:val="24"/>
                <w:lang w:eastAsia="lv-LV"/>
              </w:rPr>
              <w:t xml:space="preserve"> </w:t>
            </w:r>
            <w:r w:rsidR="00861351" w:rsidRPr="0072076F">
              <w:rPr>
                <w:rFonts w:ascii="Times New Roman" w:eastAsia="Times New Roman" w:hAnsi="Times New Roman" w:cs="Times New Roman"/>
                <w:bCs/>
                <w:iCs/>
                <w:sz w:val="24"/>
                <w:szCs w:val="24"/>
                <w:lang w:eastAsia="lv-LV"/>
              </w:rPr>
              <w:t xml:space="preserve">maksātnespējas gadījumā </w:t>
            </w:r>
            <w:r w:rsidR="00370C20" w:rsidRPr="0072076F">
              <w:rPr>
                <w:rFonts w:ascii="Times New Roman" w:eastAsia="Times New Roman" w:hAnsi="Times New Roman" w:cs="Times New Roman"/>
                <w:bCs/>
                <w:iCs/>
                <w:sz w:val="24"/>
                <w:szCs w:val="24"/>
                <w:lang w:eastAsia="lv-LV"/>
              </w:rPr>
              <w:t>modelis nespēs segt visus klientu zaudējumus, šie zaudējumi būs jāsedz valstij.</w:t>
            </w:r>
          </w:p>
          <w:p w14:paraId="047635A8"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45F51E6F" w14:textId="5D5F5733"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Pamatojoties uz citu valstu pieredzi, Ekonomikas ministrijas (turpmāk – EM) pasūtītā pētījuma “Priekšlikumu izstrāde kombinētā drošības garantijas modeļa ieviešanai Latvijā tūrisma pakalpojuma sniedzējiem” (turpmāk – Pētījums) rezultātiem, kā arī balsto</w:t>
            </w:r>
            <w:r w:rsidR="00861351" w:rsidRPr="0072076F">
              <w:rPr>
                <w:rFonts w:ascii="Times New Roman" w:eastAsia="Times New Roman" w:hAnsi="Times New Roman" w:cs="Times New Roman"/>
                <w:iCs/>
                <w:sz w:val="24"/>
                <w:szCs w:val="24"/>
                <w:lang w:eastAsia="lv-LV"/>
              </w:rPr>
              <w:t xml:space="preserve">ties uz nozares pausto viedokli un </w:t>
            </w:r>
            <w:r w:rsidRPr="0072076F">
              <w:rPr>
                <w:rFonts w:ascii="Times New Roman" w:eastAsia="Times New Roman" w:hAnsi="Times New Roman" w:cs="Times New Roman"/>
                <w:iCs/>
                <w:sz w:val="24"/>
                <w:szCs w:val="24"/>
                <w:lang w:eastAsia="lv-LV"/>
              </w:rPr>
              <w:t xml:space="preserve">EM veiktajiem aprēķiniem, </w:t>
            </w:r>
            <w:r w:rsidRPr="0072076F">
              <w:rPr>
                <w:rFonts w:ascii="Times New Roman" w:eastAsia="Times New Roman" w:hAnsi="Times New Roman" w:cs="Times New Roman"/>
                <w:iCs/>
                <w:sz w:val="24"/>
                <w:szCs w:val="24"/>
                <w:u w:val="single"/>
                <w:lang w:eastAsia="lv-LV"/>
              </w:rPr>
              <w:t>Latvijā tiek uzlabot</w:t>
            </w:r>
            <w:r w:rsidR="00861351" w:rsidRPr="0072076F">
              <w:rPr>
                <w:rFonts w:ascii="Times New Roman" w:eastAsia="Times New Roman" w:hAnsi="Times New Roman" w:cs="Times New Roman"/>
                <w:iCs/>
                <w:sz w:val="24"/>
                <w:szCs w:val="24"/>
                <w:u w:val="single"/>
                <w:lang w:eastAsia="lv-LV"/>
              </w:rPr>
              <w:t>a</w:t>
            </w:r>
            <w:r w:rsidRPr="0072076F">
              <w:rPr>
                <w:rFonts w:ascii="Times New Roman" w:eastAsia="Times New Roman" w:hAnsi="Times New Roman" w:cs="Times New Roman"/>
                <w:iCs/>
                <w:sz w:val="24"/>
                <w:szCs w:val="24"/>
                <w:u w:val="single"/>
                <w:lang w:eastAsia="lv-LV"/>
              </w:rPr>
              <w:t xml:space="preserve"> esošā tūrisma aģentu un operatoru drošības garantijas sistēm</w:t>
            </w:r>
            <w:r w:rsidR="00861351" w:rsidRPr="0072076F">
              <w:rPr>
                <w:rFonts w:ascii="Times New Roman" w:eastAsia="Times New Roman" w:hAnsi="Times New Roman" w:cs="Times New Roman"/>
                <w:iCs/>
                <w:sz w:val="24"/>
                <w:szCs w:val="24"/>
                <w:u w:val="single"/>
                <w:lang w:eastAsia="lv-LV"/>
              </w:rPr>
              <w:t>a</w:t>
            </w:r>
            <w:r w:rsidRPr="0072076F">
              <w:rPr>
                <w:rFonts w:ascii="Times New Roman" w:eastAsia="Times New Roman" w:hAnsi="Times New Roman" w:cs="Times New Roman"/>
                <w:iCs/>
                <w:sz w:val="24"/>
                <w:szCs w:val="24"/>
                <w:u w:val="single"/>
                <w:lang w:eastAsia="lv-LV"/>
              </w:rPr>
              <w:t xml:space="preserve"> un ieviest</w:t>
            </w:r>
            <w:r w:rsidR="00A37F96" w:rsidRPr="0072076F">
              <w:rPr>
                <w:rFonts w:ascii="Times New Roman" w:eastAsia="Times New Roman" w:hAnsi="Times New Roman" w:cs="Times New Roman"/>
                <w:iCs/>
                <w:sz w:val="24"/>
                <w:szCs w:val="24"/>
                <w:u w:val="single"/>
                <w:lang w:eastAsia="lv-LV"/>
              </w:rPr>
              <w:t>s</w:t>
            </w:r>
            <w:r w:rsidRPr="0072076F">
              <w:rPr>
                <w:rFonts w:ascii="Times New Roman" w:eastAsia="Times New Roman" w:hAnsi="Times New Roman" w:cs="Times New Roman"/>
                <w:iCs/>
                <w:sz w:val="24"/>
                <w:szCs w:val="24"/>
                <w:u w:val="single"/>
                <w:lang w:eastAsia="lv-LV"/>
              </w:rPr>
              <w:t xml:space="preserve"> kombinētais drošības garantijas modelis.</w:t>
            </w:r>
            <w:r w:rsidRPr="0072076F">
              <w:rPr>
                <w:rFonts w:ascii="Times New Roman" w:eastAsia="Times New Roman" w:hAnsi="Times New Roman" w:cs="Times New Roman"/>
                <w:iCs/>
                <w:sz w:val="24"/>
                <w:szCs w:val="24"/>
                <w:lang w:eastAsia="lv-LV"/>
              </w:rPr>
              <w:t xml:space="preserve"> </w:t>
            </w:r>
          </w:p>
          <w:p w14:paraId="679D6F33"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1DBFE06E" w14:textId="7A516180"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Likumprojekts paredz, ka nodrošinājums tūrisma pakalpojuma sniedzēja maksātnespējas gadījumā ir kombinēts drošības garantijas modelis, kas nodrošina klienta iemaksātās naudas atmaksāšanu</w:t>
            </w:r>
            <w:r w:rsidR="00861351" w:rsidRPr="0072076F">
              <w:rPr>
                <w:rFonts w:ascii="Times New Roman" w:eastAsia="Times New Roman" w:hAnsi="Times New Roman" w:cs="Times New Roman"/>
                <w:iCs/>
                <w:sz w:val="24"/>
                <w:szCs w:val="24"/>
                <w:lang w:eastAsia="lv-LV"/>
              </w:rPr>
              <w:t>,</w:t>
            </w:r>
            <w:r w:rsidRPr="0072076F">
              <w:rPr>
                <w:rFonts w:ascii="Times New Roman" w:eastAsia="Times New Roman" w:hAnsi="Times New Roman" w:cs="Times New Roman"/>
                <w:iCs/>
                <w:sz w:val="24"/>
                <w:szCs w:val="24"/>
                <w:lang w:eastAsia="lv-LV"/>
              </w:rPr>
              <w:t xml:space="preserve"> ceļotāju repatriāciju</w:t>
            </w:r>
            <w:r w:rsidR="00861351" w:rsidRPr="0072076F">
              <w:rPr>
                <w:rFonts w:ascii="Times New Roman" w:eastAsia="Times New Roman" w:hAnsi="Times New Roman" w:cs="Times New Roman"/>
                <w:iCs/>
                <w:sz w:val="24"/>
                <w:szCs w:val="24"/>
                <w:lang w:eastAsia="lv-LV"/>
              </w:rPr>
              <w:t xml:space="preserve"> un neparedzētu tūrisma pakalpojumu sniedzēju maksātnespēju gadījumu risku novēršanu</w:t>
            </w:r>
            <w:r w:rsidRPr="0072076F">
              <w:rPr>
                <w:rFonts w:ascii="Times New Roman" w:eastAsia="Times New Roman" w:hAnsi="Times New Roman" w:cs="Times New Roman"/>
                <w:iCs/>
                <w:sz w:val="24"/>
                <w:szCs w:val="24"/>
                <w:lang w:eastAsia="lv-LV"/>
              </w:rPr>
              <w:t xml:space="preserve">, ja tūrisma pakalpojuma sniedzēja likviditātes problēmu dēļ netiek pilnībā vai daļēji sniegti tūrisma pakalpojumi. </w:t>
            </w:r>
          </w:p>
          <w:p w14:paraId="65119AD3"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6F6D79B3" w14:textId="77777777" w:rsidR="00370C20" w:rsidRPr="0072076F" w:rsidRDefault="00370C20" w:rsidP="00B34588">
            <w:pPr>
              <w:spacing w:after="0" w:line="240" w:lineRule="auto"/>
              <w:jc w:val="both"/>
              <w:rPr>
                <w:rFonts w:ascii="Times New Roman" w:eastAsia="Times New Roman" w:hAnsi="Times New Roman" w:cs="Times New Roman"/>
                <w:iCs/>
                <w:sz w:val="24"/>
                <w:szCs w:val="24"/>
                <w:u w:val="single"/>
                <w:lang w:eastAsia="lv-LV"/>
              </w:rPr>
            </w:pPr>
            <w:r w:rsidRPr="0072076F">
              <w:rPr>
                <w:rFonts w:ascii="Times New Roman" w:eastAsia="Times New Roman" w:hAnsi="Times New Roman" w:cs="Times New Roman"/>
                <w:iCs/>
                <w:sz w:val="24"/>
                <w:szCs w:val="24"/>
                <w:u w:val="single"/>
                <w:lang w:eastAsia="lv-LV"/>
              </w:rPr>
              <w:t xml:space="preserve">Atbilstoši likumprojektam nodrošinājums tūrisma pakalpojuma sniedzēja maksātnespējas gadījumā ir: </w:t>
            </w:r>
          </w:p>
          <w:p w14:paraId="55E2BB31" w14:textId="77777777" w:rsidR="00370C20" w:rsidRPr="0072076F" w:rsidRDefault="00370C20" w:rsidP="00B34588">
            <w:pPr>
              <w:spacing w:after="0" w:line="240" w:lineRule="auto"/>
              <w:ind w:left="399"/>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1) apdrošināšana vai bankas garantija </w:t>
            </w:r>
            <w:r w:rsidRPr="0072076F">
              <w:rPr>
                <w:rFonts w:ascii="Times New Roman" w:eastAsia="Times New Roman" w:hAnsi="Times New Roman" w:cs="Times New Roman"/>
                <w:iCs/>
                <w:sz w:val="24"/>
                <w:szCs w:val="24"/>
                <w:u w:val="single"/>
                <w:lang w:eastAsia="lv-LV"/>
              </w:rPr>
              <w:t xml:space="preserve">un </w:t>
            </w:r>
          </w:p>
          <w:p w14:paraId="763427AE" w14:textId="7CF6DEB0" w:rsidR="00370C20" w:rsidRPr="0072076F" w:rsidRDefault="00370C20" w:rsidP="00B34588">
            <w:pPr>
              <w:pStyle w:val="ListParagraph"/>
              <w:spacing w:after="0" w:line="240" w:lineRule="auto"/>
              <w:ind w:left="399"/>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2) nodrošinājums attiecībā uz ceļotāju repatriāciju</w:t>
            </w:r>
            <w:r w:rsidR="00866B1C" w:rsidRPr="0072076F">
              <w:rPr>
                <w:rFonts w:ascii="Times New Roman" w:eastAsia="Times New Roman" w:hAnsi="Times New Roman" w:cs="Times New Roman"/>
                <w:iCs/>
                <w:sz w:val="24"/>
                <w:szCs w:val="24"/>
                <w:lang w:eastAsia="lv-LV"/>
              </w:rPr>
              <w:t>, saņemot speciālu atļauju (licenci)</w:t>
            </w:r>
            <w:r w:rsidRPr="0072076F">
              <w:rPr>
                <w:rFonts w:ascii="Times New Roman" w:eastAsia="Times New Roman" w:hAnsi="Times New Roman" w:cs="Times New Roman"/>
                <w:iCs/>
                <w:sz w:val="24"/>
                <w:szCs w:val="24"/>
                <w:lang w:eastAsia="lv-LV"/>
              </w:rPr>
              <w:t>.</w:t>
            </w:r>
          </w:p>
          <w:p w14:paraId="49E33918" w14:textId="77777777" w:rsidR="00370C20" w:rsidRPr="0072076F" w:rsidRDefault="00370C20" w:rsidP="00B34588">
            <w:pPr>
              <w:pStyle w:val="ListParagraph"/>
              <w:spacing w:after="0" w:line="240" w:lineRule="auto"/>
              <w:ind w:left="399"/>
              <w:jc w:val="both"/>
              <w:rPr>
                <w:rFonts w:ascii="Times New Roman" w:eastAsia="Times New Roman" w:hAnsi="Times New Roman" w:cs="Times New Roman"/>
                <w:iCs/>
                <w:sz w:val="24"/>
                <w:szCs w:val="24"/>
                <w:lang w:eastAsia="lv-LV"/>
              </w:rPr>
            </w:pPr>
          </w:p>
          <w:p w14:paraId="2D12235D" w14:textId="693B8D62"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Līdz ar to, tieši tāpat kā līdz šim, turpina eksistēt apdrošināšanas vai bankas garantiju sistēma, no kuras kompleksā vai saistītā tūrisma pakalpojumu sniedzēja maksātnespējas gadījumā</w:t>
            </w:r>
            <w:r w:rsidR="00652500" w:rsidRPr="0072076F">
              <w:rPr>
                <w:rFonts w:ascii="Times New Roman" w:eastAsia="Times New Roman" w:hAnsi="Times New Roman" w:cs="Times New Roman"/>
                <w:iCs/>
                <w:sz w:val="24"/>
                <w:szCs w:val="24"/>
                <w:lang w:eastAsia="lv-LV"/>
              </w:rPr>
              <w:t xml:space="preserve"> nodrošina ceļotājiem samaksātās naudas summas atmaksu</w:t>
            </w:r>
            <w:r w:rsidRPr="0072076F">
              <w:rPr>
                <w:rFonts w:ascii="Times New Roman" w:eastAsia="Times New Roman" w:hAnsi="Times New Roman" w:cs="Times New Roman"/>
                <w:iCs/>
                <w:sz w:val="24"/>
                <w:szCs w:val="24"/>
                <w:lang w:eastAsia="lv-LV"/>
              </w:rPr>
              <w:t xml:space="preserve">. Papildus būs jānodrošinās attiecībā uz ceļotāju repatriāciju, lai būtu iespējams segt ceļotāju repatriācijas izmaksas, ja </w:t>
            </w:r>
            <w:r w:rsidRPr="0072076F">
              <w:rPr>
                <w:rFonts w:ascii="Times New Roman" w:eastAsia="Times New Roman" w:hAnsi="Times New Roman" w:cs="Times New Roman"/>
                <w:iCs/>
                <w:sz w:val="24"/>
                <w:szCs w:val="24"/>
                <w:lang w:eastAsia="lv-LV"/>
              </w:rPr>
              <w:lastRenderedPageBreak/>
              <w:t>kompleksā tūrisma pakalpojuma sniedzēja vai saistītā tūrisma pakalpojuma sniedzēja maksātnespējas dēļ ceļotājs nevar atgriezties atpakaļ izbraukšanas vietā.</w:t>
            </w:r>
          </w:p>
          <w:p w14:paraId="2BE371DD"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4F940546" w14:textId="533C9CD1"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u w:val="single"/>
                <w:lang w:eastAsia="lv-LV"/>
              </w:rPr>
              <w:t>Likumprojektā noteikts, ka nodrošinājuma tūrisma pakalpojuma sniedzēja maksātnespējas gadījumā  iemaksas kārtību noteiks Ministru kabinets</w:t>
            </w:r>
            <w:r w:rsidRPr="0072076F">
              <w:rPr>
                <w:rFonts w:ascii="Times New Roman" w:eastAsia="Times New Roman" w:hAnsi="Times New Roman" w:cs="Times New Roman"/>
                <w:iCs/>
                <w:sz w:val="24"/>
                <w:szCs w:val="24"/>
                <w:lang w:eastAsia="lv-LV"/>
              </w:rPr>
              <w:t xml:space="preserve"> (turpmāk – MK), līdz ar to EM līdz 2018.gada </w:t>
            </w:r>
            <w:r w:rsidR="00652500" w:rsidRPr="0072076F">
              <w:rPr>
                <w:rFonts w:ascii="Times New Roman" w:eastAsia="Times New Roman" w:hAnsi="Times New Roman" w:cs="Times New Roman"/>
                <w:iCs/>
                <w:sz w:val="24"/>
                <w:szCs w:val="24"/>
                <w:lang w:eastAsia="lv-LV"/>
              </w:rPr>
              <w:t>30.jūnijam</w:t>
            </w:r>
            <w:r w:rsidRPr="0072076F">
              <w:rPr>
                <w:rFonts w:ascii="Times New Roman" w:eastAsia="Times New Roman" w:hAnsi="Times New Roman" w:cs="Times New Roman"/>
                <w:iCs/>
                <w:sz w:val="24"/>
                <w:szCs w:val="24"/>
                <w:lang w:eastAsia="lv-LV"/>
              </w:rPr>
              <w:t xml:space="preserve"> izstrādās attiecīgos MK noteikumus, kuros tiks definēta modeļa darbība, noteikts iemaksu apjoms, modeļa darbības un uzraudzības process.</w:t>
            </w:r>
          </w:p>
          <w:p w14:paraId="7C9B2E09"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684206C7" w14:textId="77777777" w:rsidR="00370C20" w:rsidRPr="0072076F" w:rsidRDefault="00370C20" w:rsidP="00B34588">
            <w:pPr>
              <w:spacing w:after="0" w:line="240" w:lineRule="auto"/>
              <w:jc w:val="both"/>
              <w:rPr>
                <w:rFonts w:ascii="Times New Roman" w:eastAsia="Times New Roman" w:hAnsi="Times New Roman" w:cs="Times New Roman"/>
                <w:b/>
                <w:iCs/>
                <w:sz w:val="24"/>
                <w:szCs w:val="24"/>
                <w:lang w:eastAsia="lv-LV"/>
              </w:rPr>
            </w:pPr>
            <w:r w:rsidRPr="0072076F">
              <w:rPr>
                <w:rFonts w:ascii="Times New Roman" w:eastAsia="Times New Roman" w:hAnsi="Times New Roman" w:cs="Times New Roman"/>
                <w:b/>
                <w:iCs/>
                <w:sz w:val="24"/>
                <w:szCs w:val="24"/>
                <w:lang w:eastAsia="lv-LV"/>
              </w:rPr>
              <w:t>Jaunais drošības garantijas modelis paredz sekojošo:</w:t>
            </w:r>
          </w:p>
          <w:p w14:paraId="480AF5B5"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6780EC6E" w14:textId="77777777" w:rsidR="00370C20" w:rsidRPr="0072076F" w:rsidRDefault="00370C20" w:rsidP="00B34588">
            <w:pPr>
              <w:spacing w:after="0" w:line="240" w:lineRule="auto"/>
              <w:jc w:val="both"/>
              <w:rPr>
                <w:rFonts w:ascii="Times New Roman" w:eastAsia="Times New Roman" w:hAnsi="Times New Roman" w:cs="Times New Roman"/>
                <w:iCs/>
                <w:sz w:val="24"/>
                <w:szCs w:val="24"/>
                <w:u w:val="single"/>
                <w:lang w:eastAsia="lv-LV"/>
              </w:rPr>
            </w:pPr>
            <w:r w:rsidRPr="0072076F">
              <w:rPr>
                <w:rFonts w:ascii="Times New Roman" w:eastAsia="Times New Roman" w:hAnsi="Times New Roman" w:cs="Times New Roman"/>
                <w:iCs/>
                <w:sz w:val="24"/>
                <w:szCs w:val="24"/>
                <w:u w:val="single"/>
                <w:lang w:eastAsia="lv-LV"/>
              </w:rPr>
              <w:t>1.  Drošības garantijas apjoma diferencēšana</w:t>
            </w:r>
          </w:p>
          <w:p w14:paraId="57FB2355" w14:textId="77777777" w:rsidR="00370C20" w:rsidRPr="0072076F" w:rsidRDefault="00370C20" w:rsidP="00B34588">
            <w:pPr>
              <w:spacing w:after="0" w:line="240" w:lineRule="auto"/>
              <w:jc w:val="both"/>
              <w:rPr>
                <w:rFonts w:ascii="Times New Roman" w:eastAsia="Times New Roman" w:hAnsi="Times New Roman" w:cs="Times New Roman"/>
                <w:bCs/>
                <w:iCs/>
                <w:sz w:val="24"/>
                <w:szCs w:val="24"/>
                <w:lang w:eastAsia="lv-LV"/>
              </w:rPr>
            </w:pPr>
            <w:r w:rsidRPr="0072076F">
              <w:rPr>
                <w:rFonts w:ascii="Times New Roman" w:eastAsia="Times New Roman" w:hAnsi="Times New Roman" w:cs="Times New Roman"/>
                <w:bCs/>
                <w:iCs/>
                <w:sz w:val="24"/>
                <w:szCs w:val="24"/>
                <w:lang w:eastAsia="lv-LV"/>
              </w:rPr>
              <w:t>Pamatojoties uz apdrošināšanas sabiedrību sniegto informāciju ir zināms, ka tikai ap 60 tūrisma operatoru, kas reģistrēti Latvijā, ir likumā noteiktā minimālā klientu iemaksātās naudas garantija. Pieņemot, ka komplekso tūrisma pakalpojumu nozarē aktīvi darbojas 437 tūrisma komersanti (Lursoft dati), izriet, ka tikai 13.3%  tūrisma pakalpojumu sniedzēju ir nodrošināts nepieciešamais finansiālais nodrošinājums.</w:t>
            </w:r>
          </w:p>
          <w:p w14:paraId="588758E2" w14:textId="77777777" w:rsidR="00370C20" w:rsidRPr="0072076F" w:rsidRDefault="00370C20" w:rsidP="00B34588">
            <w:pPr>
              <w:spacing w:after="0" w:line="240" w:lineRule="auto"/>
              <w:jc w:val="both"/>
              <w:rPr>
                <w:rFonts w:ascii="Times New Roman" w:eastAsia="Times New Roman" w:hAnsi="Times New Roman" w:cs="Times New Roman"/>
                <w:bCs/>
                <w:iCs/>
                <w:sz w:val="24"/>
                <w:szCs w:val="24"/>
                <w:lang w:eastAsia="lv-LV"/>
              </w:rPr>
            </w:pPr>
          </w:p>
          <w:p w14:paraId="5B69AA3F" w14:textId="62CB073A"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bCs/>
                <w:iCs/>
                <w:sz w:val="24"/>
                <w:szCs w:val="24"/>
                <w:lang w:eastAsia="lv-LV"/>
              </w:rPr>
              <w:t xml:space="preserve">Šobrīd nodrošinājumu tūrisma operatoriem izsniedz tādas apdrošināšanas kompānijas Latvijā kā ERGO Insurance SE Latvijas filiāle, AAS “Balta”,  AAS “BTA Baltic Insurance Company” un </w:t>
            </w:r>
            <w:r w:rsidR="00652500" w:rsidRPr="0072076F">
              <w:rPr>
                <w:rFonts w:ascii="Times New Roman" w:eastAsia="Times New Roman" w:hAnsi="Times New Roman" w:cs="Times New Roman"/>
                <w:bCs/>
                <w:iCs/>
                <w:sz w:val="24"/>
                <w:szCs w:val="24"/>
                <w:lang w:eastAsia="lv-LV"/>
              </w:rPr>
              <w:t>AAS “</w:t>
            </w:r>
            <w:r w:rsidRPr="0072076F">
              <w:rPr>
                <w:rFonts w:ascii="Times New Roman" w:eastAsia="Times New Roman" w:hAnsi="Times New Roman" w:cs="Times New Roman"/>
                <w:bCs/>
                <w:iCs/>
                <w:sz w:val="24"/>
                <w:szCs w:val="24"/>
                <w:lang w:eastAsia="lv-LV"/>
              </w:rPr>
              <w:t>Baltijas Apdrošināšanas Nams</w:t>
            </w:r>
            <w:r w:rsidR="00652500" w:rsidRPr="0072076F">
              <w:rPr>
                <w:rFonts w:ascii="Times New Roman" w:eastAsia="Times New Roman" w:hAnsi="Times New Roman" w:cs="Times New Roman"/>
                <w:bCs/>
                <w:iCs/>
                <w:sz w:val="24"/>
                <w:szCs w:val="24"/>
                <w:lang w:eastAsia="lv-LV"/>
              </w:rPr>
              <w:t>”</w:t>
            </w:r>
            <w:r w:rsidRPr="0072076F">
              <w:rPr>
                <w:rFonts w:ascii="Times New Roman" w:eastAsia="Times New Roman" w:hAnsi="Times New Roman" w:cs="Times New Roman"/>
                <w:bCs/>
                <w:iCs/>
                <w:sz w:val="24"/>
                <w:szCs w:val="24"/>
                <w:lang w:eastAsia="lv-LV"/>
              </w:rPr>
              <w:t xml:space="preserve">, kā arī garantijas izsniedz atsevišķas bankas, piemēram AS “Citadele banka”, AS “Swedbank” vai AS “SEB banka”. </w:t>
            </w:r>
            <w:r w:rsidRPr="0072076F">
              <w:rPr>
                <w:rFonts w:ascii="Times New Roman" w:eastAsia="Times New Roman" w:hAnsi="Times New Roman" w:cs="Times New Roman"/>
                <w:iCs/>
                <w:sz w:val="24"/>
                <w:szCs w:val="24"/>
                <w:lang w:eastAsia="lv-LV"/>
              </w:rPr>
              <w:t>Vidējā apdrošināšanas polises cena ir 300-500 EUR gadā, bet cenas var svārstīties no 200-1000 EUR.</w:t>
            </w:r>
          </w:p>
          <w:p w14:paraId="7FB50C0C"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5F9C2E68" w14:textId="192CD559"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bCs/>
                <w:iCs/>
                <w:sz w:val="24"/>
                <w:szCs w:val="24"/>
                <w:lang w:eastAsia="lv-LV"/>
              </w:rPr>
              <w:t xml:space="preserve">Gandrīz 46% tūrisma komersantu 2015. gada uzrādītais apgrozījums nepārsniedza 20 000 EUR, bet 67% komersantu gada apgrozījums nepārsniedza 50 000 EUR. Pēc pašreizējiem aprēķiniem, ja visi tūrisma operatori iegādātos naudas drošības garantiju atbilstoši likumā noteiktajām prasībām, tad kopējam finanšu slogam (kopējā visu aktīvo tūrisma aģentu un tūrisma operatoru apdrošināšanas prēmiju summa) uz visu nozari būtu jāsasniedz vairāk kā 180 000 EUR, kamēr pašreizējā summa ir tikai nedaudz vairāk par 20 000 EUR. Šī milzīgā atšķirība starp reālo un vēlamo esošo situāciju parāda to, cik pašreizējais </w:t>
            </w:r>
            <w:r w:rsidR="00652500" w:rsidRPr="0072076F">
              <w:rPr>
                <w:rFonts w:ascii="Times New Roman" w:eastAsia="Times New Roman" w:hAnsi="Times New Roman" w:cs="Times New Roman"/>
                <w:bCs/>
                <w:iCs/>
                <w:sz w:val="24"/>
                <w:szCs w:val="24"/>
                <w:lang w:eastAsia="lv-LV"/>
              </w:rPr>
              <w:t xml:space="preserve">regulējums un </w:t>
            </w:r>
            <w:r w:rsidRPr="0072076F">
              <w:rPr>
                <w:rFonts w:ascii="Times New Roman" w:eastAsia="Times New Roman" w:hAnsi="Times New Roman" w:cs="Times New Roman"/>
                <w:bCs/>
                <w:iCs/>
                <w:sz w:val="24"/>
                <w:szCs w:val="24"/>
                <w:lang w:eastAsia="lv-LV"/>
              </w:rPr>
              <w:t>kontroles mehānisms ir neefektīvs un cik maz komplekso tūrisma pakalpojumu sniedzēju klienti ir nodrošināti tūrisma pakalpojumu sniedzēja maksātnespējas gadījumos.</w:t>
            </w:r>
          </w:p>
          <w:p w14:paraId="05AD23FA"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5E49D947" w14:textId="74D17876"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Ņemot vērā minēto, jaunais garantijas modelis paredz apdrošināšanas apjoma diferencēšanu komplekso un saistīto pakalpojumu sniedzējiem atkarībā no to apgrozījuma un avansa maksājumiem. </w:t>
            </w:r>
            <w:r w:rsidR="00591E76" w:rsidRPr="0072076F">
              <w:rPr>
                <w:rFonts w:ascii="Times New Roman" w:eastAsia="Times New Roman" w:hAnsi="Times New Roman" w:cs="Times New Roman"/>
                <w:iCs/>
                <w:sz w:val="24"/>
                <w:szCs w:val="24"/>
                <w:lang w:eastAsia="lv-LV"/>
              </w:rPr>
              <w:t xml:space="preserve">Nepieciešamās apdrošināšanas apjoms tiks aprēķināts no tās apgrozījuma daļas, kas tiek attiecināta uz kompleksajiem vai saistītajiem pakalpojumiem. </w:t>
            </w:r>
            <w:r w:rsidRPr="0072076F">
              <w:rPr>
                <w:rFonts w:ascii="Times New Roman" w:eastAsia="Times New Roman" w:hAnsi="Times New Roman" w:cs="Times New Roman"/>
                <w:iCs/>
                <w:sz w:val="24"/>
                <w:szCs w:val="24"/>
                <w:lang w:eastAsia="lv-LV"/>
              </w:rPr>
              <w:t xml:space="preserve">Garantijas apjoma aprēķini un to diferencēšana pašlaik ir izstrādes procesā, kas tiks definēta atsevišķos MK noteikumos. </w:t>
            </w:r>
          </w:p>
          <w:p w14:paraId="5221601E"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65714B3E" w14:textId="77777777" w:rsidR="00370C20" w:rsidRPr="0072076F" w:rsidRDefault="00370C20" w:rsidP="00B34588">
            <w:pPr>
              <w:spacing w:after="0" w:line="240" w:lineRule="auto"/>
              <w:jc w:val="both"/>
              <w:rPr>
                <w:rFonts w:ascii="Times New Roman" w:eastAsia="Times New Roman" w:hAnsi="Times New Roman" w:cs="Times New Roman"/>
                <w:iCs/>
                <w:sz w:val="24"/>
                <w:szCs w:val="24"/>
                <w:u w:val="single"/>
                <w:lang w:eastAsia="lv-LV"/>
              </w:rPr>
            </w:pPr>
            <w:r w:rsidRPr="0072076F">
              <w:rPr>
                <w:rFonts w:ascii="Times New Roman" w:eastAsia="Times New Roman" w:hAnsi="Times New Roman" w:cs="Times New Roman"/>
                <w:iCs/>
                <w:sz w:val="24"/>
                <w:szCs w:val="24"/>
                <w:u w:val="single"/>
                <w:lang w:eastAsia="lv-LV"/>
              </w:rPr>
              <w:t>2. Nodrošinājums attiecībā uz ceļotāju repatriāciju</w:t>
            </w:r>
          </w:p>
          <w:p w14:paraId="46607C63"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lastRenderedPageBreak/>
              <w:t xml:space="preserve">Esošās sistēmas ietvaros nav konkrēti noteikts, kurš ir atbildīgs par ceļotāju repatriāciju tūrisma pakalpojumu sniedzēju maksātnespējas gadījumā un, kā šī procedūra tiku veikta. </w:t>
            </w:r>
          </w:p>
          <w:p w14:paraId="7E90CD42"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57566CF2" w14:textId="77777777" w:rsidR="00C968C0" w:rsidRPr="0072076F" w:rsidRDefault="00C968C0" w:rsidP="00C968C0">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Latvijā šāds gadījums, kurā būtu nepieciešama ceļotāju repatriācija tūrisma operatora maksātnespējas dēļ, vēl līdz šim nav noticis. Pēc tūrisma pakalpojumu sniedzēja maksātnespējas konstatēšanas (nespēja pilnībā vai daļēji sniegt tūrisma pakalpojumus likviditātes problēmu dēļ) un situācijā, ja nepieciešams segt ceļotāju repatriācijas izmaksas, Patērētāju tiesību aizsardzības centrs (turpmāk – PTAC) šo jautājumu risinātu ar apdrošināšanas uzņēmumu starpniecību, kuriem būtu jāizmaksā apdrošināšanas atlīdzība ceļotājiem. </w:t>
            </w:r>
          </w:p>
          <w:p w14:paraId="12E77838"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54FBB5BD" w14:textId="481F7750"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Tomēr ceļotāju repatriācijas gadījumi ir bijuši Lietuvā un Igaunijā, kur spēkā esošā ceļotāju repatriācijas sistēma nav spējusi </w:t>
            </w:r>
            <w:r w:rsidR="00652500" w:rsidRPr="0072076F">
              <w:rPr>
                <w:rFonts w:ascii="Times New Roman" w:eastAsia="Times New Roman" w:hAnsi="Times New Roman" w:cs="Times New Roman"/>
                <w:iCs/>
                <w:sz w:val="24"/>
                <w:szCs w:val="24"/>
                <w:lang w:eastAsia="lv-LV"/>
              </w:rPr>
              <w:t>nogādāt</w:t>
            </w:r>
            <w:r w:rsidRPr="0072076F">
              <w:rPr>
                <w:rFonts w:ascii="Times New Roman" w:eastAsia="Times New Roman" w:hAnsi="Times New Roman" w:cs="Times New Roman"/>
                <w:iCs/>
                <w:sz w:val="24"/>
                <w:szCs w:val="24"/>
                <w:lang w:eastAsia="lv-LV"/>
              </w:rPr>
              <w:t xml:space="preserve"> ceļotājus atpakaļ valstī. Līdz ar to ceļotāji ir paši maksājuši par savu atgri</w:t>
            </w:r>
            <w:r w:rsidR="00C968C0" w:rsidRPr="0072076F">
              <w:rPr>
                <w:rFonts w:ascii="Times New Roman" w:eastAsia="Times New Roman" w:hAnsi="Times New Roman" w:cs="Times New Roman"/>
                <w:iCs/>
                <w:sz w:val="24"/>
                <w:szCs w:val="24"/>
                <w:lang w:eastAsia="lv-LV"/>
              </w:rPr>
              <w:t>ešanos valstī un pēc tam valstij</w:t>
            </w:r>
            <w:r w:rsidRPr="0072076F">
              <w:rPr>
                <w:rFonts w:ascii="Times New Roman" w:eastAsia="Times New Roman" w:hAnsi="Times New Roman" w:cs="Times New Roman"/>
                <w:iCs/>
                <w:sz w:val="24"/>
                <w:szCs w:val="24"/>
                <w:lang w:eastAsia="lv-LV"/>
              </w:rPr>
              <w:t xml:space="preserve"> ir pienākums segt šos izdevumus ceļotājam no </w:t>
            </w:r>
            <w:r w:rsidR="00861351" w:rsidRPr="0072076F">
              <w:rPr>
                <w:rFonts w:ascii="Times New Roman" w:eastAsia="Times New Roman" w:hAnsi="Times New Roman" w:cs="Times New Roman"/>
                <w:iCs/>
                <w:sz w:val="24"/>
                <w:szCs w:val="24"/>
                <w:lang w:eastAsia="lv-LV"/>
              </w:rPr>
              <w:t>valsts</w:t>
            </w:r>
            <w:r w:rsidRPr="0072076F">
              <w:rPr>
                <w:rFonts w:ascii="Times New Roman" w:eastAsia="Times New Roman" w:hAnsi="Times New Roman" w:cs="Times New Roman"/>
                <w:iCs/>
                <w:sz w:val="24"/>
                <w:szCs w:val="24"/>
                <w:lang w:eastAsia="lv-LV"/>
              </w:rPr>
              <w:t xml:space="preserve"> budžeta. </w:t>
            </w:r>
          </w:p>
          <w:p w14:paraId="5777F2BE"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2FA8501F" w14:textId="5C250191"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Lietuvai pēdējo 6 gadu laikā ir bijušas 5 Lietuvas operatoru saistību neizpildes lietas</w:t>
            </w:r>
            <w:r w:rsidR="00861351" w:rsidRPr="0072076F">
              <w:rPr>
                <w:rFonts w:ascii="Times New Roman" w:eastAsia="Times New Roman" w:hAnsi="Times New Roman" w:cs="Times New Roman"/>
                <w:iCs/>
                <w:sz w:val="24"/>
                <w:szCs w:val="24"/>
                <w:lang w:eastAsia="lv-LV"/>
              </w:rPr>
              <w:t xml:space="preserve"> tūrisma pakalpojumu</w:t>
            </w:r>
            <w:r w:rsidRPr="0072076F">
              <w:rPr>
                <w:rFonts w:ascii="Times New Roman" w:eastAsia="Times New Roman" w:hAnsi="Times New Roman" w:cs="Times New Roman"/>
                <w:iCs/>
                <w:sz w:val="24"/>
                <w:szCs w:val="24"/>
                <w:lang w:eastAsia="lv-LV"/>
              </w:rPr>
              <w:t xml:space="preserve"> sniedzēju maksātnespējas dēļ par kopējo zaudējumu summu 1,6 milj.EUR., kur naudas atmaksa veikta vidēji tikai 20-30% apmērā. Lietuvai ir bijusi jāveic arī ceļotāju repatriācija, kur visos gadījumos tika izmantoti valsts budžeta līdzekļi. Atsevišķos gadījumos, kur Lietuvas ceļotāju repatriācijas sistēma nav bijusi efektīva, cietušie ceļotāji ir iesūdzējuši Lietuvu tiesā. Lietuvas tiesa 2017.gada maijā lēma ka Lietuva nav ieviesusi pareizi pašlaik spēkā esošo Eiropas Padomes 1990.gada 13.jūnija direktīvu 90/314/EEK par kompleksiem ceļojumiem, kompleksām brīvdienām un kompleksām ekskursijām un valstij ir jāatmaksā ceļotājiem visi zaudējumi. </w:t>
            </w:r>
          </w:p>
          <w:p w14:paraId="67167AB8"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646ECD4B" w14:textId="136C0D1B"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Igaunijai 5 gadu laikā bijušas 11 operatoru maksātnespējas lietas, tai skaitā dažas ar ceļotāju repatriācijām. Arī Igaunijai ir bijusi līdzīga pieredze, kur tiesa lēma par labu patērētajam un Igaunijai bija jāsamaksā patērētajam 50% kompensācija, jo nav bijusi pareizi ieviesta </w:t>
            </w:r>
            <w:r w:rsidR="00C968C0" w:rsidRPr="0072076F">
              <w:rPr>
                <w:rFonts w:ascii="Times New Roman" w:eastAsia="Times New Roman" w:hAnsi="Times New Roman" w:cs="Times New Roman"/>
                <w:iCs/>
                <w:sz w:val="24"/>
                <w:szCs w:val="24"/>
                <w:lang w:eastAsia="lv-LV"/>
              </w:rPr>
              <w:t>D</w:t>
            </w:r>
            <w:r w:rsidRPr="0072076F">
              <w:rPr>
                <w:rFonts w:ascii="Times New Roman" w:eastAsia="Times New Roman" w:hAnsi="Times New Roman" w:cs="Times New Roman"/>
                <w:iCs/>
                <w:sz w:val="24"/>
                <w:szCs w:val="24"/>
                <w:lang w:eastAsia="lv-LV"/>
              </w:rPr>
              <w:t>irektīva.</w:t>
            </w:r>
          </w:p>
          <w:p w14:paraId="09C69808"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22C31FF5" w14:textId="1D9AAFD3"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Ņemot vērā kaimiņvalstu pieredzi un minētos riskus, ir nepieciešams izveidot tādu ceļotāju repatriācijas sistēmu, kas nodrošina pietiekamu finansiālu nodrošinājumu ceļotāju repatriācijas </w:t>
            </w:r>
            <w:r w:rsidR="00013655" w:rsidRPr="0072076F">
              <w:rPr>
                <w:rFonts w:ascii="Times New Roman" w:eastAsia="Times New Roman" w:hAnsi="Times New Roman" w:cs="Times New Roman"/>
                <w:iCs/>
                <w:sz w:val="24"/>
                <w:szCs w:val="24"/>
                <w:lang w:eastAsia="lv-LV"/>
              </w:rPr>
              <w:t>un</w:t>
            </w:r>
            <w:r w:rsidRPr="0072076F">
              <w:rPr>
                <w:rFonts w:ascii="Times New Roman" w:eastAsia="Times New Roman" w:hAnsi="Times New Roman" w:cs="Times New Roman"/>
                <w:iCs/>
                <w:sz w:val="24"/>
                <w:szCs w:val="24"/>
                <w:lang w:eastAsia="lv-LV"/>
              </w:rPr>
              <w:t xml:space="preserve"> neparedzētas tūrisma pakalpojumu sniedzēju maksātnespējas gadījumā. </w:t>
            </w:r>
            <w:r w:rsidR="00A21F5E" w:rsidRPr="0072076F">
              <w:rPr>
                <w:rFonts w:ascii="Times New Roman" w:eastAsia="Times New Roman" w:hAnsi="Times New Roman" w:cs="Times New Roman"/>
                <w:iCs/>
                <w:sz w:val="24"/>
                <w:szCs w:val="24"/>
                <w:lang w:eastAsia="lv-LV"/>
              </w:rPr>
              <w:t>Turklāt jāņem vērā fakts, ka, ja netiks ieviesta pietiekami efektīva sistēma, visus radušos zaudējumus, kas radušies klientam tūrisma pakalpojuma sniedzēja maksātnespējas gadījumā būs jāsedz no valsts budžeta.</w:t>
            </w:r>
          </w:p>
          <w:p w14:paraId="5E5AB150" w14:textId="291202F8" w:rsidR="00A21F5E" w:rsidRPr="0072076F" w:rsidRDefault="00A21F5E" w:rsidP="00B34588">
            <w:pPr>
              <w:spacing w:after="0" w:line="240" w:lineRule="auto"/>
              <w:jc w:val="both"/>
              <w:rPr>
                <w:rFonts w:ascii="Times New Roman" w:eastAsia="Times New Roman" w:hAnsi="Times New Roman" w:cs="Times New Roman"/>
                <w:iCs/>
                <w:sz w:val="24"/>
                <w:szCs w:val="24"/>
                <w:lang w:eastAsia="lv-LV"/>
              </w:rPr>
            </w:pPr>
          </w:p>
          <w:p w14:paraId="4D605B36" w14:textId="0AFB995B" w:rsidR="00A21F5E" w:rsidRPr="0072076F" w:rsidRDefault="00A21F5E" w:rsidP="00A21F5E">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Tādēļ tiek ieviesta </w:t>
            </w:r>
            <w:r w:rsidRPr="0072076F">
              <w:rPr>
                <w:rFonts w:ascii="Times New Roman" w:eastAsia="Times New Roman" w:hAnsi="Times New Roman" w:cs="Times New Roman"/>
                <w:b/>
                <w:iCs/>
                <w:sz w:val="24"/>
                <w:szCs w:val="24"/>
                <w:lang w:eastAsia="lv-LV"/>
              </w:rPr>
              <w:t>obligāta licencēšanās</w:t>
            </w:r>
            <w:r w:rsidRPr="0072076F">
              <w:rPr>
                <w:rFonts w:ascii="Times New Roman" w:eastAsia="Times New Roman" w:hAnsi="Times New Roman" w:cs="Times New Roman"/>
                <w:iCs/>
                <w:sz w:val="24"/>
                <w:szCs w:val="24"/>
                <w:lang w:eastAsia="lv-LV"/>
              </w:rPr>
              <w:t xml:space="preserve"> visiem tūrisma aģentiem un operatoriem, par kuru aģenti un operatori maksās valsts nodevu, kas </w:t>
            </w:r>
            <w:r w:rsidR="00BE779B" w:rsidRPr="0072076F">
              <w:rPr>
                <w:rFonts w:ascii="Times New Roman" w:eastAsia="Times New Roman" w:hAnsi="Times New Roman" w:cs="Times New Roman"/>
                <w:iCs/>
                <w:sz w:val="24"/>
                <w:szCs w:val="24"/>
                <w:lang w:eastAsia="lv-LV"/>
              </w:rPr>
              <w:t>tiks ieskaitīta valsts budžetā.</w:t>
            </w:r>
            <w:r w:rsidRPr="0072076F">
              <w:rPr>
                <w:rFonts w:ascii="Times New Roman" w:eastAsia="Times New Roman" w:hAnsi="Times New Roman" w:cs="Times New Roman"/>
                <w:iCs/>
                <w:sz w:val="24"/>
                <w:szCs w:val="24"/>
                <w:lang w:eastAsia="lv-LV"/>
              </w:rPr>
              <w:t xml:space="preserve"> Savukārt ceļotāju repatriācijas nodrošināšanai nepieciešamos izdevumus pēc Finanšu ministrijas ierosinājuma segs no valsts budžeta 74.resora “Gadskārtējā valsts budžeta izpildes procesā pārdalāmais finansējums” programmas 02.00.00 “Līdzekļi neparedzētiem gadījumiem”</w:t>
            </w:r>
          </w:p>
          <w:p w14:paraId="7AB75422" w14:textId="77777777" w:rsidR="00C968C0" w:rsidRPr="0072076F" w:rsidRDefault="00C968C0" w:rsidP="00C968C0">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lastRenderedPageBreak/>
              <w:t>Šādā veidā tūrisma aģenti un tūrisma operatori ar licenču maksām veic uzkrājumu valsts budžetā, kas nepieciešamības gadījumā var tikt novirzīts repatriācijas izdevumu segšanai.</w:t>
            </w:r>
          </w:p>
          <w:p w14:paraId="5BC1F7C5" w14:textId="184C9D8D"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3B4B3575" w14:textId="2448303D"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Pamatojoties uz EM pasūtītajā Pētījumā veiktajiem aprēķiniem, potenciālo </w:t>
            </w:r>
            <w:r w:rsidRPr="0072076F">
              <w:rPr>
                <w:rFonts w:ascii="Times New Roman" w:eastAsia="Times New Roman" w:hAnsi="Times New Roman" w:cs="Times New Roman"/>
                <w:b/>
                <w:iCs/>
                <w:sz w:val="24"/>
                <w:szCs w:val="24"/>
                <w:lang w:eastAsia="lv-LV"/>
              </w:rPr>
              <w:t>repatriāciju izmaksu aprēķins 1 komersantam</w:t>
            </w:r>
            <w:r w:rsidR="00866B1C" w:rsidRPr="0072076F">
              <w:rPr>
                <w:rFonts w:ascii="Times New Roman" w:eastAsia="Times New Roman" w:hAnsi="Times New Roman" w:cs="Times New Roman"/>
                <w:b/>
                <w:iCs/>
                <w:sz w:val="24"/>
                <w:szCs w:val="24"/>
                <w:lang w:eastAsia="lv-LV"/>
              </w:rPr>
              <w:t>, kurš kompleksajā tūrisma pakalpojumā iekļauj pasažieru pārvadāšanu</w:t>
            </w:r>
            <w:r w:rsidR="00A34C63" w:rsidRPr="0072076F">
              <w:rPr>
                <w:rFonts w:ascii="Times New Roman" w:eastAsia="Times New Roman" w:hAnsi="Times New Roman" w:cs="Times New Roman"/>
                <w:b/>
                <w:iCs/>
                <w:sz w:val="24"/>
                <w:szCs w:val="24"/>
                <w:lang w:eastAsia="lv-LV"/>
              </w:rPr>
              <w:t>,</w:t>
            </w:r>
            <w:r w:rsidRPr="0072076F">
              <w:rPr>
                <w:rFonts w:ascii="Times New Roman" w:eastAsia="Times New Roman" w:hAnsi="Times New Roman" w:cs="Times New Roman"/>
                <w:iCs/>
                <w:sz w:val="24"/>
                <w:szCs w:val="24"/>
                <w:lang w:eastAsia="lv-LV"/>
              </w:rPr>
              <w:t xml:space="preserve"> ir sekojošs: </w:t>
            </w:r>
          </w:p>
          <w:p w14:paraId="4F4E8AC4" w14:textId="22F026AC" w:rsidR="00370C20" w:rsidRPr="0072076F" w:rsidRDefault="00370C20" w:rsidP="00B34588">
            <w:pPr>
              <w:pStyle w:val="ListParagraph"/>
              <w:numPr>
                <w:ilvl w:val="0"/>
                <w:numId w:val="34"/>
              </w:numPr>
              <w:spacing w:after="0" w:line="240" w:lineRule="auto"/>
              <w:jc w:val="both"/>
              <w:rPr>
                <w:rFonts w:ascii="Times New Roman" w:eastAsia="Times New Roman" w:hAnsi="Times New Roman" w:cs="Times New Roman"/>
                <w:bCs/>
                <w:iCs/>
                <w:sz w:val="24"/>
                <w:szCs w:val="24"/>
                <w:lang w:eastAsia="lv-LV"/>
              </w:rPr>
            </w:pPr>
            <w:r w:rsidRPr="0072076F">
              <w:rPr>
                <w:rFonts w:ascii="Times New Roman" w:eastAsia="Times New Roman" w:hAnsi="Times New Roman" w:cs="Times New Roman"/>
                <w:bCs/>
                <w:iCs/>
                <w:sz w:val="24"/>
                <w:szCs w:val="24"/>
                <w:u w:val="single"/>
                <w:lang w:eastAsia="lv-LV"/>
              </w:rPr>
              <w:t>Sākotnēji tika aprēķināta komplekso tūrisma pakalpojumu proporcija no kopējā ceļojumu skaita</w:t>
            </w:r>
            <w:r w:rsidRPr="0072076F">
              <w:rPr>
                <w:rFonts w:ascii="Times New Roman" w:eastAsia="Times New Roman" w:hAnsi="Times New Roman" w:cs="Times New Roman"/>
                <w:bCs/>
                <w:iCs/>
                <w:sz w:val="24"/>
                <w:szCs w:val="24"/>
                <w:lang w:eastAsia="lv-LV"/>
              </w:rPr>
              <w:t xml:space="preserve"> -  gada kopējo komplekso ceļojumu skaitu (465 725 komplekso ceļojumu skaits gadā) sareizinot ar vidējā kompleksā ceļojuma cenu (264 EUR vidējā kompleksā ceļojuma cena) un izdalot ar kopējo tūrisma sistēmas 2015.gadā uzrādīto apgrozījumu (235 636 900 EUR kopējais tūrisma sistēmas </w:t>
            </w:r>
            <w:r w:rsidR="00053904" w:rsidRPr="0072076F">
              <w:rPr>
                <w:rFonts w:ascii="Times New Roman" w:eastAsia="Times New Roman" w:hAnsi="Times New Roman" w:cs="Times New Roman"/>
                <w:bCs/>
                <w:iCs/>
                <w:sz w:val="24"/>
                <w:szCs w:val="24"/>
                <w:lang w:eastAsia="lv-LV"/>
              </w:rPr>
              <w:t xml:space="preserve">apgrozījums </w:t>
            </w:r>
            <w:r w:rsidRPr="0072076F">
              <w:rPr>
                <w:rFonts w:ascii="Times New Roman" w:eastAsia="Times New Roman" w:hAnsi="Times New Roman" w:cs="Times New Roman"/>
                <w:bCs/>
                <w:iCs/>
                <w:sz w:val="24"/>
                <w:szCs w:val="24"/>
                <w:lang w:eastAsia="lv-LV"/>
              </w:rPr>
              <w:t>2015</w:t>
            </w:r>
            <w:r w:rsidR="00053904" w:rsidRPr="0072076F">
              <w:rPr>
                <w:rFonts w:ascii="Times New Roman" w:eastAsia="Times New Roman" w:hAnsi="Times New Roman" w:cs="Times New Roman"/>
                <w:bCs/>
                <w:iCs/>
                <w:sz w:val="24"/>
                <w:szCs w:val="24"/>
                <w:lang w:eastAsia="lv-LV"/>
              </w:rPr>
              <w:t>.g.</w:t>
            </w:r>
            <w:r w:rsidRPr="0072076F">
              <w:rPr>
                <w:rFonts w:ascii="Times New Roman" w:eastAsia="Times New Roman" w:hAnsi="Times New Roman" w:cs="Times New Roman"/>
                <w:bCs/>
                <w:iCs/>
                <w:sz w:val="24"/>
                <w:szCs w:val="24"/>
                <w:lang w:eastAsia="lv-LV"/>
              </w:rPr>
              <w:t>). Rezultātā tika iegūta attiecība 52.2%;</w:t>
            </w:r>
          </w:p>
          <w:p w14:paraId="132E6310" w14:textId="140F67D5" w:rsidR="00370C20" w:rsidRPr="0072076F" w:rsidRDefault="00370C20" w:rsidP="00B34588">
            <w:pPr>
              <w:pStyle w:val="ListParagraph"/>
              <w:numPr>
                <w:ilvl w:val="0"/>
                <w:numId w:val="34"/>
              </w:numPr>
              <w:spacing w:after="0" w:line="240" w:lineRule="auto"/>
              <w:jc w:val="both"/>
              <w:rPr>
                <w:rFonts w:ascii="Times New Roman" w:eastAsia="Times New Roman" w:hAnsi="Times New Roman" w:cs="Times New Roman"/>
                <w:bCs/>
                <w:iCs/>
                <w:sz w:val="24"/>
                <w:szCs w:val="24"/>
                <w:lang w:eastAsia="lv-LV"/>
              </w:rPr>
            </w:pPr>
            <w:r w:rsidRPr="0072076F">
              <w:rPr>
                <w:rFonts w:ascii="Times New Roman" w:eastAsia="Times New Roman" w:hAnsi="Times New Roman" w:cs="Times New Roman"/>
                <w:bCs/>
                <w:iCs/>
                <w:sz w:val="24"/>
                <w:szCs w:val="24"/>
                <w:u w:val="single"/>
                <w:lang w:eastAsia="lv-LV"/>
              </w:rPr>
              <w:t>Pēc tam tika aprēķinātas repatriāciju izmaksas</w:t>
            </w:r>
            <w:r w:rsidRPr="0072076F">
              <w:rPr>
                <w:rFonts w:ascii="Times New Roman" w:eastAsia="Times New Roman" w:hAnsi="Times New Roman" w:cs="Times New Roman"/>
                <w:bCs/>
                <w:iCs/>
                <w:sz w:val="24"/>
                <w:szCs w:val="24"/>
                <w:lang w:eastAsia="lv-LV"/>
              </w:rPr>
              <w:t xml:space="preserve"> - </w:t>
            </w:r>
            <w:r w:rsidR="00C968C0" w:rsidRPr="0072076F">
              <w:rPr>
                <w:rFonts w:ascii="Times New Roman" w:eastAsia="Times New Roman" w:hAnsi="Times New Roman" w:cs="Times New Roman"/>
                <w:bCs/>
                <w:iCs/>
                <w:sz w:val="24"/>
                <w:szCs w:val="24"/>
                <w:lang w:eastAsia="lv-LV"/>
              </w:rPr>
              <w:t>atbilstoši</w:t>
            </w:r>
            <w:r w:rsidRPr="0072076F">
              <w:rPr>
                <w:rFonts w:ascii="Times New Roman" w:eastAsia="Times New Roman" w:hAnsi="Times New Roman" w:cs="Times New Roman"/>
                <w:bCs/>
                <w:iCs/>
                <w:sz w:val="24"/>
                <w:szCs w:val="24"/>
                <w:lang w:eastAsia="lv-LV"/>
              </w:rPr>
              <w:t xml:space="preserve"> Lursoft datiem par tūrisma komersantu 2015. gada apgrozījumu, uzņēmumi tika sadalīti 7 grupās (skat.tab</w:t>
            </w:r>
            <w:r w:rsidR="00C968C0" w:rsidRPr="0072076F">
              <w:rPr>
                <w:rFonts w:ascii="Times New Roman" w:eastAsia="Times New Roman" w:hAnsi="Times New Roman" w:cs="Times New Roman"/>
                <w:bCs/>
                <w:iCs/>
                <w:sz w:val="24"/>
                <w:szCs w:val="24"/>
                <w:lang w:eastAsia="lv-LV"/>
              </w:rPr>
              <w:t>ulu</w:t>
            </w:r>
            <w:r w:rsidRPr="0072076F">
              <w:rPr>
                <w:rFonts w:ascii="Times New Roman" w:eastAsia="Times New Roman" w:hAnsi="Times New Roman" w:cs="Times New Roman"/>
                <w:bCs/>
                <w:iCs/>
                <w:sz w:val="24"/>
                <w:szCs w:val="24"/>
                <w:lang w:eastAsia="lv-LV"/>
              </w:rPr>
              <w:t>) un katrā no apgrozījuma grupām tika izvēlēts uzņēmums ar visaugstāko apgrozījumu (piem. 0-20 000 EUR grupā, tika izvēlēts uzņēmums, kura apgrozījums bija vistuvāk 20 000 EUR). Šis apgrozījums tad tika izdalīts ar komplekso ceļojumu proporciju no kopējā ceļojumu skaita (tika pieņemts sliktākais iespējamais scenārijs). Attiecīgi iegūto rezultātu pareizinot ar vidējo kompleksā ceļojuma ilgumu (4 dienas), izdalot ar 365 gada dienām un sareizino</w:t>
            </w:r>
            <w:r w:rsidR="00A34C63" w:rsidRPr="0072076F">
              <w:rPr>
                <w:rFonts w:ascii="Times New Roman" w:eastAsia="Times New Roman" w:hAnsi="Times New Roman" w:cs="Times New Roman"/>
                <w:bCs/>
                <w:iCs/>
                <w:sz w:val="24"/>
                <w:szCs w:val="24"/>
                <w:lang w:eastAsia="lv-LV"/>
              </w:rPr>
              <w:t>t ar sezonalitātes koeficientu 3  un</w:t>
            </w:r>
            <w:r w:rsidRPr="0072076F">
              <w:rPr>
                <w:rFonts w:ascii="Times New Roman" w:eastAsia="Times New Roman" w:hAnsi="Times New Roman" w:cs="Times New Roman"/>
                <w:bCs/>
                <w:iCs/>
                <w:sz w:val="24"/>
                <w:szCs w:val="24"/>
                <w:lang w:eastAsia="lv-LV"/>
              </w:rPr>
              <w:t xml:space="preserve"> pieņemot, ka </w:t>
            </w:r>
            <w:r w:rsidR="00E82269" w:rsidRPr="0072076F">
              <w:rPr>
                <w:rFonts w:ascii="Times New Roman" w:eastAsia="Times New Roman" w:hAnsi="Times New Roman" w:cs="Times New Roman"/>
                <w:bCs/>
                <w:iCs/>
                <w:sz w:val="24"/>
                <w:szCs w:val="24"/>
                <w:lang w:eastAsia="lv-LV"/>
              </w:rPr>
              <w:t xml:space="preserve">tūrisma pakalpojuma sniedzēja </w:t>
            </w:r>
            <w:r w:rsidRPr="0072076F">
              <w:rPr>
                <w:rFonts w:ascii="Times New Roman" w:eastAsia="Times New Roman" w:hAnsi="Times New Roman" w:cs="Times New Roman"/>
                <w:bCs/>
                <w:iCs/>
                <w:sz w:val="24"/>
                <w:szCs w:val="24"/>
                <w:lang w:eastAsia="lv-LV"/>
              </w:rPr>
              <w:t xml:space="preserve">maksātnespēja notiktu aktīvajā sezonā, </w:t>
            </w:r>
            <w:r w:rsidR="00A34C63" w:rsidRPr="0072076F">
              <w:rPr>
                <w:rFonts w:ascii="Times New Roman" w:eastAsia="Times New Roman" w:hAnsi="Times New Roman" w:cs="Times New Roman"/>
                <w:bCs/>
                <w:iCs/>
                <w:sz w:val="24"/>
                <w:szCs w:val="24"/>
                <w:lang w:eastAsia="lv-LV"/>
              </w:rPr>
              <w:t>kurā</w:t>
            </w:r>
            <w:r w:rsidRPr="0072076F">
              <w:rPr>
                <w:rFonts w:ascii="Times New Roman" w:eastAsia="Times New Roman" w:hAnsi="Times New Roman" w:cs="Times New Roman"/>
                <w:bCs/>
                <w:iCs/>
                <w:sz w:val="24"/>
                <w:szCs w:val="24"/>
                <w:lang w:eastAsia="lv-LV"/>
              </w:rPr>
              <w:t xml:space="preserve"> tiek pārdoti 3 reizes vairāk ceļojumi) tika iegūtas repatriācijas izmaksas uz vienu tūrisma komersantu attiecīgajā segmentu grupā. (skat.tab</w:t>
            </w:r>
            <w:r w:rsidR="00A34C63" w:rsidRPr="0072076F">
              <w:rPr>
                <w:rFonts w:ascii="Times New Roman" w:eastAsia="Times New Roman" w:hAnsi="Times New Roman" w:cs="Times New Roman"/>
                <w:bCs/>
                <w:iCs/>
                <w:sz w:val="24"/>
                <w:szCs w:val="24"/>
                <w:lang w:eastAsia="lv-LV"/>
              </w:rPr>
              <w:t>ulu</w:t>
            </w:r>
            <w:r w:rsidRPr="0072076F">
              <w:rPr>
                <w:rFonts w:ascii="Times New Roman" w:eastAsia="Times New Roman" w:hAnsi="Times New Roman" w:cs="Times New Roman"/>
                <w:bCs/>
                <w:iCs/>
                <w:sz w:val="24"/>
                <w:szCs w:val="24"/>
                <w:lang w:eastAsia="lv-LV"/>
              </w:rPr>
              <w:t>)</w:t>
            </w:r>
          </w:p>
          <w:p w14:paraId="759B18D4" w14:textId="6917B7AF" w:rsidR="00370C20" w:rsidRPr="0072076F" w:rsidRDefault="00A34C63" w:rsidP="00A34C63">
            <w:pPr>
              <w:spacing w:after="0" w:line="240" w:lineRule="auto"/>
              <w:jc w:val="right"/>
              <w:rPr>
                <w:rFonts w:ascii="Times New Roman" w:eastAsia="Times New Roman" w:hAnsi="Times New Roman" w:cs="Times New Roman"/>
                <w:bCs/>
                <w:iCs/>
                <w:sz w:val="24"/>
                <w:szCs w:val="24"/>
                <w:lang w:eastAsia="lv-LV"/>
              </w:rPr>
            </w:pPr>
            <w:r w:rsidRPr="0072076F">
              <w:rPr>
                <w:rFonts w:ascii="Times New Roman" w:eastAsia="Times New Roman" w:hAnsi="Times New Roman" w:cs="Times New Roman"/>
                <w:bCs/>
                <w:iCs/>
                <w:sz w:val="24"/>
                <w:szCs w:val="24"/>
                <w:lang w:eastAsia="lv-LV"/>
              </w:rPr>
              <w:t>Tabula</w:t>
            </w:r>
          </w:p>
          <w:tbl>
            <w:tblPr>
              <w:tblStyle w:val="GridTable1Light"/>
              <w:tblW w:w="7192" w:type="dxa"/>
              <w:tblLook w:val="04A0" w:firstRow="1" w:lastRow="0" w:firstColumn="1" w:lastColumn="0" w:noHBand="0" w:noVBand="1"/>
            </w:tblPr>
            <w:tblGrid>
              <w:gridCol w:w="2666"/>
              <w:gridCol w:w="1140"/>
              <w:gridCol w:w="1152"/>
              <w:gridCol w:w="2234"/>
            </w:tblGrid>
            <w:tr w:rsidR="0072076F" w:rsidRPr="0072076F" w14:paraId="37B62CD9" w14:textId="77777777" w:rsidTr="00B34588">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666" w:type="dxa"/>
                </w:tcPr>
                <w:p w14:paraId="5A1469CF" w14:textId="77777777" w:rsidR="00370C20" w:rsidRPr="0072076F" w:rsidRDefault="00370C20" w:rsidP="00B34588">
                  <w:pPr>
                    <w:rPr>
                      <w:rFonts w:ascii="Times New Roman" w:hAnsi="Times New Roman" w:cs="Times New Roman"/>
                      <w:b w:val="0"/>
                      <w:bCs w:val="0"/>
                      <w:sz w:val="20"/>
                    </w:rPr>
                  </w:pPr>
                  <w:r w:rsidRPr="0072076F">
                    <w:rPr>
                      <w:rFonts w:ascii="Times New Roman" w:hAnsi="Times New Roman" w:cs="Times New Roman"/>
                      <w:b w:val="0"/>
                      <w:sz w:val="20"/>
                    </w:rPr>
                    <w:t>Uzņēmuma iepriekšējā perioda apgrozījums, EUR</w:t>
                  </w:r>
                </w:p>
              </w:tc>
              <w:tc>
                <w:tcPr>
                  <w:tcW w:w="1140" w:type="dxa"/>
                </w:tcPr>
                <w:p w14:paraId="5C2C2082" w14:textId="4CEDEB50" w:rsidR="00370C20" w:rsidRPr="0072076F" w:rsidRDefault="00370C20" w:rsidP="00B345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2076F">
                    <w:rPr>
                      <w:rFonts w:ascii="Times New Roman" w:hAnsi="Times New Roman" w:cs="Times New Roman"/>
                      <w:b w:val="0"/>
                      <w:sz w:val="20"/>
                    </w:rPr>
                    <w:t>T</w:t>
                  </w:r>
                  <w:r w:rsidR="00A34C63" w:rsidRPr="0072076F">
                    <w:rPr>
                      <w:rFonts w:ascii="Times New Roman" w:hAnsi="Times New Roman" w:cs="Times New Roman"/>
                      <w:b w:val="0"/>
                      <w:sz w:val="20"/>
                    </w:rPr>
                    <w:t>ūrisma operatoru</w:t>
                  </w:r>
                  <w:r w:rsidRPr="0072076F">
                    <w:rPr>
                      <w:rFonts w:ascii="Times New Roman" w:hAnsi="Times New Roman" w:cs="Times New Roman"/>
                      <w:b w:val="0"/>
                      <w:sz w:val="20"/>
                    </w:rPr>
                    <w:t xml:space="preserve"> skaits attiecīgajā grupā</w:t>
                  </w:r>
                </w:p>
              </w:tc>
              <w:tc>
                <w:tcPr>
                  <w:tcW w:w="1152" w:type="dxa"/>
                </w:tcPr>
                <w:p w14:paraId="23E8142A" w14:textId="10197DDE" w:rsidR="00370C20" w:rsidRPr="0072076F" w:rsidRDefault="00370C20" w:rsidP="00B345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2076F">
                    <w:rPr>
                      <w:rFonts w:ascii="Times New Roman" w:hAnsi="Times New Roman" w:cs="Times New Roman"/>
                      <w:b w:val="0"/>
                      <w:sz w:val="20"/>
                    </w:rPr>
                    <w:t>T</w:t>
                  </w:r>
                  <w:r w:rsidR="00A34C63" w:rsidRPr="0072076F">
                    <w:rPr>
                      <w:rFonts w:ascii="Times New Roman" w:hAnsi="Times New Roman" w:cs="Times New Roman"/>
                      <w:b w:val="0"/>
                      <w:sz w:val="20"/>
                    </w:rPr>
                    <w:t>ūrisma aģentu</w:t>
                  </w:r>
                  <w:r w:rsidRPr="0072076F">
                    <w:rPr>
                      <w:rFonts w:ascii="Times New Roman" w:hAnsi="Times New Roman" w:cs="Times New Roman"/>
                      <w:b w:val="0"/>
                      <w:sz w:val="20"/>
                    </w:rPr>
                    <w:t xml:space="preserve"> skaits attiecīgajā grupā</w:t>
                  </w:r>
                </w:p>
              </w:tc>
              <w:tc>
                <w:tcPr>
                  <w:tcW w:w="2234" w:type="dxa"/>
                </w:tcPr>
                <w:p w14:paraId="195A492E" w14:textId="0ED0A97E" w:rsidR="00370C20" w:rsidRPr="0072076F" w:rsidRDefault="00370C20" w:rsidP="00B345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72076F">
                    <w:rPr>
                      <w:rFonts w:ascii="Times New Roman" w:hAnsi="Times New Roman" w:cs="Times New Roman"/>
                      <w:b w:val="0"/>
                      <w:sz w:val="20"/>
                    </w:rPr>
                    <w:t xml:space="preserve">Repatriācijas izmaksas </w:t>
                  </w:r>
                  <w:r w:rsidR="00A34C63" w:rsidRPr="0072076F">
                    <w:rPr>
                      <w:rFonts w:ascii="Times New Roman" w:hAnsi="Times New Roman" w:cs="Times New Roman"/>
                      <w:b w:val="0"/>
                      <w:sz w:val="20"/>
                    </w:rPr>
                    <w:t>vienam komersantam</w:t>
                  </w:r>
                  <w:r w:rsidRPr="0072076F">
                    <w:rPr>
                      <w:rFonts w:ascii="Times New Roman" w:hAnsi="Times New Roman" w:cs="Times New Roman"/>
                      <w:b w:val="0"/>
                      <w:sz w:val="20"/>
                    </w:rPr>
                    <w:t xml:space="preserve"> </w:t>
                  </w:r>
                  <w:r w:rsidR="00A34C63" w:rsidRPr="0072076F">
                    <w:rPr>
                      <w:rFonts w:ascii="Times New Roman" w:hAnsi="Times New Roman" w:cs="Times New Roman"/>
                      <w:b w:val="0"/>
                      <w:sz w:val="20"/>
                    </w:rPr>
                    <w:t>attiecīgajā</w:t>
                  </w:r>
                  <w:r w:rsidRPr="0072076F">
                    <w:rPr>
                      <w:rFonts w:ascii="Times New Roman" w:hAnsi="Times New Roman" w:cs="Times New Roman"/>
                      <w:b w:val="0"/>
                      <w:sz w:val="20"/>
                    </w:rPr>
                    <w:t xml:space="preserve"> grupā, EUR</w:t>
                  </w:r>
                </w:p>
              </w:tc>
            </w:tr>
            <w:tr w:rsidR="0072076F" w:rsidRPr="0072076F" w14:paraId="5080D9E3" w14:textId="77777777" w:rsidTr="00B34588">
              <w:trPr>
                <w:trHeight w:val="268"/>
              </w:trPr>
              <w:tc>
                <w:tcPr>
                  <w:cnfStyle w:val="001000000000" w:firstRow="0" w:lastRow="0" w:firstColumn="1" w:lastColumn="0" w:oddVBand="0" w:evenVBand="0" w:oddHBand="0" w:evenHBand="0" w:firstRowFirstColumn="0" w:firstRowLastColumn="0" w:lastRowFirstColumn="0" w:lastRowLastColumn="0"/>
                  <w:tcW w:w="2666" w:type="dxa"/>
                </w:tcPr>
                <w:p w14:paraId="62E35114" w14:textId="77777777" w:rsidR="00370C20" w:rsidRPr="0072076F" w:rsidRDefault="00370C20" w:rsidP="00B34588">
                  <w:pPr>
                    <w:spacing w:after="60"/>
                    <w:rPr>
                      <w:rFonts w:ascii="Times New Roman" w:hAnsi="Times New Roman" w:cs="Times New Roman"/>
                      <w:b w:val="0"/>
                      <w:sz w:val="20"/>
                    </w:rPr>
                  </w:pPr>
                  <w:r w:rsidRPr="0072076F">
                    <w:rPr>
                      <w:rFonts w:ascii="Times New Roman" w:hAnsi="Times New Roman" w:cs="Times New Roman"/>
                      <w:b w:val="0"/>
                      <w:sz w:val="20"/>
                    </w:rPr>
                    <w:t>Līdz 20 000</w:t>
                  </w:r>
                </w:p>
              </w:tc>
              <w:tc>
                <w:tcPr>
                  <w:tcW w:w="1140" w:type="dxa"/>
                </w:tcPr>
                <w:p w14:paraId="45AA5AB6"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                         50   </w:t>
                  </w:r>
                </w:p>
              </w:tc>
              <w:tc>
                <w:tcPr>
                  <w:tcW w:w="1152" w:type="dxa"/>
                  <w:vAlign w:val="center"/>
                </w:tcPr>
                <w:p w14:paraId="3366C7EB"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85   </w:t>
                  </w:r>
                </w:p>
              </w:tc>
              <w:tc>
                <w:tcPr>
                  <w:tcW w:w="2234" w:type="dxa"/>
                </w:tcPr>
                <w:p w14:paraId="09104702" w14:textId="61AD7B79" w:rsidR="00370C20" w:rsidRPr="0072076F" w:rsidRDefault="00A34C63"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328,</w:t>
                  </w:r>
                  <w:r w:rsidR="00370C20" w:rsidRPr="0072076F">
                    <w:rPr>
                      <w:rFonts w:ascii="Times New Roman" w:hAnsi="Times New Roman" w:cs="Times New Roman"/>
                      <w:sz w:val="20"/>
                    </w:rPr>
                    <w:t xml:space="preserve">77   </w:t>
                  </w:r>
                </w:p>
              </w:tc>
            </w:tr>
            <w:tr w:rsidR="0072076F" w:rsidRPr="0072076F" w14:paraId="27BBE7B3" w14:textId="77777777" w:rsidTr="00B34588">
              <w:trPr>
                <w:trHeight w:val="268"/>
              </w:trPr>
              <w:tc>
                <w:tcPr>
                  <w:cnfStyle w:val="001000000000" w:firstRow="0" w:lastRow="0" w:firstColumn="1" w:lastColumn="0" w:oddVBand="0" w:evenVBand="0" w:oddHBand="0" w:evenHBand="0" w:firstRowFirstColumn="0" w:firstRowLastColumn="0" w:lastRowFirstColumn="0" w:lastRowLastColumn="0"/>
                  <w:tcW w:w="2666" w:type="dxa"/>
                </w:tcPr>
                <w:p w14:paraId="7A33C236" w14:textId="77777777" w:rsidR="00370C20" w:rsidRPr="0072076F" w:rsidRDefault="00370C20" w:rsidP="00B34588">
                  <w:pPr>
                    <w:spacing w:after="60"/>
                    <w:rPr>
                      <w:rFonts w:ascii="Times New Roman" w:hAnsi="Times New Roman" w:cs="Times New Roman"/>
                      <w:b w:val="0"/>
                      <w:sz w:val="20"/>
                    </w:rPr>
                  </w:pPr>
                  <w:r w:rsidRPr="0072076F">
                    <w:rPr>
                      <w:rFonts w:ascii="Times New Roman" w:hAnsi="Times New Roman" w:cs="Times New Roman"/>
                      <w:b w:val="0"/>
                      <w:sz w:val="20"/>
                    </w:rPr>
                    <w:t>No 20 000 līdz 50 000</w:t>
                  </w:r>
                </w:p>
              </w:tc>
              <w:tc>
                <w:tcPr>
                  <w:tcW w:w="1140" w:type="dxa"/>
                </w:tcPr>
                <w:p w14:paraId="2EAE8F46"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                         62   </w:t>
                  </w:r>
                </w:p>
              </w:tc>
              <w:tc>
                <w:tcPr>
                  <w:tcW w:w="1152" w:type="dxa"/>
                  <w:vAlign w:val="center"/>
                </w:tcPr>
                <w:p w14:paraId="79BB3B6E"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 94   </w:t>
                  </w:r>
                </w:p>
              </w:tc>
              <w:tc>
                <w:tcPr>
                  <w:tcW w:w="2234" w:type="dxa"/>
                </w:tcPr>
                <w:p w14:paraId="1EE3E459" w14:textId="518AA1CA" w:rsidR="00370C20" w:rsidRPr="0072076F" w:rsidRDefault="00A34C63"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821,</w:t>
                  </w:r>
                  <w:r w:rsidR="00370C20" w:rsidRPr="0072076F">
                    <w:rPr>
                      <w:rFonts w:ascii="Times New Roman" w:hAnsi="Times New Roman" w:cs="Times New Roman"/>
                      <w:sz w:val="20"/>
                    </w:rPr>
                    <w:t xml:space="preserve">92   </w:t>
                  </w:r>
                </w:p>
              </w:tc>
            </w:tr>
            <w:tr w:rsidR="0072076F" w:rsidRPr="0072076F" w14:paraId="31DF3B2F" w14:textId="77777777" w:rsidTr="00B34588">
              <w:trPr>
                <w:trHeight w:val="268"/>
              </w:trPr>
              <w:tc>
                <w:tcPr>
                  <w:cnfStyle w:val="001000000000" w:firstRow="0" w:lastRow="0" w:firstColumn="1" w:lastColumn="0" w:oddVBand="0" w:evenVBand="0" w:oddHBand="0" w:evenHBand="0" w:firstRowFirstColumn="0" w:firstRowLastColumn="0" w:lastRowFirstColumn="0" w:lastRowLastColumn="0"/>
                  <w:tcW w:w="2666" w:type="dxa"/>
                </w:tcPr>
                <w:p w14:paraId="6EB48ECC" w14:textId="77777777" w:rsidR="00370C20" w:rsidRPr="0072076F" w:rsidRDefault="00370C20" w:rsidP="00B34588">
                  <w:pPr>
                    <w:spacing w:after="60"/>
                    <w:rPr>
                      <w:rFonts w:ascii="Times New Roman" w:hAnsi="Times New Roman" w:cs="Times New Roman"/>
                      <w:b w:val="0"/>
                      <w:sz w:val="20"/>
                    </w:rPr>
                  </w:pPr>
                  <w:r w:rsidRPr="0072076F">
                    <w:rPr>
                      <w:rFonts w:ascii="Times New Roman" w:hAnsi="Times New Roman" w:cs="Times New Roman"/>
                      <w:b w:val="0"/>
                      <w:sz w:val="20"/>
                    </w:rPr>
                    <w:t>No 50 000 līdz 200 000</w:t>
                  </w:r>
                </w:p>
              </w:tc>
              <w:tc>
                <w:tcPr>
                  <w:tcW w:w="1140" w:type="dxa"/>
                </w:tcPr>
                <w:p w14:paraId="1FD720F9"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                         18   </w:t>
                  </w:r>
                </w:p>
              </w:tc>
              <w:tc>
                <w:tcPr>
                  <w:tcW w:w="1152" w:type="dxa"/>
                  <w:vAlign w:val="center"/>
                </w:tcPr>
                <w:p w14:paraId="1B18A37C"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49   </w:t>
                  </w:r>
                </w:p>
              </w:tc>
              <w:tc>
                <w:tcPr>
                  <w:tcW w:w="2234" w:type="dxa"/>
                </w:tcPr>
                <w:p w14:paraId="1B449A46" w14:textId="62ED8E5E" w:rsidR="00370C20" w:rsidRPr="0072076F" w:rsidRDefault="00A34C63"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3 287,</w:t>
                  </w:r>
                  <w:r w:rsidR="00370C20" w:rsidRPr="0072076F">
                    <w:rPr>
                      <w:rFonts w:ascii="Times New Roman" w:hAnsi="Times New Roman" w:cs="Times New Roman"/>
                      <w:sz w:val="20"/>
                    </w:rPr>
                    <w:t xml:space="preserve">67   </w:t>
                  </w:r>
                </w:p>
              </w:tc>
            </w:tr>
            <w:tr w:rsidR="0072076F" w:rsidRPr="0072076F" w14:paraId="29AE538D" w14:textId="77777777" w:rsidTr="00B34588">
              <w:trPr>
                <w:trHeight w:val="268"/>
              </w:trPr>
              <w:tc>
                <w:tcPr>
                  <w:cnfStyle w:val="001000000000" w:firstRow="0" w:lastRow="0" w:firstColumn="1" w:lastColumn="0" w:oddVBand="0" w:evenVBand="0" w:oddHBand="0" w:evenHBand="0" w:firstRowFirstColumn="0" w:firstRowLastColumn="0" w:lastRowFirstColumn="0" w:lastRowLastColumn="0"/>
                  <w:tcW w:w="2666" w:type="dxa"/>
                </w:tcPr>
                <w:p w14:paraId="5BEE460D" w14:textId="77777777" w:rsidR="00370C20" w:rsidRPr="0072076F" w:rsidRDefault="00370C20" w:rsidP="00B34588">
                  <w:pPr>
                    <w:spacing w:after="60"/>
                    <w:rPr>
                      <w:rFonts w:ascii="Times New Roman" w:hAnsi="Times New Roman" w:cs="Times New Roman"/>
                      <w:b w:val="0"/>
                      <w:sz w:val="20"/>
                    </w:rPr>
                  </w:pPr>
                  <w:r w:rsidRPr="0072076F">
                    <w:rPr>
                      <w:rFonts w:ascii="Times New Roman" w:hAnsi="Times New Roman" w:cs="Times New Roman"/>
                      <w:b w:val="0"/>
                      <w:sz w:val="20"/>
                    </w:rPr>
                    <w:t>No 200 000 līdz 1 000 000</w:t>
                  </w:r>
                </w:p>
              </w:tc>
              <w:tc>
                <w:tcPr>
                  <w:tcW w:w="1140" w:type="dxa"/>
                </w:tcPr>
                <w:p w14:paraId="5F02419A"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                         25   </w:t>
                  </w:r>
                </w:p>
              </w:tc>
              <w:tc>
                <w:tcPr>
                  <w:tcW w:w="1152" w:type="dxa"/>
                  <w:vAlign w:val="center"/>
                </w:tcPr>
                <w:p w14:paraId="749BABD3"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26   </w:t>
                  </w:r>
                </w:p>
              </w:tc>
              <w:tc>
                <w:tcPr>
                  <w:tcW w:w="2234" w:type="dxa"/>
                </w:tcPr>
                <w:p w14:paraId="131BB9A9" w14:textId="566C32EE" w:rsidR="00370C20" w:rsidRPr="0072076F" w:rsidRDefault="00A34C63"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16 438,</w:t>
                  </w:r>
                  <w:r w:rsidR="00370C20" w:rsidRPr="0072076F">
                    <w:rPr>
                      <w:rFonts w:ascii="Times New Roman" w:hAnsi="Times New Roman" w:cs="Times New Roman"/>
                      <w:sz w:val="20"/>
                    </w:rPr>
                    <w:t xml:space="preserve">36   </w:t>
                  </w:r>
                </w:p>
              </w:tc>
            </w:tr>
            <w:tr w:rsidR="0072076F" w:rsidRPr="0072076F" w14:paraId="166DBCE4" w14:textId="77777777" w:rsidTr="00B34588">
              <w:trPr>
                <w:trHeight w:val="268"/>
              </w:trPr>
              <w:tc>
                <w:tcPr>
                  <w:cnfStyle w:val="001000000000" w:firstRow="0" w:lastRow="0" w:firstColumn="1" w:lastColumn="0" w:oddVBand="0" w:evenVBand="0" w:oddHBand="0" w:evenHBand="0" w:firstRowFirstColumn="0" w:firstRowLastColumn="0" w:lastRowFirstColumn="0" w:lastRowLastColumn="0"/>
                  <w:tcW w:w="2666" w:type="dxa"/>
                </w:tcPr>
                <w:p w14:paraId="1FC802D2" w14:textId="77777777" w:rsidR="00370C20" w:rsidRPr="0072076F" w:rsidRDefault="00370C20" w:rsidP="00B34588">
                  <w:pPr>
                    <w:spacing w:after="60"/>
                    <w:rPr>
                      <w:rFonts w:ascii="Times New Roman" w:hAnsi="Times New Roman" w:cs="Times New Roman"/>
                      <w:b w:val="0"/>
                      <w:sz w:val="20"/>
                    </w:rPr>
                  </w:pPr>
                  <w:r w:rsidRPr="0072076F">
                    <w:rPr>
                      <w:rFonts w:ascii="Times New Roman" w:hAnsi="Times New Roman" w:cs="Times New Roman"/>
                      <w:b w:val="0"/>
                      <w:sz w:val="20"/>
                    </w:rPr>
                    <w:t>No 1 000 000 līdz 10 000 000</w:t>
                  </w:r>
                </w:p>
              </w:tc>
              <w:tc>
                <w:tcPr>
                  <w:tcW w:w="1140" w:type="dxa"/>
                </w:tcPr>
                <w:p w14:paraId="5720E76A"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                           3   </w:t>
                  </w:r>
                </w:p>
              </w:tc>
              <w:tc>
                <w:tcPr>
                  <w:tcW w:w="1152" w:type="dxa"/>
                  <w:vAlign w:val="center"/>
                </w:tcPr>
                <w:p w14:paraId="245A9F08"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18   </w:t>
                  </w:r>
                </w:p>
              </w:tc>
              <w:tc>
                <w:tcPr>
                  <w:tcW w:w="2234" w:type="dxa"/>
                </w:tcPr>
                <w:p w14:paraId="4393C15C" w14:textId="3CFD5E70" w:rsidR="00370C20" w:rsidRPr="0072076F" w:rsidRDefault="00A34C63"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164 383,</w:t>
                  </w:r>
                  <w:r w:rsidR="00370C20" w:rsidRPr="0072076F">
                    <w:rPr>
                      <w:rFonts w:ascii="Times New Roman" w:hAnsi="Times New Roman" w:cs="Times New Roman"/>
                      <w:sz w:val="20"/>
                    </w:rPr>
                    <w:t xml:space="preserve">56   </w:t>
                  </w:r>
                </w:p>
              </w:tc>
            </w:tr>
            <w:tr w:rsidR="0072076F" w:rsidRPr="0072076F" w14:paraId="30B8643E" w14:textId="77777777" w:rsidTr="00B34588">
              <w:trPr>
                <w:trHeight w:val="268"/>
              </w:trPr>
              <w:tc>
                <w:tcPr>
                  <w:cnfStyle w:val="001000000000" w:firstRow="0" w:lastRow="0" w:firstColumn="1" w:lastColumn="0" w:oddVBand="0" w:evenVBand="0" w:oddHBand="0" w:evenHBand="0" w:firstRowFirstColumn="0" w:firstRowLastColumn="0" w:lastRowFirstColumn="0" w:lastRowLastColumn="0"/>
                  <w:tcW w:w="2666" w:type="dxa"/>
                </w:tcPr>
                <w:p w14:paraId="0AF441D6" w14:textId="77777777" w:rsidR="00370C20" w:rsidRPr="0072076F" w:rsidRDefault="00370C20" w:rsidP="00B34588">
                  <w:pPr>
                    <w:spacing w:after="60"/>
                    <w:rPr>
                      <w:rFonts w:ascii="Times New Roman" w:hAnsi="Times New Roman" w:cs="Times New Roman"/>
                      <w:b w:val="0"/>
                      <w:sz w:val="20"/>
                    </w:rPr>
                  </w:pPr>
                  <w:r w:rsidRPr="0072076F">
                    <w:rPr>
                      <w:rFonts w:ascii="Times New Roman" w:hAnsi="Times New Roman" w:cs="Times New Roman"/>
                      <w:b w:val="0"/>
                      <w:sz w:val="20"/>
                    </w:rPr>
                    <w:t>No 10 000 000 līdz 20 000 000</w:t>
                  </w:r>
                </w:p>
              </w:tc>
              <w:tc>
                <w:tcPr>
                  <w:tcW w:w="1140" w:type="dxa"/>
                </w:tcPr>
                <w:p w14:paraId="578E5B66"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                           1   </w:t>
                  </w:r>
                </w:p>
              </w:tc>
              <w:tc>
                <w:tcPr>
                  <w:tcW w:w="1152" w:type="dxa"/>
                  <w:vAlign w:val="center"/>
                </w:tcPr>
                <w:p w14:paraId="0B553BCA"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4   </w:t>
                  </w:r>
                </w:p>
              </w:tc>
              <w:tc>
                <w:tcPr>
                  <w:tcW w:w="2234" w:type="dxa"/>
                </w:tcPr>
                <w:p w14:paraId="5FE35ECA" w14:textId="5312C1F8" w:rsidR="00370C20" w:rsidRPr="0072076F" w:rsidRDefault="00A34C63"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328 767,</w:t>
                  </w:r>
                  <w:r w:rsidR="00370C20" w:rsidRPr="0072076F">
                    <w:rPr>
                      <w:rFonts w:ascii="Times New Roman" w:hAnsi="Times New Roman" w:cs="Times New Roman"/>
                      <w:sz w:val="20"/>
                    </w:rPr>
                    <w:t xml:space="preserve">12   </w:t>
                  </w:r>
                </w:p>
              </w:tc>
            </w:tr>
            <w:tr w:rsidR="0072076F" w:rsidRPr="0072076F" w14:paraId="65E81A0A" w14:textId="77777777" w:rsidTr="00B34588">
              <w:trPr>
                <w:trHeight w:val="268"/>
              </w:trPr>
              <w:tc>
                <w:tcPr>
                  <w:cnfStyle w:val="001000000000" w:firstRow="0" w:lastRow="0" w:firstColumn="1" w:lastColumn="0" w:oddVBand="0" w:evenVBand="0" w:oddHBand="0" w:evenHBand="0" w:firstRowFirstColumn="0" w:firstRowLastColumn="0" w:lastRowFirstColumn="0" w:lastRowLastColumn="0"/>
                  <w:tcW w:w="2666" w:type="dxa"/>
                </w:tcPr>
                <w:p w14:paraId="2CEA77D7" w14:textId="77777777" w:rsidR="00370C20" w:rsidRPr="0072076F" w:rsidRDefault="00370C20" w:rsidP="00B34588">
                  <w:pPr>
                    <w:spacing w:after="60"/>
                    <w:rPr>
                      <w:rFonts w:ascii="Times New Roman" w:hAnsi="Times New Roman" w:cs="Times New Roman"/>
                      <w:b w:val="0"/>
                      <w:sz w:val="20"/>
                    </w:rPr>
                  </w:pPr>
                  <w:r w:rsidRPr="0072076F">
                    <w:rPr>
                      <w:rFonts w:ascii="Times New Roman" w:hAnsi="Times New Roman" w:cs="Times New Roman"/>
                      <w:b w:val="0"/>
                      <w:sz w:val="20"/>
                    </w:rPr>
                    <w:t>No 20 000 000 līdz 30 000 000</w:t>
                  </w:r>
                </w:p>
              </w:tc>
              <w:tc>
                <w:tcPr>
                  <w:tcW w:w="1140" w:type="dxa"/>
                </w:tcPr>
                <w:p w14:paraId="3A043A5D"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                           2   </w:t>
                  </w:r>
                </w:p>
              </w:tc>
              <w:tc>
                <w:tcPr>
                  <w:tcW w:w="1152" w:type="dxa"/>
                  <w:vAlign w:val="center"/>
                </w:tcPr>
                <w:p w14:paraId="4F3FD1A8"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                            -   </w:t>
                  </w:r>
                </w:p>
              </w:tc>
              <w:tc>
                <w:tcPr>
                  <w:tcW w:w="2234" w:type="dxa"/>
                </w:tcPr>
                <w:p w14:paraId="5E5B0BFF" w14:textId="03A09F21" w:rsidR="00370C20" w:rsidRPr="0072076F" w:rsidRDefault="00A34C63"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493 150,</w:t>
                  </w:r>
                  <w:r w:rsidR="00370C20" w:rsidRPr="0072076F">
                    <w:rPr>
                      <w:rFonts w:ascii="Times New Roman" w:hAnsi="Times New Roman" w:cs="Times New Roman"/>
                      <w:sz w:val="20"/>
                    </w:rPr>
                    <w:t xml:space="preserve">68   </w:t>
                  </w:r>
                </w:p>
              </w:tc>
            </w:tr>
            <w:tr w:rsidR="0072076F" w:rsidRPr="0072076F" w14:paraId="7FCEBAC1" w14:textId="77777777" w:rsidTr="00B34588">
              <w:trPr>
                <w:trHeight w:val="268"/>
              </w:trPr>
              <w:tc>
                <w:tcPr>
                  <w:cnfStyle w:val="001000000000" w:firstRow="0" w:lastRow="0" w:firstColumn="1" w:lastColumn="0" w:oddVBand="0" w:evenVBand="0" w:oddHBand="0" w:evenHBand="0" w:firstRowFirstColumn="0" w:firstRowLastColumn="0" w:lastRowFirstColumn="0" w:lastRowLastColumn="0"/>
                  <w:tcW w:w="2666" w:type="dxa"/>
                </w:tcPr>
                <w:p w14:paraId="143BDAC3" w14:textId="77777777" w:rsidR="00370C20" w:rsidRPr="0072076F" w:rsidRDefault="00370C20" w:rsidP="00B34588">
                  <w:pPr>
                    <w:spacing w:after="60"/>
                    <w:rPr>
                      <w:rFonts w:ascii="Times New Roman" w:hAnsi="Times New Roman" w:cs="Times New Roman"/>
                      <w:b w:val="0"/>
                      <w:sz w:val="20"/>
                    </w:rPr>
                  </w:pPr>
                  <w:r w:rsidRPr="0072076F">
                    <w:rPr>
                      <w:rFonts w:ascii="Times New Roman" w:hAnsi="Times New Roman" w:cs="Times New Roman"/>
                      <w:b w:val="0"/>
                      <w:sz w:val="20"/>
                    </w:rPr>
                    <w:t>No 30 000 000</w:t>
                  </w:r>
                </w:p>
              </w:tc>
              <w:tc>
                <w:tcPr>
                  <w:tcW w:w="1140" w:type="dxa"/>
                </w:tcPr>
                <w:p w14:paraId="5744183F" w14:textId="77777777" w:rsidR="00370C20" w:rsidRPr="0072076F" w:rsidRDefault="00370C20" w:rsidP="00B34588">
                  <w:pPr>
                    <w:spacing w:after="60"/>
                    <w:ind w:left="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                            -   </w:t>
                  </w:r>
                </w:p>
              </w:tc>
              <w:tc>
                <w:tcPr>
                  <w:tcW w:w="1152" w:type="dxa"/>
                  <w:vAlign w:val="center"/>
                </w:tcPr>
                <w:p w14:paraId="6A630592"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                            -   </w:t>
                  </w:r>
                </w:p>
              </w:tc>
              <w:tc>
                <w:tcPr>
                  <w:tcW w:w="2234" w:type="dxa"/>
                </w:tcPr>
                <w:p w14:paraId="73D9A653" w14:textId="77777777" w:rsidR="00370C20" w:rsidRPr="0072076F" w:rsidRDefault="00370C20" w:rsidP="00B34588">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72076F">
                    <w:rPr>
                      <w:rFonts w:ascii="Times New Roman" w:hAnsi="Times New Roman" w:cs="Times New Roman"/>
                      <w:sz w:val="20"/>
                    </w:rPr>
                    <w:t xml:space="preserve"> -</w:t>
                  </w:r>
                </w:p>
              </w:tc>
            </w:tr>
          </w:tbl>
          <w:p w14:paraId="38DF8104"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3188F7B9" w14:textId="77777777" w:rsidR="00A34C63" w:rsidRPr="0072076F" w:rsidRDefault="00A34C63" w:rsidP="00A34C63">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lastRenderedPageBreak/>
              <w:t xml:space="preserve">Lai noteiktu nepieciešamo uzkrājumu valsts budžetā, tika izrēķinātas vidējās repatriācijas izmaksas gadā. Pamatojoties uz kaimiņvalstu pieredzi, tiek pieņemts, ka  repatriāciju no valsts budžeta līdzekļiem var būt nepieciešama segt vienu reizi gadā. Jāuzsver, ka no valsts budžeta segt repatriācijas izmaksas daļēji nebūs nepieciešamas tādiem tūrisma aģentiem/operatoriem, kas nodrošina Starptautiskā Gaisa transporta asociācijas (IATA)  garantijas. </w:t>
            </w:r>
          </w:p>
          <w:p w14:paraId="6E942F2C" w14:textId="77777777" w:rsidR="00A34C63" w:rsidRPr="0072076F" w:rsidRDefault="00A34C63" w:rsidP="00A34C63">
            <w:pPr>
              <w:spacing w:after="0" w:line="240" w:lineRule="auto"/>
              <w:jc w:val="both"/>
              <w:rPr>
                <w:rFonts w:ascii="Times New Roman" w:eastAsia="Times New Roman" w:hAnsi="Times New Roman" w:cs="Times New Roman"/>
                <w:iCs/>
                <w:sz w:val="24"/>
                <w:szCs w:val="24"/>
                <w:lang w:eastAsia="lv-LV"/>
              </w:rPr>
            </w:pPr>
          </w:p>
          <w:p w14:paraId="5AFEAC85" w14:textId="7E280D14"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IATA 2014. gada 25. novembrī ir paziņojusi par vienošanos formalizēt „glābšanas tarifus”. IATA brīvprātīgā vienošanās paredz, ka asociācijas locekļi, kas nodrošina lidojumus uz Eiropas valstīm un no tām, kā arī to teritorijās, segs to pasažieru repatriācijas izmaksa</w:t>
            </w:r>
            <w:r w:rsidR="00A34C63" w:rsidRPr="0072076F">
              <w:rPr>
                <w:rFonts w:ascii="Times New Roman" w:eastAsia="Times New Roman" w:hAnsi="Times New Roman" w:cs="Times New Roman"/>
                <w:iCs/>
                <w:sz w:val="24"/>
                <w:szCs w:val="24"/>
                <w:lang w:eastAsia="lv-LV"/>
              </w:rPr>
              <w:t>s, kuri nevar atgriezties mājās</w:t>
            </w:r>
            <w:r w:rsidRPr="0072076F">
              <w:rPr>
                <w:rFonts w:ascii="Times New Roman" w:eastAsia="Times New Roman" w:hAnsi="Times New Roman" w:cs="Times New Roman"/>
                <w:iCs/>
                <w:sz w:val="24"/>
                <w:szCs w:val="24"/>
                <w:lang w:eastAsia="lv-LV"/>
              </w:rPr>
              <w:t xml:space="preserve"> tādēļ</w:t>
            </w:r>
            <w:r w:rsidR="00A34C63" w:rsidRPr="0072076F">
              <w:rPr>
                <w:rFonts w:ascii="Times New Roman" w:eastAsia="Times New Roman" w:hAnsi="Times New Roman" w:cs="Times New Roman"/>
                <w:iCs/>
                <w:sz w:val="24"/>
                <w:szCs w:val="24"/>
                <w:lang w:eastAsia="lv-LV"/>
              </w:rPr>
              <w:t>,</w:t>
            </w:r>
            <w:r w:rsidRPr="0072076F">
              <w:rPr>
                <w:rFonts w:ascii="Times New Roman" w:eastAsia="Times New Roman" w:hAnsi="Times New Roman" w:cs="Times New Roman"/>
                <w:iCs/>
                <w:sz w:val="24"/>
                <w:szCs w:val="24"/>
                <w:lang w:eastAsia="lv-LV"/>
              </w:rPr>
              <w:t xml:space="preserve"> ka aviosabiedrība darbību pārtraukusi finanšu neveiksmes dēļ.</w:t>
            </w:r>
            <w:r w:rsidR="00652500" w:rsidRPr="0072076F">
              <w:rPr>
                <w:rFonts w:ascii="Times New Roman" w:eastAsia="Times New Roman" w:hAnsi="Times New Roman" w:cs="Times New Roman"/>
                <w:iCs/>
                <w:sz w:val="24"/>
                <w:szCs w:val="24"/>
                <w:lang w:eastAsia="lv-LV"/>
              </w:rPr>
              <w:t xml:space="preserve"> </w:t>
            </w:r>
            <w:r w:rsidR="00A34C63" w:rsidRPr="0072076F">
              <w:rPr>
                <w:rFonts w:ascii="Times New Roman" w:eastAsia="Times New Roman" w:hAnsi="Times New Roman" w:cs="Times New Roman"/>
                <w:iCs/>
                <w:sz w:val="24"/>
                <w:szCs w:val="24"/>
                <w:lang w:eastAsia="lv-LV"/>
              </w:rPr>
              <w:t>Attiecīgi IATA garantijas mazina repatriācijas izmaksu segšanas risku no valsts budžeta attiecībā uz aviopārvadājumiem, tomēr tās nenosedz tādus repatriācijas izmaksu segšanas no valsts budžeta riskus, kas var rasties no sauszemes vai ūdens pārvadājumiem.</w:t>
            </w:r>
          </w:p>
          <w:p w14:paraId="772D5F0D"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22A475C7"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Uz 2017.gada 30.maiju Latvijā bija 36 tūrisma aģentūras/operatori (pamatā tie ir lielākie komersanti ar lielākajiem apgrozījumiem), kas ir nodrošinājuši šādu IATA garantiju. </w:t>
            </w:r>
          </w:p>
          <w:p w14:paraId="1A47171B"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344E290C"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Papildus būtiski ir pieminēt, ka repatriācija tiek atrunāta arī tūrisma operatoru un čarteru aviokompāniju savstarpēji slēgtajos līgumos, kas nozīmē, ka arī čarteru gadījumā (ja tiek noslēgts attiecīgs līgums) ceļotāju repatriācija ir iekļauta un par to papildus izmaksas no valsts budžeta neradīsies. Arī šādos gadījumos tādi līgumi tiek slēgti ar lielākajiem (pēc apgrozījuma) operatoriem. </w:t>
            </w:r>
          </w:p>
          <w:p w14:paraId="35897AB7"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22FFF8F3" w14:textId="6EBE2E7F" w:rsidR="002A6098"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Ievērojot minēto, no ceļo</w:t>
            </w:r>
            <w:r w:rsidR="00FE4C69" w:rsidRPr="0072076F">
              <w:rPr>
                <w:rFonts w:ascii="Times New Roman" w:eastAsia="Times New Roman" w:hAnsi="Times New Roman" w:cs="Times New Roman"/>
                <w:iCs/>
                <w:sz w:val="24"/>
                <w:szCs w:val="24"/>
                <w:lang w:eastAsia="lv-LV"/>
              </w:rPr>
              <w:t xml:space="preserve">tāju repatriācijas riska grupas, ja tiek nodrošināti aviopārvadājumi, </w:t>
            </w:r>
            <w:r w:rsidRPr="0072076F">
              <w:rPr>
                <w:rFonts w:ascii="Times New Roman" w:eastAsia="Times New Roman" w:hAnsi="Times New Roman" w:cs="Times New Roman"/>
                <w:iCs/>
                <w:sz w:val="24"/>
                <w:szCs w:val="24"/>
                <w:lang w:eastAsia="lv-LV"/>
              </w:rPr>
              <w:t>var izslēgt operatorus/aģentu ar apgrozījumu virs 1 000 000 EUR. Līdz ar to kā lielākais risks, ka notiek viena tūrisma pakalpojumu sniedzēja maksātnespējas gadījums ar ceļotāju repatriāciju reizi gadā, repatriācijas izmaksas tiek aprēķinā</w:t>
            </w:r>
            <w:r w:rsidR="00A34C63" w:rsidRPr="0072076F">
              <w:rPr>
                <w:rFonts w:ascii="Times New Roman" w:eastAsia="Times New Roman" w:hAnsi="Times New Roman" w:cs="Times New Roman"/>
                <w:iCs/>
                <w:sz w:val="24"/>
                <w:szCs w:val="24"/>
                <w:lang w:eastAsia="lv-LV"/>
              </w:rPr>
              <w:t>tas 16 438,</w:t>
            </w:r>
            <w:r w:rsidRPr="0072076F">
              <w:rPr>
                <w:rFonts w:ascii="Times New Roman" w:eastAsia="Times New Roman" w:hAnsi="Times New Roman" w:cs="Times New Roman"/>
                <w:iCs/>
                <w:sz w:val="24"/>
                <w:szCs w:val="24"/>
                <w:lang w:eastAsia="lv-LV"/>
              </w:rPr>
              <w:t xml:space="preserve">36  EUR gadā. </w:t>
            </w:r>
            <w:r w:rsidR="002A6098" w:rsidRPr="0072076F">
              <w:rPr>
                <w:rFonts w:ascii="Times New Roman" w:eastAsia="Times New Roman" w:hAnsi="Times New Roman" w:cs="Times New Roman"/>
                <w:iCs/>
                <w:sz w:val="24"/>
                <w:szCs w:val="24"/>
                <w:lang w:eastAsia="lv-LV"/>
              </w:rPr>
              <w:t>Līdzīga summa (16</w:t>
            </w:r>
            <w:r w:rsidR="00A34C63" w:rsidRPr="0072076F">
              <w:rPr>
                <w:rFonts w:ascii="Times New Roman" w:eastAsia="Times New Roman" w:hAnsi="Times New Roman" w:cs="Times New Roman"/>
                <w:iCs/>
                <w:sz w:val="24"/>
                <w:szCs w:val="24"/>
                <w:lang w:eastAsia="lv-LV"/>
              </w:rPr>
              <w:t> 735,</w:t>
            </w:r>
            <w:r w:rsidR="002A6098" w:rsidRPr="0072076F">
              <w:rPr>
                <w:rFonts w:ascii="Times New Roman" w:eastAsia="Times New Roman" w:hAnsi="Times New Roman" w:cs="Times New Roman"/>
                <w:iCs/>
                <w:sz w:val="24"/>
                <w:szCs w:val="24"/>
                <w:lang w:eastAsia="lv-LV"/>
              </w:rPr>
              <w:t xml:space="preserve">53 EUR) tiek </w:t>
            </w:r>
            <w:r w:rsidR="00FE4C69" w:rsidRPr="0072076F">
              <w:rPr>
                <w:rFonts w:ascii="Times New Roman" w:eastAsia="Times New Roman" w:hAnsi="Times New Roman" w:cs="Times New Roman"/>
                <w:iCs/>
                <w:sz w:val="24"/>
                <w:szCs w:val="24"/>
                <w:lang w:eastAsia="lv-LV"/>
              </w:rPr>
              <w:t>sasniegta, aprēķinot visas tūrisma sistēmas vidējās izmaksas repatriācijai.</w:t>
            </w:r>
          </w:p>
          <w:p w14:paraId="00217EFA"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2010DF11" w14:textId="0946D928"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Ņemot vērā to, ka </w:t>
            </w:r>
            <w:r w:rsidR="002A6098" w:rsidRPr="0072076F">
              <w:rPr>
                <w:rFonts w:ascii="Times New Roman" w:eastAsia="Times New Roman" w:hAnsi="Times New Roman" w:cs="Times New Roman"/>
                <w:iCs/>
                <w:sz w:val="24"/>
                <w:szCs w:val="24"/>
                <w:lang w:eastAsia="lv-LV"/>
              </w:rPr>
              <w:t xml:space="preserve">uzkrājums valsts budžetā ir nepieciešams </w:t>
            </w:r>
            <w:r w:rsidRPr="0072076F">
              <w:rPr>
                <w:rFonts w:ascii="Times New Roman" w:eastAsia="Times New Roman" w:hAnsi="Times New Roman" w:cs="Times New Roman"/>
                <w:iCs/>
                <w:sz w:val="24"/>
                <w:szCs w:val="24"/>
                <w:lang w:eastAsia="lv-LV"/>
              </w:rPr>
              <w:t xml:space="preserve">pamatā repatriācijas nodrošināšanai, ceļotāju repatriācijas </w:t>
            </w:r>
            <w:r w:rsidR="002A6098" w:rsidRPr="0072076F">
              <w:rPr>
                <w:rFonts w:ascii="Times New Roman" w:eastAsia="Times New Roman" w:hAnsi="Times New Roman" w:cs="Times New Roman"/>
                <w:iCs/>
                <w:sz w:val="24"/>
                <w:szCs w:val="24"/>
                <w:lang w:eastAsia="lv-LV"/>
              </w:rPr>
              <w:t>nodrošinājuma</w:t>
            </w:r>
            <w:r w:rsidRPr="0072076F">
              <w:rPr>
                <w:rFonts w:ascii="Times New Roman" w:eastAsia="Times New Roman" w:hAnsi="Times New Roman" w:cs="Times New Roman"/>
                <w:iCs/>
                <w:sz w:val="24"/>
                <w:szCs w:val="24"/>
                <w:lang w:eastAsia="lv-LV"/>
              </w:rPr>
              <w:t xml:space="preserve"> iemaksas veiks visi tie komersanti, kas ir aktīvi tirgus darbinieki</w:t>
            </w:r>
            <w:r w:rsidR="002A6098" w:rsidRPr="0072076F">
              <w:rPr>
                <w:rFonts w:ascii="Times New Roman" w:eastAsia="Times New Roman" w:hAnsi="Times New Roman" w:cs="Times New Roman"/>
                <w:iCs/>
                <w:sz w:val="24"/>
                <w:szCs w:val="24"/>
                <w:lang w:eastAsia="lv-LV"/>
              </w:rPr>
              <w:t xml:space="preserve"> gan tūrisma aģenti, gan operatori</w:t>
            </w:r>
            <w:r w:rsidRPr="0072076F">
              <w:rPr>
                <w:rFonts w:ascii="Times New Roman" w:eastAsia="Times New Roman" w:hAnsi="Times New Roman" w:cs="Times New Roman"/>
                <w:iCs/>
                <w:sz w:val="24"/>
                <w:szCs w:val="24"/>
                <w:lang w:eastAsia="lv-LV"/>
              </w:rPr>
              <w:t xml:space="preserve">. Tādēļ ceļotāju repatriācijas </w:t>
            </w:r>
            <w:r w:rsidR="002A6098" w:rsidRPr="0072076F">
              <w:rPr>
                <w:rFonts w:ascii="Times New Roman" w:eastAsia="Times New Roman" w:hAnsi="Times New Roman" w:cs="Times New Roman"/>
                <w:iCs/>
                <w:sz w:val="24"/>
                <w:szCs w:val="24"/>
                <w:lang w:eastAsia="lv-LV"/>
              </w:rPr>
              <w:t>nodrošinājumu</w:t>
            </w:r>
            <w:r w:rsidRPr="0072076F">
              <w:rPr>
                <w:rFonts w:ascii="Times New Roman" w:eastAsia="Times New Roman" w:hAnsi="Times New Roman" w:cs="Times New Roman"/>
                <w:iCs/>
                <w:sz w:val="24"/>
                <w:szCs w:val="24"/>
                <w:lang w:eastAsia="lv-LV"/>
              </w:rPr>
              <w:t xml:space="preserve"> veidos tūrisma pakalpojumu sniedzēju iemaksātā valsts nodeva par licences iegūšanu un ikgadēju tās </w:t>
            </w:r>
            <w:r w:rsidR="002A6098" w:rsidRPr="0072076F">
              <w:rPr>
                <w:rFonts w:ascii="Times New Roman" w:eastAsia="Times New Roman" w:hAnsi="Times New Roman" w:cs="Times New Roman"/>
                <w:iCs/>
                <w:sz w:val="24"/>
                <w:szCs w:val="24"/>
                <w:lang w:eastAsia="lv-LV"/>
              </w:rPr>
              <w:t>uzraudzības nodrošināšanu</w:t>
            </w:r>
            <w:r w:rsidRPr="0072076F">
              <w:rPr>
                <w:rFonts w:ascii="Times New Roman" w:eastAsia="Times New Roman" w:hAnsi="Times New Roman" w:cs="Times New Roman"/>
                <w:iCs/>
                <w:sz w:val="24"/>
                <w:szCs w:val="24"/>
                <w:lang w:eastAsia="lv-LV"/>
              </w:rPr>
              <w:t xml:space="preserve">. </w:t>
            </w:r>
          </w:p>
          <w:p w14:paraId="424A4307"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35FA4015" w14:textId="03D39A02"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Ņemot vērā </w:t>
            </w:r>
            <w:r w:rsidR="00A34C63" w:rsidRPr="0072076F">
              <w:rPr>
                <w:rFonts w:ascii="Times New Roman" w:eastAsia="Times New Roman" w:hAnsi="Times New Roman" w:cs="Times New Roman"/>
                <w:iCs/>
                <w:sz w:val="24"/>
                <w:szCs w:val="24"/>
                <w:lang w:eastAsia="lv-LV"/>
              </w:rPr>
              <w:t>minēto,</w:t>
            </w:r>
            <w:r w:rsidRPr="0072076F">
              <w:rPr>
                <w:rFonts w:ascii="Times New Roman" w:eastAsia="Times New Roman" w:hAnsi="Times New Roman" w:cs="Times New Roman"/>
                <w:iCs/>
                <w:sz w:val="24"/>
                <w:szCs w:val="24"/>
                <w:lang w:eastAsia="lv-LV"/>
              </w:rPr>
              <w:t xml:space="preserve"> aprēķinātās izmaksas 16 438.36 EUR gadā un kopējo tūrisma pakalpojumu sniedzēju skaitu</w:t>
            </w:r>
            <w:r w:rsidR="00866B1C" w:rsidRPr="0072076F">
              <w:rPr>
                <w:rFonts w:ascii="Times New Roman" w:eastAsia="Times New Roman" w:hAnsi="Times New Roman" w:cs="Times New Roman"/>
                <w:iCs/>
                <w:sz w:val="24"/>
                <w:szCs w:val="24"/>
                <w:lang w:eastAsia="lv-LV"/>
              </w:rPr>
              <w:t>, kas kompleksajos tūrisma pakalpojumos iekļauj pasažieru pārvadāšanu</w:t>
            </w:r>
            <w:r w:rsidRPr="0072076F">
              <w:rPr>
                <w:rFonts w:ascii="Times New Roman" w:eastAsia="Times New Roman" w:hAnsi="Times New Roman" w:cs="Times New Roman"/>
                <w:iCs/>
                <w:sz w:val="24"/>
                <w:szCs w:val="24"/>
                <w:lang w:eastAsia="lv-LV"/>
              </w:rPr>
              <w:t xml:space="preserve"> (437 aģenti un operatori), izmaksas vienam pakalpojumu sniedzējam gadā veidos 37,61 EUR. Līdz ar to speciālās atļaujas (licences) valsts nodeva vienam tūrisma pakalpojumu sniedzējam</w:t>
            </w:r>
            <w:r w:rsidR="00866B1C" w:rsidRPr="0072076F">
              <w:rPr>
                <w:rFonts w:ascii="Times New Roman" w:eastAsia="Times New Roman" w:hAnsi="Times New Roman" w:cs="Times New Roman"/>
                <w:iCs/>
                <w:sz w:val="24"/>
                <w:szCs w:val="24"/>
                <w:lang w:eastAsia="lv-LV"/>
              </w:rPr>
              <w:t>, kam nepieciešams nodrošinājums repatriācijas gadījumā,</w:t>
            </w:r>
            <w:r w:rsidRPr="0072076F">
              <w:rPr>
                <w:rFonts w:ascii="Times New Roman" w:eastAsia="Times New Roman" w:hAnsi="Times New Roman" w:cs="Times New Roman"/>
                <w:iCs/>
                <w:sz w:val="24"/>
                <w:szCs w:val="24"/>
                <w:lang w:eastAsia="lv-LV"/>
              </w:rPr>
              <w:t xml:space="preserve"> tiek noteikta</w:t>
            </w:r>
            <w:r w:rsidR="004E44F0" w:rsidRPr="0072076F">
              <w:rPr>
                <w:rFonts w:ascii="Times New Roman" w:eastAsia="Times New Roman" w:hAnsi="Times New Roman" w:cs="Times New Roman"/>
                <w:iCs/>
                <w:sz w:val="24"/>
                <w:szCs w:val="24"/>
                <w:lang w:eastAsia="lv-LV"/>
              </w:rPr>
              <w:t xml:space="preserve"> provizoriski</w:t>
            </w:r>
            <w:r w:rsidRPr="0072076F">
              <w:rPr>
                <w:rFonts w:ascii="Times New Roman" w:eastAsia="Times New Roman" w:hAnsi="Times New Roman" w:cs="Times New Roman"/>
                <w:iCs/>
                <w:sz w:val="24"/>
                <w:szCs w:val="24"/>
                <w:lang w:eastAsia="lv-LV"/>
              </w:rPr>
              <w:t xml:space="preserve"> 40 EUR gadā, lai pilnībā segtu ceļ</w:t>
            </w:r>
            <w:r w:rsidR="002A6098" w:rsidRPr="0072076F">
              <w:rPr>
                <w:rFonts w:ascii="Times New Roman" w:eastAsia="Times New Roman" w:hAnsi="Times New Roman" w:cs="Times New Roman"/>
                <w:iCs/>
                <w:sz w:val="24"/>
                <w:szCs w:val="24"/>
                <w:lang w:eastAsia="lv-LV"/>
              </w:rPr>
              <w:t xml:space="preserve">otāju repatriācijas </w:t>
            </w:r>
            <w:r w:rsidR="002A6098" w:rsidRPr="0072076F">
              <w:rPr>
                <w:rFonts w:ascii="Times New Roman" w:eastAsia="Times New Roman" w:hAnsi="Times New Roman" w:cs="Times New Roman"/>
                <w:iCs/>
                <w:sz w:val="24"/>
                <w:szCs w:val="24"/>
                <w:lang w:eastAsia="lv-LV"/>
              </w:rPr>
              <w:lastRenderedPageBreak/>
              <w:t>draudus gada griezumā</w:t>
            </w:r>
            <w:r w:rsidRPr="0072076F">
              <w:rPr>
                <w:rFonts w:ascii="Times New Roman" w:eastAsia="Times New Roman" w:hAnsi="Times New Roman" w:cs="Times New Roman"/>
                <w:iCs/>
                <w:sz w:val="24"/>
                <w:szCs w:val="24"/>
                <w:lang w:eastAsia="lv-LV"/>
              </w:rPr>
              <w:t xml:space="preserve">. Ņemot vērā to, ka valsts nodeva komersantiem būs jāmaksā katru gadu, šīs iemaksas </w:t>
            </w:r>
            <w:r w:rsidR="002A6098" w:rsidRPr="0072076F">
              <w:rPr>
                <w:rFonts w:ascii="Times New Roman" w:eastAsia="Times New Roman" w:hAnsi="Times New Roman" w:cs="Times New Roman"/>
                <w:iCs/>
                <w:sz w:val="24"/>
                <w:szCs w:val="24"/>
                <w:lang w:eastAsia="lv-LV"/>
              </w:rPr>
              <w:t>tiks ieskaitītas valsts budžet</w:t>
            </w:r>
            <w:r w:rsidR="00FE4C69" w:rsidRPr="0072076F">
              <w:rPr>
                <w:rFonts w:ascii="Times New Roman" w:eastAsia="Times New Roman" w:hAnsi="Times New Roman" w:cs="Times New Roman"/>
                <w:iCs/>
                <w:sz w:val="24"/>
                <w:szCs w:val="24"/>
                <w:lang w:eastAsia="lv-LV"/>
              </w:rPr>
              <w:t>ā</w:t>
            </w:r>
            <w:r w:rsidRPr="0072076F">
              <w:rPr>
                <w:rFonts w:ascii="Times New Roman" w:eastAsia="Times New Roman" w:hAnsi="Times New Roman" w:cs="Times New Roman"/>
                <w:iCs/>
                <w:sz w:val="24"/>
                <w:szCs w:val="24"/>
                <w:lang w:eastAsia="lv-LV"/>
              </w:rPr>
              <w:t xml:space="preserve"> katru gadu, tādējādi </w:t>
            </w:r>
            <w:r w:rsidR="002A6098" w:rsidRPr="0072076F">
              <w:rPr>
                <w:rFonts w:ascii="Times New Roman" w:eastAsia="Times New Roman" w:hAnsi="Times New Roman" w:cs="Times New Roman"/>
                <w:iCs/>
                <w:sz w:val="24"/>
                <w:szCs w:val="24"/>
                <w:lang w:eastAsia="lv-LV"/>
              </w:rPr>
              <w:t>veidosies uzkrājums valsts budžetā</w:t>
            </w:r>
            <w:r w:rsidRPr="0072076F">
              <w:rPr>
                <w:rFonts w:ascii="Times New Roman" w:eastAsia="Times New Roman" w:hAnsi="Times New Roman" w:cs="Times New Roman"/>
                <w:iCs/>
                <w:sz w:val="24"/>
                <w:szCs w:val="24"/>
                <w:lang w:eastAsia="lv-LV"/>
              </w:rPr>
              <w:t xml:space="preserve"> atkarībā no komersantu skaita, kas saņems speciālās atļaujas (licences).</w:t>
            </w:r>
            <w:r w:rsidR="002A6098" w:rsidRPr="0072076F">
              <w:rPr>
                <w:rFonts w:ascii="Times New Roman" w:eastAsia="Times New Roman" w:hAnsi="Times New Roman" w:cs="Times New Roman"/>
                <w:iCs/>
                <w:sz w:val="24"/>
                <w:szCs w:val="24"/>
                <w:lang w:eastAsia="lv-LV"/>
              </w:rPr>
              <w:t xml:space="preserve"> </w:t>
            </w:r>
          </w:p>
          <w:p w14:paraId="16E2E171" w14:textId="52B2531C" w:rsidR="00370C20" w:rsidRPr="0072076F" w:rsidRDefault="00370C20" w:rsidP="00B34588">
            <w:pPr>
              <w:spacing w:after="0" w:line="240" w:lineRule="auto"/>
              <w:jc w:val="both"/>
              <w:rPr>
                <w:rFonts w:ascii="Times New Roman" w:eastAsia="Times New Roman" w:hAnsi="Times New Roman" w:cs="Times New Roman"/>
                <w:b/>
                <w:sz w:val="24"/>
                <w:szCs w:val="24"/>
                <w:lang w:eastAsia="lv-LV"/>
              </w:rPr>
            </w:pPr>
          </w:p>
          <w:p w14:paraId="1E2B3B08" w14:textId="71BF5635" w:rsidR="00BA0415" w:rsidRPr="0072076F" w:rsidRDefault="00BA0415" w:rsidP="00B34588">
            <w:pPr>
              <w:spacing w:after="0" w:line="240" w:lineRule="auto"/>
              <w:jc w:val="both"/>
              <w:rPr>
                <w:rFonts w:ascii="Times New Roman" w:eastAsia="Times New Roman" w:hAnsi="Times New Roman" w:cs="Times New Roman"/>
                <w:sz w:val="24"/>
                <w:szCs w:val="24"/>
                <w:u w:val="single"/>
                <w:lang w:eastAsia="lv-LV"/>
              </w:rPr>
            </w:pPr>
            <w:r w:rsidRPr="0072076F">
              <w:rPr>
                <w:rFonts w:ascii="Times New Roman" w:eastAsia="Times New Roman" w:hAnsi="Times New Roman" w:cs="Times New Roman"/>
                <w:sz w:val="24"/>
                <w:szCs w:val="24"/>
                <w:u w:val="single"/>
                <w:lang w:eastAsia="lv-LV"/>
              </w:rPr>
              <w:t>Jaunās prasības tiek piemērotas visiem komplekso un saistīto tūrisma pakalpojumu sniedzējiem</w:t>
            </w:r>
            <w:r w:rsidR="005B75FC" w:rsidRPr="0072076F">
              <w:rPr>
                <w:rFonts w:ascii="Times New Roman" w:eastAsia="Times New Roman" w:hAnsi="Times New Roman" w:cs="Times New Roman"/>
                <w:sz w:val="24"/>
                <w:szCs w:val="24"/>
                <w:u w:val="single"/>
                <w:lang w:eastAsia="lv-LV"/>
              </w:rPr>
              <w:t>, izņemot šādos gadījumos:</w:t>
            </w:r>
          </w:p>
          <w:p w14:paraId="677CC404" w14:textId="1DE8E53C" w:rsidR="005B75FC" w:rsidRPr="0072076F" w:rsidRDefault="005B75FC" w:rsidP="005B75FC">
            <w:pPr>
              <w:pStyle w:val="ListParagraph"/>
              <w:numPr>
                <w:ilvl w:val="0"/>
                <w:numId w:val="40"/>
              </w:num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komplekso un saistīto tūrisma pakalpojumu sniedzējs sniedz komplekso vai saistīto tūrisma pakalpojumu, kas aptver mazāku laika posmu nekā 24 stundas, ja vien tajā nav iekļauta naktsmītne;</w:t>
            </w:r>
          </w:p>
          <w:p w14:paraId="3878BFDF" w14:textId="464096F5" w:rsidR="005B75FC" w:rsidRPr="0072076F" w:rsidRDefault="005B75FC" w:rsidP="005B75FC">
            <w:pPr>
              <w:pStyle w:val="ListParagraph"/>
              <w:numPr>
                <w:ilvl w:val="0"/>
                <w:numId w:val="40"/>
              </w:num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sz w:val="24"/>
                <w:szCs w:val="24"/>
                <w:lang w:eastAsia="lv-LV"/>
              </w:rPr>
              <w:t xml:space="preserve">komplekso un saistīto tūrisma pakalpojumu sniedzējs piedāvā vai sekmē pakalpojumu pārdošanu </w:t>
            </w:r>
            <w:r w:rsidRPr="0072076F">
              <w:rPr>
                <w:rFonts w:ascii="Times New Roman" w:eastAsia="Times New Roman" w:hAnsi="Times New Roman" w:cs="Times New Roman"/>
                <w:bCs/>
                <w:sz w:val="24"/>
                <w:szCs w:val="24"/>
                <w:lang w:eastAsia="lv-LV"/>
              </w:rPr>
              <w:t>tikai atsevišķos gadījumos, bez peļņas gūšanas nolūka un tikai ierobežotai ceļotāju grupai;</w:t>
            </w:r>
          </w:p>
          <w:p w14:paraId="0B658F81" w14:textId="7DECF62F" w:rsidR="005B75FC" w:rsidRPr="0072076F" w:rsidRDefault="005B75FC" w:rsidP="005B75FC">
            <w:pPr>
              <w:pStyle w:val="ListParagraph"/>
              <w:numPr>
                <w:ilvl w:val="0"/>
                <w:numId w:val="40"/>
              </w:num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bCs/>
                <w:sz w:val="24"/>
                <w:szCs w:val="24"/>
                <w:lang w:eastAsia="lv-LV"/>
              </w:rPr>
              <w:t>komplekso un saistīto tūrisma pakalpojumu sniedzējs sniedz pakalpojumus pamatojoties uz vispārēju līgumu par darījumu braucienu rīkošanu, kas noslēgts starp pakalpojuma sniedzēju un kādu citu fizisku vai juridisku personu, kas rīkojas tās saimnieciskās vai profesionālās darbības ietvaros;</w:t>
            </w:r>
          </w:p>
          <w:p w14:paraId="545B14C8" w14:textId="43495030" w:rsidR="005B75FC" w:rsidRPr="0072076F" w:rsidRDefault="005B75FC" w:rsidP="005B75FC">
            <w:pPr>
              <w:pStyle w:val="ListParagraph"/>
              <w:numPr>
                <w:ilvl w:val="0"/>
                <w:numId w:val="40"/>
              </w:num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bCs/>
                <w:sz w:val="24"/>
                <w:szCs w:val="24"/>
                <w:lang w:eastAsia="lv-LV"/>
              </w:rPr>
              <w:t xml:space="preserve">komplekso un saistīto tūrisma pakalpojumu sniedz </w:t>
            </w:r>
            <w:r w:rsidRPr="0072076F">
              <w:rPr>
                <w:rFonts w:ascii="Times New Roman" w:eastAsia="Times New Roman" w:hAnsi="Times New Roman" w:cs="Times New Roman"/>
                <w:sz w:val="24"/>
                <w:szCs w:val="24"/>
                <w:lang w:eastAsia="lv-LV"/>
              </w:rPr>
              <w:t>citā Eiropas Savienības dalībvalstī reģistrēts tūrisma pakalpojuma sniedzējs, un ja tam ir nodrošinājums tūrisma pakalpojuma sniedzēja maksātnespējas gadījumā atbilstoši attiecīgās dalībvalsts tiesību aktiem.</w:t>
            </w:r>
          </w:p>
          <w:p w14:paraId="6E960758" w14:textId="0343F6AB" w:rsidR="00C47374" w:rsidRPr="0072076F" w:rsidRDefault="00C47374" w:rsidP="00C47374">
            <w:pPr>
              <w:spacing w:after="0" w:line="240" w:lineRule="auto"/>
              <w:jc w:val="both"/>
              <w:rPr>
                <w:rFonts w:ascii="Times New Roman" w:eastAsia="Times New Roman" w:hAnsi="Times New Roman" w:cs="Times New Roman"/>
                <w:sz w:val="24"/>
                <w:szCs w:val="24"/>
                <w:lang w:eastAsia="lv-LV"/>
              </w:rPr>
            </w:pPr>
          </w:p>
          <w:p w14:paraId="615AA11C" w14:textId="553B39F4" w:rsidR="00C47374" w:rsidRPr="0072076F" w:rsidRDefault="00CC2B84" w:rsidP="00C47374">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Likumprojekts</w:t>
            </w:r>
            <w:r w:rsidR="004B1BC7" w:rsidRPr="0072076F">
              <w:rPr>
                <w:rFonts w:ascii="Times New Roman" w:eastAsia="Times New Roman" w:hAnsi="Times New Roman" w:cs="Times New Roman"/>
                <w:sz w:val="24"/>
                <w:szCs w:val="24"/>
                <w:lang w:eastAsia="lv-LV"/>
              </w:rPr>
              <w:t xml:space="preserve"> </w:t>
            </w:r>
            <w:r w:rsidRPr="0072076F">
              <w:rPr>
                <w:rFonts w:ascii="Times New Roman" w:eastAsia="Times New Roman" w:hAnsi="Times New Roman" w:cs="Times New Roman"/>
                <w:sz w:val="24"/>
                <w:szCs w:val="24"/>
                <w:lang w:eastAsia="lv-LV"/>
              </w:rPr>
              <w:t>paredz arī</w:t>
            </w:r>
            <w:r w:rsidR="004B1BC7" w:rsidRPr="0072076F">
              <w:rPr>
                <w:rFonts w:ascii="Times New Roman" w:eastAsia="Times New Roman" w:hAnsi="Times New Roman" w:cs="Times New Roman"/>
                <w:sz w:val="24"/>
                <w:szCs w:val="24"/>
                <w:lang w:eastAsia="lv-LV"/>
              </w:rPr>
              <w:t xml:space="preserve"> gad</w:t>
            </w:r>
            <w:r w:rsidRPr="0072076F">
              <w:rPr>
                <w:rFonts w:ascii="Times New Roman" w:eastAsia="Times New Roman" w:hAnsi="Times New Roman" w:cs="Times New Roman"/>
                <w:sz w:val="24"/>
                <w:szCs w:val="24"/>
                <w:lang w:eastAsia="lv-LV"/>
              </w:rPr>
              <w:t xml:space="preserve">ījumu, </w:t>
            </w:r>
            <w:r w:rsidR="00AC1715" w:rsidRPr="0072076F">
              <w:rPr>
                <w:rFonts w:ascii="Times New Roman" w:eastAsia="Times New Roman" w:hAnsi="Times New Roman" w:cs="Times New Roman"/>
                <w:sz w:val="24"/>
                <w:szCs w:val="24"/>
                <w:lang w:eastAsia="lv-LV"/>
              </w:rPr>
              <w:t>ja</w:t>
            </w:r>
            <w:r w:rsidRPr="0072076F">
              <w:rPr>
                <w:rFonts w:ascii="Times New Roman" w:eastAsia="Times New Roman" w:hAnsi="Times New Roman" w:cs="Times New Roman"/>
                <w:sz w:val="24"/>
                <w:szCs w:val="24"/>
                <w:lang w:eastAsia="lv-LV"/>
              </w:rPr>
              <w:t xml:space="preserve"> repatriācijas vietā </w:t>
            </w:r>
            <w:r w:rsidR="004B1BC7" w:rsidRPr="0072076F">
              <w:rPr>
                <w:rFonts w:ascii="Times New Roman" w:eastAsia="Times New Roman" w:hAnsi="Times New Roman" w:cs="Times New Roman"/>
                <w:sz w:val="24"/>
                <w:szCs w:val="24"/>
                <w:lang w:eastAsia="lv-LV"/>
              </w:rPr>
              <w:t xml:space="preserve">kāds cits tūrisma </w:t>
            </w:r>
            <w:r w:rsidRPr="0072076F">
              <w:rPr>
                <w:rFonts w:ascii="Times New Roman" w:eastAsia="Times New Roman" w:hAnsi="Times New Roman" w:cs="Times New Roman"/>
                <w:sz w:val="24"/>
                <w:szCs w:val="24"/>
                <w:lang w:eastAsia="lv-LV"/>
              </w:rPr>
              <w:t>pakalpojumu</w:t>
            </w:r>
            <w:r w:rsidR="004B1BC7" w:rsidRPr="0072076F">
              <w:rPr>
                <w:rFonts w:ascii="Times New Roman" w:eastAsia="Times New Roman" w:hAnsi="Times New Roman" w:cs="Times New Roman"/>
                <w:sz w:val="24"/>
                <w:szCs w:val="24"/>
                <w:lang w:eastAsia="lv-LV"/>
              </w:rPr>
              <w:t xml:space="preserve"> sniedzējs piedāvā nodrošināt kompleksā </w:t>
            </w:r>
            <w:r w:rsidRPr="0072076F">
              <w:rPr>
                <w:rFonts w:ascii="Times New Roman" w:eastAsia="Times New Roman" w:hAnsi="Times New Roman" w:cs="Times New Roman"/>
                <w:sz w:val="24"/>
                <w:szCs w:val="24"/>
                <w:lang w:eastAsia="lv-LV"/>
              </w:rPr>
              <w:t>tūrisma</w:t>
            </w:r>
            <w:r w:rsidR="004B1BC7" w:rsidRPr="0072076F">
              <w:rPr>
                <w:rFonts w:ascii="Times New Roman" w:eastAsia="Times New Roman" w:hAnsi="Times New Roman" w:cs="Times New Roman"/>
                <w:sz w:val="24"/>
                <w:szCs w:val="24"/>
                <w:lang w:eastAsia="lv-LV"/>
              </w:rPr>
              <w:t xml:space="preserve"> pakalpojuma izpildi līdz galam. Ceļotājs drīkst izvēlēties arī šādu variantu. </w:t>
            </w:r>
            <w:r w:rsidRPr="0072076F">
              <w:rPr>
                <w:rFonts w:ascii="Times New Roman" w:eastAsia="Times New Roman" w:hAnsi="Times New Roman" w:cs="Times New Roman"/>
                <w:sz w:val="24"/>
                <w:szCs w:val="24"/>
                <w:lang w:eastAsia="lv-LV"/>
              </w:rPr>
              <w:t xml:space="preserve">Detalizētāks šāda scenārija apraksts tiks izvērsts MK noteikumos. </w:t>
            </w:r>
          </w:p>
          <w:p w14:paraId="51843CFB" w14:textId="5D0C9B79" w:rsidR="00BE5406" w:rsidRPr="0072076F" w:rsidRDefault="00BE5406" w:rsidP="00BE5406">
            <w:pPr>
              <w:pStyle w:val="ListParagraph"/>
              <w:spacing w:after="0" w:line="240" w:lineRule="auto"/>
              <w:jc w:val="both"/>
              <w:rPr>
                <w:rFonts w:ascii="Times New Roman" w:eastAsia="Times New Roman" w:hAnsi="Times New Roman" w:cs="Times New Roman"/>
                <w:sz w:val="24"/>
                <w:szCs w:val="24"/>
                <w:lang w:eastAsia="lv-LV"/>
              </w:rPr>
            </w:pPr>
          </w:p>
          <w:p w14:paraId="4BA20D6B" w14:textId="2921BB90" w:rsidR="005B75FC" w:rsidRPr="0072076F" w:rsidRDefault="005B75FC" w:rsidP="005B75FC">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Papildus likumprojektā noteikts, ka </w:t>
            </w:r>
            <w:r w:rsidRPr="0072076F">
              <w:rPr>
                <w:rFonts w:ascii="Times New Roman" w:eastAsia="Times New Roman" w:hAnsi="Times New Roman" w:cs="Times New Roman"/>
                <w:i/>
                <w:sz w:val="24"/>
                <w:szCs w:val="24"/>
                <w:lang w:eastAsia="lv-LV"/>
              </w:rPr>
              <w:t>tūrisma pakalpojuma sniedzējam, kas nav reģistrēts Eiropas Savienības teritorijā, bet pārdod vai piedāvā pārdošanai kompleksus vai saistītus tūrisma pakalpojumus Latvijas Republikā vai kas jebkādā veidā šādu darbību vērš uz Latvijas Republiku, ir pienākums saņemt speciālu atļauju (licenci) un sniegt nodrošinājumu tūrisma pakalpojuma sniedzēja maksātnespējas gadījumā</w:t>
            </w:r>
            <w:r w:rsidRPr="0072076F">
              <w:rPr>
                <w:rFonts w:ascii="Times New Roman" w:eastAsia="Times New Roman" w:hAnsi="Times New Roman" w:cs="Times New Roman"/>
                <w:sz w:val="24"/>
                <w:szCs w:val="24"/>
                <w:lang w:eastAsia="lv-LV"/>
              </w:rPr>
              <w:t xml:space="preserve">. </w:t>
            </w:r>
            <w:r w:rsidR="00F10B6C" w:rsidRPr="0072076F">
              <w:rPr>
                <w:rFonts w:ascii="Times New Roman" w:eastAsia="Times New Roman" w:hAnsi="Times New Roman" w:cs="Times New Roman"/>
                <w:sz w:val="24"/>
                <w:szCs w:val="24"/>
                <w:lang w:eastAsia="lv-LV"/>
              </w:rPr>
              <w:t>Šāda norma pārņemta no direktīvas, lai aizsargātu Latvijas patērētāju pret krāpnieciskiem darījumiem no 3.valstu operatoru puses, piemēram, pārdodot tiešsaistē komplekso tūrisma pakalpojumu, bet nenodrošinot tā izpildi savas maksātnespējas dēļ. Ar jēdzienu “vērš savu darbību uz Latvijas Republiku” tiek saprasta situācija, kur 3.valstu pakalpojumu sniedzējs vai nu pa tiešo vai pastarpināti piedāvā savu pakalpojumu Latvijas pilsonim, piemēram reklamējoties latviešu valodā, liekot reklāmas Latvijas medijos vai interneta portālos, vai jebkurā citā veidā mērķtiecīgi piesaistot Latvijas patērētāja uzmanību.</w:t>
            </w:r>
          </w:p>
          <w:p w14:paraId="698D4473" w14:textId="6008E155" w:rsidR="005B75FC" w:rsidRPr="0072076F" w:rsidRDefault="005B75FC" w:rsidP="00B34588">
            <w:pPr>
              <w:spacing w:after="0" w:line="240" w:lineRule="auto"/>
              <w:jc w:val="both"/>
              <w:rPr>
                <w:rFonts w:ascii="Times New Roman" w:eastAsia="Times New Roman" w:hAnsi="Times New Roman" w:cs="Times New Roman"/>
                <w:b/>
                <w:sz w:val="24"/>
                <w:szCs w:val="24"/>
                <w:lang w:eastAsia="lv-LV"/>
              </w:rPr>
            </w:pPr>
          </w:p>
          <w:p w14:paraId="18EF7436" w14:textId="13749BEB" w:rsidR="00370C20" w:rsidRPr="0072076F" w:rsidRDefault="00370C20" w:rsidP="00B34588">
            <w:pPr>
              <w:spacing w:after="0" w:line="240" w:lineRule="auto"/>
              <w:jc w:val="both"/>
              <w:rPr>
                <w:rFonts w:ascii="Times New Roman" w:eastAsia="Times New Roman" w:hAnsi="Times New Roman" w:cs="Times New Roman"/>
                <w:b/>
                <w:sz w:val="24"/>
                <w:szCs w:val="24"/>
                <w:lang w:eastAsia="lv-LV"/>
              </w:rPr>
            </w:pPr>
            <w:r w:rsidRPr="0072076F">
              <w:rPr>
                <w:rFonts w:ascii="Times New Roman" w:eastAsia="Times New Roman" w:hAnsi="Times New Roman" w:cs="Times New Roman"/>
                <w:b/>
                <w:sz w:val="24"/>
                <w:szCs w:val="24"/>
                <w:lang w:eastAsia="lv-LV"/>
              </w:rPr>
              <w:t>2.</w:t>
            </w:r>
            <w:r w:rsidR="00A21F5E" w:rsidRPr="0072076F">
              <w:rPr>
                <w:rFonts w:ascii="Times New Roman" w:eastAsia="Times New Roman" w:hAnsi="Times New Roman" w:cs="Times New Roman"/>
                <w:b/>
                <w:sz w:val="24"/>
                <w:szCs w:val="24"/>
                <w:lang w:eastAsia="lv-LV"/>
              </w:rPr>
              <w:t>2</w:t>
            </w:r>
            <w:r w:rsidRPr="0072076F">
              <w:rPr>
                <w:rFonts w:ascii="Times New Roman" w:eastAsia="Times New Roman" w:hAnsi="Times New Roman" w:cs="Times New Roman"/>
                <w:b/>
                <w:sz w:val="24"/>
                <w:szCs w:val="24"/>
                <w:lang w:eastAsia="lv-LV"/>
              </w:rPr>
              <w:t>. Obligāta speciālās atļaujas (licences) ieviešana komplekso un saistīto pakalpojumu sniedzējiem un pārdevējiem</w:t>
            </w:r>
          </w:p>
          <w:p w14:paraId="3549EC06" w14:textId="77777777" w:rsidR="00370C20" w:rsidRPr="0072076F" w:rsidRDefault="00370C20"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Esošās sistēmas lielākā problēma saistās ar PTAC pilnvaru un resursu trūkumu pārbaudīt komplekso tūrisma pakalpojumu sniedzēju patieso apgrozījumu, uz kura pamata varētu noteikt katram komplekso tūrisma pakalpojumu sniedzējam nepieciešamo finansiālo nodrošinājumu, kas segtu </w:t>
            </w:r>
            <w:r w:rsidRPr="0072076F">
              <w:rPr>
                <w:rFonts w:ascii="Times New Roman" w:eastAsia="Times New Roman" w:hAnsi="Times New Roman" w:cs="Times New Roman"/>
                <w:bCs/>
                <w:sz w:val="24"/>
                <w:szCs w:val="24"/>
                <w:lang w:eastAsia="lv-LV"/>
              </w:rPr>
              <w:lastRenderedPageBreak/>
              <w:t>visus radušos zaudējumus tūrisma pakalpojumu sniedzēja maksātnespējas gadījumā, jo šobrīd likumdošanas ietvaros nav skaidri definēta tāda gada pārskata iesniegšanas forma, kas pilnībā aptvertu visus klienta apgrozāmos naudas līdzekļus.</w:t>
            </w:r>
          </w:p>
          <w:p w14:paraId="6FF062B1"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74070933" w14:textId="349C4C46" w:rsidR="00370C20" w:rsidRPr="0072076F" w:rsidRDefault="00370C20"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u w:val="single"/>
                <w:lang w:eastAsia="lv-LV"/>
              </w:rPr>
              <w:t xml:space="preserve">Lai nodrošinātu efektīvu nozares uzraudzību un kontroli, </w:t>
            </w:r>
            <w:r w:rsidR="009A0E35" w:rsidRPr="0072076F">
              <w:rPr>
                <w:rFonts w:ascii="Times New Roman" w:eastAsia="Times New Roman" w:hAnsi="Times New Roman" w:cs="Times New Roman"/>
                <w:bCs/>
                <w:sz w:val="24"/>
                <w:szCs w:val="24"/>
                <w:u w:val="single"/>
                <w:lang w:eastAsia="lv-LV"/>
              </w:rPr>
              <w:t xml:space="preserve">kā arī mazinātu ēnu ekonomiku valstī, </w:t>
            </w:r>
            <w:r w:rsidR="002F7095" w:rsidRPr="0072076F">
              <w:rPr>
                <w:rFonts w:ascii="Times New Roman" w:eastAsia="Times New Roman" w:hAnsi="Times New Roman" w:cs="Times New Roman"/>
                <w:bCs/>
                <w:sz w:val="24"/>
                <w:szCs w:val="24"/>
                <w:u w:val="single"/>
                <w:lang w:eastAsia="lv-LV"/>
              </w:rPr>
              <w:t>tūrisma aģentiem un tūrisma operatoriem</w:t>
            </w:r>
            <w:r w:rsidRPr="0072076F">
              <w:rPr>
                <w:rFonts w:ascii="Times New Roman" w:eastAsia="Times New Roman" w:hAnsi="Times New Roman" w:cs="Times New Roman"/>
                <w:bCs/>
                <w:sz w:val="24"/>
                <w:szCs w:val="24"/>
                <w:u w:val="single"/>
                <w:lang w:eastAsia="lv-LV"/>
              </w:rPr>
              <w:t xml:space="preserve"> būs nepieciešams saņemt darbības licenci, kuru izsniegs PTAC.</w:t>
            </w:r>
            <w:r w:rsidRPr="0072076F">
              <w:rPr>
                <w:rFonts w:ascii="Times New Roman" w:eastAsia="Times New Roman" w:hAnsi="Times New Roman" w:cs="Times New Roman"/>
                <w:bCs/>
                <w:sz w:val="24"/>
                <w:szCs w:val="24"/>
                <w:lang w:eastAsia="lv-LV"/>
              </w:rPr>
              <w:t xml:space="preserve"> Ja </w:t>
            </w:r>
            <w:r w:rsidR="002F7095" w:rsidRPr="0072076F">
              <w:rPr>
                <w:rFonts w:ascii="Times New Roman" w:eastAsia="Times New Roman" w:hAnsi="Times New Roman" w:cs="Times New Roman"/>
                <w:bCs/>
                <w:sz w:val="24"/>
                <w:szCs w:val="24"/>
                <w:lang w:eastAsia="lv-LV"/>
              </w:rPr>
              <w:t>tūrisma aģenti un tūrisma operatori</w:t>
            </w:r>
            <w:r w:rsidRPr="0072076F">
              <w:rPr>
                <w:rFonts w:ascii="Times New Roman" w:eastAsia="Times New Roman" w:hAnsi="Times New Roman" w:cs="Times New Roman"/>
                <w:bCs/>
                <w:sz w:val="24"/>
                <w:szCs w:val="24"/>
                <w:lang w:eastAsia="lv-LV"/>
              </w:rPr>
              <w:t xml:space="preserve"> neizpildīs kādu no obligātajiem kritērijiem, kas atļauj sniegt kompleksos tūrisma pakalpojumus (piemēram nodrošinājums tūrisma pakalpojumu sniedzēja maksātnespējas gadījumā), tad licences darbība tiks ierobežota vai apturēta, kā rezultātā PTAC ir tiesīgs apturēt komersanta darbību. </w:t>
            </w:r>
          </w:p>
          <w:p w14:paraId="456E6B6C" w14:textId="194C30DD" w:rsidR="00B34588" w:rsidRPr="0072076F" w:rsidRDefault="00B34588" w:rsidP="00B34588">
            <w:pPr>
              <w:spacing w:after="0" w:line="240" w:lineRule="auto"/>
              <w:jc w:val="both"/>
              <w:rPr>
                <w:rFonts w:ascii="Times New Roman" w:eastAsia="Times New Roman" w:hAnsi="Times New Roman" w:cs="Times New Roman"/>
                <w:bCs/>
                <w:sz w:val="24"/>
                <w:szCs w:val="24"/>
                <w:lang w:eastAsia="lv-LV"/>
              </w:rPr>
            </w:pPr>
          </w:p>
          <w:p w14:paraId="1D908BAA" w14:textId="77777777" w:rsidR="00634984" w:rsidRPr="0072076F" w:rsidRDefault="004E3DFB"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N</w:t>
            </w:r>
            <w:r w:rsidR="00B34588" w:rsidRPr="0072076F">
              <w:rPr>
                <w:rFonts w:ascii="Times New Roman" w:eastAsia="Times New Roman" w:hAnsi="Times New Roman" w:cs="Times New Roman"/>
                <w:bCs/>
                <w:sz w:val="24"/>
                <w:szCs w:val="24"/>
                <w:lang w:eastAsia="lv-LV"/>
              </w:rPr>
              <w:t xml:space="preserve">odrošinājums tūrisma pakalpojumu sniedzēja maksātnespējas gadījumā ir jānodrošina </w:t>
            </w:r>
            <w:r w:rsidRPr="0072076F">
              <w:rPr>
                <w:rFonts w:ascii="Times New Roman" w:eastAsia="Times New Roman" w:hAnsi="Times New Roman" w:cs="Times New Roman"/>
                <w:bCs/>
                <w:sz w:val="24"/>
                <w:szCs w:val="24"/>
                <w:lang w:eastAsia="lv-LV"/>
              </w:rPr>
              <w:t>nepārtraukti visa darbības perioda laikā</w:t>
            </w:r>
            <w:r w:rsidR="00B34588" w:rsidRPr="0072076F">
              <w:rPr>
                <w:rFonts w:ascii="Times New Roman" w:eastAsia="Times New Roman" w:hAnsi="Times New Roman" w:cs="Times New Roman"/>
                <w:bCs/>
                <w:sz w:val="24"/>
                <w:szCs w:val="24"/>
                <w:lang w:eastAsia="lv-LV"/>
              </w:rPr>
              <w:t xml:space="preserve">, </w:t>
            </w:r>
            <w:r w:rsidR="00D451AC" w:rsidRPr="0072076F">
              <w:rPr>
                <w:rFonts w:ascii="Times New Roman" w:eastAsia="Times New Roman" w:hAnsi="Times New Roman" w:cs="Times New Roman"/>
                <w:bCs/>
                <w:sz w:val="24"/>
                <w:szCs w:val="24"/>
                <w:lang w:eastAsia="lv-LV"/>
              </w:rPr>
              <w:t xml:space="preserve">līdz ar to </w:t>
            </w:r>
            <w:r w:rsidR="00B34588" w:rsidRPr="0072076F">
              <w:rPr>
                <w:rFonts w:ascii="Times New Roman" w:eastAsia="Times New Roman" w:hAnsi="Times New Roman" w:cs="Times New Roman"/>
                <w:bCs/>
                <w:sz w:val="24"/>
                <w:szCs w:val="24"/>
                <w:lang w:eastAsia="lv-LV"/>
              </w:rPr>
              <w:t>tūrisma operatoriem un tūrisma pakalpojumu sniedzējiem, kas sekmē saistītos tūris</w:t>
            </w:r>
            <w:r w:rsidR="00D451AC" w:rsidRPr="0072076F">
              <w:rPr>
                <w:rFonts w:ascii="Times New Roman" w:eastAsia="Times New Roman" w:hAnsi="Times New Roman" w:cs="Times New Roman"/>
                <w:bCs/>
                <w:sz w:val="24"/>
                <w:szCs w:val="24"/>
                <w:lang w:eastAsia="lv-LV"/>
              </w:rPr>
              <w:t>ma pakalpojumus, ir jānodrošina</w:t>
            </w:r>
            <w:r w:rsidR="00B34588" w:rsidRPr="0072076F">
              <w:rPr>
                <w:rFonts w:ascii="Times New Roman" w:eastAsia="Times New Roman" w:hAnsi="Times New Roman" w:cs="Times New Roman"/>
                <w:bCs/>
                <w:sz w:val="24"/>
                <w:szCs w:val="24"/>
                <w:lang w:eastAsia="lv-LV"/>
              </w:rPr>
              <w:t xml:space="preserve"> </w:t>
            </w:r>
            <w:r w:rsidR="00D451AC" w:rsidRPr="0072076F">
              <w:rPr>
                <w:rFonts w:ascii="Times New Roman" w:eastAsia="Times New Roman" w:hAnsi="Times New Roman" w:cs="Times New Roman"/>
                <w:bCs/>
                <w:sz w:val="24"/>
                <w:szCs w:val="24"/>
                <w:lang w:eastAsia="lv-LV"/>
              </w:rPr>
              <w:t xml:space="preserve">ikgadēja apdrošināšanas polise/bankas garantija un nodrošinājums repatriācijas gadījumā. </w:t>
            </w:r>
          </w:p>
          <w:p w14:paraId="00D6797B" w14:textId="77777777" w:rsidR="00634984" w:rsidRPr="0072076F" w:rsidRDefault="00634984" w:rsidP="00B34588">
            <w:pPr>
              <w:spacing w:after="0" w:line="240" w:lineRule="auto"/>
              <w:jc w:val="both"/>
              <w:rPr>
                <w:rFonts w:ascii="Times New Roman" w:eastAsia="Times New Roman" w:hAnsi="Times New Roman" w:cs="Times New Roman"/>
                <w:bCs/>
                <w:sz w:val="24"/>
                <w:szCs w:val="24"/>
                <w:lang w:eastAsia="lv-LV"/>
              </w:rPr>
            </w:pPr>
          </w:p>
          <w:p w14:paraId="32CD40ED" w14:textId="5D651517" w:rsidR="00B34588" w:rsidRPr="0072076F" w:rsidRDefault="00634984"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Papildus repatriācijas nodrošinājumam </w:t>
            </w:r>
            <w:r w:rsidR="00D451AC" w:rsidRPr="0072076F">
              <w:rPr>
                <w:rFonts w:ascii="Times New Roman" w:eastAsia="Times New Roman" w:hAnsi="Times New Roman" w:cs="Times New Roman"/>
                <w:bCs/>
                <w:sz w:val="24"/>
                <w:szCs w:val="24"/>
                <w:lang w:eastAsia="lv-LV"/>
              </w:rPr>
              <w:t xml:space="preserve">PTAC ir jāveic ikgadēja nozares pārbaude attiecībā uz </w:t>
            </w:r>
            <w:r w:rsidRPr="0072076F">
              <w:rPr>
                <w:rFonts w:ascii="Times New Roman" w:eastAsia="Times New Roman" w:hAnsi="Times New Roman" w:cs="Times New Roman"/>
                <w:bCs/>
                <w:sz w:val="24"/>
                <w:szCs w:val="24"/>
                <w:lang w:eastAsia="lv-LV"/>
              </w:rPr>
              <w:t xml:space="preserve">tūrisma pakalpojuma sniedzēja </w:t>
            </w:r>
            <w:r w:rsidR="00D451AC" w:rsidRPr="0072076F">
              <w:rPr>
                <w:rFonts w:ascii="Times New Roman" w:eastAsia="Times New Roman" w:hAnsi="Times New Roman" w:cs="Times New Roman"/>
                <w:bCs/>
                <w:sz w:val="24"/>
                <w:szCs w:val="24"/>
                <w:lang w:eastAsia="lv-LV"/>
              </w:rPr>
              <w:t>nodrošinājumu</w:t>
            </w:r>
            <w:r w:rsidRPr="0072076F">
              <w:rPr>
                <w:rFonts w:ascii="Times New Roman" w:eastAsia="Times New Roman" w:hAnsi="Times New Roman" w:cs="Times New Roman"/>
                <w:bCs/>
                <w:sz w:val="24"/>
                <w:szCs w:val="24"/>
                <w:lang w:eastAsia="lv-LV"/>
              </w:rPr>
              <w:t xml:space="preserve"> maksātnespējas gadījumā</w:t>
            </w:r>
            <w:r w:rsidR="00D451AC" w:rsidRPr="0072076F">
              <w:rPr>
                <w:rFonts w:ascii="Times New Roman" w:eastAsia="Times New Roman" w:hAnsi="Times New Roman" w:cs="Times New Roman"/>
                <w:bCs/>
                <w:sz w:val="24"/>
                <w:szCs w:val="24"/>
                <w:lang w:eastAsia="lv-LV"/>
              </w:rPr>
              <w:t>,</w:t>
            </w:r>
            <w:r w:rsidRPr="0072076F">
              <w:rPr>
                <w:rFonts w:ascii="Times New Roman" w:eastAsia="Times New Roman" w:hAnsi="Times New Roman" w:cs="Times New Roman"/>
                <w:bCs/>
                <w:sz w:val="24"/>
                <w:szCs w:val="24"/>
                <w:lang w:eastAsia="lv-LV"/>
              </w:rPr>
              <w:t xml:space="preserve"> kā arī jānovērš krāpnieciski un normatīvo aktu neievērošanas gadījumi, </w:t>
            </w:r>
            <w:r w:rsidR="00D451AC" w:rsidRPr="0072076F">
              <w:rPr>
                <w:rFonts w:ascii="Times New Roman" w:eastAsia="Times New Roman" w:hAnsi="Times New Roman" w:cs="Times New Roman"/>
                <w:bCs/>
                <w:sz w:val="24"/>
                <w:szCs w:val="24"/>
                <w:lang w:eastAsia="lv-LV"/>
              </w:rPr>
              <w:t xml:space="preserve">tāpēc licenču maksa </w:t>
            </w:r>
            <w:r w:rsidR="00170A82" w:rsidRPr="0072076F">
              <w:rPr>
                <w:rFonts w:ascii="Times New Roman" w:eastAsia="Times New Roman" w:hAnsi="Times New Roman" w:cs="Times New Roman"/>
                <w:bCs/>
                <w:sz w:val="24"/>
                <w:szCs w:val="24"/>
                <w:lang w:eastAsia="lv-LV"/>
              </w:rPr>
              <w:t xml:space="preserve">jeb valsts nodeva </w:t>
            </w:r>
            <w:r w:rsidR="00D451AC" w:rsidRPr="0072076F">
              <w:rPr>
                <w:rFonts w:ascii="Times New Roman" w:eastAsia="Times New Roman" w:hAnsi="Times New Roman" w:cs="Times New Roman"/>
                <w:bCs/>
                <w:sz w:val="24"/>
                <w:szCs w:val="24"/>
                <w:lang w:eastAsia="lv-LV"/>
              </w:rPr>
              <w:t xml:space="preserve">tiek noteikta </w:t>
            </w:r>
            <w:r w:rsidRPr="0072076F">
              <w:rPr>
                <w:rFonts w:ascii="Times New Roman" w:eastAsia="Times New Roman" w:hAnsi="Times New Roman" w:cs="Times New Roman"/>
                <w:bCs/>
                <w:sz w:val="24"/>
                <w:szCs w:val="24"/>
                <w:lang w:eastAsia="lv-LV"/>
              </w:rPr>
              <w:t xml:space="preserve">visiem tūrisma aģentiem un operatoriem </w:t>
            </w:r>
            <w:r w:rsidR="00D451AC" w:rsidRPr="0072076F">
              <w:rPr>
                <w:rFonts w:ascii="Times New Roman" w:eastAsia="Times New Roman" w:hAnsi="Times New Roman" w:cs="Times New Roman"/>
                <w:bCs/>
                <w:sz w:val="24"/>
                <w:szCs w:val="24"/>
                <w:lang w:eastAsia="lv-LV"/>
              </w:rPr>
              <w:t>katru gadu</w:t>
            </w:r>
            <w:r w:rsidR="00170A82" w:rsidRPr="0072076F">
              <w:rPr>
                <w:rFonts w:ascii="Times New Roman" w:eastAsia="Times New Roman" w:hAnsi="Times New Roman" w:cs="Times New Roman"/>
                <w:bCs/>
                <w:sz w:val="24"/>
                <w:szCs w:val="24"/>
                <w:lang w:eastAsia="lv-LV"/>
              </w:rPr>
              <w:t xml:space="preserve"> par uzraudzības veikšanu</w:t>
            </w:r>
            <w:r w:rsidRPr="0072076F">
              <w:rPr>
                <w:rFonts w:ascii="Times New Roman" w:eastAsia="Times New Roman" w:hAnsi="Times New Roman" w:cs="Times New Roman"/>
                <w:bCs/>
                <w:sz w:val="24"/>
                <w:szCs w:val="24"/>
                <w:lang w:eastAsia="lv-LV"/>
              </w:rPr>
              <w:t>.</w:t>
            </w:r>
            <w:r w:rsidR="004E44F0" w:rsidRPr="0072076F">
              <w:rPr>
                <w:rFonts w:ascii="Times New Roman" w:eastAsia="Times New Roman" w:hAnsi="Times New Roman" w:cs="Times New Roman"/>
                <w:bCs/>
                <w:sz w:val="24"/>
                <w:szCs w:val="24"/>
                <w:lang w:eastAsia="lv-LV"/>
              </w:rPr>
              <w:t xml:space="preserve"> </w:t>
            </w:r>
            <w:r w:rsidRPr="0072076F">
              <w:rPr>
                <w:rFonts w:ascii="Times New Roman" w:eastAsia="Times New Roman" w:hAnsi="Times New Roman" w:cs="Times New Roman"/>
                <w:bCs/>
                <w:sz w:val="24"/>
                <w:szCs w:val="24"/>
                <w:lang w:eastAsia="lv-LV"/>
              </w:rPr>
              <w:t xml:space="preserve"> </w:t>
            </w:r>
          </w:p>
          <w:p w14:paraId="005616EF" w14:textId="079642D5" w:rsidR="00370C20" w:rsidRPr="0072076F" w:rsidRDefault="00370C20" w:rsidP="00B34588">
            <w:pPr>
              <w:spacing w:after="0" w:line="240" w:lineRule="auto"/>
              <w:jc w:val="both"/>
              <w:rPr>
                <w:rFonts w:ascii="Times New Roman" w:eastAsia="Times New Roman" w:hAnsi="Times New Roman" w:cs="Times New Roman"/>
                <w:bCs/>
                <w:sz w:val="24"/>
                <w:szCs w:val="24"/>
                <w:lang w:eastAsia="lv-LV"/>
              </w:rPr>
            </w:pPr>
          </w:p>
          <w:p w14:paraId="01BA8527" w14:textId="008F44F5" w:rsidR="00370C20" w:rsidRPr="0072076F" w:rsidRDefault="00370C20"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Likumprojekts paredz arī deleģējumu PTAC apturēt komersanta uzņēmējdarbību, ja tiek pārkāpti licences noteikumi. Licencēšanas noteikumi un process</w:t>
            </w:r>
            <w:r w:rsidR="004E44F0" w:rsidRPr="0072076F">
              <w:rPr>
                <w:rFonts w:ascii="Times New Roman" w:eastAsia="Times New Roman" w:hAnsi="Times New Roman" w:cs="Times New Roman"/>
                <w:bCs/>
                <w:sz w:val="24"/>
                <w:szCs w:val="24"/>
                <w:lang w:eastAsia="lv-LV"/>
              </w:rPr>
              <w:t>, kā arī valsts nodevas apmērs par licences saņemšanu</w:t>
            </w:r>
            <w:r w:rsidRPr="0072076F">
              <w:rPr>
                <w:rFonts w:ascii="Times New Roman" w:eastAsia="Times New Roman" w:hAnsi="Times New Roman" w:cs="Times New Roman"/>
                <w:bCs/>
                <w:sz w:val="24"/>
                <w:szCs w:val="24"/>
                <w:lang w:eastAsia="lv-LV"/>
              </w:rPr>
              <w:t xml:space="preserve"> tiks definēts </w:t>
            </w:r>
            <w:r w:rsidR="00AC1715" w:rsidRPr="0072076F">
              <w:rPr>
                <w:rFonts w:ascii="Times New Roman" w:eastAsia="Times New Roman" w:hAnsi="Times New Roman" w:cs="Times New Roman"/>
                <w:bCs/>
                <w:sz w:val="24"/>
                <w:szCs w:val="24"/>
                <w:lang w:eastAsia="lv-LV"/>
              </w:rPr>
              <w:t>uz Tūrisma likuma izdotajos</w:t>
            </w:r>
            <w:r w:rsidRPr="0072076F">
              <w:rPr>
                <w:rFonts w:ascii="Times New Roman" w:eastAsia="Times New Roman" w:hAnsi="Times New Roman" w:cs="Times New Roman"/>
                <w:bCs/>
                <w:sz w:val="24"/>
                <w:szCs w:val="24"/>
                <w:lang w:eastAsia="lv-LV"/>
              </w:rPr>
              <w:t xml:space="preserve"> MK noteikumos, kas ir izstrādes procesā un stāsies spēkā līdz ar 2018.gada 1.jūliju. </w:t>
            </w:r>
          </w:p>
          <w:p w14:paraId="6B92DF1A"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01D76EBD" w14:textId="1EC26F29" w:rsidR="00A21F5E" w:rsidRPr="0072076F" w:rsidRDefault="00A21F5E" w:rsidP="00A21F5E">
            <w:pPr>
              <w:spacing w:after="0" w:line="240" w:lineRule="auto"/>
              <w:jc w:val="both"/>
              <w:rPr>
                <w:rFonts w:ascii="Times New Roman" w:eastAsia="Times New Roman" w:hAnsi="Times New Roman" w:cs="Times New Roman"/>
                <w:b/>
                <w:bCs/>
                <w:iCs/>
                <w:sz w:val="24"/>
                <w:szCs w:val="24"/>
                <w:lang w:eastAsia="lv-LV"/>
              </w:rPr>
            </w:pPr>
            <w:r w:rsidRPr="0072076F">
              <w:rPr>
                <w:rFonts w:ascii="Times New Roman" w:eastAsia="Times New Roman" w:hAnsi="Times New Roman" w:cs="Times New Roman"/>
                <w:b/>
                <w:bCs/>
                <w:iCs/>
                <w:sz w:val="24"/>
                <w:szCs w:val="24"/>
                <w:lang w:eastAsia="lv-LV"/>
              </w:rPr>
              <w:t>2.3. Tūrisma aģentu un tūrisma operatoru datubāzes nodošana Patērētāju tiesību aizsardzības centra uzraudzībā</w:t>
            </w:r>
          </w:p>
          <w:p w14:paraId="40BFF1A5" w14:textId="77777777" w:rsidR="00A21F5E" w:rsidRPr="0072076F" w:rsidRDefault="00A21F5E" w:rsidP="00A21F5E">
            <w:pPr>
              <w:spacing w:after="0" w:line="240" w:lineRule="auto"/>
              <w:jc w:val="both"/>
              <w:rPr>
                <w:rFonts w:ascii="Times New Roman" w:eastAsia="Times New Roman" w:hAnsi="Times New Roman" w:cs="Times New Roman"/>
                <w:bCs/>
                <w:iCs/>
                <w:sz w:val="24"/>
                <w:szCs w:val="24"/>
                <w:lang w:eastAsia="lv-LV"/>
              </w:rPr>
            </w:pPr>
            <w:r w:rsidRPr="0072076F">
              <w:rPr>
                <w:rFonts w:ascii="Times New Roman" w:eastAsia="Times New Roman" w:hAnsi="Times New Roman" w:cs="Times New Roman"/>
                <w:bCs/>
                <w:iCs/>
                <w:sz w:val="24"/>
                <w:szCs w:val="24"/>
                <w:lang w:eastAsia="lv-LV"/>
              </w:rPr>
              <w:t>Tūrisma aģentu un tūrisma operatoru (turpmāk – TATO) datubāze ir publiski pieejama datubāze, kurā tiek reģistrēti visi tūrisma aģenti un tūrisma operatori, kas drīkst sniegt kompleksus tūrisma pakalpojumus Latvijā. Jebkurš komplekso tūrisma pakalpojumu ņēmējs var pārbaudīt vai konkrētais tūrisma operators vai aģents ir reģistrēts šajā datu bāzē.</w:t>
            </w:r>
          </w:p>
          <w:p w14:paraId="1EA62E7F" w14:textId="77777777" w:rsidR="00A21F5E" w:rsidRPr="0072076F" w:rsidRDefault="00A21F5E" w:rsidP="00A21F5E">
            <w:pPr>
              <w:spacing w:after="0" w:line="240" w:lineRule="auto"/>
              <w:jc w:val="both"/>
              <w:rPr>
                <w:rFonts w:ascii="Times New Roman" w:eastAsia="Times New Roman" w:hAnsi="Times New Roman" w:cs="Times New Roman"/>
                <w:bCs/>
                <w:sz w:val="24"/>
                <w:szCs w:val="24"/>
                <w:lang w:eastAsia="lv-LV"/>
              </w:rPr>
            </w:pPr>
          </w:p>
          <w:p w14:paraId="685289AA" w14:textId="77777777" w:rsidR="00A21F5E" w:rsidRPr="0072076F" w:rsidRDefault="00A21F5E" w:rsidP="00A21F5E">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Par tūrisma operatoru un tūrisma aģentu pieņemšanu un reģistrēšanu datubāzē pašlaik ir atbildīga EM, kas pamatojoties uz iesniegtajiem dokumentiem un nodrošinātās informācijas par konkrēto komersantu, pieņemto lēmumu nosūta pa pastu uz juridisko adresi (vai norādīto faktisko adresi) vai pēc pieprasījuma izsniedz EM klientu apkalpošanas nodaļā.</w:t>
            </w:r>
          </w:p>
          <w:p w14:paraId="12F88B97" w14:textId="0DE0BA03" w:rsidR="003C1B54" w:rsidRPr="0072076F" w:rsidRDefault="003C1B54" w:rsidP="00A21F5E">
            <w:pPr>
              <w:spacing w:after="0" w:line="240" w:lineRule="auto"/>
              <w:jc w:val="both"/>
              <w:rPr>
                <w:rFonts w:ascii="Times New Roman" w:eastAsia="Times New Roman" w:hAnsi="Times New Roman" w:cs="Times New Roman"/>
                <w:bCs/>
                <w:sz w:val="24"/>
                <w:szCs w:val="24"/>
                <w:lang w:eastAsia="lv-LV"/>
              </w:rPr>
            </w:pPr>
          </w:p>
          <w:p w14:paraId="656C697E" w14:textId="01062814" w:rsidR="00BB4C54" w:rsidRPr="0072076F" w:rsidRDefault="00AC1715" w:rsidP="00A21F5E">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u w:val="single"/>
                <w:lang w:eastAsia="lv-LV"/>
              </w:rPr>
              <w:t xml:space="preserve">Ņemot vērā, ka minēto funkciju efektīvāk var veikt PTAC, likumprojekts paredz EM ar 2018.gada 1.jūliju pakāpeniski nodot TATO datubāzi PTAC uzraudzībā un tādējādi nodrošināt efektīvāku nozares monitorēšanu un uzraudzību, kas mazinās krāpniecisku gadījumu un negodīgas </w:t>
            </w:r>
            <w:r w:rsidRPr="0072076F">
              <w:rPr>
                <w:rFonts w:ascii="Times New Roman" w:eastAsia="Times New Roman" w:hAnsi="Times New Roman" w:cs="Times New Roman"/>
                <w:bCs/>
                <w:sz w:val="24"/>
                <w:szCs w:val="24"/>
                <w:u w:val="single"/>
                <w:lang w:eastAsia="lv-LV"/>
              </w:rPr>
              <w:lastRenderedPageBreak/>
              <w:t xml:space="preserve">komercdarbības riskus, kā arī veicinās ēnu ekonomikas izskaušanu nozarē. </w:t>
            </w:r>
            <w:r w:rsidR="00BB4C54" w:rsidRPr="0072076F">
              <w:rPr>
                <w:rFonts w:ascii="Times New Roman" w:eastAsia="Times New Roman" w:hAnsi="Times New Roman" w:cs="Times New Roman"/>
                <w:bCs/>
                <w:sz w:val="24"/>
                <w:szCs w:val="24"/>
                <w:lang w:eastAsia="lv-LV"/>
              </w:rPr>
              <w:t xml:space="preserve">Datubāzē paredzēts iekļaut arī tos pakalpojumu sniedzējus, kas </w:t>
            </w:r>
            <w:r w:rsidR="00FE4C69" w:rsidRPr="0072076F">
              <w:rPr>
                <w:rFonts w:ascii="Times New Roman" w:eastAsia="Times New Roman" w:hAnsi="Times New Roman" w:cs="Times New Roman"/>
                <w:bCs/>
                <w:sz w:val="24"/>
                <w:szCs w:val="24"/>
                <w:lang w:eastAsia="lv-LV"/>
              </w:rPr>
              <w:t>sekmē</w:t>
            </w:r>
            <w:r w:rsidR="00BB4C54" w:rsidRPr="0072076F">
              <w:rPr>
                <w:rFonts w:ascii="Times New Roman" w:eastAsia="Times New Roman" w:hAnsi="Times New Roman" w:cs="Times New Roman"/>
                <w:bCs/>
                <w:sz w:val="24"/>
                <w:szCs w:val="24"/>
                <w:lang w:eastAsia="lv-LV"/>
              </w:rPr>
              <w:t xml:space="preserve"> saistīta pakalpojuma sniegšanu, tādējādi nodrošinot Direktīvas prasību veikt saistīto pakalpojumu sniedzēju uzskaiti un monitoringu.</w:t>
            </w:r>
          </w:p>
          <w:p w14:paraId="42D1BF95" w14:textId="52FDA4FD" w:rsidR="00BB4C54" w:rsidRPr="0072076F" w:rsidRDefault="00BB4C54" w:rsidP="00A21F5E">
            <w:pPr>
              <w:spacing w:after="0" w:line="240" w:lineRule="auto"/>
              <w:jc w:val="both"/>
              <w:rPr>
                <w:rFonts w:ascii="Times New Roman" w:eastAsia="Times New Roman" w:hAnsi="Times New Roman" w:cs="Times New Roman"/>
                <w:bCs/>
                <w:sz w:val="24"/>
                <w:szCs w:val="24"/>
                <w:lang w:eastAsia="lv-LV"/>
              </w:rPr>
            </w:pPr>
          </w:p>
          <w:p w14:paraId="1DC96D66" w14:textId="291BAC35" w:rsidR="00BB4C54" w:rsidRPr="0072076F" w:rsidRDefault="00BB4C54" w:rsidP="00A21F5E">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Ņemot vērā to, ka PTAC </w:t>
            </w:r>
            <w:r w:rsidR="00FE4C69" w:rsidRPr="0072076F">
              <w:rPr>
                <w:rFonts w:ascii="Times New Roman" w:eastAsia="Times New Roman" w:hAnsi="Times New Roman" w:cs="Times New Roman"/>
                <w:bCs/>
                <w:sz w:val="24"/>
                <w:szCs w:val="24"/>
                <w:lang w:eastAsia="lv-LV"/>
              </w:rPr>
              <w:t xml:space="preserve">veiks tūrisma aģentu un tūrisma operatoru </w:t>
            </w:r>
            <w:r w:rsidRPr="0072076F">
              <w:rPr>
                <w:rFonts w:ascii="Times New Roman" w:eastAsia="Times New Roman" w:hAnsi="Times New Roman" w:cs="Times New Roman"/>
                <w:bCs/>
                <w:sz w:val="24"/>
                <w:szCs w:val="24"/>
                <w:lang w:eastAsia="lv-LV"/>
              </w:rPr>
              <w:t xml:space="preserve"> licencēšanu, TATO datubāze tiks piesaistīta licencēšanas procesam, līdz ar to TATO datubāze no EM tiks nodota PTAC uzraudzībā pakāpeniski, līdz visi TATO datubāzē reģistrētie aģenti un operatori saņems licences. </w:t>
            </w:r>
          </w:p>
          <w:p w14:paraId="708EF890" w14:textId="77777777" w:rsidR="00A21F5E" w:rsidRPr="0072076F" w:rsidRDefault="00A21F5E" w:rsidP="00B34588">
            <w:pPr>
              <w:spacing w:after="0" w:line="240" w:lineRule="auto"/>
              <w:jc w:val="both"/>
              <w:rPr>
                <w:rFonts w:ascii="Times New Roman" w:eastAsia="Times New Roman" w:hAnsi="Times New Roman" w:cs="Times New Roman"/>
                <w:b/>
                <w:sz w:val="24"/>
                <w:szCs w:val="24"/>
                <w:lang w:eastAsia="lv-LV"/>
              </w:rPr>
            </w:pPr>
          </w:p>
          <w:p w14:paraId="7C85DA9E" w14:textId="0A6F72AC" w:rsidR="00370C20" w:rsidRPr="0072076F" w:rsidRDefault="00370C20" w:rsidP="00B34588">
            <w:pPr>
              <w:spacing w:after="0" w:line="240" w:lineRule="auto"/>
              <w:jc w:val="both"/>
              <w:rPr>
                <w:rFonts w:ascii="Times New Roman" w:eastAsia="Times New Roman" w:hAnsi="Times New Roman" w:cs="Times New Roman"/>
                <w:b/>
                <w:sz w:val="24"/>
                <w:szCs w:val="24"/>
                <w:lang w:eastAsia="lv-LV"/>
              </w:rPr>
            </w:pPr>
            <w:r w:rsidRPr="0072076F">
              <w:rPr>
                <w:rFonts w:ascii="Times New Roman" w:eastAsia="Times New Roman" w:hAnsi="Times New Roman" w:cs="Times New Roman"/>
                <w:b/>
                <w:sz w:val="24"/>
                <w:szCs w:val="24"/>
                <w:lang w:eastAsia="lv-LV"/>
              </w:rPr>
              <w:t>2.4. Kontroles un uzraudzības mehānisma pilnveidošana</w:t>
            </w:r>
          </w:p>
          <w:p w14:paraId="3620D137" w14:textId="5629D4CE"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Saskaņā ar datiem, kas pieejami TATO datubāzē, Latvijā darbojas (ir reģistrēti) 730 tūrisma komersanti, no kuriem 476 tūrisma aģenti, savukārt 254 ir tūrisma operatori vai kombinētie (darbojas gan kā tūrisma aģenti, gan kā tūrisma operatori). Tai pat laikā, pēc Lursoft datubāzē iegūtās informācijas redzams, ka 2015. gadā Latvijā tūrisma nozarē aktīvi darbojās tikai 437 komersanti, no kuriem 276 bija tūrisma operatori, bet 161 tūrisma aģenti (šajos skaitļos ietilpst arī tādi, kuri darbojas gan kā tūrisma operatori, gan kā tūrisma aģenti).</w:t>
            </w:r>
          </w:p>
          <w:p w14:paraId="24070186"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3BD243A7" w14:textId="3554D81F"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Saskaņā ar Lursoft datu bāz</w:t>
            </w:r>
            <w:r w:rsidR="000B6B9D" w:rsidRPr="0072076F">
              <w:rPr>
                <w:rFonts w:ascii="Times New Roman" w:eastAsia="Times New Roman" w:hAnsi="Times New Roman" w:cs="Times New Roman"/>
                <w:iCs/>
                <w:sz w:val="24"/>
                <w:szCs w:val="24"/>
                <w:lang w:eastAsia="lv-LV"/>
              </w:rPr>
              <w:t>ē</w:t>
            </w:r>
            <w:r w:rsidRPr="0072076F">
              <w:rPr>
                <w:rFonts w:ascii="Times New Roman" w:eastAsia="Times New Roman" w:hAnsi="Times New Roman" w:cs="Times New Roman"/>
                <w:iCs/>
                <w:sz w:val="24"/>
                <w:szCs w:val="24"/>
                <w:lang w:eastAsia="lv-LV"/>
              </w:rPr>
              <w:t xml:space="preserve"> pieejam</w:t>
            </w:r>
            <w:r w:rsidR="000B6B9D" w:rsidRPr="0072076F">
              <w:rPr>
                <w:rFonts w:ascii="Times New Roman" w:eastAsia="Times New Roman" w:hAnsi="Times New Roman" w:cs="Times New Roman"/>
                <w:iCs/>
                <w:sz w:val="24"/>
                <w:szCs w:val="24"/>
                <w:lang w:eastAsia="lv-LV"/>
              </w:rPr>
              <w:t>o</w:t>
            </w:r>
            <w:r w:rsidRPr="0072076F">
              <w:rPr>
                <w:rFonts w:ascii="Times New Roman" w:eastAsia="Times New Roman" w:hAnsi="Times New Roman" w:cs="Times New Roman"/>
                <w:iCs/>
                <w:sz w:val="24"/>
                <w:szCs w:val="24"/>
                <w:lang w:eastAsia="lv-LV"/>
              </w:rPr>
              <w:t xml:space="preserve"> informācij</w:t>
            </w:r>
            <w:r w:rsidR="000B6B9D" w:rsidRPr="0072076F">
              <w:rPr>
                <w:rFonts w:ascii="Times New Roman" w:eastAsia="Times New Roman" w:hAnsi="Times New Roman" w:cs="Times New Roman"/>
                <w:iCs/>
                <w:sz w:val="24"/>
                <w:szCs w:val="24"/>
                <w:lang w:eastAsia="lv-LV"/>
              </w:rPr>
              <w:t>u</w:t>
            </w:r>
            <w:r w:rsidRPr="0072076F">
              <w:rPr>
                <w:rFonts w:ascii="Times New Roman" w:eastAsia="Times New Roman" w:hAnsi="Times New Roman" w:cs="Times New Roman"/>
                <w:iCs/>
                <w:sz w:val="24"/>
                <w:szCs w:val="24"/>
                <w:lang w:eastAsia="lv-LV"/>
              </w:rPr>
              <w:t xml:space="preserve"> kopējais tūrisma nozares uzrādītais apgrozījums par 2015.gadu ir 235 636 900 EUR, no </w:t>
            </w:r>
            <w:r w:rsidR="000B6B9D" w:rsidRPr="0072076F">
              <w:rPr>
                <w:rFonts w:ascii="Times New Roman" w:eastAsia="Times New Roman" w:hAnsi="Times New Roman" w:cs="Times New Roman"/>
                <w:iCs/>
                <w:sz w:val="24"/>
                <w:szCs w:val="24"/>
                <w:lang w:eastAsia="lv-LV"/>
              </w:rPr>
              <w:t>kā</w:t>
            </w:r>
            <w:r w:rsidRPr="0072076F">
              <w:rPr>
                <w:rFonts w:ascii="Times New Roman" w:eastAsia="Times New Roman" w:hAnsi="Times New Roman" w:cs="Times New Roman"/>
                <w:iCs/>
                <w:sz w:val="24"/>
                <w:szCs w:val="24"/>
                <w:lang w:eastAsia="lv-LV"/>
              </w:rPr>
              <w:t xml:space="preserve"> tūrisma operatori deklarējuši 92 334 690 EUR, bet tūrisma aģenti 143 302 210 EUR. Pēc šiem datiem var secināt ka tūrisma operatori nozarē ienesuši tikai 39% no visa nozares gada deklarētā apgrozījuma, bet atlikušie 61% piesaistāmi tūrisma aģentu darbībai. </w:t>
            </w:r>
          </w:p>
          <w:p w14:paraId="0C7A2C92"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022AFECF" w14:textId="29244808" w:rsidR="002406F9" w:rsidRPr="0072076F" w:rsidRDefault="00370C20" w:rsidP="002406F9">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Pamatojoties uz Latvijas tūrisma aģentu un operatoru asociācijas kā arī PTAC novērojumiem, daļa </w:t>
            </w:r>
            <w:r w:rsidR="002406F9" w:rsidRPr="0072076F">
              <w:rPr>
                <w:rFonts w:ascii="Times New Roman" w:eastAsia="Times New Roman" w:hAnsi="Times New Roman" w:cs="Times New Roman"/>
                <w:iCs/>
                <w:sz w:val="24"/>
                <w:szCs w:val="24"/>
                <w:lang w:eastAsia="lv-LV"/>
              </w:rPr>
              <w:t>no tūrisma pakalpojumu sniedzējiem</w:t>
            </w:r>
            <w:r w:rsidRPr="0072076F">
              <w:rPr>
                <w:rFonts w:ascii="Times New Roman" w:eastAsia="Times New Roman" w:hAnsi="Times New Roman" w:cs="Times New Roman"/>
                <w:iCs/>
                <w:sz w:val="24"/>
                <w:szCs w:val="24"/>
                <w:lang w:eastAsia="lv-LV"/>
              </w:rPr>
              <w:t xml:space="preserve">, kas sevi TATO datubāzē ir reģistrējuši kā tūrisma aģenti, patiesībā savu darbību veic kā tūrisma operatori. </w:t>
            </w:r>
            <w:r w:rsidR="002406F9" w:rsidRPr="0072076F">
              <w:rPr>
                <w:rFonts w:ascii="Times New Roman" w:eastAsia="Times New Roman" w:hAnsi="Times New Roman" w:cs="Times New Roman"/>
                <w:iCs/>
                <w:sz w:val="24"/>
                <w:szCs w:val="24"/>
                <w:lang w:eastAsia="lv-LV"/>
              </w:rPr>
              <w:t xml:space="preserve">Tas nozīmē, ka šie aģenti darbojās kā tūrisma operatori un vairāk par pusi  no nozares apgrozītajiem līdzekļiem ir bez jebkāda nodrošinājuma. </w:t>
            </w:r>
          </w:p>
          <w:p w14:paraId="6C9AB7E8" w14:textId="1C018A80"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068E238A" w14:textId="68360429"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Tāpat jāņem vērā fakts, ka daudzi tūrisma pakalpojumu sniedzēji Uzņēmumu reģistrā savu darbību nav reģistrējuši kā tūrisma aģenti vai operatori, un tomēr tādus pakalpojumus sniedz. Par to liecina lielā tūrisma pakalpojumu sniedzēju skaita atšķirība starp Lursoft un TATO datubāzes datiem. Līdz ar to ir jārēķinās, ka</w:t>
            </w:r>
            <w:r w:rsidR="000B6B9D" w:rsidRPr="0072076F">
              <w:rPr>
                <w:rFonts w:ascii="Times New Roman" w:eastAsia="Times New Roman" w:hAnsi="Times New Roman" w:cs="Times New Roman"/>
                <w:iCs/>
                <w:sz w:val="24"/>
                <w:szCs w:val="24"/>
                <w:lang w:eastAsia="lv-LV"/>
              </w:rPr>
              <w:t>,</w:t>
            </w:r>
            <w:r w:rsidRPr="0072076F">
              <w:rPr>
                <w:rFonts w:ascii="Times New Roman" w:eastAsia="Times New Roman" w:hAnsi="Times New Roman" w:cs="Times New Roman"/>
                <w:iCs/>
                <w:sz w:val="24"/>
                <w:szCs w:val="24"/>
                <w:lang w:eastAsia="lv-LV"/>
              </w:rPr>
              <w:t xml:space="preserve"> pastiprinoties PTAC kontrolei, papildus minētajiem 437 </w:t>
            </w:r>
            <w:r w:rsidR="000B6B9D" w:rsidRPr="0072076F">
              <w:rPr>
                <w:rFonts w:ascii="Times New Roman" w:eastAsia="Times New Roman" w:hAnsi="Times New Roman" w:cs="Times New Roman"/>
                <w:iCs/>
                <w:sz w:val="24"/>
                <w:szCs w:val="24"/>
                <w:lang w:eastAsia="lv-LV"/>
              </w:rPr>
              <w:t>tūrisma pakalpojumu sniedzējiem</w:t>
            </w:r>
            <w:r w:rsidRPr="0072076F">
              <w:rPr>
                <w:rFonts w:ascii="Times New Roman" w:eastAsia="Times New Roman" w:hAnsi="Times New Roman" w:cs="Times New Roman"/>
                <w:iCs/>
                <w:sz w:val="24"/>
                <w:szCs w:val="24"/>
                <w:lang w:eastAsia="lv-LV"/>
              </w:rPr>
              <w:t xml:space="preserve"> licences varētu saņemt arī pārējie komersanti, kas ir reģistrējušies TATO datubāzē (papildus aptuveni 300 komersanti).</w:t>
            </w:r>
            <w:r w:rsidR="00DF7C8F" w:rsidRPr="0072076F">
              <w:rPr>
                <w:rFonts w:ascii="Times New Roman" w:eastAsia="Times New Roman" w:hAnsi="Times New Roman" w:cs="Times New Roman"/>
                <w:iCs/>
                <w:sz w:val="24"/>
                <w:szCs w:val="24"/>
                <w:lang w:eastAsia="lv-LV"/>
              </w:rPr>
              <w:t xml:space="preserve"> Tas </w:t>
            </w:r>
            <w:r w:rsidR="000B6B9D" w:rsidRPr="0072076F">
              <w:rPr>
                <w:rFonts w:ascii="Times New Roman" w:eastAsia="Times New Roman" w:hAnsi="Times New Roman" w:cs="Times New Roman"/>
                <w:iCs/>
                <w:sz w:val="24"/>
                <w:szCs w:val="24"/>
                <w:lang w:eastAsia="lv-LV"/>
              </w:rPr>
              <w:t>palielinātu valsts budžeta ieņēmumus par vēl 12 000 EUR gadā no valsts nodevas par speciālo licenci (atļauju).</w:t>
            </w:r>
          </w:p>
          <w:p w14:paraId="15F61A1C"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p>
          <w:p w14:paraId="1D5467C2" w14:textId="0372ACB5"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Līdz ar to, lai sakārtotu tirgu un cīnītos pret nelegālo operatoru darbību, kā arī nodrošinātu licenču izsniegšanu 437 (vai potenciāli pat 700) tūrisma pakalpojumu sniedzējiem, kā arī nodrošinātu vispārīgu nozares uzraudzību, ir nepieciešams būtiski stiprināt PTAC kapacitāti.</w:t>
            </w:r>
          </w:p>
          <w:p w14:paraId="4A1D512C" w14:textId="77777777" w:rsidR="00370C20" w:rsidRPr="0072076F" w:rsidRDefault="00370C20" w:rsidP="00B34588">
            <w:pPr>
              <w:spacing w:after="0" w:line="240" w:lineRule="auto"/>
              <w:jc w:val="both"/>
              <w:rPr>
                <w:rFonts w:ascii="Times New Roman" w:eastAsia="Times New Roman" w:hAnsi="Times New Roman" w:cs="Times New Roman"/>
                <w:bCs/>
                <w:sz w:val="24"/>
                <w:szCs w:val="24"/>
                <w:lang w:eastAsia="lv-LV"/>
              </w:rPr>
            </w:pPr>
          </w:p>
          <w:p w14:paraId="61BFDAB3" w14:textId="3B392D33" w:rsidR="00370C20" w:rsidRPr="0072076F" w:rsidRDefault="00DF7C8F"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Atbilstoši Ministru kabineta 2006.gada 1.augsta noteikumu Nr.632 “Patērētāju tiesību aizsardzības centra nolikums” 4.12.apakšpunktam </w:t>
            </w:r>
            <w:r w:rsidR="00370C20" w:rsidRPr="0072076F">
              <w:rPr>
                <w:rFonts w:ascii="Times New Roman" w:eastAsia="Times New Roman" w:hAnsi="Times New Roman" w:cs="Times New Roman"/>
                <w:bCs/>
                <w:sz w:val="24"/>
                <w:szCs w:val="24"/>
                <w:lang w:eastAsia="lv-LV"/>
              </w:rPr>
              <w:t xml:space="preserve"> </w:t>
            </w:r>
            <w:r w:rsidR="00370C20" w:rsidRPr="0072076F">
              <w:rPr>
                <w:rFonts w:ascii="Times New Roman" w:eastAsia="Times New Roman" w:hAnsi="Times New Roman" w:cs="Times New Roman"/>
                <w:bCs/>
                <w:sz w:val="24"/>
                <w:szCs w:val="24"/>
                <w:lang w:eastAsia="lv-LV"/>
              </w:rPr>
              <w:lastRenderedPageBreak/>
              <w:t>PTAC ir iestāde, kura ir atbildīga par komplekso tūrisma pakalpojumu regulējuma uzraudzību – </w:t>
            </w:r>
            <w:r w:rsidR="00370C20" w:rsidRPr="0072076F">
              <w:rPr>
                <w:rFonts w:ascii="Times New Roman" w:eastAsia="Times New Roman" w:hAnsi="Times New Roman" w:cs="Times New Roman"/>
                <w:sz w:val="24"/>
                <w:szCs w:val="24"/>
                <w:lang w:eastAsia="lv-LV"/>
              </w:rPr>
              <w:t>t.sk</w:t>
            </w:r>
            <w:r w:rsidR="00370C20" w:rsidRPr="0072076F">
              <w:rPr>
                <w:rFonts w:ascii="Times New Roman" w:eastAsia="Times New Roman" w:hAnsi="Times New Roman" w:cs="Times New Roman"/>
                <w:bCs/>
                <w:sz w:val="24"/>
                <w:szCs w:val="24"/>
                <w:lang w:eastAsia="lv-LV"/>
              </w:rPr>
              <w:t>., arī regulējuma, kas attiecas uz klienta iemaksātās naudas drošības garantijas pietiekamības uzraudzību un arī tajā skaitā, par administratīvo sodu piemērošanu (Administratīvo pārkāpumu kodeksa 155.</w:t>
            </w:r>
            <w:r w:rsidR="00370C20" w:rsidRPr="0072076F">
              <w:rPr>
                <w:rFonts w:ascii="Times New Roman" w:eastAsia="Times New Roman" w:hAnsi="Times New Roman" w:cs="Times New Roman"/>
                <w:bCs/>
                <w:sz w:val="24"/>
                <w:szCs w:val="24"/>
                <w:vertAlign w:val="superscript"/>
                <w:lang w:eastAsia="lv-LV"/>
              </w:rPr>
              <w:t>11</w:t>
            </w:r>
            <w:r w:rsidR="00370C20" w:rsidRPr="0072076F">
              <w:rPr>
                <w:rFonts w:ascii="Times New Roman" w:eastAsia="Times New Roman" w:hAnsi="Times New Roman" w:cs="Times New Roman"/>
                <w:bCs/>
                <w:sz w:val="24"/>
                <w:szCs w:val="24"/>
                <w:lang w:eastAsia="lv-LV"/>
              </w:rPr>
              <w:t xml:space="preserve"> pants), ja garantija nav nodrošināta vispār vai arī nav nodrošināta pietiekami. </w:t>
            </w:r>
          </w:p>
          <w:p w14:paraId="1835FD71" w14:textId="77777777" w:rsidR="00370C20" w:rsidRPr="0072076F" w:rsidRDefault="00370C20" w:rsidP="00B34588">
            <w:pPr>
              <w:spacing w:after="0" w:line="240" w:lineRule="auto"/>
              <w:jc w:val="both"/>
              <w:rPr>
                <w:rFonts w:ascii="Times New Roman" w:eastAsia="Times New Roman" w:hAnsi="Times New Roman" w:cs="Times New Roman"/>
                <w:bCs/>
                <w:sz w:val="24"/>
                <w:szCs w:val="24"/>
                <w:lang w:eastAsia="lv-LV"/>
              </w:rPr>
            </w:pPr>
          </w:p>
          <w:p w14:paraId="6A48878E" w14:textId="77777777" w:rsidR="00370C20" w:rsidRPr="0072076F" w:rsidRDefault="00370C20"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PTAC patlaban nav atsevišķu darbinieku, kuri nodarbotos tieši ar komplekso tūrisma pakalpojumu uzraudzību. PTAC uzraudzības aktivitātes komplekso tūrisma pakalpojumu jomā ietver sekojošas darbības:</w:t>
            </w:r>
          </w:p>
          <w:p w14:paraId="7B853291" w14:textId="77777777" w:rsidR="00370C20" w:rsidRPr="0072076F" w:rsidRDefault="00370C20" w:rsidP="00B34588">
            <w:pPr>
              <w:pStyle w:val="ListParagraph"/>
              <w:numPr>
                <w:ilvl w:val="0"/>
                <w:numId w:val="10"/>
              </w:num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sekošanu līdzi informācijai TATO datubāzē un kā arī to pakalpojumu sniedzēju pārbaude, kuri nav reģistrējušies TATO, bet sniedz pakalpojumus patērētājiem; </w:t>
            </w:r>
          </w:p>
          <w:p w14:paraId="3FF1D8AA" w14:textId="77777777" w:rsidR="00370C20" w:rsidRPr="0072076F" w:rsidRDefault="00370C20" w:rsidP="00B34588">
            <w:pPr>
              <w:pStyle w:val="ListParagraph"/>
              <w:numPr>
                <w:ilvl w:val="0"/>
                <w:numId w:val="10"/>
              </w:num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nepieciešamības gadījumā – pārbaužu veikšanu tūrisma pakalpojumu sniedzēju birojos, lai pārliecinātos  vai tiešām tiek piedāvāts komplekss tūrisma pakalpojums bez drošības garantijas; </w:t>
            </w:r>
          </w:p>
          <w:p w14:paraId="3C11D27E" w14:textId="77777777" w:rsidR="00370C20" w:rsidRPr="0072076F" w:rsidRDefault="00370C20" w:rsidP="00B34588">
            <w:pPr>
              <w:pStyle w:val="ListParagraph"/>
              <w:numPr>
                <w:ilvl w:val="0"/>
                <w:numId w:val="10"/>
              </w:num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administratīvo pārkāpuma lietu izskatīšanu un administratīvo sodu piemērošanu;</w:t>
            </w:r>
          </w:p>
          <w:p w14:paraId="12C4F25C" w14:textId="066092C1" w:rsidR="00370C20" w:rsidRPr="0072076F" w:rsidRDefault="00370C20" w:rsidP="00B34588">
            <w:pPr>
              <w:pStyle w:val="ListParagraph"/>
              <w:numPr>
                <w:ilvl w:val="0"/>
                <w:numId w:val="10"/>
              </w:num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rekomendāciju izstrādāšana </w:t>
            </w:r>
            <w:r w:rsidR="002E0193" w:rsidRPr="0072076F">
              <w:rPr>
                <w:rFonts w:ascii="Times New Roman" w:eastAsia="Times New Roman" w:hAnsi="Times New Roman" w:cs="Times New Roman"/>
                <w:bCs/>
                <w:sz w:val="24"/>
                <w:szCs w:val="24"/>
                <w:lang w:eastAsia="lv-LV"/>
              </w:rPr>
              <w:t>tūrisma operatoru</w:t>
            </w:r>
            <w:r w:rsidRPr="0072076F">
              <w:rPr>
                <w:rFonts w:ascii="Times New Roman" w:eastAsia="Times New Roman" w:hAnsi="Times New Roman" w:cs="Times New Roman"/>
                <w:bCs/>
                <w:sz w:val="24"/>
                <w:szCs w:val="24"/>
                <w:lang w:eastAsia="lv-LV"/>
              </w:rPr>
              <w:t xml:space="preserve"> drošības garantiju apmēra noteikšanai (ņemot vērā, ka esošais regulējums nenosaka konkrētus kritērijus) un aktivitāšu veikšanu, lai tūrisma operatori pārskatītu drošības garantiju apmēru.</w:t>
            </w:r>
          </w:p>
          <w:p w14:paraId="28926AF2"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141D903F" w14:textId="1FA568A6"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u w:val="single"/>
                <w:lang w:eastAsia="lv-LV"/>
              </w:rPr>
              <w:t>Ņemot vērā minēto, likumprojekts paredz jaunu funkciju noteikšanu</w:t>
            </w:r>
            <w:r w:rsidR="006430BC" w:rsidRPr="0072076F">
              <w:rPr>
                <w:rFonts w:ascii="Times New Roman" w:eastAsia="Times New Roman" w:hAnsi="Times New Roman" w:cs="Times New Roman"/>
                <w:sz w:val="24"/>
                <w:szCs w:val="24"/>
                <w:u w:val="single"/>
                <w:lang w:eastAsia="lv-LV"/>
              </w:rPr>
              <w:t xml:space="preserve">, proti, paredz, ka </w:t>
            </w:r>
            <w:r w:rsidRPr="0072076F">
              <w:rPr>
                <w:rFonts w:ascii="Times New Roman" w:eastAsia="Times New Roman" w:hAnsi="Times New Roman" w:cs="Times New Roman"/>
                <w:sz w:val="24"/>
                <w:szCs w:val="24"/>
                <w:u w:val="single"/>
                <w:lang w:eastAsia="lv-LV"/>
              </w:rPr>
              <w:t xml:space="preserve"> PTAC</w:t>
            </w:r>
            <w:r w:rsidRPr="0072076F">
              <w:rPr>
                <w:rFonts w:ascii="Times New Roman" w:eastAsia="Times New Roman" w:hAnsi="Times New Roman" w:cs="Times New Roman"/>
                <w:sz w:val="24"/>
                <w:szCs w:val="24"/>
                <w:lang w:eastAsia="lv-LV"/>
              </w:rPr>
              <w:t>:</w:t>
            </w:r>
          </w:p>
          <w:p w14:paraId="2FB2D75F" w14:textId="10B733B5" w:rsidR="002E0193" w:rsidRPr="0072076F" w:rsidRDefault="002E0193" w:rsidP="002E0193">
            <w:pPr>
              <w:pStyle w:val="ListParagraph"/>
              <w:numPr>
                <w:ilvl w:val="0"/>
                <w:numId w:val="12"/>
              </w:numPr>
              <w:shd w:val="clear" w:color="auto" w:fill="FFFFFF"/>
              <w:spacing w:after="0" w:line="293" w:lineRule="atLeast"/>
              <w:ind w:left="718"/>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izsniedz speciālo atļauju (licenci) tūrisma aģentam un tūrisma operatoram, kā arī aptur un atjauno tūrisma aģenta un tūrisma operatora darbību</w:t>
            </w:r>
            <w:r w:rsidR="008C3192" w:rsidRPr="0072076F">
              <w:rPr>
                <w:rFonts w:ascii="Times New Roman" w:eastAsia="Times New Roman" w:hAnsi="Times New Roman" w:cs="Times New Roman"/>
                <w:sz w:val="24"/>
                <w:szCs w:val="24"/>
                <w:lang w:eastAsia="lv-LV"/>
              </w:rPr>
              <w:t>,</w:t>
            </w:r>
          </w:p>
          <w:p w14:paraId="7AFD2F40" w14:textId="77777777" w:rsidR="002E0193" w:rsidRPr="0072076F" w:rsidRDefault="002E0193" w:rsidP="002E0193">
            <w:pPr>
              <w:pStyle w:val="ListParagraph"/>
              <w:numPr>
                <w:ilvl w:val="0"/>
                <w:numId w:val="12"/>
              </w:numPr>
              <w:shd w:val="clear" w:color="auto" w:fill="FFFFFF"/>
              <w:spacing w:after="0" w:line="293" w:lineRule="atLeast"/>
              <w:ind w:left="718"/>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nodrošina tūrisma aģentu, tūrisma operatoru un saistīto tūrisma pakalpojumu sniedzēju datubāzes izveidošanu un uzturēšanu,</w:t>
            </w:r>
          </w:p>
          <w:p w14:paraId="5E0A9EFD" w14:textId="77777777" w:rsidR="002E0193" w:rsidRPr="0072076F" w:rsidRDefault="002E0193" w:rsidP="002E0193">
            <w:pPr>
              <w:pStyle w:val="ListParagraph"/>
              <w:numPr>
                <w:ilvl w:val="0"/>
                <w:numId w:val="12"/>
              </w:numPr>
              <w:shd w:val="clear" w:color="auto" w:fill="FFFFFF"/>
              <w:spacing w:after="0" w:line="293" w:lineRule="atLeast"/>
              <w:ind w:left="718"/>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veic centrālajam kontaktpunktam paredzētos uzdevumus attiecībā uz kompleksajiem un saistītajiem tūrisma pakalpojumiem,</w:t>
            </w:r>
          </w:p>
          <w:p w14:paraId="0C5C3CE3" w14:textId="588229BF" w:rsidR="00370C20" w:rsidRPr="0072076F" w:rsidRDefault="002E0193" w:rsidP="002E0193">
            <w:pPr>
              <w:pStyle w:val="ListParagraph"/>
              <w:numPr>
                <w:ilvl w:val="0"/>
                <w:numId w:val="12"/>
              </w:numPr>
              <w:shd w:val="clear" w:color="auto" w:fill="FFFFFF"/>
              <w:spacing w:after="0" w:line="293" w:lineRule="atLeast"/>
              <w:ind w:left="718"/>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veic tūrisma pakalpojuma sniedzēja maksātnespējas gadījumā nodrošinājuma un komplekso un saistīto tūrisma pakalpojumu sniegšanas atbilstības normatīvajos aktos noteiktajām prasībām uzraudzību</w:t>
            </w:r>
            <w:r w:rsidR="00370C20" w:rsidRPr="0072076F">
              <w:rPr>
                <w:rFonts w:ascii="Times New Roman" w:eastAsia="Times New Roman" w:hAnsi="Times New Roman" w:cs="Times New Roman"/>
                <w:sz w:val="24"/>
                <w:szCs w:val="24"/>
                <w:lang w:eastAsia="lv-LV"/>
              </w:rPr>
              <w:t>.</w:t>
            </w:r>
          </w:p>
          <w:p w14:paraId="1A6B6144" w14:textId="77777777" w:rsidR="002E0193" w:rsidRPr="0072076F" w:rsidRDefault="002E0193" w:rsidP="002E0193">
            <w:pPr>
              <w:spacing w:after="0" w:line="240" w:lineRule="auto"/>
              <w:jc w:val="both"/>
              <w:rPr>
                <w:rFonts w:ascii="Times New Roman" w:eastAsia="Times New Roman" w:hAnsi="Times New Roman" w:cs="Times New Roman"/>
                <w:sz w:val="24"/>
                <w:szCs w:val="24"/>
                <w:lang w:eastAsia="lv-LV"/>
              </w:rPr>
            </w:pPr>
          </w:p>
          <w:p w14:paraId="0D201DC6" w14:textId="60E9BBD7" w:rsidR="00370C20" w:rsidRPr="0072076F" w:rsidRDefault="00370C20" w:rsidP="002E0193">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Komplekso tūrisma pakalpojumu direktīvas </w:t>
            </w:r>
            <w:r w:rsidR="002E0193" w:rsidRPr="0072076F">
              <w:rPr>
                <w:rFonts w:ascii="Times New Roman" w:eastAsia="Times New Roman" w:hAnsi="Times New Roman" w:cs="Times New Roman"/>
                <w:sz w:val="24"/>
                <w:szCs w:val="24"/>
                <w:lang w:eastAsia="lv-LV"/>
              </w:rPr>
              <w:t xml:space="preserve">centrālā </w:t>
            </w:r>
            <w:r w:rsidRPr="0072076F">
              <w:rPr>
                <w:rFonts w:ascii="Times New Roman" w:eastAsia="Times New Roman" w:hAnsi="Times New Roman" w:cs="Times New Roman"/>
                <w:sz w:val="24"/>
                <w:szCs w:val="24"/>
                <w:lang w:eastAsia="lv-LV"/>
              </w:rPr>
              <w:t xml:space="preserve">kontaktpunkta funkcija </w:t>
            </w:r>
            <w:r w:rsidR="002E0193" w:rsidRPr="0072076F">
              <w:rPr>
                <w:rFonts w:ascii="Times New Roman" w:eastAsia="Times New Roman" w:hAnsi="Times New Roman" w:cs="Times New Roman"/>
                <w:sz w:val="24"/>
                <w:szCs w:val="24"/>
                <w:lang w:eastAsia="lv-LV"/>
              </w:rPr>
              <w:t xml:space="preserve">nozīmē </w:t>
            </w:r>
            <w:r w:rsidRPr="0072076F">
              <w:rPr>
                <w:rFonts w:ascii="Times New Roman" w:eastAsia="Times New Roman" w:hAnsi="Times New Roman" w:cs="Times New Roman"/>
                <w:sz w:val="24"/>
                <w:szCs w:val="24"/>
                <w:lang w:eastAsia="lv-LV"/>
              </w:rPr>
              <w:t>informācijas sagatavošan</w:t>
            </w:r>
            <w:r w:rsidR="002E0193" w:rsidRPr="0072076F">
              <w:rPr>
                <w:rFonts w:ascii="Times New Roman" w:eastAsia="Times New Roman" w:hAnsi="Times New Roman" w:cs="Times New Roman"/>
                <w:sz w:val="24"/>
                <w:szCs w:val="24"/>
                <w:lang w:eastAsia="lv-LV"/>
              </w:rPr>
              <w:t>u</w:t>
            </w:r>
            <w:r w:rsidRPr="0072076F">
              <w:rPr>
                <w:rFonts w:ascii="Times New Roman" w:eastAsia="Times New Roman" w:hAnsi="Times New Roman" w:cs="Times New Roman"/>
                <w:sz w:val="24"/>
                <w:szCs w:val="24"/>
                <w:lang w:eastAsia="lv-LV"/>
              </w:rPr>
              <w:t xml:space="preserve"> un sniegšan</w:t>
            </w:r>
            <w:r w:rsidR="002E0193" w:rsidRPr="0072076F">
              <w:rPr>
                <w:rFonts w:ascii="Times New Roman" w:eastAsia="Times New Roman" w:hAnsi="Times New Roman" w:cs="Times New Roman"/>
                <w:sz w:val="24"/>
                <w:szCs w:val="24"/>
                <w:lang w:eastAsia="lv-LV"/>
              </w:rPr>
              <w:t>u</w:t>
            </w:r>
            <w:r w:rsidRPr="0072076F">
              <w:rPr>
                <w:rFonts w:ascii="Times New Roman" w:eastAsia="Times New Roman" w:hAnsi="Times New Roman" w:cs="Times New Roman"/>
                <w:sz w:val="24"/>
                <w:szCs w:val="24"/>
                <w:lang w:eastAsia="lv-LV"/>
              </w:rPr>
              <w:t xml:space="preserve"> citu ES valstu uzraudzības iestādēm par komersantiem, kas darbojas Latvijā, un informācijas pieprasīšana un izvērtēšana no citām uzraudzības iestādēm</w:t>
            </w:r>
            <w:r w:rsidR="002E0193" w:rsidRPr="0072076F">
              <w:rPr>
                <w:rFonts w:ascii="Times New Roman" w:eastAsia="Times New Roman" w:hAnsi="Times New Roman" w:cs="Times New Roman"/>
                <w:sz w:val="24"/>
                <w:szCs w:val="24"/>
                <w:lang w:eastAsia="lv-LV"/>
              </w:rPr>
              <w:t>. Savukārt k</w:t>
            </w:r>
            <w:r w:rsidRPr="0072076F">
              <w:rPr>
                <w:rFonts w:ascii="Times New Roman" w:eastAsia="Times New Roman" w:hAnsi="Times New Roman" w:cs="Times New Roman"/>
                <w:sz w:val="24"/>
                <w:szCs w:val="24"/>
                <w:lang w:eastAsia="lv-LV"/>
              </w:rPr>
              <w:t xml:space="preserve">omplekso un saistīto tūrisma pakalpojumu regulējuma uzraudzība, īpaši attiecībā uz klienta iemaksātās naudas drošības garantijām </w:t>
            </w:r>
            <w:r w:rsidR="002E0193" w:rsidRPr="0072076F">
              <w:rPr>
                <w:rFonts w:ascii="Times New Roman" w:eastAsia="Times New Roman" w:hAnsi="Times New Roman" w:cs="Times New Roman"/>
                <w:sz w:val="24"/>
                <w:szCs w:val="24"/>
                <w:lang w:eastAsia="lv-LV"/>
              </w:rPr>
              <w:t>nozīmē u</w:t>
            </w:r>
            <w:r w:rsidRPr="0072076F">
              <w:rPr>
                <w:rFonts w:ascii="Times New Roman" w:eastAsia="Times New Roman" w:hAnsi="Times New Roman" w:cs="Times New Roman"/>
                <w:sz w:val="24"/>
                <w:szCs w:val="24"/>
                <w:lang w:eastAsia="lv-LV"/>
              </w:rPr>
              <w:t>zraudzības un pārbaužu veikšana ar nolūku izvērtēt, vai nereģistrētie/nelicencētie komersanti nodarbojas ar komplekso/saistīto tūrisma pakalpojumu sniegšanu ar nolūku panākt šo komersantu licencēšanu/reģistrēšanu un nepieciešamības gadījumā piemērot administratīvos sodus.</w:t>
            </w:r>
            <w:r w:rsidR="002E0193" w:rsidRPr="0072076F">
              <w:rPr>
                <w:rFonts w:ascii="Times New Roman" w:eastAsia="Times New Roman" w:hAnsi="Times New Roman" w:cs="Times New Roman"/>
                <w:sz w:val="24"/>
                <w:szCs w:val="24"/>
                <w:lang w:eastAsia="lv-LV"/>
              </w:rPr>
              <w:t xml:space="preserve"> Minētās jaunās funkcijas būtiski palielina PTAC administratīvo un cilvēkresursu slogu.</w:t>
            </w:r>
          </w:p>
          <w:p w14:paraId="427235A0" w14:textId="77777777" w:rsidR="002E0193" w:rsidRPr="0072076F" w:rsidRDefault="002E0193" w:rsidP="002E0193">
            <w:pPr>
              <w:spacing w:after="0" w:line="240" w:lineRule="auto"/>
              <w:jc w:val="both"/>
              <w:rPr>
                <w:rFonts w:ascii="Times New Roman" w:eastAsia="Times New Roman" w:hAnsi="Times New Roman" w:cs="Times New Roman"/>
                <w:sz w:val="24"/>
                <w:szCs w:val="24"/>
                <w:lang w:eastAsia="lv-LV"/>
              </w:rPr>
            </w:pPr>
          </w:p>
          <w:p w14:paraId="1CE79E33" w14:textId="114DFC5E" w:rsidR="002E0193" w:rsidRPr="0072076F" w:rsidRDefault="002E0193" w:rsidP="002E0193">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sz w:val="24"/>
                <w:szCs w:val="24"/>
                <w:lang w:eastAsia="lv-LV"/>
              </w:rPr>
              <w:lastRenderedPageBreak/>
              <w:t>Lai īstenotu jaunās funkcijas, PTAC ir nepieciešams stiprināt tā kapacitāti – PTAC ir nepieciešami 4 cilvēki (</w:t>
            </w:r>
            <w:r w:rsidRPr="0072076F">
              <w:rPr>
                <w:rFonts w:ascii="Times New Roman" w:eastAsia="Times New Roman" w:hAnsi="Times New Roman" w:cs="Times New Roman"/>
                <w:bCs/>
                <w:sz w:val="24"/>
                <w:szCs w:val="24"/>
                <w:lang w:eastAsia="lv-LV"/>
              </w:rPr>
              <w:t>2 vecākie eksperti, 1 galvenais juriskonsults, 1 juriskonsults):</w:t>
            </w:r>
          </w:p>
          <w:p w14:paraId="2422DC1F" w14:textId="7801B035"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6F9C2BD2" w14:textId="77777777" w:rsidR="002E0193" w:rsidRPr="0072076F" w:rsidRDefault="002E0193" w:rsidP="002E0193">
            <w:pPr>
              <w:spacing w:after="0" w:line="240" w:lineRule="auto"/>
              <w:ind w:left="45"/>
              <w:jc w:val="both"/>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2 vecākie eksperti, kuru funkcijās ietilptu:</w:t>
            </w:r>
          </w:p>
          <w:p w14:paraId="554A0150" w14:textId="46392011" w:rsidR="002E0193" w:rsidRPr="0072076F" w:rsidRDefault="006430BC" w:rsidP="002E0193">
            <w:pPr>
              <w:pStyle w:val="ListParagraph"/>
              <w:numPr>
                <w:ilvl w:val="0"/>
                <w:numId w:val="38"/>
              </w:num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Nodrošinājuma tūrisma pakalpojuma sniedzēja maksātnespējas gadījumā</w:t>
            </w:r>
            <w:r w:rsidR="002E0193" w:rsidRPr="0072076F">
              <w:rPr>
                <w:rFonts w:ascii="Times New Roman" w:eastAsia="Times New Roman" w:hAnsi="Times New Roman" w:cs="Times New Roman"/>
                <w:sz w:val="24"/>
                <w:szCs w:val="24"/>
                <w:lang w:eastAsia="lv-LV"/>
              </w:rPr>
              <w:t xml:space="preserve"> uzraud</w:t>
            </w:r>
            <w:r w:rsidR="00DF7C8F" w:rsidRPr="0072076F">
              <w:rPr>
                <w:rFonts w:ascii="Times New Roman" w:eastAsia="Times New Roman" w:hAnsi="Times New Roman" w:cs="Times New Roman"/>
                <w:sz w:val="24"/>
                <w:szCs w:val="24"/>
                <w:lang w:eastAsia="lv-LV"/>
              </w:rPr>
              <w:t>zība (t.sk., pārbaužu veikšana).</w:t>
            </w:r>
          </w:p>
          <w:p w14:paraId="132134CE" w14:textId="6E830BB8" w:rsidR="002E0193" w:rsidRPr="0072076F" w:rsidRDefault="002E0193" w:rsidP="002E0193">
            <w:pPr>
              <w:pStyle w:val="ListParagraph"/>
              <w:numPr>
                <w:ilvl w:val="0"/>
                <w:numId w:val="38"/>
              </w:num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Tūrisma aģentu, tūrisma operatoru un saistīto tūrisma pakalpojumu sniedzēju iesniegto datu analīze un sekošana līdzi i</w:t>
            </w:r>
            <w:r w:rsidR="00DF7C8F" w:rsidRPr="0072076F">
              <w:rPr>
                <w:rFonts w:ascii="Times New Roman" w:eastAsia="Times New Roman" w:hAnsi="Times New Roman" w:cs="Times New Roman"/>
                <w:sz w:val="24"/>
                <w:szCs w:val="24"/>
                <w:lang w:eastAsia="lv-LV"/>
              </w:rPr>
              <w:t>zmaiņām uzņēmumu finanšu datiem.</w:t>
            </w:r>
          </w:p>
          <w:p w14:paraId="7BF37509" w14:textId="0C498802" w:rsidR="002E0193" w:rsidRPr="0072076F" w:rsidRDefault="002E0193" w:rsidP="002E0193">
            <w:pPr>
              <w:pStyle w:val="ListParagraph"/>
              <w:numPr>
                <w:ilvl w:val="0"/>
                <w:numId w:val="38"/>
              </w:num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Tūrisma aģentu</w:t>
            </w:r>
            <w:r w:rsidR="00501BB5" w:rsidRPr="0072076F">
              <w:rPr>
                <w:rFonts w:ascii="Times New Roman" w:eastAsia="Times New Roman" w:hAnsi="Times New Roman" w:cs="Times New Roman"/>
                <w:sz w:val="24"/>
                <w:szCs w:val="24"/>
                <w:lang w:eastAsia="lv-LV"/>
              </w:rPr>
              <w:t xml:space="preserve"> un tūrisma</w:t>
            </w:r>
            <w:r w:rsidRPr="0072076F">
              <w:rPr>
                <w:rFonts w:ascii="Times New Roman" w:eastAsia="Times New Roman" w:hAnsi="Times New Roman" w:cs="Times New Roman"/>
                <w:sz w:val="24"/>
                <w:szCs w:val="24"/>
                <w:lang w:eastAsia="lv-LV"/>
              </w:rPr>
              <w:t xml:space="preserve"> operatoru licencēšana un licences prasību ievērošanas uzraudzība (īpaši attiecībā uz klienta iemaksā</w:t>
            </w:r>
            <w:r w:rsidR="00DF7C8F" w:rsidRPr="0072076F">
              <w:rPr>
                <w:rFonts w:ascii="Times New Roman" w:eastAsia="Times New Roman" w:hAnsi="Times New Roman" w:cs="Times New Roman"/>
                <w:sz w:val="24"/>
                <w:szCs w:val="24"/>
                <w:lang w:eastAsia="lv-LV"/>
              </w:rPr>
              <w:t>tās naudas drošības garantijām).</w:t>
            </w:r>
          </w:p>
          <w:p w14:paraId="45DDCEEF" w14:textId="14AB4FCA" w:rsidR="002E0193" w:rsidRPr="0072076F" w:rsidRDefault="006430BC" w:rsidP="002E0193">
            <w:pPr>
              <w:pStyle w:val="ListParagraph"/>
              <w:numPr>
                <w:ilvl w:val="0"/>
                <w:numId w:val="38"/>
              </w:num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w:t>
            </w:r>
            <w:r w:rsidR="002E0193" w:rsidRPr="0072076F">
              <w:rPr>
                <w:rFonts w:ascii="Times New Roman" w:eastAsia="Times New Roman" w:hAnsi="Times New Roman" w:cs="Times New Roman"/>
                <w:sz w:val="24"/>
                <w:szCs w:val="24"/>
                <w:lang w:eastAsia="lv-LV"/>
              </w:rPr>
              <w:t>irektīvas kontaktpunkta funkcija – informācijas sagatavošana un sniegšana citu ES valstu uzraudzības iestādēm par komersantiem, kas darbojas Latvijā, un informācijas pieprasīšana un izvērtēšan</w:t>
            </w:r>
            <w:r w:rsidR="00DF7C8F" w:rsidRPr="0072076F">
              <w:rPr>
                <w:rFonts w:ascii="Times New Roman" w:eastAsia="Times New Roman" w:hAnsi="Times New Roman" w:cs="Times New Roman"/>
                <w:sz w:val="24"/>
                <w:szCs w:val="24"/>
                <w:lang w:eastAsia="lv-LV"/>
              </w:rPr>
              <w:t>a no citām uzraudzības iestādēm.</w:t>
            </w:r>
          </w:p>
          <w:p w14:paraId="6958799E" w14:textId="21E3D6FA" w:rsidR="002E0193" w:rsidRPr="0072076F" w:rsidRDefault="002E0193" w:rsidP="002E0193">
            <w:pPr>
              <w:pStyle w:val="ListParagraph"/>
              <w:numPr>
                <w:ilvl w:val="0"/>
                <w:numId w:val="38"/>
              </w:num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Uzraudzības un pārbaužu veikšana, ar nolūku izvērtēt, vai nereģistrētie/nelicencētie komersanti nodarbojas ar komplekso/saistīto tūrisma pakalpojumu sniegšanu ar nolūku panākt šo kome</w:t>
            </w:r>
            <w:r w:rsidR="002D0ACE" w:rsidRPr="0072076F">
              <w:rPr>
                <w:rFonts w:ascii="Times New Roman" w:eastAsia="Times New Roman" w:hAnsi="Times New Roman" w:cs="Times New Roman"/>
                <w:sz w:val="24"/>
                <w:szCs w:val="24"/>
                <w:lang w:eastAsia="lv-LV"/>
              </w:rPr>
              <w:t>rsantu licencēšanu/reģistrēšanu.</w:t>
            </w:r>
          </w:p>
          <w:p w14:paraId="023E9797" w14:textId="728CB36B" w:rsidR="002E0193" w:rsidRPr="0072076F" w:rsidRDefault="002E0193" w:rsidP="002E0193">
            <w:pPr>
              <w:pStyle w:val="ListParagraph"/>
              <w:numPr>
                <w:ilvl w:val="0"/>
                <w:numId w:val="38"/>
              </w:num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No EM pārņemtās TATO datu bāzes uzturēšana, pilnveidošana, informācijas atjaunināšana.</w:t>
            </w:r>
          </w:p>
          <w:p w14:paraId="1ACC1326" w14:textId="77777777" w:rsidR="002E0193" w:rsidRPr="0072076F" w:rsidRDefault="002E0193" w:rsidP="002E0193">
            <w:pPr>
              <w:pStyle w:val="ListParagraph"/>
              <w:spacing w:after="0" w:line="240" w:lineRule="auto"/>
              <w:ind w:left="765"/>
              <w:jc w:val="both"/>
              <w:rPr>
                <w:rFonts w:ascii="Times New Roman" w:eastAsia="Times New Roman" w:hAnsi="Times New Roman" w:cs="Times New Roman"/>
                <w:b/>
                <w:sz w:val="24"/>
                <w:szCs w:val="24"/>
                <w:lang w:eastAsia="lv-LV"/>
              </w:rPr>
            </w:pPr>
          </w:p>
          <w:p w14:paraId="73D1D431" w14:textId="64215C18" w:rsidR="002E0193" w:rsidRPr="0072076F" w:rsidRDefault="002E0193" w:rsidP="00B34588">
            <w:pPr>
              <w:spacing w:after="0" w:line="240" w:lineRule="auto"/>
              <w:jc w:val="both"/>
              <w:rPr>
                <w:rFonts w:ascii="Times New Roman" w:eastAsia="Times New Roman" w:hAnsi="Times New Roman" w:cs="Times New Roman"/>
                <w:b/>
                <w:sz w:val="24"/>
                <w:szCs w:val="24"/>
                <w:lang w:eastAsia="lv-LV"/>
              </w:rPr>
            </w:pPr>
            <w:r w:rsidRPr="0072076F">
              <w:rPr>
                <w:rFonts w:ascii="Times New Roman" w:eastAsia="Times New Roman" w:hAnsi="Times New Roman" w:cs="Times New Roman"/>
                <w:b/>
                <w:sz w:val="24"/>
                <w:szCs w:val="24"/>
                <w:lang w:eastAsia="lv-LV"/>
              </w:rPr>
              <w:t>1 galvenais juriskonsults un 1 juriskonsults, kuru funkcijās ietilptu:</w:t>
            </w:r>
          </w:p>
          <w:p w14:paraId="558DE479" w14:textId="77777777" w:rsidR="00501BB5" w:rsidRPr="0072076F" w:rsidRDefault="002E0193" w:rsidP="00501BB5">
            <w:pPr>
              <w:numPr>
                <w:ilvl w:val="0"/>
                <w:numId w:val="39"/>
              </w:numPr>
              <w:spacing w:after="0" w:line="240" w:lineRule="auto"/>
              <w:ind w:left="718"/>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Komplekso un saistīto tūrisma pakalpojumu regulējuma uzraudzība (t.sk., pārbaužu veikšana); administratīvo lietu izskatīšana, administratīvo aktu sagatavošana, </w:t>
            </w:r>
            <w:r w:rsidR="00501BB5" w:rsidRPr="0072076F">
              <w:rPr>
                <w:rFonts w:ascii="Times New Roman" w:eastAsia="Times New Roman" w:hAnsi="Times New Roman" w:cs="Times New Roman"/>
                <w:bCs/>
                <w:sz w:val="24"/>
                <w:szCs w:val="24"/>
                <w:lang w:eastAsia="lv-LV"/>
              </w:rPr>
              <w:t>Komplekso un saistīto tūrisma pakalpojumu regulējuma uzraudzība (t.sk., pārbaužu veikšana); administratīvo lietu izskatīšana, administratīvo aktu sagatavošana, administratīvo pārkāpumu lietu izskatīšana un lēmumu pieņemšana;</w:t>
            </w:r>
          </w:p>
          <w:p w14:paraId="3F82CA40" w14:textId="30BA21E9" w:rsidR="00501BB5" w:rsidRPr="0072076F" w:rsidRDefault="00501BB5" w:rsidP="00501BB5">
            <w:pPr>
              <w:numPr>
                <w:ilvl w:val="0"/>
                <w:numId w:val="39"/>
              </w:numPr>
              <w:spacing w:after="0" w:line="240" w:lineRule="auto"/>
              <w:ind w:left="718"/>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Tūrisma aģentu un tūrisma operatoru licencēšana un licences prasību ievērošanas uzraudzība: licences lietu dokumentācijas sagatavošana, administratīvo aktu sagatavošana; licences lietu izskatīšana, administratīvo aktu sagatavošana;</w:t>
            </w:r>
          </w:p>
          <w:p w14:paraId="1795E05B" w14:textId="1874963A" w:rsidR="00501BB5" w:rsidRPr="0072076F" w:rsidRDefault="006430BC" w:rsidP="00501BB5">
            <w:pPr>
              <w:numPr>
                <w:ilvl w:val="0"/>
                <w:numId w:val="39"/>
              </w:numPr>
              <w:spacing w:after="0" w:line="240" w:lineRule="auto"/>
              <w:ind w:left="718"/>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D</w:t>
            </w:r>
            <w:r w:rsidR="00501BB5" w:rsidRPr="0072076F">
              <w:rPr>
                <w:rFonts w:ascii="Times New Roman" w:eastAsia="Times New Roman" w:hAnsi="Times New Roman" w:cs="Times New Roman"/>
                <w:bCs/>
                <w:sz w:val="24"/>
                <w:szCs w:val="24"/>
                <w:lang w:eastAsia="lv-LV"/>
              </w:rPr>
              <w:t>irektīvas kontaktpunkta funkcija – informācijas sagatavošana un sniegšana citu ES valstu uzraudzības iestādēm par komersantiem, kas darbojas Latvijā, un informācijas pieprasīšana un izvērtēšana no citām uzraudzības iestādēm;</w:t>
            </w:r>
          </w:p>
          <w:p w14:paraId="6BCCB422" w14:textId="6D571B82" w:rsidR="00501BB5" w:rsidRPr="0072076F" w:rsidRDefault="00501BB5" w:rsidP="00501BB5">
            <w:pPr>
              <w:numPr>
                <w:ilvl w:val="0"/>
                <w:numId w:val="39"/>
              </w:numPr>
              <w:spacing w:after="0" w:line="240" w:lineRule="auto"/>
              <w:ind w:left="718"/>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Uzraudzības un pārbaužu veikšana ar nolūku izvērtēt, vai nereģistrētie/nelicencētie komersanti nodarbojas ar komplekso/saistīto tūrisma pakalpojumu sniegšanu ar nolūku panākt šo komersantu licencēšanu/reģistrēšanu; administratīvo pārkāpumu lietu materiālu, protokolu un lēmumu sagatavošana; administratīvo pārkāpumu lietu izskatīšana un lēmumu pieņemšana.</w:t>
            </w:r>
          </w:p>
          <w:p w14:paraId="686344A9" w14:textId="0B1D0C62" w:rsidR="00370C20" w:rsidRPr="0072076F" w:rsidRDefault="00370C20" w:rsidP="00B34588">
            <w:pPr>
              <w:spacing w:after="0" w:line="240" w:lineRule="auto"/>
              <w:jc w:val="both"/>
              <w:rPr>
                <w:rFonts w:ascii="Times New Roman" w:eastAsia="Times New Roman" w:hAnsi="Times New Roman" w:cs="Times New Roman"/>
                <w:bCs/>
                <w:sz w:val="24"/>
                <w:szCs w:val="24"/>
                <w:lang w:eastAsia="lv-LV"/>
              </w:rPr>
            </w:pPr>
          </w:p>
          <w:p w14:paraId="18CAF9F7" w14:textId="77777777" w:rsidR="002D0ACE" w:rsidRPr="0072076F" w:rsidRDefault="002D0ACE" w:rsidP="002D0ACE">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PTAC pēdējos gados ir izaudzis par valsts pārvaldes institūciju, kas uzrauga ļoti lielu daļu normatīvo aktu ne tikai patērētāju tiesību aizsardzībai, bet arī godīgas konkurences nodrošināšanai un Eiropas Savienības vienotā tirgus funkcionēšanai. Tikai </w:t>
            </w:r>
            <w:r w:rsidRPr="0072076F">
              <w:rPr>
                <w:rFonts w:ascii="Times New Roman" w:eastAsia="Times New Roman" w:hAnsi="Times New Roman" w:cs="Times New Roman"/>
                <w:bCs/>
                <w:sz w:val="24"/>
                <w:szCs w:val="24"/>
                <w:u w:val="single"/>
                <w:lang w:eastAsia="lv-LV"/>
              </w:rPr>
              <w:t>93 darbinieki</w:t>
            </w:r>
            <w:r w:rsidRPr="0072076F">
              <w:rPr>
                <w:rFonts w:ascii="Times New Roman" w:eastAsia="Times New Roman" w:hAnsi="Times New Roman" w:cs="Times New Roman"/>
                <w:bCs/>
                <w:sz w:val="24"/>
                <w:szCs w:val="24"/>
                <w:lang w:eastAsia="lv-LV"/>
              </w:rPr>
              <w:t xml:space="preserve"> uzrauga 14 likumus, ap 20 regulām, kā arī vairāk nekā 100 Ministru kabineta noteikumus (vēl citus uzrauga daļēji). </w:t>
            </w:r>
          </w:p>
          <w:p w14:paraId="2EB34B99" w14:textId="77777777" w:rsidR="00E54615" w:rsidRPr="0072076F" w:rsidRDefault="002D0ACE" w:rsidP="002D0ACE">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lastRenderedPageBreak/>
              <w:t xml:space="preserve">PTAC ir vadošā valsts iestāde preču un pakalpojumu tirgus uzraudzībā, bīstamo iekārtu tehniskajā uzraudzībā, metroloģiskajā uzraudzība, patērētāju ekonomisko interešu aizsardzībā, nebanku kredītu devēju un parādu atgūšanas pakalpojumu sniedzēju darbības licencēšanā un uzraudzībā. </w:t>
            </w:r>
          </w:p>
          <w:p w14:paraId="6B8E5EB3" w14:textId="77777777" w:rsidR="00E54615" w:rsidRPr="0072076F" w:rsidRDefault="00E54615" w:rsidP="002D0ACE">
            <w:pPr>
              <w:spacing w:after="0" w:line="240" w:lineRule="auto"/>
              <w:jc w:val="both"/>
              <w:rPr>
                <w:rFonts w:ascii="Times New Roman" w:eastAsia="Times New Roman" w:hAnsi="Times New Roman" w:cs="Times New Roman"/>
                <w:bCs/>
                <w:sz w:val="24"/>
                <w:szCs w:val="24"/>
                <w:lang w:eastAsia="lv-LV"/>
              </w:rPr>
            </w:pPr>
          </w:p>
          <w:p w14:paraId="3E34B5E1" w14:textId="4D23A56F" w:rsidR="002D0ACE" w:rsidRPr="0072076F" w:rsidRDefault="002D0ACE" w:rsidP="002D0ACE">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Papildus tam PTAC arī organizē patērētāju konsultēšanu un patērētāju sūdzību izskatīšanu visā Latvijā, nodrošina patērētāju un uzņēmēju informēšanu un izglītošanu, kā arī uztur Eiropas patērētāju informēšanas centra darbību un organizē informācijas apriti vairākās ES līmeņa datu bāzēs kā kontaktpunkts. Lai maksimāli efektivizētu savu darbu ierobežotu budžeta līdzekļu ietvaros, vienlaikus nodrošinot drošas preces un pakalpojumus Latvijas patērētājiem un godīgu konkurenci Latvijas uzņēmējiem, PTAC šobrīd veic uz riska novērtējumu balstītu uzraudzību, resursus sadalot prioritārajām jomām ar vislielāko risku. Tomēr, pieaugot PTAC funkcijām, resursu sadale starp riska jomām kļūst arvien sarežģītāka, radot risku atstāt novārtā valstiski svarīgu nozaru pietiekamu uzraudzību.</w:t>
            </w:r>
          </w:p>
          <w:p w14:paraId="1B81A539" w14:textId="77777777" w:rsidR="00E54615" w:rsidRPr="0072076F" w:rsidRDefault="00E54615" w:rsidP="002D0ACE">
            <w:pPr>
              <w:spacing w:after="0" w:line="240" w:lineRule="auto"/>
              <w:jc w:val="both"/>
              <w:rPr>
                <w:rFonts w:ascii="Times New Roman" w:eastAsia="Times New Roman" w:hAnsi="Times New Roman" w:cs="Times New Roman"/>
                <w:bCs/>
                <w:sz w:val="24"/>
                <w:szCs w:val="24"/>
                <w:lang w:eastAsia="lv-LV"/>
              </w:rPr>
            </w:pPr>
          </w:p>
          <w:p w14:paraId="073253B4" w14:textId="7D615EE0" w:rsidR="002D0ACE" w:rsidRPr="0072076F" w:rsidRDefault="002D0ACE" w:rsidP="002D0ACE">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Neskatoties uz jau tā plašajiem uzdevumiem, PTAC pilnvaras arvien tikai turpina pieaugt (2017.gadā vien PTAC pilnvaras tika papildinātas arī ar funkcijām kuģu aprīkojuma uzraudzībā, noziedzīgi iegūtu līdzekļu legalizācijas un terorisma finansēšanas novēršanas uzraudzībā un maksājumu pakalpojumu jomā). Ņemot vērā salīdzinoši nelielo darbinieku skaitu un jau esošo noslogojumu, kā arī zemo atalgojuma līmeni, kas sekmē kadru mainību un apgrūtina jomas ekspertu pieņemšanu un noturēšanu darbā, PTAC šobrīd nav iespējams uzņemties jaunas papildus funkcijas (piemēram, tūrisma operatoru licencēšanu un uzraudzību) bez papildus cilvēkresursiem un finansējuma. Ja finansējums šai funkcijai netiek piešķirts, tiek apdraudēta plānotā tūrisma nozares uzraudzības shēmas ieviešana licencēšanas formā, kā arī Direktīvas prasību pārņemšana Latvijā, jo </w:t>
            </w:r>
            <w:r w:rsidRPr="0072076F">
              <w:rPr>
                <w:rFonts w:ascii="Times New Roman" w:eastAsia="Times New Roman" w:hAnsi="Times New Roman" w:cs="Times New Roman"/>
                <w:bCs/>
                <w:sz w:val="24"/>
                <w:szCs w:val="24"/>
                <w:u w:val="single"/>
                <w:lang w:eastAsia="lv-LV"/>
              </w:rPr>
              <w:t>tūrisma operatoru licencēšanas sistēmu nav iespējams izveidot un uzturēt bez finansējuma</w:t>
            </w:r>
            <w:r w:rsidRPr="0072076F">
              <w:rPr>
                <w:rFonts w:ascii="Times New Roman" w:eastAsia="Times New Roman" w:hAnsi="Times New Roman" w:cs="Times New Roman"/>
                <w:bCs/>
                <w:sz w:val="24"/>
                <w:szCs w:val="24"/>
                <w:lang w:eastAsia="lv-LV"/>
              </w:rPr>
              <w:t>.</w:t>
            </w:r>
          </w:p>
          <w:p w14:paraId="7470CFDC" w14:textId="77777777" w:rsidR="002D0ACE" w:rsidRPr="0072076F" w:rsidRDefault="002D0ACE" w:rsidP="00B34588">
            <w:pPr>
              <w:spacing w:after="0" w:line="240" w:lineRule="auto"/>
              <w:jc w:val="both"/>
              <w:rPr>
                <w:rFonts w:ascii="Times New Roman" w:eastAsia="Times New Roman" w:hAnsi="Times New Roman" w:cs="Times New Roman"/>
                <w:bCs/>
                <w:sz w:val="24"/>
                <w:szCs w:val="24"/>
                <w:lang w:eastAsia="lv-LV"/>
              </w:rPr>
            </w:pPr>
          </w:p>
          <w:p w14:paraId="434DF876" w14:textId="77777777" w:rsidR="00370C20" w:rsidRPr="0072076F" w:rsidRDefault="00370C20" w:rsidP="00B34588">
            <w:pPr>
              <w:spacing w:after="0" w:line="240" w:lineRule="auto"/>
              <w:jc w:val="both"/>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2.5. Jaunu terminu, to definīciju un pakalpojumu sniedzēju pienākumu precizēšana Tūrisma likumā</w:t>
            </w:r>
          </w:p>
          <w:p w14:paraId="2141A461" w14:textId="77777777" w:rsidR="00370C20" w:rsidRPr="0072076F" w:rsidRDefault="00370C20"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Direktīva definē vairākus jaunus tūrisma terminus, kā arī papildina jau iepriekš lietotos. </w:t>
            </w:r>
            <w:r w:rsidRPr="0072076F">
              <w:rPr>
                <w:rFonts w:ascii="Times New Roman" w:eastAsia="Times New Roman" w:hAnsi="Times New Roman" w:cs="Times New Roman"/>
                <w:bCs/>
                <w:sz w:val="24"/>
                <w:szCs w:val="24"/>
                <w:u w:val="single"/>
                <w:lang w:eastAsia="lv-LV"/>
              </w:rPr>
              <w:t>Likumprojekts paredz jaunu definīciju iekļaušanu jau esošiem terminiem, kā arī pavisam jau nu terminu iekļaušanu likumā</w:t>
            </w:r>
            <w:r w:rsidRPr="0072076F">
              <w:rPr>
                <w:rFonts w:ascii="Times New Roman" w:eastAsia="Times New Roman" w:hAnsi="Times New Roman" w:cs="Times New Roman"/>
                <w:bCs/>
                <w:sz w:val="24"/>
                <w:szCs w:val="24"/>
                <w:lang w:eastAsia="lv-LV"/>
              </w:rPr>
              <w:t>.</w:t>
            </w:r>
          </w:p>
          <w:p w14:paraId="6E4BEB16" w14:textId="77777777" w:rsidR="00370C20" w:rsidRPr="0072076F" w:rsidRDefault="00370C20" w:rsidP="00B34588">
            <w:pPr>
              <w:spacing w:after="0" w:line="240" w:lineRule="auto"/>
              <w:jc w:val="both"/>
              <w:rPr>
                <w:rFonts w:ascii="Times New Roman" w:eastAsia="Times New Roman" w:hAnsi="Times New Roman" w:cs="Times New Roman"/>
                <w:bCs/>
                <w:sz w:val="24"/>
                <w:szCs w:val="24"/>
                <w:lang w:eastAsia="lv-LV"/>
              </w:rPr>
            </w:pPr>
          </w:p>
          <w:p w14:paraId="7186A0A0" w14:textId="77777777" w:rsidR="00370C20" w:rsidRPr="0072076F" w:rsidRDefault="00370C20"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Likumprojektā tiek precizēti šādi termini: komplekss tūrisma pakalpojums; tūrisma aģents; tūrisma operators; tūrisma pakalpojums. No jauna likumprojektā iekļauti šādi termini un to definīcijas: kompleksā tūrisma pakalpojuma līgums; ceļotājs; pakalpojuma sniedzējs; tūrisma pakalpojuma tirdzniecības vieta; saistīts tūrisma pakalpojums; ceļotāju repatriācija un tūrisma pakalpojumu sniedzēju maksātnespēja. Visu uzskaitīto terminu un to definīciju skaidrojumi ir pārņemti no Direktīvas.</w:t>
            </w:r>
          </w:p>
          <w:p w14:paraId="54CD2138" w14:textId="64453374" w:rsidR="00370C20" w:rsidRPr="0072076F" w:rsidRDefault="00370C20" w:rsidP="00B34588">
            <w:pPr>
              <w:spacing w:after="0" w:line="240" w:lineRule="auto"/>
              <w:jc w:val="both"/>
              <w:rPr>
                <w:rFonts w:ascii="Times New Roman" w:eastAsia="Times New Roman" w:hAnsi="Times New Roman" w:cs="Times New Roman"/>
                <w:bCs/>
                <w:sz w:val="24"/>
                <w:szCs w:val="24"/>
                <w:lang w:eastAsia="lv-LV"/>
              </w:rPr>
            </w:pPr>
          </w:p>
          <w:p w14:paraId="4DD3C946" w14:textId="550D0316" w:rsidR="00E01C1E" w:rsidRPr="0072076F" w:rsidRDefault="00E01C1E" w:rsidP="00B34588">
            <w:pPr>
              <w:spacing w:after="0" w:line="240" w:lineRule="auto"/>
              <w:jc w:val="both"/>
              <w:rPr>
                <w:rFonts w:ascii="Times New Roman" w:eastAsia="Times New Roman" w:hAnsi="Times New Roman" w:cs="Times New Roman"/>
                <w:bCs/>
                <w:sz w:val="24"/>
                <w:szCs w:val="24"/>
                <w:u w:val="single"/>
                <w:lang w:eastAsia="lv-LV"/>
              </w:rPr>
            </w:pPr>
            <w:r w:rsidRPr="0072076F">
              <w:rPr>
                <w:rFonts w:ascii="Times New Roman" w:eastAsia="Times New Roman" w:hAnsi="Times New Roman" w:cs="Times New Roman"/>
                <w:bCs/>
                <w:sz w:val="24"/>
                <w:szCs w:val="24"/>
                <w:u w:val="single"/>
                <w:lang w:eastAsia="lv-LV"/>
              </w:rPr>
              <w:t xml:space="preserve">Būtiskākās izmaiņas terminos un to definīcijās saistās ar </w:t>
            </w:r>
            <w:r w:rsidRPr="0072076F">
              <w:rPr>
                <w:rFonts w:ascii="Times New Roman" w:eastAsia="Times New Roman" w:hAnsi="Times New Roman" w:cs="Times New Roman"/>
                <w:b/>
                <w:bCs/>
                <w:sz w:val="24"/>
                <w:szCs w:val="24"/>
                <w:u w:val="single"/>
                <w:lang w:eastAsia="lv-LV"/>
              </w:rPr>
              <w:t xml:space="preserve">komplekso un saistīto pakalpojumu </w:t>
            </w:r>
            <w:r w:rsidR="00B74AD1" w:rsidRPr="0072076F">
              <w:rPr>
                <w:rFonts w:ascii="Times New Roman" w:eastAsia="Times New Roman" w:hAnsi="Times New Roman" w:cs="Times New Roman"/>
                <w:bCs/>
                <w:sz w:val="24"/>
                <w:szCs w:val="24"/>
                <w:u w:val="single"/>
                <w:lang w:eastAsia="lv-LV"/>
              </w:rPr>
              <w:t xml:space="preserve">noteikšanu un </w:t>
            </w:r>
            <w:r w:rsidRPr="0072076F">
              <w:rPr>
                <w:rFonts w:ascii="Times New Roman" w:eastAsia="Times New Roman" w:hAnsi="Times New Roman" w:cs="Times New Roman"/>
                <w:bCs/>
                <w:sz w:val="24"/>
                <w:szCs w:val="24"/>
                <w:u w:val="single"/>
                <w:lang w:eastAsia="lv-LV"/>
              </w:rPr>
              <w:t>definēšanu</w:t>
            </w:r>
            <w:r w:rsidR="00B74AD1" w:rsidRPr="0072076F">
              <w:rPr>
                <w:rFonts w:ascii="Times New Roman" w:eastAsia="Times New Roman" w:hAnsi="Times New Roman" w:cs="Times New Roman"/>
                <w:bCs/>
                <w:sz w:val="24"/>
                <w:szCs w:val="24"/>
                <w:u w:val="single"/>
                <w:lang w:eastAsia="lv-LV"/>
              </w:rPr>
              <w:t>.</w:t>
            </w:r>
          </w:p>
          <w:p w14:paraId="7610C62B" w14:textId="77777777" w:rsidR="00AE2597" w:rsidRPr="0072076F" w:rsidRDefault="00AE2597" w:rsidP="00B34588">
            <w:pPr>
              <w:spacing w:after="0" w:line="240" w:lineRule="auto"/>
              <w:jc w:val="both"/>
              <w:rPr>
                <w:rFonts w:ascii="Times New Roman" w:eastAsia="Times New Roman" w:hAnsi="Times New Roman" w:cs="Times New Roman"/>
                <w:bCs/>
                <w:sz w:val="24"/>
                <w:szCs w:val="24"/>
                <w:lang w:eastAsia="lv-LV"/>
              </w:rPr>
            </w:pPr>
          </w:p>
          <w:p w14:paraId="64BDB7D1" w14:textId="71C96BCC" w:rsidR="00AE2597" w:rsidRPr="0072076F" w:rsidRDefault="00AE2597"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lastRenderedPageBreak/>
              <w:t xml:space="preserve">Pamatojoties uz direktīvā sniegto skaidrojumu, lai noteiktu, vai pastāv komplekss pakalpojums vai saistīts ceļojumu pakalpojums, ir jāņem vērā tikai tas, vai ir apvienoti dažāda veida tūrisma pakalpojumi – piemēram, izmitināšana (kas nav ar mērķi apmestie uz dzīvi), pasažieru pārvadājumi vai mehānisko transportlīdzekļu noma. </w:t>
            </w:r>
          </w:p>
          <w:p w14:paraId="57396339" w14:textId="44605FA9" w:rsidR="00EF12A5" w:rsidRPr="0072076F" w:rsidRDefault="00EF12A5" w:rsidP="00B34588">
            <w:pPr>
              <w:spacing w:after="0" w:line="240" w:lineRule="auto"/>
              <w:jc w:val="both"/>
              <w:rPr>
                <w:rFonts w:ascii="Times New Roman" w:eastAsia="Times New Roman" w:hAnsi="Times New Roman" w:cs="Times New Roman"/>
                <w:bCs/>
                <w:sz w:val="24"/>
                <w:szCs w:val="24"/>
                <w:lang w:eastAsia="lv-LV"/>
              </w:rPr>
            </w:pPr>
          </w:p>
          <w:p w14:paraId="4042B0C2" w14:textId="2A917DB7" w:rsidR="00EF12A5" w:rsidRPr="0072076F" w:rsidRDefault="00EF12A5"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Ar pasažieru pārvadāšanu likumprojektā izprot </w:t>
            </w:r>
            <w:r w:rsidR="00F96F7E" w:rsidRPr="0072076F">
              <w:rPr>
                <w:rFonts w:ascii="Times New Roman" w:eastAsia="Times New Roman" w:hAnsi="Times New Roman" w:cs="Times New Roman"/>
                <w:bCs/>
                <w:sz w:val="24"/>
                <w:szCs w:val="24"/>
                <w:lang w:eastAsia="lv-LV"/>
              </w:rPr>
              <w:t xml:space="preserve">pārvadājumu starp diviem punktiem noteiktos maršrutos saskaņā ar noteiktiem kustības sarakstiem vai kompleksā tūrisma pakalpojuma līgumu un par iepriekš noteiktu braukšanas maksu. Savukārt pasažieris ir fiziska vai juridiska persona, </w:t>
            </w:r>
            <w:r w:rsidR="0049290A" w:rsidRPr="0072076F">
              <w:rPr>
                <w:rFonts w:ascii="Times New Roman" w:eastAsia="Times New Roman" w:hAnsi="Times New Roman" w:cs="Times New Roman"/>
                <w:bCs/>
                <w:sz w:val="24"/>
                <w:szCs w:val="24"/>
                <w:lang w:eastAsia="lv-LV"/>
              </w:rPr>
              <w:t xml:space="preserve">kas nav transporta līdzekļa vadītājs vai apkalpotājs, un </w:t>
            </w:r>
            <w:r w:rsidR="00741151" w:rsidRPr="0072076F">
              <w:rPr>
                <w:rFonts w:ascii="Times New Roman" w:eastAsia="Times New Roman" w:hAnsi="Times New Roman" w:cs="Times New Roman"/>
                <w:bCs/>
                <w:sz w:val="24"/>
                <w:szCs w:val="24"/>
                <w:lang w:eastAsia="lv-LV"/>
              </w:rPr>
              <w:t>kas</w:t>
            </w:r>
            <w:r w:rsidR="00F96F7E" w:rsidRPr="0072076F">
              <w:rPr>
                <w:rFonts w:ascii="Times New Roman" w:eastAsia="Times New Roman" w:hAnsi="Times New Roman" w:cs="Times New Roman"/>
                <w:bCs/>
                <w:sz w:val="24"/>
                <w:szCs w:val="24"/>
                <w:lang w:eastAsia="lv-LV"/>
              </w:rPr>
              <w:t xml:space="preserve"> saskaņā ar pasažiera braukšanas biļeti vai uz cita tiesiska pamata izmanto transporta līdzekli braukšanai un bagāžas pārvadāšanai, kā arī izmanto citus pārvadātāja sniegtos pakalpojumus. Pasažieru pārvadāšana var tikt organizēta pa gaisu, pa sauszemi, pa jūru un pa dzelzceļu. </w:t>
            </w:r>
          </w:p>
          <w:p w14:paraId="66C62434" w14:textId="77777777" w:rsidR="00AE2597" w:rsidRPr="0072076F" w:rsidRDefault="00AE2597" w:rsidP="00B34588">
            <w:pPr>
              <w:spacing w:after="0" w:line="240" w:lineRule="auto"/>
              <w:jc w:val="both"/>
              <w:rPr>
                <w:rFonts w:ascii="Times New Roman" w:eastAsia="Times New Roman" w:hAnsi="Times New Roman" w:cs="Times New Roman"/>
                <w:bCs/>
                <w:sz w:val="24"/>
                <w:szCs w:val="24"/>
                <w:lang w:eastAsia="lv-LV"/>
              </w:rPr>
            </w:pPr>
          </w:p>
          <w:p w14:paraId="50D598BF" w14:textId="7BF4FCCC" w:rsidR="00AE2597" w:rsidRPr="0072076F" w:rsidRDefault="00AE2597"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Tādi finanšu pakalpojumi kā ceļojuma apdrošināšana vai pakalpojumi, kas ir cita tūrisma pakalpojuma neatņemama sastāvdaļa, paši par sevi arī nav jāuzskata par tūrisma pakalpojumiem. Tas ietver, piemēram, bagāžas pārvietošanu, ko nodrošina pasažieru pārvadāšanas ietvaros, sīkus transporta pakalpojumus, piemēram, pasažieru pārvadāšanu, ko veic ekskursijas gida pavadībā ietvaros, vai pārvadājumus starp viesnīcu un lidostu vai dzelzceļa staciju, maltītes, dzērienus un tīrīšanu, ko nodrošina izmitināšanas ietvaros, vai piekļuvi tādiem uz vietas esošiem objektiem kā peldbaseins, sauna, spa vai sporta zāle, kas viesnīcas viesiem ir iekļauta uzturēšanās laikā. </w:t>
            </w:r>
          </w:p>
          <w:p w14:paraId="2384E188" w14:textId="77777777" w:rsidR="00AE2597" w:rsidRPr="0072076F" w:rsidRDefault="00AE2597" w:rsidP="00B34588">
            <w:pPr>
              <w:spacing w:after="0" w:line="240" w:lineRule="auto"/>
              <w:jc w:val="both"/>
              <w:rPr>
                <w:rFonts w:ascii="Times New Roman" w:eastAsia="Times New Roman" w:hAnsi="Times New Roman" w:cs="Times New Roman"/>
                <w:bCs/>
                <w:sz w:val="24"/>
                <w:szCs w:val="24"/>
                <w:lang w:eastAsia="lv-LV"/>
              </w:rPr>
            </w:pPr>
          </w:p>
          <w:p w14:paraId="5B7E50E3" w14:textId="4FD45A14" w:rsidR="00E01C1E" w:rsidRPr="0072076F" w:rsidRDefault="00AE2597"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Tas nozīmē arī to, ka gadījumos, </w:t>
            </w:r>
            <w:r w:rsidR="002D0ACE" w:rsidRPr="0072076F">
              <w:rPr>
                <w:rFonts w:ascii="Times New Roman" w:eastAsia="Times New Roman" w:hAnsi="Times New Roman" w:cs="Times New Roman"/>
                <w:bCs/>
                <w:sz w:val="24"/>
                <w:szCs w:val="24"/>
                <w:lang w:eastAsia="lv-LV"/>
              </w:rPr>
              <w:t>ja</w:t>
            </w:r>
            <w:r w:rsidRPr="0072076F">
              <w:rPr>
                <w:rFonts w:ascii="Times New Roman" w:eastAsia="Times New Roman" w:hAnsi="Times New Roman" w:cs="Times New Roman"/>
                <w:bCs/>
                <w:sz w:val="24"/>
                <w:szCs w:val="24"/>
                <w:lang w:eastAsia="lv-LV"/>
              </w:rPr>
              <w:t xml:space="preserve"> – atšķirībā no kruīza ceļojuma –</w:t>
            </w:r>
            <w:r w:rsidR="00514477" w:rsidRPr="0072076F">
              <w:rPr>
                <w:rFonts w:ascii="Times New Roman" w:eastAsia="Times New Roman" w:hAnsi="Times New Roman" w:cs="Times New Roman"/>
                <w:bCs/>
                <w:sz w:val="24"/>
                <w:szCs w:val="24"/>
                <w:lang w:eastAsia="lv-LV"/>
              </w:rPr>
              <w:t xml:space="preserve"> </w:t>
            </w:r>
            <w:r w:rsidRPr="0072076F">
              <w:rPr>
                <w:rFonts w:ascii="Times New Roman" w:eastAsia="Times New Roman" w:hAnsi="Times New Roman" w:cs="Times New Roman"/>
                <w:bCs/>
                <w:sz w:val="24"/>
                <w:szCs w:val="24"/>
                <w:lang w:eastAsia="lv-LV"/>
              </w:rPr>
              <w:t>kā daļ</w:t>
            </w:r>
            <w:r w:rsidR="00514477" w:rsidRPr="0072076F">
              <w:rPr>
                <w:rFonts w:ascii="Times New Roman" w:eastAsia="Times New Roman" w:hAnsi="Times New Roman" w:cs="Times New Roman"/>
                <w:bCs/>
                <w:sz w:val="24"/>
                <w:szCs w:val="24"/>
                <w:lang w:eastAsia="lv-LV"/>
              </w:rPr>
              <w:t>a</w:t>
            </w:r>
            <w:r w:rsidRPr="0072076F">
              <w:rPr>
                <w:rFonts w:ascii="Times New Roman" w:eastAsia="Times New Roman" w:hAnsi="Times New Roman" w:cs="Times New Roman"/>
                <w:bCs/>
                <w:sz w:val="24"/>
                <w:szCs w:val="24"/>
                <w:lang w:eastAsia="lv-LV"/>
              </w:rPr>
              <w:t xml:space="preserve"> no pasažieru pārvadāšanas</w:t>
            </w:r>
            <w:r w:rsidR="00514477" w:rsidRPr="0072076F">
              <w:rPr>
                <w:rFonts w:ascii="Times New Roman" w:eastAsia="Times New Roman" w:hAnsi="Times New Roman" w:cs="Times New Roman"/>
                <w:bCs/>
                <w:sz w:val="24"/>
                <w:szCs w:val="24"/>
                <w:lang w:eastAsia="lv-LV"/>
              </w:rPr>
              <w:t xml:space="preserve"> pa sauszemi, dzelzceļu, ūdeni vai gaisu, tiek nodrošināta nakšņošana, tad šī </w:t>
            </w:r>
            <w:r w:rsidRPr="0072076F">
              <w:rPr>
                <w:rFonts w:ascii="Times New Roman" w:eastAsia="Times New Roman" w:hAnsi="Times New Roman" w:cs="Times New Roman"/>
                <w:bCs/>
                <w:sz w:val="24"/>
                <w:szCs w:val="24"/>
                <w:lang w:eastAsia="lv-LV"/>
              </w:rPr>
              <w:t xml:space="preserve">izmitināšana pati par sevi nav jāuzskata par </w:t>
            </w:r>
            <w:r w:rsidR="00514477" w:rsidRPr="0072076F">
              <w:rPr>
                <w:rFonts w:ascii="Times New Roman" w:eastAsia="Times New Roman" w:hAnsi="Times New Roman" w:cs="Times New Roman"/>
                <w:bCs/>
                <w:sz w:val="24"/>
                <w:szCs w:val="24"/>
                <w:lang w:eastAsia="lv-LV"/>
              </w:rPr>
              <w:t>tūrisma</w:t>
            </w:r>
            <w:r w:rsidRPr="0072076F">
              <w:rPr>
                <w:rFonts w:ascii="Times New Roman" w:eastAsia="Times New Roman" w:hAnsi="Times New Roman" w:cs="Times New Roman"/>
                <w:bCs/>
                <w:sz w:val="24"/>
                <w:szCs w:val="24"/>
                <w:lang w:eastAsia="lv-LV"/>
              </w:rPr>
              <w:t xml:space="preserve"> pakalpojumu, ja galvenais komponents nepārprotami ir pārvadājums. </w:t>
            </w:r>
          </w:p>
          <w:p w14:paraId="5F2F7F24" w14:textId="77777777" w:rsidR="00E01C1E" w:rsidRPr="0072076F" w:rsidRDefault="00E01C1E" w:rsidP="00B34588">
            <w:pPr>
              <w:spacing w:after="0" w:line="240" w:lineRule="auto"/>
              <w:jc w:val="both"/>
              <w:rPr>
                <w:rFonts w:ascii="Times New Roman" w:eastAsia="Times New Roman" w:hAnsi="Times New Roman" w:cs="Times New Roman"/>
                <w:bCs/>
                <w:sz w:val="24"/>
                <w:szCs w:val="24"/>
                <w:lang w:eastAsia="lv-LV"/>
              </w:rPr>
            </w:pPr>
          </w:p>
          <w:p w14:paraId="600B733F" w14:textId="77777777" w:rsidR="00AE2597" w:rsidRPr="0072076F" w:rsidRDefault="00AE2597"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Citi tūrisma pakalpojumi, kas nav pasažieru pārvadājumu, izmitināšanas vai mehānisko transportlīdzekļu vai noteiktu motociklu nomas neatņemama sastāvdaļa, var būt, piemēram, biļetes uz koncertiem, sporta pasākumiem, ekskursijām vai atrakciju parkiem, ekskursijas gida pavadībā, slēpošanas trašu pacēlāju biļetes un sporta aprīkojuma, piemēram, slēpošanas aprīkojuma, noma vai spa procedūras. </w:t>
            </w:r>
          </w:p>
          <w:p w14:paraId="7856004A" w14:textId="77777777" w:rsidR="00AE2597" w:rsidRPr="0072076F" w:rsidRDefault="00AE2597" w:rsidP="00B34588">
            <w:pPr>
              <w:spacing w:after="0" w:line="240" w:lineRule="auto"/>
              <w:jc w:val="both"/>
              <w:rPr>
                <w:rFonts w:ascii="Times New Roman" w:eastAsia="Times New Roman" w:hAnsi="Times New Roman" w:cs="Times New Roman"/>
                <w:bCs/>
                <w:sz w:val="24"/>
                <w:szCs w:val="24"/>
                <w:lang w:eastAsia="lv-LV"/>
              </w:rPr>
            </w:pPr>
          </w:p>
          <w:p w14:paraId="03F1BDF4" w14:textId="02966A91" w:rsidR="00AE2597" w:rsidRPr="0072076F" w:rsidRDefault="00AE2597"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Tomēr, ja šādi pakalpojumi ir apvienoti tikai ar vienu citu </w:t>
            </w:r>
            <w:r w:rsidR="00F62751" w:rsidRPr="0072076F">
              <w:rPr>
                <w:rFonts w:ascii="Times New Roman" w:eastAsia="Times New Roman" w:hAnsi="Times New Roman" w:cs="Times New Roman"/>
                <w:bCs/>
                <w:sz w:val="24"/>
                <w:szCs w:val="24"/>
                <w:lang w:eastAsia="lv-LV"/>
              </w:rPr>
              <w:t>tūrisma</w:t>
            </w:r>
            <w:r w:rsidRPr="0072076F">
              <w:rPr>
                <w:rFonts w:ascii="Times New Roman" w:eastAsia="Times New Roman" w:hAnsi="Times New Roman" w:cs="Times New Roman"/>
                <w:bCs/>
                <w:sz w:val="24"/>
                <w:szCs w:val="24"/>
                <w:lang w:eastAsia="lv-LV"/>
              </w:rPr>
              <w:t xml:space="preserve"> pakalpojumu veidu, piemēram, izmitināšanu, kompleksais </w:t>
            </w:r>
            <w:r w:rsidR="00F62751" w:rsidRPr="0072076F">
              <w:rPr>
                <w:rFonts w:ascii="Times New Roman" w:eastAsia="Times New Roman" w:hAnsi="Times New Roman" w:cs="Times New Roman"/>
                <w:bCs/>
                <w:sz w:val="24"/>
                <w:szCs w:val="24"/>
                <w:lang w:eastAsia="lv-LV"/>
              </w:rPr>
              <w:t xml:space="preserve">vai </w:t>
            </w:r>
            <w:r w:rsidRPr="0072076F">
              <w:rPr>
                <w:rFonts w:ascii="Times New Roman" w:eastAsia="Times New Roman" w:hAnsi="Times New Roman" w:cs="Times New Roman"/>
                <w:bCs/>
                <w:sz w:val="24"/>
                <w:szCs w:val="24"/>
                <w:lang w:eastAsia="lv-LV"/>
              </w:rPr>
              <w:t xml:space="preserve">saistītais tūrisma pakalpojums izveidojās tikai tad, ja tie veido nozīmīgu daļu no </w:t>
            </w:r>
            <w:r w:rsidR="00F62751" w:rsidRPr="0072076F">
              <w:rPr>
                <w:rFonts w:ascii="Times New Roman" w:eastAsia="Times New Roman" w:hAnsi="Times New Roman" w:cs="Times New Roman"/>
                <w:bCs/>
                <w:sz w:val="24"/>
                <w:szCs w:val="24"/>
                <w:lang w:eastAsia="lv-LV"/>
              </w:rPr>
              <w:t xml:space="preserve">šī </w:t>
            </w:r>
            <w:r w:rsidRPr="0072076F">
              <w:rPr>
                <w:rFonts w:ascii="Times New Roman" w:eastAsia="Times New Roman" w:hAnsi="Times New Roman" w:cs="Times New Roman"/>
                <w:bCs/>
                <w:sz w:val="24"/>
                <w:szCs w:val="24"/>
                <w:lang w:eastAsia="lv-LV"/>
              </w:rPr>
              <w:t xml:space="preserve">kompleksā vai saistītā tūrisma pakalpojuma vērtības vai tiek reklamēti kā ceļojuma vai brīvdienu būtiska iezīme, vai citādi ir ceļojuma vai brīvdienu būtiska iezīme. </w:t>
            </w:r>
          </w:p>
          <w:p w14:paraId="702E7F52" w14:textId="77777777" w:rsidR="00AE2597" w:rsidRPr="0072076F" w:rsidRDefault="00AE2597" w:rsidP="00B34588">
            <w:pPr>
              <w:spacing w:after="0" w:line="240" w:lineRule="auto"/>
              <w:jc w:val="both"/>
              <w:rPr>
                <w:rFonts w:ascii="Times New Roman" w:eastAsia="Times New Roman" w:hAnsi="Times New Roman" w:cs="Times New Roman"/>
                <w:bCs/>
                <w:sz w:val="24"/>
                <w:szCs w:val="24"/>
                <w:lang w:eastAsia="lv-LV"/>
              </w:rPr>
            </w:pPr>
          </w:p>
          <w:p w14:paraId="18F9E65F" w14:textId="12400364" w:rsidR="00E01C1E" w:rsidRPr="0072076F" w:rsidRDefault="002D0ACE"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J</w:t>
            </w:r>
            <w:r w:rsidR="00AE2597" w:rsidRPr="0072076F">
              <w:rPr>
                <w:rFonts w:ascii="Times New Roman" w:eastAsia="Times New Roman" w:hAnsi="Times New Roman" w:cs="Times New Roman"/>
                <w:bCs/>
                <w:sz w:val="24"/>
                <w:szCs w:val="24"/>
                <w:lang w:eastAsia="lv-LV"/>
              </w:rPr>
              <w:t xml:space="preserve">a tiek pievienoti citi tūrisma pakalpojumi, piemēram, izmitināšana viesnīcā, kas rezervēta kā atsevišķs pakalpojums pēc tam, kad ceļotājs ir ieradies viesnīcā, tad tiem </w:t>
            </w:r>
            <w:r w:rsidR="00F62751" w:rsidRPr="0072076F">
              <w:rPr>
                <w:rFonts w:ascii="Times New Roman" w:eastAsia="Times New Roman" w:hAnsi="Times New Roman" w:cs="Times New Roman"/>
                <w:bCs/>
                <w:sz w:val="24"/>
                <w:szCs w:val="24"/>
                <w:lang w:eastAsia="lv-LV"/>
              </w:rPr>
              <w:t>ne</w:t>
            </w:r>
            <w:r w:rsidR="00AE2597" w:rsidRPr="0072076F">
              <w:rPr>
                <w:rFonts w:ascii="Times New Roman" w:eastAsia="Times New Roman" w:hAnsi="Times New Roman" w:cs="Times New Roman"/>
                <w:bCs/>
                <w:sz w:val="24"/>
                <w:szCs w:val="24"/>
                <w:lang w:eastAsia="lv-LV"/>
              </w:rPr>
              <w:t>kļū</w:t>
            </w:r>
            <w:r w:rsidR="00F62751" w:rsidRPr="0072076F">
              <w:rPr>
                <w:rFonts w:ascii="Times New Roman" w:eastAsia="Times New Roman" w:hAnsi="Times New Roman" w:cs="Times New Roman"/>
                <w:bCs/>
                <w:sz w:val="24"/>
                <w:szCs w:val="24"/>
                <w:lang w:eastAsia="lv-LV"/>
              </w:rPr>
              <w:t>s</w:t>
            </w:r>
            <w:r w:rsidR="00AE2597" w:rsidRPr="0072076F">
              <w:rPr>
                <w:rFonts w:ascii="Times New Roman" w:eastAsia="Times New Roman" w:hAnsi="Times New Roman" w:cs="Times New Roman"/>
                <w:bCs/>
                <w:sz w:val="24"/>
                <w:szCs w:val="24"/>
                <w:lang w:eastAsia="lv-LV"/>
              </w:rPr>
              <w:t xml:space="preserve">t par kompleksā </w:t>
            </w:r>
            <w:r w:rsidR="00F62751" w:rsidRPr="0072076F">
              <w:rPr>
                <w:rFonts w:ascii="Times New Roman" w:eastAsia="Times New Roman" w:hAnsi="Times New Roman" w:cs="Times New Roman"/>
                <w:bCs/>
                <w:sz w:val="24"/>
                <w:szCs w:val="24"/>
                <w:lang w:eastAsia="lv-LV"/>
              </w:rPr>
              <w:t xml:space="preserve">tūrisma </w:t>
            </w:r>
            <w:r w:rsidR="00AE2597" w:rsidRPr="0072076F">
              <w:rPr>
                <w:rFonts w:ascii="Times New Roman" w:eastAsia="Times New Roman" w:hAnsi="Times New Roman" w:cs="Times New Roman"/>
                <w:bCs/>
                <w:sz w:val="24"/>
                <w:szCs w:val="24"/>
                <w:lang w:eastAsia="lv-LV"/>
              </w:rPr>
              <w:t xml:space="preserve">pakalpojuma daļu. </w:t>
            </w:r>
          </w:p>
          <w:p w14:paraId="32CEA802" w14:textId="77777777" w:rsidR="00AE2597" w:rsidRPr="0072076F" w:rsidRDefault="00AE2597" w:rsidP="00B34588">
            <w:pPr>
              <w:spacing w:after="0" w:line="240" w:lineRule="auto"/>
              <w:jc w:val="both"/>
              <w:rPr>
                <w:rFonts w:ascii="Times New Roman" w:eastAsia="Times New Roman" w:hAnsi="Times New Roman" w:cs="Times New Roman"/>
                <w:bCs/>
                <w:sz w:val="24"/>
                <w:szCs w:val="24"/>
                <w:lang w:eastAsia="lv-LV"/>
              </w:rPr>
            </w:pPr>
          </w:p>
          <w:p w14:paraId="52FDCCE3" w14:textId="42BEE83E" w:rsidR="0083463C" w:rsidRPr="0072076F" w:rsidRDefault="00BB566F" w:rsidP="00B34588">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lastRenderedPageBreak/>
              <w:t>Papildus l</w:t>
            </w:r>
            <w:r w:rsidR="0083463C" w:rsidRPr="0072076F">
              <w:rPr>
                <w:rFonts w:ascii="Times New Roman" w:eastAsia="Times New Roman" w:hAnsi="Times New Roman" w:cs="Times New Roman"/>
                <w:bCs/>
                <w:sz w:val="24"/>
                <w:szCs w:val="24"/>
                <w:lang w:eastAsia="lv-LV"/>
              </w:rPr>
              <w:t xml:space="preserve">ikumprojektā </w:t>
            </w:r>
            <w:r w:rsidRPr="0072076F">
              <w:rPr>
                <w:rFonts w:ascii="Times New Roman" w:eastAsia="Times New Roman" w:hAnsi="Times New Roman" w:cs="Times New Roman"/>
                <w:bCs/>
                <w:sz w:val="24"/>
                <w:szCs w:val="24"/>
                <w:lang w:eastAsia="lv-LV"/>
              </w:rPr>
              <w:t>ir iekļauts</w:t>
            </w:r>
            <w:r w:rsidR="0083463C" w:rsidRPr="0072076F">
              <w:rPr>
                <w:rFonts w:ascii="Times New Roman" w:eastAsia="Times New Roman" w:hAnsi="Times New Roman" w:cs="Times New Roman"/>
                <w:bCs/>
                <w:sz w:val="24"/>
                <w:szCs w:val="24"/>
                <w:lang w:eastAsia="lv-LV"/>
              </w:rPr>
              <w:t xml:space="preserve"> </w:t>
            </w:r>
            <w:r w:rsidRPr="0072076F">
              <w:rPr>
                <w:rFonts w:ascii="Times New Roman" w:eastAsia="Times New Roman" w:hAnsi="Times New Roman" w:cs="Times New Roman"/>
                <w:bCs/>
                <w:sz w:val="24"/>
                <w:szCs w:val="24"/>
                <w:lang w:eastAsia="lv-LV"/>
              </w:rPr>
              <w:t>jaun</w:t>
            </w:r>
            <w:r w:rsidR="0083463C" w:rsidRPr="0072076F">
              <w:rPr>
                <w:rFonts w:ascii="Times New Roman" w:eastAsia="Times New Roman" w:hAnsi="Times New Roman" w:cs="Times New Roman"/>
                <w:bCs/>
                <w:sz w:val="24"/>
                <w:szCs w:val="24"/>
                <w:lang w:eastAsia="lv-LV"/>
              </w:rPr>
              <w:t xml:space="preserve">s termins </w:t>
            </w:r>
            <w:r w:rsidR="0083463C" w:rsidRPr="0072076F">
              <w:rPr>
                <w:rFonts w:ascii="Times New Roman" w:eastAsia="Times New Roman" w:hAnsi="Times New Roman" w:cs="Times New Roman"/>
                <w:b/>
                <w:bCs/>
                <w:sz w:val="24"/>
                <w:szCs w:val="24"/>
                <w:lang w:eastAsia="lv-LV"/>
              </w:rPr>
              <w:t>“ceļotājs”</w:t>
            </w:r>
            <w:r w:rsidRPr="0072076F">
              <w:rPr>
                <w:rFonts w:ascii="Times New Roman" w:eastAsia="Times New Roman" w:hAnsi="Times New Roman" w:cs="Times New Roman"/>
                <w:bCs/>
                <w:sz w:val="24"/>
                <w:szCs w:val="24"/>
                <w:lang w:eastAsia="lv-LV"/>
              </w:rPr>
              <w:t>,</w:t>
            </w:r>
            <w:r w:rsidR="0083463C" w:rsidRPr="0072076F">
              <w:rPr>
                <w:rFonts w:ascii="Times New Roman" w:eastAsia="Times New Roman" w:hAnsi="Times New Roman" w:cs="Times New Roman"/>
                <w:bCs/>
                <w:sz w:val="24"/>
                <w:szCs w:val="24"/>
                <w:lang w:eastAsia="lv-LV"/>
              </w:rPr>
              <w:t xml:space="preserve"> </w:t>
            </w:r>
            <w:r w:rsidRPr="0072076F">
              <w:rPr>
                <w:rFonts w:ascii="Times New Roman" w:eastAsia="Times New Roman" w:hAnsi="Times New Roman" w:cs="Times New Roman"/>
                <w:bCs/>
                <w:sz w:val="24"/>
                <w:szCs w:val="24"/>
                <w:lang w:eastAsia="lv-LV"/>
              </w:rPr>
              <w:t xml:space="preserve">kas </w:t>
            </w:r>
            <w:r w:rsidR="0083463C" w:rsidRPr="0072076F">
              <w:rPr>
                <w:rFonts w:ascii="Times New Roman" w:eastAsia="Times New Roman" w:hAnsi="Times New Roman" w:cs="Times New Roman"/>
                <w:bCs/>
                <w:sz w:val="24"/>
                <w:szCs w:val="24"/>
                <w:lang w:eastAsia="lv-LV"/>
              </w:rPr>
              <w:t>aizstāj iepriekš lietoto terminu “klients”</w:t>
            </w:r>
            <w:r w:rsidRPr="0072076F">
              <w:rPr>
                <w:rFonts w:ascii="Times New Roman" w:eastAsia="Times New Roman" w:hAnsi="Times New Roman" w:cs="Times New Roman"/>
                <w:bCs/>
                <w:sz w:val="24"/>
                <w:szCs w:val="24"/>
                <w:lang w:eastAsia="lv-LV"/>
              </w:rPr>
              <w:t xml:space="preserve">. Termins “ceļotājs” ir pietuvināts direktīvas definīcijai - tas </w:t>
            </w:r>
            <w:r w:rsidRPr="0072076F">
              <w:rPr>
                <w:rFonts w:ascii="Times New Roman" w:eastAsia="Times New Roman" w:hAnsi="Times New Roman" w:cs="Times New Roman"/>
                <w:bCs/>
                <w:i/>
                <w:sz w:val="24"/>
                <w:szCs w:val="24"/>
                <w:lang w:eastAsia="lv-LV"/>
              </w:rPr>
              <w:t>ir fiziska vai juridiska persona, kura vēlas noslēgt līgumu par kompleksa tūrisma pakalpojuma vai saistīta tūrisma pakalpojuma sniegšanu vai kurai ir tiesības ceļot, pamatojoties uz līgumu par kompleksa tūrisma pakalpojuma vai par saistīta tūrisma pakalpojuma sniegšanu</w:t>
            </w:r>
            <w:r w:rsidRPr="0072076F">
              <w:rPr>
                <w:rFonts w:ascii="Times New Roman" w:eastAsia="Times New Roman" w:hAnsi="Times New Roman" w:cs="Times New Roman"/>
                <w:bCs/>
                <w:sz w:val="24"/>
                <w:szCs w:val="24"/>
                <w:lang w:eastAsia="lv-LV"/>
              </w:rPr>
              <w:t xml:space="preserve">. Kaut arī šis termins saturiski pilnībā neizstāj terminu “klients”, termins “klients” turpmāk vairs netiks lietos komplekso tūrisma pakalpojumu kontekstā. </w:t>
            </w:r>
          </w:p>
          <w:p w14:paraId="336AADDF" w14:textId="25E72EFD" w:rsidR="00BB566F" w:rsidRPr="0072076F" w:rsidRDefault="00BB566F" w:rsidP="00B34588">
            <w:pPr>
              <w:spacing w:after="0" w:line="240" w:lineRule="auto"/>
              <w:jc w:val="both"/>
              <w:rPr>
                <w:rFonts w:ascii="Times New Roman" w:eastAsia="Times New Roman" w:hAnsi="Times New Roman" w:cs="Times New Roman"/>
                <w:bCs/>
                <w:sz w:val="24"/>
                <w:szCs w:val="24"/>
                <w:lang w:eastAsia="lv-LV"/>
              </w:rPr>
            </w:pPr>
          </w:p>
          <w:p w14:paraId="22DCED73" w14:textId="0557BD46" w:rsidR="00370C20" w:rsidRPr="0072076F" w:rsidRDefault="00BB566F" w:rsidP="00446EFA">
            <w:pPr>
              <w:spacing w:after="0" w:line="240" w:lineRule="auto"/>
              <w:jc w:val="both"/>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Termins “ceļotājs” atšķiras no termina “tūrists” ar to, ka termin</w:t>
            </w:r>
            <w:r w:rsidR="007E24CE" w:rsidRPr="0072076F">
              <w:rPr>
                <w:rFonts w:ascii="Times New Roman" w:eastAsia="Times New Roman" w:hAnsi="Times New Roman" w:cs="Times New Roman"/>
                <w:bCs/>
                <w:sz w:val="24"/>
                <w:szCs w:val="24"/>
                <w:lang w:eastAsia="lv-LV"/>
              </w:rPr>
              <w:t>s</w:t>
            </w:r>
            <w:r w:rsidRPr="0072076F">
              <w:rPr>
                <w:rFonts w:ascii="Times New Roman" w:eastAsia="Times New Roman" w:hAnsi="Times New Roman" w:cs="Times New Roman"/>
                <w:bCs/>
                <w:sz w:val="24"/>
                <w:szCs w:val="24"/>
                <w:lang w:eastAsia="lv-LV"/>
              </w:rPr>
              <w:t xml:space="preserve"> “tūrists” ir šaur</w:t>
            </w:r>
            <w:r w:rsidR="0055529B" w:rsidRPr="0072076F">
              <w:rPr>
                <w:rFonts w:ascii="Times New Roman" w:eastAsia="Times New Roman" w:hAnsi="Times New Roman" w:cs="Times New Roman"/>
                <w:bCs/>
                <w:sz w:val="24"/>
                <w:szCs w:val="24"/>
                <w:lang w:eastAsia="lv-LV"/>
              </w:rPr>
              <w:t xml:space="preserve">āks. Ceļotājs ir </w:t>
            </w:r>
            <w:r w:rsidR="007E24CE" w:rsidRPr="0072076F">
              <w:rPr>
                <w:rFonts w:ascii="Times New Roman" w:eastAsia="Times New Roman" w:hAnsi="Times New Roman" w:cs="Times New Roman"/>
                <w:bCs/>
                <w:sz w:val="24"/>
                <w:szCs w:val="24"/>
                <w:lang w:eastAsia="lv-LV"/>
              </w:rPr>
              <w:t xml:space="preserve">jebkura </w:t>
            </w:r>
            <w:r w:rsidR="0055529B" w:rsidRPr="0072076F">
              <w:rPr>
                <w:rFonts w:ascii="Times New Roman" w:eastAsia="Times New Roman" w:hAnsi="Times New Roman" w:cs="Times New Roman"/>
                <w:bCs/>
                <w:sz w:val="24"/>
                <w:szCs w:val="24"/>
                <w:lang w:eastAsia="lv-LV"/>
              </w:rPr>
              <w:t>persona, kas ceļo, bet ceļotājs</w:t>
            </w:r>
            <w:r w:rsidRPr="0072076F">
              <w:rPr>
                <w:rFonts w:ascii="Times New Roman" w:eastAsia="Times New Roman" w:hAnsi="Times New Roman" w:cs="Times New Roman"/>
                <w:bCs/>
                <w:sz w:val="24"/>
                <w:szCs w:val="24"/>
                <w:lang w:eastAsia="lv-LV"/>
              </w:rPr>
              <w:t xml:space="preserve"> kļūst par tūristu tikai tad, ja tā paliek pa nakti ārpus savas dz</w:t>
            </w:r>
            <w:r w:rsidR="007E24CE" w:rsidRPr="0072076F">
              <w:rPr>
                <w:rFonts w:ascii="Times New Roman" w:eastAsia="Times New Roman" w:hAnsi="Times New Roman" w:cs="Times New Roman"/>
                <w:bCs/>
                <w:sz w:val="24"/>
                <w:szCs w:val="24"/>
                <w:lang w:eastAsia="lv-LV"/>
              </w:rPr>
              <w:t>īves vietas. V</w:t>
            </w:r>
            <w:r w:rsidRPr="0072076F">
              <w:rPr>
                <w:rFonts w:ascii="Times New Roman" w:eastAsia="Times New Roman" w:hAnsi="Times New Roman" w:cs="Times New Roman"/>
                <w:bCs/>
                <w:sz w:val="24"/>
                <w:szCs w:val="24"/>
                <w:lang w:eastAsia="lv-LV"/>
              </w:rPr>
              <w:t>ienas dienas ceļotājus nevar uzskatīt par tūristiem, tos arī neie</w:t>
            </w:r>
            <w:r w:rsidR="007E24CE" w:rsidRPr="0072076F">
              <w:rPr>
                <w:rFonts w:ascii="Times New Roman" w:eastAsia="Times New Roman" w:hAnsi="Times New Roman" w:cs="Times New Roman"/>
                <w:bCs/>
                <w:sz w:val="24"/>
                <w:szCs w:val="24"/>
                <w:lang w:eastAsia="lv-LV"/>
              </w:rPr>
              <w:t>s</w:t>
            </w:r>
            <w:r w:rsidRPr="0072076F">
              <w:rPr>
                <w:rFonts w:ascii="Times New Roman" w:eastAsia="Times New Roman" w:hAnsi="Times New Roman" w:cs="Times New Roman"/>
                <w:bCs/>
                <w:sz w:val="24"/>
                <w:szCs w:val="24"/>
                <w:lang w:eastAsia="lv-LV"/>
              </w:rPr>
              <w:t>kaita tūristu statistik</w:t>
            </w:r>
            <w:r w:rsidR="0055529B" w:rsidRPr="0072076F">
              <w:rPr>
                <w:rFonts w:ascii="Times New Roman" w:eastAsia="Times New Roman" w:hAnsi="Times New Roman" w:cs="Times New Roman"/>
                <w:bCs/>
                <w:sz w:val="24"/>
                <w:szCs w:val="24"/>
                <w:lang w:eastAsia="lv-LV"/>
              </w:rPr>
              <w:t xml:space="preserve">ā. </w:t>
            </w:r>
            <w:r w:rsidR="00446EFA" w:rsidRPr="0072076F">
              <w:rPr>
                <w:rFonts w:ascii="Times New Roman" w:eastAsia="Times New Roman" w:hAnsi="Times New Roman" w:cs="Times New Roman"/>
                <w:bCs/>
                <w:sz w:val="24"/>
                <w:szCs w:val="24"/>
                <w:lang w:eastAsia="lv-LV"/>
              </w:rPr>
              <w:t>Tūrisma statistikā termins “tūrists” bieži tiek aizstāts ar “vairākdienu ceļotājs”, šādi parādot galveno atšķirību starp abiem terminiem.</w:t>
            </w:r>
          </w:p>
        </w:tc>
      </w:tr>
      <w:tr w:rsidR="0072076F" w:rsidRPr="0072076F" w14:paraId="1F3FB80B" w14:textId="77777777" w:rsidTr="00B34588">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52168CD"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5DBE58A9"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48D49AB4" w14:textId="56A607C5"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sz w:val="24"/>
                <w:szCs w:val="24"/>
                <w:lang w:eastAsia="lv-LV"/>
              </w:rPr>
              <w:t xml:space="preserve">Likumprojekts ir izstrādāts sadarbībā ar PTAC un Eiropas Parlamenta un Eiropas Padomes Direktīvas (ES) 2015/2302 par kompleksiem ceļojumiem un saistītiem ceļojumu pakalpojumiem darba grupu, kas izveidota ar Ekonomikas ministrijas 2016.gada 11.februāra rīkojumu Nr.35. Darba grupā tiek pārstāvētas sekojošas institūcijas un organizācijas: EM, PTAC, Latvijas Tūrisma aģentu un operatoru asociācija, Latvijas Apdrošinātāju asociācija, </w:t>
            </w:r>
            <w:r w:rsidRPr="0072076F">
              <w:rPr>
                <w:rFonts w:ascii="Times New Roman" w:eastAsia="Times New Roman" w:hAnsi="Times New Roman" w:cs="Times New Roman"/>
                <w:iCs/>
                <w:sz w:val="24"/>
                <w:szCs w:val="24"/>
                <w:lang w:eastAsia="lv-LV"/>
              </w:rPr>
              <w:t>Latvijas auto nomu asociācija, AS “Air Baltic Corporation” un Latvijas Vie</w:t>
            </w:r>
            <w:r w:rsidR="00F77AFB" w:rsidRPr="0072076F">
              <w:rPr>
                <w:rFonts w:ascii="Times New Roman" w:eastAsia="Times New Roman" w:hAnsi="Times New Roman" w:cs="Times New Roman"/>
                <w:iCs/>
                <w:sz w:val="24"/>
                <w:szCs w:val="24"/>
                <w:lang w:eastAsia="lv-LV"/>
              </w:rPr>
              <w:t>snīcu un restorānu asociācija. Papildus darba grupās ir piedalījušies arī tūrisma operatoru, Latvijas kempingu asociācijas un Lauku tūrisma asociācijas “Lauku ceļotājs” pārstāvji.</w:t>
            </w:r>
          </w:p>
        </w:tc>
      </w:tr>
      <w:tr w:rsidR="00370C20" w:rsidRPr="0072076F" w14:paraId="0A0AFFED" w14:textId="77777777" w:rsidTr="00B34588">
        <w:tc>
          <w:tcPr>
            <w:tcW w:w="250" w:type="pct"/>
            <w:tcBorders>
              <w:top w:val="outset" w:sz="6" w:space="0" w:color="414142"/>
              <w:left w:val="outset" w:sz="6" w:space="0" w:color="414142"/>
              <w:bottom w:val="outset" w:sz="6" w:space="0" w:color="414142"/>
              <w:right w:val="outset" w:sz="6" w:space="0" w:color="414142"/>
            </w:tcBorders>
            <w:hideMark/>
          </w:tcPr>
          <w:p w14:paraId="6A8450DD"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711F2A70"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53AC0A11"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Nav</w:t>
            </w:r>
          </w:p>
        </w:tc>
      </w:tr>
    </w:tbl>
    <w:p w14:paraId="6308E117" w14:textId="77777777" w:rsidR="00370C20" w:rsidRPr="0072076F" w:rsidRDefault="00370C20" w:rsidP="00370C20">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807"/>
        <w:gridCol w:w="5795"/>
      </w:tblGrid>
      <w:tr w:rsidR="0072076F" w:rsidRPr="0072076F" w14:paraId="0DC1ADC8" w14:textId="77777777" w:rsidTr="00B34588">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6B01FD2"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72076F" w:rsidRPr="0072076F" w14:paraId="569C6819" w14:textId="77777777" w:rsidTr="00B34588">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5A349A1C"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2F0916D0"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000000"/>
              <w:left w:val="outset" w:sz="6" w:space="0" w:color="000000"/>
              <w:bottom w:val="outset" w:sz="6" w:space="0" w:color="000000"/>
              <w:right w:val="outset" w:sz="6" w:space="0" w:color="000000"/>
            </w:tcBorders>
            <w:hideMark/>
          </w:tcPr>
          <w:p w14:paraId="0ABCFFF5" w14:textId="77777777" w:rsidR="00370C20" w:rsidRPr="0072076F" w:rsidRDefault="00370C20" w:rsidP="00B34588">
            <w:pPr>
              <w:pStyle w:val="naiskr"/>
              <w:spacing w:before="0" w:after="120"/>
              <w:ind w:left="57" w:right="57"/>
              <w:jc w:val="both"/>
              <w:rPr>
                <w:iCs/>
              </w:rPr>
            </w:pPr>
            <w:r w:rsidRPr="0072076F">
              <w:rPr>
                <w:iCs/>
              </w:rPr>
              <w:t xml:space="preserve">Likumprojekts attiecas uz: </w:t>
            </w:r>
          </w:p>
          <w:p w14:paraId="0FB41E0B" w14:textId="77777777" w:rsidR="00370C20" w:rsidRPr="0072076F" w:rsidRDefault="00370C20" w:rsidP="00B34588">
            <w:pPr>
              <w:pStyle w:val="naiskr"/>
              <w:numPr>
                <w:ilvl w:val="0"/>
                <w:numId w:val="1"/>
              </w:numPr>
              <w:spacing w:before="0" w:after="120"/>
              <w:ind w:right="57"/>
              <w:jc w:val="both"/>
              <w:rPr>
                <w:iCs/>
              </w:rPr>
            </w:pPr>
            <w:r w:rsidRPr="0072076F">
              <w:rPr>
                <w:iCs/>
              </w:rPr>
              <w:t xml:space="preserve">Fiziskām vai juridiskām personām, kas sniedz kompleksus vai saistītus tūrisma pakalpojumus, </w:t>
            </w:r>
          </w:p>
          <w:p w14:paraId="0BF13CC7" w14:textId="77777777" w:rsidR="00370C20" w:rsidRPr="0072076F" w:rsidRDefault="00370C20" w:rsidP="00B34588">
            <w:pPr>
              <w:pStyle w:val="naiskr"/>
              <w:spacing w:before="0" w:after="120"/>
              <w:ind w:left="57" w:right="57"/>
              <w:jc w:val="both"/>
              <w:rPr>
                <w:i/>
                <w:iCs/>
              </w:rPr>
            </w:pPr>
            <w:r w:rsidRPr="0072076F">
              <w:rPr>
                <w:i/>
                <w:iCs/>
              </w:rPr>
              <w:t>Uz 2017.gada sākumu Tūrisma aģentu un tūrisma operatoru (turpmāk – TATO) datubāzē ir reģistrēti 730 saimnieciskās darbības veicēji, kas sniedz tūrisma aģenta un/vai tūrisma operatora pakalpojumus, no kuriem 476 TATO datubāzē reģistrējušies kā aģenti, bet pārējie 254 sniedz tūrisma operatora vai apvienotos (tūrisma aģenta un operatora) pakalpojumus.</w:t>
            </w:r>
          </w:p>
          <w:p w14:paraId="40B55B49" w14:textId="77777777" w:rsidR="00370C20" w:rsidRPr="0072076F" w:rsidRDefault="00370C20" w:rsidP="00B34588">
            <w:pPr>
              <w:pStyle w:val="naiskr"/>
              <w:numPr>
                <w:ilvl w:val="0"/>
                <w:numId w:val="1"/>
              </w:numPr>
              <w:spacing w:before="0" w:after="120"/>
              <w:ind w:right="57"/>
              <w:jc w:val="both"/>
              <w:rPr>
                <w:iCs/>
              </w:rPr>
            </w:pPr>
            <w:r w:rsidRPr="0072076F">
              <w:rPr>
                <w:iCs/>
              </w:rPr>
              <w:t xml:space="preserve">Komplekso un saistīto tūrisma pakalpojumu patērētājiem, </w:t>
            </w:r>
          </w:p>
          <w:p w14:paraId="087BD3D1" w14:textId="77777777" w:rsidR="00370C20" w:rsidRPr="0072076F" w:rsidRDefault="00370C20" w:rsidP="00B34588">
            <w:pPr>
              <w:pStyle w:val="naiskr"/>
              <w:spacing w:before="0" w:after="120"/>
              <w:ind w:left="57" w:right="57"/>
              <w:jc w:val="both"/>
              <w:rPr>
                <w:i/>
                <w:iCs/>
              </w:rPr>
            </w:pPr>
            <w:r w:rsidRPr="0072076F">
              <w:rPr>
                <w:i/>
                <w:iCs/>
              </w:rPr>
              <w:t>Pēc Centrālās statistikas pārvaldes datiem, tūrisma komersantu pakalpojumus 2016.gadā izmantoja 414 tūkst. klientu, no kuriem 290 tūkst. bija Latvijas rezidenti.</w:t>
            </w:r>
          </w:p>
          <w:p w14:paraId="1179B9AB" w14:textId="77777777" w:rsidR="00370C20" w:rsidRPr="0072076F" w:rsidRDefault="00370C20" w:rsidP="00B34588">
            <w:pPr>
              <w:pStyle w:val="naiskr"/>
              <w:numPr>
                <w:ilvl w:val="0"/>
                <w:numId w:val="1"/>
              </w:numPr>
              <w:spacing w:before="0" w:after="120"/>
              <w:ind w:right="57"/>
              <w:jc w:val="both"/>
              <w:rPr>
                <w:iCs/>
              </w:rPr>
            </w:pPr>
            <w:r w:rsidRPr="0072076F">
              <w:rPr>
                <w:iCs/>
              </w:rPr>
              <w:t>PTAC kā nozares uzraugošo iestādi,</w:t>
            </w:r>
          </w:p>
          <w:p w14:paraId="70E68580" w14:textId="6A8E22A5" w:rsidR="00370C20" w:rsidRPr="0072076F" w:rsidRDefault="00370C20" w:rsidP="00F91419">
            <w:pPr>
              <w:pStyle w:val="naiskr"/>
              <w:numPr>
                <w:ilvl w:val="0"/>
                <w:numId w:val="1"/>
              </w:numPr>
              <w:spacing w:before="0" w:after="120"/>
              <w:ind w:right="57"/>
              <w:jc w:val="both"/>
              <w:rPr>
                <w:iCs/>
              </w:rPr>
            </w:pPr>
            <w:r w:rsidRPr="0072076F">
              <w:rPr>
                <w:iCs/>
              </w:rPr>
              <w:lastRenderedPageBreak/>
              <w:t>Apdrošināšanas sabiedrībām un bankām, kas nodrošina klientu iemaksātās naudas drošības garantiju izsniegšanu komplekso un saistīto tūrisma pakalpojumu sniedzējiem.</w:t>
            </w:r>
          </w:p>
        </w:tc>
      </w:tr>
      <w:tr w:rsidR="0072076F" w:rsidRPr="0072076F" w14:paraId="763805CA" w14:textId="77777777" w:rsidTr="00B34588">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495276CD"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lastRenderedPageBreak/>
              <w:t>2.</w:t>
            </w:r>
          </w:p>
        </w:tc>
        <w:tc>
          <w:tcPr>
            <w:tcW w:w="1550" w:type="pct"/>
            <w:tcBorders>
              <w:top w:val="outset" w:sz="6" w:space="0" w:color="414142"/>
              <w:left w:val="outset" w:sz="6" w:space="0" w:color="414142"/>
              <w:bottom w:val="outset" w:sz="6" w:space="0" w:color="414142"/>
              <w:right w:val="outset" w:sz="6" w:space="0" w:color="414142"/>
            </w:tcBorders>
            <w:hideMark/>
          </w:tcPr>
          <w:p w14:paraId="7BA469A4"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6D75AA3E"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Administratīvais process daļā jautājumu tiks vienkāršots, bet daļā tiks noteiktas papildus prasības. </w:t>
            </w:r>
          </w:p>
          <w:p w14:paraId="5610FB7E"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648CEB0F"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Administratīvais slogs tiks samazināts EM (TATO datubāzes nodošana PTAC uzraudzībā), bet attiecīgi slogs tiks palielināts PTAC. Lai mazinātu PTAC slogu un būtu iespējams nodrošināt jaunās likumprojektā deleģētās nozares uzraudzības un kontroles funkcijas, nepieciešams stiprināt PTAC cilvēkresursu kapacitāti par četriem cilvēkiem. </w:t>
            </w:r>
          </w:p>
          <w:p w14:paraId="0D2299EF"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0378267E"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Administratīvais slogs palielināsies arī komplekso un saistīto tūrisma pakalpojumu sniedzējiem, jo nozarei tiks ieviesta obligāta licencēšanās. Tajā pašā laikā likumprojekts veicinās uzņēmējdarbības vides sakārtošanu un patērētāju tiesību aizsardzības līmeņa uzlabošanu. </w:t>
            </w:r>
          </w:p>
          <w:p w14:paraId="336959E2"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6BAA1016"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Palielinot administratīvo sodu apmēru un tvērumu, tiks samazināta negodprātīgo tūrisma komersantu darbība, veicināta godīga konkurence, kā arī paaugstināsies patērētāju tiesību aizsardzības līmenis tūrisma pakalpojumu jomā.</w:t>
            </w:r>
          </w:p>
        </w:tc>
      </w:tr>
      <w:tr w:rsidR="0072076F" w:rsidRPr="0072076F" w14:paraId="365B14B7" w14:textId="77777777" w:rsidTr="00B34588">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5E430281"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4BC3ECE6"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36640BD2"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Administratīvais slogs tiks palielināts divām grupām – komersantam, kas sniedz tūrisma aģenta un tūrisma operatora pakalpojumus un PTAC, kas nodrošinās jauno likumprojektā deleģēto funkciju izpildi.</w:t>
            </w:r>
          </w:p>
          <w:p w14:paraId="37265014"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53DAF278" w14:textId="77777777" w:rsidR="00370C20" w:rsidRPr="0072076F" w:rsidRDefault="00370C20" w:rsidP="00B34588">
            <w:pPr>
              <w:spacing w:after="0" w:line="240" w:lineRule="auto"/>
              <w:jc w:val="both"/>
              <w:rPr>
                <w:rFonts w:ascii="Times New Roman" w:eastAsia="Times New Roman" w:hAnsi="Times New Roman" w:cs="Times New Roman"/>
                <w:b/>
                <w:iCs/>
                <w:sz w:val="24"/>
                <w:szCs w:val="24"/>
                <w:lang w:eastAsia="lv-LV"/>
              </w:rPr>
            </w:pPr>
            <w:r w:rsidRPr="0072076F">
              <w:rPr>
                <w:rFonts w:ascii="Times New Roman" w:eastAsia="Times New Roman" w:hAnsi="Times New Roman" w:cs="Times New Roman"/>
                <w:b/>
                <w:iCs/>
                <w:sz w:val="24"/>
                <w:szCs w:val="24"/>
                <w:lang w:eastAsia="lv-LV"/>
              </w:rPr>
              <w:t>Administratīvās izmaksas komplekso un saistīto  tūrisma pakalpojumu sniedzējiem:</w:t>
            </w:r>
          </w:p>
          <w:p w14:paraId="1194D251"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Pēc šī likumprojekta spēkā stāšanās visiem komplekso un saistīto tūrisma pakalpojumu sniedzējiem (rēķinam 437 komersantus, kas savu darbību kā operators/aģents reģistrējuši Uzņēmumu reģistrā) būs jāiesniedz dokumenti PTAC, lai pieteiktos uz licences saņemšanu.  Dokumentu sagatavošanai nepieciešamais laiks vienam darbiniekam nepārsniedz vidēji 8 stundas. Atbilstoši Centrālās statistikas pārvaldes datiem vienas stundas darba spēka izmaksas darbības veidā „(79) Ceļojumu biroju, tūrisma operatoru rezervēšanas pakalpojumi un ar tiem saistīti pasākumi” 2016.gadā bija 6,15 </w:t>
            </w:r>
            <w:r w:rsidRPr="0072076F">
              <w:rPr>
                <w:rFonts w:ascii="Times New Roman" w:eastAsia="Times New Roman" w:hAnsi="Times New Roman" w:cs="Times New Roman"/>
                <w:i/>
                <w:iCs/>
                <w:sz w:val="24"/>
                <w:szCs w:val="24"/>
                <w:lang w:eastAsia="lv-LV"/>
              </w:rPr>
              <w:t>euro</w:t>
            </w:r>
            <w:r w:rsidRPr="0072076F">
              <w:rPr>
                <w:rFonts w:ascii="Times New Roman" w:eastAsia="Times New Roman" w:hAnsi="Times New Roman" w:cs="Times New Roman"/>
                <w:iCs/>
                <w:sz w:val="24"/>
                <w:szCs w:val="24"/>
                <w:lang w:eastAsia="lv-LV"/>
              </w:rPr>
              <w:t xml:space="preserve">. Informācija būs jāiesniedz vienu reizi gadā. </w:t>
            </w:r>
          </w:p>
          <w:p w14:paraId="15553669"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01150A7A"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C = (f x l) x (n x b) = (6,15 x 8)x(437 x 1)=</w:t>
            </w:r>
            <w:r w:rsidRPr="0072076F">
              <w:rPr>
                <w:rFonts w:ascii="Times New Roman" w:eastAsia="Times New Roman" w:hAnsi="Times New Roman" w:cs="Times New Roman"/>
                <w:b/>
                <w:sz w:val="24"/>
                <w:szCs w:val="24"/>
                <w:lang w:eastAsia="lv-LV"/>
              </w:rPr>
              <w:t xml:space="preserve">21 500.40 </w:t>
            </w:r>
            <w:r w:rsidRPr="0072076F">
              <w:rPr>
                <w:rFonts w:ascii="Times New Roman" w:eastAsia="Times New Roman" w:hAnsi="Times New Roman" w:cs="Times New Roman"/>
                <w:b/>
                <w:iCs/>
                <w:sz w:val="24"/>
                <w:szCs w:val="24"/>
                <w:lang w:eastAsia="lv-LV"/>
              </w:rPr>
              <w:t>EUR</w:t>
            </w:r>
            <w:r w:rsidRPr="0072076F">
              <w:rPr>
                <w:rFonts w:ascii="Times New Roman" w:eastAsia="Times New Roman" w:hAnsi="Times New Roman" w:cs="Times New Roman"/>
                <w:sz w:val="24"/>
                <w:szCs w:val="24"/>
                <w:lang w:eastAsia="lv-LV"/>
              </w:rPr>
              <w:t xml:space="preserve">, </w:t>
            </w:r>
          </w:p>
          <w:p w14:paraId="1F3FA3DE" w14:textId="77777777" w:rsidR="00370C20" w:rsidRPr="0072076F" w:rsidRDefault="00370C20" w:rsidP="00B34588">
            <w:pPr>
              <w:spacing w:after="0" w:line="240" w:lineRule="auto"/>
              <w:jc w:val="both"/>
              <w:rPr>
                <w:rFonts w:ascii="Times New Roman" w:eastAsia="Times New Roman" w:hAnsi="Times New Roman" w:cs="Times New Roman"/>
                <w:i/>
                <w:sz w:val="24"/>
                <w:szCs w:val="24"/>
                <w:lang w:eastAsia="lv-LV"/>
              </w:rPr>
            </w:pPr>
            <w:r w:rsidRPr="0072076F">
              <w:rPr>
                <w:rFonts w:ascii="Times New Roman" w:eastAsia="Times New Roman" w:hAnsi="Times New Roman" w:cs="Times New Roman"/>
                <w:i/>
                <w:sz w:val="24"/>
                <w:szCs w:val="24"/>
                <w:lang w:eastAsia="lv-LV"/>
              </w:rPr>
              <w:t>C – informācijas sniegšanas pienākuma radītās izmaksas jeb administratīvās izmaksas;</w:t>
            </w:r>
          </w:p>
          <w:p w14:paraId="677E424E" w14:textId="77777777" w:rsidR="00370C20" w:rsidRPr="0072076F" w:rsidRDefault="00370C20" w:rsidP="00B34588">
            <w:pPr>
              <w:spacing w:after="0" w:line="240" w:lineRule="auto"/>
              <w:jc w:val="both"/>
              <w:rPr>
                <w:rFonts w:ascii="Times New Roman" w:eastAsia="Times New Roman" w:hAnsi="Times New Roman" w:cs="Times New Roman"/>
                <w:i/>
                <w:sz w:val="24"/>
                <w:szCs w:val="24"/>
                <w:lang w:eastAsia="lv-LV"/>
              </w:rPr>
            </w:pPr>
            <w:r w:rsidRPr="0072076F">
              <w:rPr>
                <w:rFonts w:ascii="Times New Roman" w:eastAsia="Times New Roman" w:hAnsi="Times New Roman" w:cs="Times New Roman"/>
                <w:i/>
                <w:sz w:val="24"/>
                <w:szCs w:val="24"/>
                <w:lang w:eastAsia="lv-LV"/>
              </w:rPr>
              <w:lastRenderedPageBreak/>
              <w:t>f – finanšu līdzekļu apmērs, kas nepieciešams, lai nodrošinātu projektā paredzētā informācijas sniegšanas pienākuma izpildi (stundas samaksas likme, ieskaitot virsstundas vai stundas limitu ārējo pakalpojumu sniedzējiem, ja tādi ir);</w:t>
            </w:r>
          </w:p>
          <w:p w14:paraId="71C29AB0" w14:textId="77777777" w:rsidR="00370C20" w:rsidRPr="0072076F" w:rsidRDefault="00370C20" w:rsidP="00B34588">
            <w:pPr>
              <w:spacing w:after="0" w:line="240" w:lineRule="auto"/>
              <w:jc w:val="both"/>
              <w:rPr>
                <w:rFonts w:ascii="Times New Roman" w:eastAsia="Times New Roman" w:hAnsi="Times New Roman" w:cs="Times New Roman"/>
                <w:i/>
                <w:sz w:val="24"/>
                <w:szCs w:val="24"/>
                <w:lang w:eastAsia="lv-LV"/>
              </w:rPr>
            </w:pPr>
            <w:r w:rsidRPr="0072076F">
              <w:rPr>
                <w:rFonts w:ascii="Times New Roman" w:eastAsia="Times New Roman" w:hAnsi="Times New Roman" w:cs="Times New Roman"/>
                <w:i/>
                <w:sz w:val="24"/>
                <w:szCs w:val="24"/>
                <w:lang w:eastAsia="lv-LV"/>
              </w:rPr>
              <w:t>l – laika patēriņš, kas nepieciešams, lai sagatavotu informāciju, kuras sniegšanu paredz projekts;</w:t>
            </w:r>
          </w:p>
          <w:p w14:paraId="51B54D1E" w14:textId="77777777" w:rsidR="00370C20" w:rsidRPr="0072076F" w:rsidRDefault="00370C20" w:rsidP="00B34588">
            <w:pPr>
              <w:spacing w:after="0" w:line="240" w:lineRule="auto"/>
              <w:jc w:val="both"/>
              <w:rPr>
                <w:rFonts w:ascii="Times New Roman" w:eastAsia="Times New Roman" w:hAnsi="Times New Roman" w:cs="Times New Roman"/>
                <w:i/>
                <w:sz w:val="24"/>
                <w:szCs w:val="24"/>
                <w:lang w:eastAsia="lv-LV"/>
              </w:rPr>
            </w:pPr>
            <w:r w:rsidRPr="0072076F">
              <w:rPr>
                <w:rFonts w:ascii="Times New Roman" w:eastAsia="Times New Roman" w:hAnsi="Times New Roman" w:cs="Times New Roman"/>
                <w:i/>
                <w:sz w:val="24"/>
                <w:szCs w:val="24"/>
                <w:lang w:eastAsia="lv-LV"/>
              </w:rPr>
              <w:t>n – subjektu skaits, uz ko attiecas projektā paredzētās informācijas sniegšanas prasības;</w:t>
            </w:r>
          </w:p>
          <w:p w14:paraId="335C696A" w14:textId="77777777" w:rsidR="00370C20" w:rsidRPr="0072076F" w:rsidRDefault="00370C20" w:rsidP="00B34588">
            <w:pPr>
              <w:spacing w:after="0" w:line="240" w:lineRule="auto"/>
              <w:jc w:val="both"/>
              <w:rPr>
                <w:rFonts w:ascii="Times New Roman" w:eastAsia="Times New Roman" w:hAnsi="Times New Roman" w:cs="Times New Roman"/>
                <w:i/>
                <w:sz w:val="24"/>
                <w:szCs w:val="24"/>
                <w:lang w:eastAsia="lv-LV"/>
              </w:rPr>
            </w:pPr>
            <w:r w:rsidRPr="0072076F">
              <w:rPr>
                <w:rFonts w:ascii="Times New Roman" w:eastAsia="Times New Roman" w:hAnsi="Times New Roman" w:cs="Times New Roman"/>
                <w:i/>
                <w:sz w:val="24"/>
                <w:szCs w:val="24"/>
                <w:lang w:eastAsia="lv-LV"/>
              </w:rPr>
              <w:t>b – cik bieži gada laikā projekts paredz informācijas sniegšanu.</w:t>
            </w:r>
          </w:p>
          <w:p w14:paraId="7B44E876"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1D96F8B8"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Papildus informācijas iesniegšana varētu būt nepieciešama, ja tiks noteikti stingrāki nosacījumi attiecībā uz obligātu ceturkšņu pārskatu iesniegšanu PTAC vai citu pārbaužu veikšanu. Attiecīgais administratīvais slogs tiks aprēķināts pie MK noteikumu projekta.</w:t>
            </w:r>
          </w:p>
          <w:p w14:paraId="43D07C71"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3042CD79" w14:textId="77777777" w:rsidR="00370C20" w:rsidRPr="0072076F" w:rsidRDefault="00370C20" w:rsidP="00B34588">
            <w:pPr>
              <w:spacing w:after="0" w:line="240" w:lineRule="auto"/>
              <w:jc w:val="both"/>
              <w:rPr>
                <w:rFonts w:ascii="Times New Roman" w:eastAsia="Times New Roman" w:hAnsi="Times New Roman" w:cs="Times New Roman"/>
                <w:b/>
                <w:sz w:val="24"/>
                <w:szCs w:val="24"/>
                <w:lang w:eastAsia="lv-LV"/>
              </w:rPr>
            </w:pPr>
            <w:r w:rsidRPr="0072076F">
              <w:rPr>
                <w:rFonts w:ascii="Times New Roman" w:eastAsia="Times New Roman" w:hAnsi="Times New Roman" w:cs="Times New Roman"/>
                <w:b/>
                <w:sz w:val="24"/>
                <w:szCs w:val="24"/>
                <w:lang w:eastAsia="lv-LV"/>
              </w:rPr>
              <w:t>Administratīvās izmaksas PTAC:</w:t>
            </w:r>
          </w:p>
          <w:p w14:paraId="0DD16D4E" w14:textId="6122DEA6"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bCs/>
                <w:sz w:val="24"/>
                <w:szCs w:val="24"/>
                <w:lang w:eastAsia="lv-LV"/>
              </w:rPr>
              <w:t xml:space="preserve">Lai PTAC nodrošinātu komplekso tūrisma pakalpojumu un saistīto tūrisma pakalpojumu sniegšanas uzraudzību Latvijā, radot efektīvāku modeli patērētāju aizsardzībai, īpaši, tūrisma pakalpojumu sniedzēja maksātnespējas gadījumā, kā arī, lai PTAC turpmāk nodrošinātu TATO datu bāzes pārņemšanu un uzturēšanu un vienotā kontaktpunkta pārrobežu sadarbību, </w:t>
            </w:r>
            <w:r w:rsidRPr="0072076F">
              <w:rPr>
                <w:rFonts w:ascii="Times New Roman" w:eastAsia="Times New Roman" w:hAnsi="Times New Roman" w:cs="Times New Roman"/>
                <w:sz w:val="24"/>
                <w:szCs w:val="24"/>
                <w:lang w:eastAsia="lv-LV"/>
              </w:rPr>
              <w:t xml:space="preserve">2018.gadam nepieciešami </w:t>
            </w:r>
            <w:r w:rsidR="00D2403D">
              <w:rPr>
                <w:rFonts w:ascii="Times New Roman" w:hAnsi="Times New Roman" w:cs="Times New Roman"/>
                <w:sz w:val="24"/>
                <w:szCs w:val="24"/>
              </w:rPr>
              <w:t xml:space="preserve">119 980 </w:t>
            </w:r>
            <w:r w:rsidRPr="0072076F">
              <w:rPr>
                <w:rFonts w:ascii="Times New Roman" w:eastAsia="Times New Roman" w:hAnsi="Times New Roman" w:cs="Times New Roman"/>
                <w:sz w:val="24"/>
                <w:szCs w:val="24"/>
                <w:lang w:eastAsia="lv-LV"/>
              </w:rPr>
              <w:t xml:space="preserve">euro, 2019.gadam un turpmākajiem gadiem- </w:t>
            </w:r>
            <w:r w:rsidR="007836CB" w:rsidRPr="0072076F">
              <w:rPr>
                <w:rFonts w:ascii="Times New Roman" w:hAnsi="Times New Roman" w:cs="Times New Roman"/>
                <w:sz w:val="24"/>
                <w:szCs w:val="24"/>
              </w:rPr>
              <w:t>131</w:t>
            </w:r>
            <w:r w:rsidR="007836CB">
              <w:rPr>
                <w:rFonts w:ascii="Times New Roman" w:hAnsi="Times New Roman" w:cs="Times New Roman"/>
                <w:sz w:val="24"/>
                <w:szCs w:val="24"/>
              </w:rPr>
              <w:t> </w:t>
            </w:r>
            <w:r w:rsidR="007836CB" w:rsidRPr="0072076F">
              <w:rPr>
                <w:rFonts w:ascii="Times New Roman" w:hAnsi="Times New Roman" w:cs="Times New Roman"/>
                <w:sz w:val="24"/>
                <w:szCs w:val="24"/>
              </w:rPr>
              <w:t>470</w:t>
            </w:r>
            <w:r w:rsidR="007836CB">
              <w:rPr>
                <w:rFonts w:ascii="Times New Roman" w:hAnsi="Times New Roman" w:cs="Times New Roman"/>
                <w:sz w:val="24"/>
                <w:szCs w:val="24"/>
              </w:rPr>
              <w:t xml:space="preserve"> </w:t>
            </w:r>
            <w:r w:rsidRPr="0072076F">
              <w:rPr>
                <w:rFonts w:ascii="Times New Roman" w:eastAsia="Times New Roman" w:hAnsi="Times New Roman" w:cs="Times New Roman"/>
                <w:sz w:val="24"/>
                <w:szCs w:val="24"/>
                <w:lang w:eastAsia="lv-LV"/>
              </w:rPr>
              <w:t>eiro.</w:t>
            </w:r>
          </w:p>
        </w:tc>
      </w:tr>
      <w:tr w:rsidR="00370C20" w:rsidRPr="0072076F" w14:paraId="60C0C338" w14:textId="77777777" w:rsidTr="00B34588">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5F367FFA"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lastRenderedPageBreak/>
              <w:t>4.</w:t>
            </w:r>
          </w:p>
        </w:tc>
        <w:tc>
          <w:tcPr>
            <w:tcW w:w="1550" w:type="pct"/>
            <w:tcBorders>
              <w:top w:val="outset" w:sz="6" w:space="0" w:color="414142"/>
              <w:left w:val="outset" w:sz="6" w:space="0" w:color="414142"/>
              <w:bottom w:val="outset" w:sz="6" w:space="0" w:color="414142"/>
              <w:right w:val="outset" w:sz="6" w:space="0" w:color="414142"/>
            </w:tcBorders>
            <w:hideMark/>
          </w:tcPr>
          <w:p w14:paraId="48D88F4F"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36FE9C59" w14:textId="18E8E976" w:rsidR="00370C20" w:rsidRPr="0072076F" w:rsidRDefault="00F27092" w:rsidP="0035109F">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Nepieciešamās </w:t>
            </w:r>
            <w:r w:rsidR="0035109F" w:rsidRPr="0072076F">
              <w:rPr>
                <w:rFonts w:ascii="Times New Roman" w:eastAsia="Times New Roman" w:hAnsi="Times New Roman" w:cs="Times New Roman"/>
                <w:sz w:val="24"/>
                <w:szCs w:val="24"/>
                <w:lang w:eastAsia="lv-LV"/>
              </w:rPr>
              <w:t>četras PTAC amata vietas plānots nodrošināt, izmantojot jau pašlaik pieejamās vakantās amata vietas Ekonomikas ministrijas resorā. Pieprasītais finansējums nepieciešams šo četru PTAC darbinieku atlīdzībai, preču un pakalpojumu apmaksai, materiālajam un tehniskajam nodrošinājumam PTAC darbiniekiem.</w:t>
            </w:r>
          </w:p>
        </w:tc>
      </w:tr>
    </w:tbl>
    <w:p w14:paraId="5E0E20B8" w14:textId="77777777" w:rsidR="00370C20" w:rsidRPr="0072076F" w:rsidRDefault="00370C20" w:rsidP="00370C20">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900"/>
        <w:gridCol w:w="992"/>
        <w:gridCol w:w="1356"/>
        <w:gridCol w:w="1128"/>
        <w:gridCol w:w="1275"/>
        <w:gridCol w:w="1404"/>
      </w:tblGrid>
      <w:tr w:rsidR="0072076F" w:rsidRPr="0072076F" w14:paraId="23F394F1" w14:textId="77777777" w:rsidTr="00B34588">
        <w:trPr>
          <w:trHeight w:val="288"/>
          <w:jc w:val="center"/>
        </w:trPr>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5F0A29D4"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III. Tiesību akta projekta ietekme uz valsts budžetu un pašvaldību budžetiem</w:t>
            </w:r>
          </w:p>
        </w:tc>
      </w:tr>
      <w:tr w:rsidR="0072076F" w:rsidRPr="0072076F" w14:paraId="4C4FE19F" w14:textId="77777777" w:rsidTr="00B34588">
        <w:trPr>
          <w:jc w:val="center"/>
        </w:trPr>
        <w:tc>
          <w:tcPr>
            <w:tcW w:w="1601" w:type="pct"/>
            <w:vMerge w:val="restart"/>
            <w:tcBorders>
              <w:top w:val="outset" w:sz="6" w:space="0" w:color="414142"/>
              <w:left w:val="outset" w:sz="6" w:space="0" w:color="414142"/>
              <w:bottom w:val="outset" w:sz="6" w:space="0" w:color="414142"/>
              <w:right w:val="outset" w:sz="6" w:space="0" w:color="414142"/>
            </w:tcBorders>
            <w:vAlign w:val="center"/>
            <w:hideMark/>
          </w:tcPr>
          <w:p w14:paraId="52A59CBE"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Rādītāji</w:t>
            </w:r>
          </w:p>
        </w:tc>
        <w:tc>
          <w:tcPr>
            <w:tcW w:w="1297"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367B11E5" w14:textId="794D0E26"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2017</w:t>
            </w:r>
            <w:r w:rsidR="009B1973" w:rsidRPr="0072076F">
              <w:rPr>
                <w:rFonts w:ascii="Times New Roman" w:eastAsia="Times New Roman" w:hAnsi="Times New Roman" w:cs="Times New Roman"/>
                <w:b/>
                <w:bCs/>
                <w:sz w:val="24"/>
                <w:szCs w:val="24"/>
                <w:lang w:eastAsia="lv-LV"/>
              </w:rPr>
              <w:t>.</w:t>
            </w:r>
            <w:r w:rsidRPr="0072076F">
              <w:rPr>
                <w:rFonts w:ascii="Times New Roman" w:eastAsia="Times New Roman" w:hAnsi="Times New Roman" w:cs="Times New Roman"/>
                <w:b/>
                <w:bCs/>
                <w:sz w:val="24"/>
                <w:szCs w:val="24"/>
                <w:lang w:eastAsia="lv-LV"/>
              </w:rPr>
              <w:t xml:space="preserve"> gads</w:t>
            </w:r>
          </w:p>
        </w:tc>
        <w:tc>
          <w:tcPr>
            <w:tcW w:w="2102" w:type="pct"/>
            <w:gridSpan w:val="3"/>
            <w:tcBorders>
              <w:top w:val="outset" w:sz="6" w:space="0" w:color="414142"/>
              <w:left w:val="outset" w:sz="6" w:space="0" w:color="414142"/>
              <w:bottom w:val="outset" w:sz="6" w:space="0" w:color="414142"/>
              <w:right w:val="outset" w:sz="6" w:space="0" w:color="414142"/>
            </w:tcBorders>
            <w:vAlign w:val="center"/>
            <w:hideMark/>
          </w:tcPr>
          <w:p w14:paraId="2A6A551C"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Turpmākie trīs gadi (</w:t>
            </w:r>
            <w:r w:rsidRPr="0072076F">
              <w:rPr>
                <w:rFonts w:ascii="Times New Roman" w:eastAsia="Times New Roman" w:hAnsi="Times New Roman" w:cs="Times New Roman"/>
                <w:i/>
                <w:iCs/>
                <w:sz w:val="24"/>
                <w:szCs w:val="24"/>
                <w:lang w:eastAsia="lv-LV"/>
              </w:rPr>
              <w:t>euro</w:t>
            </w:r>
            <w:r w:rsidRPr="0072076F">
              <w:rPr>
                <w:rFonts w:ascii="Times New Roman" w:eastAsia="Times New Roman" w:hAnsi="Times New Roman" w:cs="Times New Roman"/>
                <w:sz w:val="24"/>
                <w:szCs w:val="24"/>
                <w:lang w:eastAsia="lv-LV"/>
              </w:rPr>
              <w:t>)</w:t>
            </w:r>
          </w:p>
        </w:tc>
      </w:tr>
      <w:tr w:rsidR="0072076F" w:rsidRPr="0072076F" w14:paraId="02708611" w14:textId="77777777" w:rsidTr="00B34588">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F8F716C" w14:textId="77777777" w:rsidR="00370C20" w:rsidRPr="0072076F" w:rsidRDefault="00370C20" w:rsidP="00B34588">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2CFEFBDA" w14:textId="77777777" w:rsidR="00370C20" w:rsidRPr="0072076F" w:rsidRDefault="00370C20" w:rsidP="00B34588">
            <w:pPr>
              <w:spacing w:after="0" w:line="240" w:lineRule="auto"/>
              <w:rPr>
                <w:rFonts w:ascii="Times New Roman" w:eastAsia="Times New Roman" w:hAnsi="Times New Roman" w:cs="Times New Roman"/>
                <w:b/>
                <w:bCs/>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4D1095D6"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2018.gads</w:t>
            </w: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10512310"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2019.gads</w:t>
            </w:r>
          </w:p>
        </w:tc>
        <w:tc>
          <w:tcPr>
            <w:tcW w:w="775" w:type="pct"/>
            <w:tcBorders>
              <w:top w:val="outset" w:sz="6" w:space="0" w:color="414142"/>
              <w:left w:val="outset" w:sz="6" w:space="0" w:color="414142"/>
              <w:bottom w:val="outset" w:sz="6" w:space="0" w:color="414142"/>
              <w:right w:val="outset" w:sz="6" w:space="0" w:color="414142"/>
            </w:tcBorders>
            <w:vAlign w:val="center"/>
            <w:hideMark/>
          </w:tcPr>
          <w:p w14:paraId="13BADB02"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2020.gads</w:t>
            </w:r>
          </w:p>
        </w:tc>
      </w:tr>
      <w:tr w:rsidR="0072076F" w:rsidRPr="0072076F" w14:paraId="64C6D655" w14:textId="77777777" w:rsidTr="00B34588">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1D3DF57" w14:textId="77777777" w:rsidR="00370C20" w:rsidRPr="0072076F" w:rsidRDefault="00370C20" w:rsidP="00B34588">
            <w:pPr>
              <w:spacing w:after="0" w:line="240" w:lineRule="auto"/>
              <w:rPr>
                <w:rFonts w:ascii="Times New Roman" w:eastAsia="Times New Roman" w:hAnsi="Times New Roman" w:cs="Times New Roman"/>
                <w:b/>
                <w:bCs/>
                <w:sz w:val="24"/>
                <w:szCs w:val="24"/>
                <w:lang w:eastAsia="lv-LV"/>
              </w:rPr>
            </w:pPr>
          </w:p>
        </w:tc>
        <w:tc>
          <w:tcPr>
            <w:tcW w:w="548" w:type="pct"/>
            <w:tcBorders>
              <w:top w:val="outset" w:sz="6" w:space="0" w:color="414142"/>
              <w:left w:val="outset" w:sz="6" w:space="0" w:color="414142"/>
              <w:bottom w:val="outset" w:sz="6" w:space="0" w:color="414142"/>
              <w:right w:val="outset" w:sz="6" w:space="0" w:color="414142"/>
            </w:tcBorders>
            <w:vAlign w:val="center"/>
            <w:hideMark/>
          </w:tcPr>
          <w:p w14:paraId="282BEA0C"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saskaņā ar valsts budžetu kārtējam gadam</w:t>
            </w:r>
          </w:p>
        </w:tc>
        <w:tc>
          <w:tcPr>
            <w:tcW w:w="749" w:type="pct"/>
            <w:tcBorders>
              <w:top w:val="outset" w:sz="6" w:space="0" w:color="414142"/>
              <w:left w:val="outset" w:sz="6" w:space="0" w:color="414142"/>
              <w:bottom w:val="outset" w:sz="6" w:space="0" w:color="414142"/>
              <w:right w:val="outset" w:sz="6" w:space="0" w:color="414142"/>
            </w:tcBorders>
            <w:vAlign w:val="center"/>
            <w:hideMark/>
          </w:tcPr>
          <w:p w14:paraId="37BE85E2" w14:textId="15B2A275"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izmaiņas kārtējā gadā, salīdzinot ar </w:t>
            </w:r>
            <w:r w:rsidR="008C3AEF">
              <w:rPr>
                <w:rFonts w:ascii="Times New Roman" w:eastAsia="Times New Roman" w:hAnsi="Times New Roman" w:cs="Times New Roman"/>
                <w:sz w:val="24"/>
                <w:szCs w:val="24"/>
                <w:lang w:eastAsia="lv-LV"/>
              </w:rPr>
              <w:t>2017.</w:t>
            </w:r>
            <w:r w:rsidRPr="0072076F">
              <w:rPr>
                <w:rFonts w:ascii="Times New Roman" w:eastAsia="Times New Roman" w:hAnsi="Times New Roman" w:cs="Times New Roman"/>
                <w:sz w:val="24"/>
                <w:szCs w:val="24"/>
                <w:lang w:eastAsia="lv-LV"/>
              </w:rPr>
              <w:t xml:space="preserve"> gad</w:t>
            </w:r>
            <w:r w:rsidR="00A4611A">
              <w:rPr>
                <w:rFonts w:ascii="Times New Roman" w:eastAsia="Times New Roman" w:hAnsi="Times New Roman" w:cs="Times New Roman"/>
                <w:sz w:val="24"/>
                <w:szCs w:val="24"/>
                <w:lang w:eastAsia="lv-LV"/>
              </w:rPr>
              <w:t>u</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2322F96F" w14:textId="68F9C7AC"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izmaiņas, salīdzinot ar </w:t>
            </w:r>
            <w:r w:rsidR="009B1973" w:rsidRPr="0072076F">
              <w:rPr>
                <w:rFonts w:ascii="Times New Roman" w:eastAsia="Times New Roman" w:hAnsi="Times New Roman" w:cs="Times New Roman"/>
                <w:sz w:val="24"/>
                <w:szCs w:val="24"/>
                <w:lang w:eastAsia="lv-LV"/>
              </w:rPr>
              <w:t xml:space="preserve">2017. </w:t>
            </w:r>
            <w:r w:rsidRPr="0072076F">
              <w:rPr>
                <w:rFonts w:ascii="Times New Roman" w:eastAsia="Times New Roman" w:hAnsi="Times New Roman" w:cs="Times New Roman"/>
                <w:sz w:val="24"/>
                <w:szCs w:val="24"/>
                <w:lang w:eastAsia="lv-LV"/>
              </w:rPr>
              <w:t>gadu</w:t>
            </w: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0FC7D1FF" w14:textId="32B0AF0C" w:rsidR="00370C20" w:rsidRPr="0072076F" w:rsidRDefault="009B1973"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izmaiņas, salīdzinot ar 201</w:t>
            </w:r>
            <w:r w:rsidR="008C3AEF">
              <w:rPr>
                <w:rFonts w:ascii="Times New Roman" w:eastAsia="Times New Roman" w:hAnsi="Times New Roman" w:cs="Times New Roman"/>
                <w:sz w:val="24"/>
                <w:szCs w:val="24"/>
                <w:lang w:eastAsia="lv-LV"/>
              </w:rPr>
              <w:t>7</w:t>
            </w:r>
            <w:r w:rsidRPr="0072076F">
              <w:rPr>
                <w:rFonts w:ascii="Times New Roman" w:eastAsia="Times New Roman" w:hAnsi="Times New Roman" w:cs="Times New Roman"/>
                <w:sz w:val="24"/>
                <w:szCs w:val="24"/>
                <w:lang w:eastAsia="lv-LV"/>
              </w:rPr>
              <w:t>.gadu</w:t>
            </w:r>
          </w:p>
        </w:tc>
        <w:tc>
          <w:tcPr>
            <w:tcW w:w="775" w:type="pct"/>
            <w:tcBorders>
              <w:top w:val="outset" w:sz="6" w:space="0" w:color="414142"/>
              <w:left w:val="outset" w:sz="6" w:space="0" w:color="414142"/>
              <w:bottom w:val="outset" w:sz="6" w:space="0" w:color="414142"/>
              <w:right w:val="outset" w:sz="6" w:space="0" w:color="414142"/>
            </w:tcBorders>
            <w:vAlign w:val="center"/>
            <w:hideMark/>
          </w:tcPr>
          <w:p w14:paraId="7FCFDFBA" w14:textId="5EB6F071" w:rsidR="00370C20" w:rsidRPr="0072076F" w:rsidRDefault="009B1973"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izmaiņas, salīdzinot ar 201</w:t>
            </w:r>
            <w:r w:rsidR="008C3AEF">
              <w:rPr>
                <w:rFonts w:ascii="Times New Roman" w:eastAsia="Times New Roman" w:hAnsi="Times New Roman" w:cs="Times New Roman"/>
                <w:sz w:val="24"/>
                <w:szCs w:val="24"/>
                <w:lang w:eastAsia="lv-LV"/>
              </w:rPr>
              <w:t>7</w:t>
            </w:r>
            <w:r w:rsidRPr="0072076F">
              <w:rPr>
                <w:rFonts w:ascii="Times New Roman" w:eastAsia="Times New Roman" w:hAnsi="Times New Roman" w:cs="Times New Roman"/>
                <w:sz w:val="24"/>
                <w:szCs w:val="24"/>
                <w:lang w:eastAsia="lv-LV"/>
              </w:rPr>
              <w:t>.gadu</w:t>
            </w:r>
          </w:p>
        </w:tc>
      </w:tr>
      <w:tr w:rsidR="0072076F" w:rsidRPr="0072076F" w14:paraId="66296070"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vAlign w:val="center"/>
            <w:hideMark/>
          </w:tcPr>
          <w:p w14:paraId="3B196D25"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72076F">
              <w:rPr>
                <w:rFonts w:ascii="Times New Roman" w:eastAsia="Times New Roman" w:hAnsi="Times New Roman" w:cs="Times New Roman"/>
                <w:sz w:val="20"/>
                <w:szCs w:val="24"/>
                <w:lang w:eastAsia="lv-LV"/>
              </w:rPr>
              <w:t>1</w:t>
            </w:r>
          </w:p>
        </w:tc>
        <w:tc>
          <w:tcPr>
            <w:tcW w:w="548" w:type="pct"/>
            <w:tcBorders>
              <w:top w:val="outset" w:sz="6" w:space="0" w:color="414142"/>
              <w:left w:val="outset" w:sz="6" w:space="0" w:color="414142"/>
              <w:bottom w:val="outset" w:sz="6" w:space="0" w:color="414142"/>
              <w:right w:val="outset" w:sz="6" w:space="0" w:color="414142"/>
            </w:tcBorders>
            <w:vAlign w:val="center"/>
            <w:hideMark/>
          </w:tcPr>
          <w:p w14:paraId="597CFE5B"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72076F">
              <w:rPr>
                <w:rFonts w:ascii="Times New Roman" w:eastAsia="Times New Roman" w:hAnsi="Times New Roman" w:cs="Times New Roman"/>
                <w:sz w:val="20"/>
                <w:szCs w:val="24"/>
                <w:lang w:eastAsia="lv-LV"/>
              </w:rPr>
              <w:t>2</w:t>
            </w:r>
          </w:p>
        </w:tc>
        <w:tc>
          <w:tcPr>
            <w:tcW w:w="749" w:type="pct"/>
            <w:tcBorders>
              <w:top w:val="outset" w:sz="6" w:space="0" w:color="414142"/>
              <w:left w:val="outset" w:sz="6" w:space="0" w:color="414142"/>
              <w:bottom w:val="outset" w:sz="6" w:space="0" w:color="414142"/>
              <w:right w:val="outset" w:sz="6" w:space="0" w:color="414142"/>
            </w:tcBorders>
            <w:vAlign w:val="center"/>
            <w:hideMark/>
          </w:tcPr>
          <w:p w14:paraId="2B36C1B3"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72076F">
              <w:rPr>
                <w:rFonts w:ascii="Times New Roman" w:eastAsia="Times New Roman" w:hAnsi="Times New Roman" w:cs="Times New Roman"/>
                <w:sz w:val="20"/>
                <w:szCs w:val="24"/>
                <w:lang w:eastAsia="lv-LV"/>
              </w:rPr>
              <w:t>3</w:t>
            </w:r>
          </w:p>
        </w:tc>
        <w:tc>
          <w:tcPr>
            <w:tcW w:w="623" w:type="pct"/>
            <w:tcBorders>
              <w:top w:val="outset" w:sz="6" w:space="0" w:color="414142"/>
              <w:left w:val="outset" w:sz="6" w:space="0" w:color="414142"/>
              <w:bottom w:val="outset" w:sz="6" w:space="0" w:color="414142"/>
              <w:right w:val="outset" w:sz="6" w:space="0" w:color="414142"/>
            </w:tcBorders>
            <w:vAlign w:val="center"/>
            <w:hideMark/>
          </w:tcPr>
          <w:p w14:paraId="6EB1C54B"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72076F">
              <w:rPr>
                <w:rFonts w:ascii="Times New Roman" w:eastAsia="Times New Roman" w:hAnsi="Times New Roman" w:cs="Times New Roman"/>
                <w:sz w:val="20"/>
                <w:szCs w:val="24"/>
                <w:lang w:eastAsia="lv-LV"/>
              </w:rPr>
              <w:t>4</w:t>
            </w: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34EAC336"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72076F">
              <w:rPr>
                <w:rFonts w:ascii="Times New Roman" w:eastAsia="Times New Roman" w:hAnsi="Times New Roman" w:cs="Times New Roman"/>
                <w:sz w:val="20"/>
                <w:szCs w:val="24"/>
                <w:lang w:eastAsia="lv-LV"/>
              </w:rPr>
              <w:t>5</w:t>
            </w:r>
          </w:p>
        </w:tc>
        <w:tc>
          <w:tcPr>
            <w:tcW w:w="775" w:type="pct"/>
            <w:tcBorders>
              <w:top w:val="outset" w:sz="6" w:space="0" w:color="414142"/>
              <w:left w:val="outset" w:sz="6" w:space="0" w:color="414142"/>
              <w:bottom w:val="outset" w:sz="6" w:space="0" w:color="414142"/>
              <w:right w:val="outset" w:sz="6" w:space="0" w:color="414142"/>
            </w:tcBorders>
            <w:vAlign w:val="center"/>
            <w:hideMark/>
          </w:tcPr>
          <w:p w14:paraId="2D4FB6ED"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72076F">
              <w:rPr>
                <w:rFonts w:ascii="Times New Roman" w:eastAsia="Times New Roman" w:hAnsi="Times New Roman" w:cs="Times New Roman"/>
                <w:sz w:val="20"/>
                <w:szCs w:val="24"/>
                <w:lang w:eastAsia="lv-LV"/>
              </w:rPr>
              <w:t>6</w:t>
            </w:r>
          </w:p>
        </w:tc>
      </w:tr>
      <w:tr w:rsidR="0072076F" w:rsidRPr="0072076F" w14:paraId="551D8150"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5C658752"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 Budžeta ieņēmumi:</w:t>
            </w:r>
          </w:p>
        </w:tc>
        <w:tc>
          <w:tcPr>
            <w:tcW w:w="548" w:type="pct"/>
            <w:tcBorders>
              <w:top w:val="outset" w:sz="6" w:space="0" w:color="414142"/>
              <w:left w:val="outset" w:sz="6" w:space="0" w:color="414142"/>
              <w:bottom w:val="outset" w:sz="6" w:space="0" w:color="414142"/>
              <w:right w:val="outset" w:sz="6" w:space="0" w:color="414142"/>
            </w:tcBorders>
            <w:hideMark/>
          </w:tcPr>
          <w:p w14:paraId="3E053E70" w14:textId="7F96C0D9"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6A392CDF" w14:textId="3B10A25B"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2E7B4D37" w14:textId="00121822" w:rsidR="00370C20" w:rsidRPr="0072076F" w:rsidRDefault="00C655B8"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17 480</w:t>
            </w:r>
          </w:p>
        </w:tc>
        <w:tc>
          <w:tcPr>
            <w:tcW w:w="704" w:type="pct"/>
            <w:tcBorders>
              <w:top w:val="outset" w:sz="6" w:space="0" w:color="414142"/>
              <w:left w:val="outset" w:sz="6" w:space="0" w:color="414142"/>
              <w:bottom w:val="outset" w:sz="6" w:space="0" w:color="414142"/>
              <w:right w:val="outset" w:sz="6" w:space="0" w:color="414142"/>
            </w:tcBorders>
            <w:hideMark/>
          </w:tcPr>
          <w:p w14:paraId="4B4E0787" w14:textId="73154782" w:rsidR="00370C20" w:rsidRPr="0072076F" w:rsidRDefault="00C655B8"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17 480</w:t>
            </w:r>
          </w:p>
        </w:tc>
        <w:tc>
          <w:tcPr>
            <w:tcW w:w="775" w:type="pct"/>
            <w:tcBorders>
              <w:top w:val="outset" w:sz="6" w:space="0" w:color="414142"/>
              <w:left w:val="outset" w:sz="6" w:space="0" w:color="414142"/>
              <w:bottom w:val="outset" w:sz="6" w:space="0" w:color="414142"/>
              <w:right w:val="outset" w:sz="6" w:space="0" w:color="414142"/>
            </w:tcBorders>
            <w:hideMark/>
          </w:tcPr>
          <w:p w14:paraId="0B83AA00" w14:textId="02E45B92" w:rsidR="00370C20" w:rsidRPr="0072076F" w:rsidRDefault="00C655B8"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17 480</w:t>
            </w:r>
          </w:p>
        </w:tc>
      </w:tr>
      <w:tr w:rsidR="0072076F" w:rsidRPr="0072076F" w14:paraId="26821E6B"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67F6C68E"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1.1. valsts pamatbudžets, tai skaitā ieņēmumi no maksas pakalpojumiem un citi pašu ieņēmumi</w:t>
            </w:r>
          </w:p>
        </w:tc>
        <w:tc>
          <w:tcPr>
            <w:tcW w:w="548" w:type="pct"/>
            <w:tcBorders>
              <w:top w:val="outset" w:sz="6" w:space="0" w:color="414142"/>
              <w:left w:val="outset" w:sz="6" w:space="0" w:color="414142"/>
              <w:bottom w:val="outset" w:sz="6" w:space="0" w:color="414142"/>
              <w:right w:val="outset" w:sz="6" w:space="0" w:color="414142"/>
            </w:tcBorders>
            <w:hideMark/>
          </w:tcPr>
          <w:p w14:paraId="012C3664" w14:textId="6C2843F8"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182F5706" w14:textId="2634E355"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6B2A3999" w14:textId="66588A3F" w:rsidR="00370C20" w:rsidRPr="0072076F" w:rsidRDefault="00C655B8"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17 480</w:t>
            </w:r>
          </w:p>
        </w:tc>
        <w:tc>
          <w:tcPr>
            <w:tcW w:w="704" w:type="pct"/>
            <w:tcBorders>
              <w:top w:val="outset" w:sz="6" w:space="0" w:color="414142"/>
              <w:left w:val="outset" w:sz="6" w:space="0" w:color="414142"/>
              <w:bottom w:val="outset" w:sz="6" w:space="0" w:color="414142"/>
              <w:right w:val="outset" w:sz="6" w:space="0" w:color="414142"/>
            </w:tcBorders>
            <w:hideMark/>
          </w:tcPr>
          <w:p w14:paraId="4DF0A5AB" w14:textId="4D79A2FF" w:rsidR="00370C20" w:rsidRPr="0072076F" w:rsidRDefault="00C655B8"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17 480</w:t>
            </w:r>
          </w:p>
        </w:tc>
        <w:tc>
          <w:tcPr>
            <w:tcW w:w="775" w:type="pct"/>
            <w:tcBorders>
              <w:top w:val="outset" w:sz="6" w:space="0" w:color="414142"/>
              <w:left w:val="outset" w:sz="6" w:space="0" w:color="414142"/>
              <w:bottom w:val="outset" w:sz="6" w:space="0" w:color="414142"/>
              <w:right w:val="outset" w:sz="6" w:space="0" w:color="414142"/>
            </w:tcBorders>
            <w:hideMark/>
          </w:tcPr>
          <w:p w14:paraId="241075C0" w14:textId="13468F12" w:rsidR="00370C20" w:rsidRPr="0072076F" w:rsidRDefault="00C655B8"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17 480</w:t>
            </w:r>
          </w:p>
        </w:tc>
      </w:tr>
      <w:tr w:rsidR="0072076F" w:rsidRPr="0072076F" w14:paraId="2464DC06"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68D5B647"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lastRenderedPageBreak/>
              <w:t>1.2. valsts speciālais budžets</w:t>
            </w:r>
          </w:p>
        </w:tc>
        <w:tc>
          <w:tcPr>
            <w:tcW w:w="548" w:type="pct"/>
            <w:tcBorders>
              <w:top w:val="outset" w:sz="6" w:space="0" w:color="414142"/>
              <w:left w:val="outset" w:sz="6" w:space="0" w:color="414142"/>
              <w:bottom w:val="outset" w:sz="6" w:space="0" w:color="414142"/>
              <w:right w:val="outset" w:sz="6" w:space="0" w:color="414142"/>
            </w:tcBorders>
            <w:hideMark/>
          </w:tcPr>
          <w:p w14:paraId="69BE9F9A"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50FDC0AB"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31D54547"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04" w:type="pct"/>
            <w:tcBorders>
              <w:top w:val="outset" w:sz="6" w:space="0" w:color="414142"/>
              <w:left w:val="outset" w:sz="6" w:space="0" w:color="414142"/>
              <w:bottom w:val="outset" w:sz="6" w:space="0" w:color="414142"/>
              <w:right w:val="outset" w:sz="6" w:space="0" w:color="414142"/>
            </w:tcBorders>
            <w:hideMark/>
          </w:tcPr>
          <w:p w14:paraId="5DCF7082"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414142"/>
              <w:left w:val="outset" w:sz="6" w:space="0" w:color="414142"/>
              <w:bottom w:val="outset" w:sz="6" w:space="0" w:color="414142"/>
              <w:right w:val="outset" w:sz="6" w:space="0" w:color="414142"/>
            </w:tcBorders>
            <w:hideMark/>
          </w:tcPr>
          <w:p w14:paraId="7A1C2282"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r>
      <w:tr w:rsidR="0072076F" w:rsidRPr="0072076F" w14:paraId="118AD2D2"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4C59A354"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1.3. pašvaldību budžets</w:t>
            </w:r>
          </w:p>
        </w:tc>
        <w:tc>
          <w:tcPr>
            <w:tcW w:w="548" w:type="pct"/>
            <w:tcBorders>
              <w:top w:val="outset" w:sz="6" w:space="0" w:color="414142"/>
              <w:left w:val="outset" w:sz="6" w:space="0" w:color="414142"/>
              <w:bottom w:val="outset" w:sz="6" w:space="0" w:color="414142"/>
              <w:right w:val="outset" w:sz="6" w:space="0" w:color="414142"/>
            </w:tcBorders>
            <w:hideMark/>
          </w:tcPr>
          <w:p w14:paraId="25DB9C7E"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750F527B"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67DC282D"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04" w:type="pct"/>
            <w:tcBorders>
              <w:top w:val="outset" w:sz="6" w:space="0" w:color="414142"/>
              <w:left w:val="outset" w:sz="6" w:space="0" w:color="414142"/>
              <w:bottom w:val="outset" w:sz="6" w:space="0" w:color="414142"/>
              <w:right w:val="outset" w:sz="6" w:space="0" w:color="414142"/>
            </w:tcBorders>
            <w:hideMark/>
          </w:tcPr>
          <w:p w14:paraId="03FE2AFB"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414142"/>
              <w:left w:val="outset" w:sz="6" w:space="0" w:color="414142"/>
              <w:bottom w:val="outset" w:sz="6" w:space="0" w:color="414142"/>
              <w:right w:val="outset" w:sz="6" w:space="0" w:color="414142"/>
            </w:tcBorders>
            <w:hideMark/>
          </w:tcPr>
          <w:p w14:paraId="48C3907C"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r>
      <w:tr w:rsidR="0072076F" w:rsidRPr="0072076F" w14:paraId="5AE29ADE"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15C679BD"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2. Budžeta izdevumi:</w:t>
            </w:r>
          </w:p>
        </w:tc>
        <w:tc>
          <w:tcPr>
            <w:tcW w:w="548" w:type="pct"/>
            <w:tcBorders>
              <w:top w:val="outset" w:sz="6" w:space="0" w:color="414142"/>
              <w:left w:val="outset" w:sz="6" w:space="0" w:color="414142"/>
              <w:bottom w:val="outset" w:sz="6" w:space="0" w:color="414142"/>
              <w:right w:val="outset" w:sz="6" w:space="0" w:color="414142"/>
            </w:tcBorders>
            <w:hideMark/>
          </w:tcPr>
          <w:p w14:paraId="7A390B04" w14:textId="1064D98F"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7968A3F7" w14:textId="5ADE4C49"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3E674353" w14:textId="5ED14ED2" w:rsidR="00370C20" w:rsidRPr="0072076F" w:rsidRDefault="004A6F2B" w:rsidP="00B34588">
            <w:pPr>
              <w:spacing w:line="240" w:lineRule="auto"/>
              <w:rPr>
                <w:rFonts w:ascii="Times New Roman" w:hAnsi="Times New Roman" w:cs="Times New Roman"/>
                <w:bCs/>
                <w:sz w:val="24"/>
                <w:szCs w:val="24"/>
              </w:rPr>
            </w:pPr>
            <w:r>
              <w:rPr>
                <w:rFonts w:ascii="Times New Roman" w:hAnsi="Times New Roman" w:cs="Times New Roman"/>
                <w:sz w:val="24"/>
                <w:szCs w:val="24"/>
              </w:rPr>
              <w:t>119 980</w:t>
            </w:r>
          </w:p>
        </w:tc>
        <w:tc>
          <w:tcPr>
            <w:tcW w:w="704" w:type="pct"/>
            <w:tcBorders>
              <w:top w:val="outset" w:sz="6" w:space="0" w:color="414142"/>
              <w:left w:val="outset" w:sz="6" w:space="0" w:color="414142"/>
              <w:bottom w:val="outset" w:sz="6" w:space="0" w:color="414142"/>
              <w:right w:val="outset" w:sz="6" w:space="0" w:color="414142"/>
            </w:tcBorders>
            <w:hideMark/>
          </w:tcPr>
          <w:p w14:paraId="1A8EA617" w14:textId="37DFEA13" w:rsidR="00370C20" w:rsidRPr="0072076F" w:rsidRDefault="00370C20" w:rsidP="00B34588">
            <w:pPr>
              <w:spacing w:line="240" w:lineRule="auto"/>
              <w:rPr>
                <w:rFonts w:ascii="Times New Roman" w:hAnsi="Times New Roman" w:cs="Times New Roman"/>
                <w:bCs/>
                <w:sz w:val="24"/>
                <w:szCs w:val="24"/>
              </w:rPr>
            </w:pPr>
            <w:r w:rsidRPr="0072076F">
              <w:rPr>
                <w:rFonts w:ascii="Times New Roman" w:hAnsi="Times New Roman" w:cs="Times New Roman"/>
                <w:sz w:val="24"/>
                <w:szCs w:val="24"/>
              </w:rPr>
              <w:t>13</w:t>
            </w:r>
            <w:r w:rsidR="00801378" w:rsidRPr="0072076F">
              <w:rPr>
                <w:rFonts w:ascii="Times New Roman" w:hAnsi="Times New Roman" w:cs="Times New Roman"/>
                <w:sz w:val="24"/>
                <w:szCs w:val="24"/>
              </w:rPr>
              <w:t>1 470</w:t>
            </w:r>
          </w:p>
        </w:tc>
        <w:tc>
          <w:tcPr>
            <w:tcW w:w="775" w:type="pct"/>
            <w:tcBorders>
              <w:top w:val="outset" w:sz="6" w:space="0" w:color="414142"/>
              <w:left w:val="outset" w:sz="6" w:space="0" w:color="414142"/>
              <w:bottom w:val="outset" w:sz="6" w:space="0" w:color="414142"/>
              <w:right w:val="outset" w:sz="6" w:space="0" w:color="414142"/>
            </w:tcBorders>
            <w:hideMark/>
          </w:tcPr>
          <w:p w14:paraId="6D867926" w14:textId="4F8D3B41" w:rsidR="00370C20" w:rsidRPr="0072076F" w:rsidRDefault="00801378" w:rsidP="00B34588">
            <w:pPr>
              <w:spacing w:line="240" w:lineRule="auto"/>
              <w:rPr>
                <w:rFonts w:ascii="Times New Roman" w:hAnsi="Times New Roman" w:cs="Times New Roman"/>
                <w:bCs/>
                <w:sz w:val="24"/>
                <w:szCs w:val="24"/>
              </w:rPr>
            </w:pPr>
            <w:r w:rsidRPr="0072076F">
              <w:rPr>
                <w:rFonts w:ascii="Times New Roman" w:hAnsi="Times New Roman" w:cs="Times New Roman"/>
                <w:sz w:val="24"/>
                <w:szCs w:val="24"/>
              </w:rPr>
              <w:t>131 470</w:t>
            </w:r>
          </w:p>
        </w:tc>
      </w:tr>
      <w:tr w:rsidR="0072076F" w:rsidRPr="0072076F" w14:paraId="0E3AD12F"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425C1E6D"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2.1. valsts pamatbudžets</w:t>
            </w:r>
          </w:p>
        </w:tc>
        <w:tc>
          <w:tcPr>
            <w:tcW w:w="548" w:type="pct"/>
            <w:tcBorders>
              <w:top w:val="outset" w:sz="6" w:space="0" w:color="414142"/>
              <w:left w:val="outset" w:sz="6" w:space="0" w:color="414142"/>
              <w:bottom w:val="outset" w:sz="6" w:space="0" w:color="414142"/>
              <w:right w:val="outset" w:sz="6" w:space="0" w:color="414142"/>
            </w:tcBorders>
            <w:hideMark/>
          </w:tcPr>
          <w:p w14:paraId="63080507" w14:textId="5BEC6F52"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45B5B7AF" w14:textId="5000143F"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67547BC1" w14:textId="37437F24" w:rsidR="00370C20" w:rsidRPr="0072076F" w:rsidRDefault="004A6F2B" w:rsidP="00B34588">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119 980</w:t>
            </w:r>
          </w:p>
        </w:tc>
        <w:tc>
          <w:tcPr>
            <w:tcW w:w="704" w:type="pct"/>
            <w:tcBorders>
              <w:top w:val="outset" w:sz="6" w:space="0" w:color="414142"/>
              <w:left w:val="outset" w:sz="6" w:space="0" w:color="414142"/>
              <w:bottom w:val="outset" w:sz="6" w:space="0" w:color="414142"/>
              <w:right w:val="outset" w:sz="6" w:space="0" w:color="414142"/>
            </w:tcBorders>
            <w:hideMark/>
          </w:tcPr>
          <w:p w14:paraId="2F1C8A62" w14:textId="328986CE" w:rsidR="00370C20" w:rsidRPr="0072076F" w:rsidRDefault="00801378" w:rsidP="00B34588">
            <w:pPr>
              <w:spacing w:after="0" w:line="240" w:lineRule="auto"/>
              <w:rPr>
                <w:rFonts w:ascii="Times New Roman" w:eastAsia="Times New Roman" w:hAnsi="Times New Roman" w:cs="Times New Roman"/>
                <w:sz w:val="24"/>
                <w:szCs w:val="24"/>
                <w:lang w:eastAsia="lv-LV"/>
              </w:rPr>
            </w:pPr>
            <w:r w:rsidRPr="0072076F">
              <w:rPr>
                <w:rFonts w:ascii="Times New Roman" w:hAnsi="Times New Roman" w:cs="Times New Roman"/>
                <w:sz w:val="24"/>
                <w:szCs w:val="24"/>
              </w:rPr>
              <w:t>131 470</w:t>
            </w:r>
          </w:p>
        </w:tc>
        <w:tc>
          <w:tcPr>
            <w:tcW w:w="775" w:type="pct"/>
            <w:tcBorders>
              <w:top w:val="outset" w:sz="6" w:space="0" w:color="414142"/>
              <w:left w:val="outset" w:sz="6" w:space="0" w:color="414142"/>
              <w:bottom w:val="outset" w:sz="6" w:space="0" w:color="414142"/>
              <w:right w:val="outset" w:sz="6" w:space="0" w:color="414142"/>
            </w:tcBorders>
            <w:hideMark/>
          </w:tcPr>
          <w:p w14:paraId="74F5A153" w14:textId="4E39BB4D" w:rsidR="00370C20" w:rsidRPr="0072076F" w:rsidRDefault="00801378" w:rsidP="00B34588">
            <w:pPr>
              <w:spacing w:after="0" w:line="240" w:lineRule="auto"/>
              <w:rPr>
                <w:rFonts w:ascii="Times New Roman" w:eastAsia="Times New Roman" w:hAnsi="Times New Roman" w:cs="Times New Roman"/>
                <w:sz w:val="24"/>
                <w:szCs w:val="24"/>
                <w:lang w:eastAsia="lv-LV"/>
              </w:rPr>
            </w:pPr>
            <w:r w:rsidRPr="0072076F">
              <w:rPr>
                <w:rFonts w:ascii="Times New Roman" w:hAnsi="Times New Roman" w:cs="Times New Roman"/>
                <w:sz w:val="24"/>
                <w:szCs w:val="24"/>
              </w:rPr>
              <w:t>131 470</w:t>
            </w:r>
          </w:p>
        </w:tc>
      </w:tr>
      <w:tr w:rsidR="0072076F" w:rsidRPr="0072076F" w14:paraId="292F6F0A"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0177BE70"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2.2. valsts speciālais budžets</w:t>
            </w:r>
          </w:p>
        </w:tc>
        <w:tc>
          <w:tcPr>
            <w:tcW w:w="548" w:type="pct"/>
            <w:tcBorders>
              <w:top w:val="outset" w:sz="6" w:space="0" w:color="414142"/>
              <w:left w:val="outset" w:sz="6" w:space="0" w:color="414142"/>
              <w:bottom w:val="outset" w:sz="6" w:space="0" w:color="414142"/>
              <w:right w:val="outset" w:sz="6" w:space="0" w:color="414142"/>
            </w:tcBorders>
            <w:hideMark/>
          </w:tcPr>
          <w:p w14:paraId="69D1714D"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22F49408"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1BDFBBEB"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04" w:type="pct"/>
            <w:tcBorders>
              <w:top w:val="outset" w:sz="6" w:space="0" w:color="414142"/>
              <w:left w:val="outset" w:sz="6" w:space="0" w:color="414142"/>
              <w:bottom w:val="outset" w:sz="6" w:space="0" w:color="414142"/>
              <w:right w:val="outset" w:sz="6" w:space="0" w:color="414142"/>
            </w:tcBorders>
            <w:hideMark/>
          </w:tcPr>
          <w:p w14:paraId="7138E502"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414142"/>
              <w:left w:val="outset" w:sz="6" w:space="0" w:color="414142"/>
              <w:bottom w:val="outset" w:sz="6" w:space="0" w:color="414142"/>
              <w:right w:val="outset" w:sz="6" w:space="0" w:color="414142"/>
            </w:tcBorders>
            <w:hideMark/>
          </w:tcPr>
          <w:p w14:paraId="2EB6783C"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r>
      <w:tr w:rsidR="0072076F" w:rsidRPr="0072076F" w14:paraId="724A3B64"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1BC392EC"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2.3. pašvaldību budžets</w:t>
            </w:r>
          </w:p>
        </w:tc>
        <w:tc>
          <w:tcPr>
            <w:tcW w:w="548" w:type="pct"/>
            <w:tcBorders>
              <w:top w:val="outset" w:sz="6" w:space="0" w:color="414142"/>
              <w:left w:val="outset" w:sz="6" w:space="0" w:color="414142"/>
              <w:bottom w:val="outset" w:sz="6" w:space="0" w:color="414142"/>
              <w:right w:val="outset" w:sz="6" w:space="0" w:color="414142"/>
            </w:tcBorders>
            <w:hideMark/>
          </w:tcPr>
          <w:p w14:paraId="38E83BBB"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40484029"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2ED24CD2"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04" w:type="pct"/>
            <w:tcBorders>
              <w:top w:val="outset" w:sz="6" w:space="0" w:color="414142"/>
              <w:left w:val="outset" w:sz="6" w:space="0" w:color="414142"/>
              <w:bottom w:val="outset" w:sz="6" w:space="0" w:color="414142"/>
              <w:right w:val="outset" w:sz="6" w:space="0" w:color="414142"/>
            </w:tcBorders>
            <w:hideMark/>
          </w:tcPr>
          <w:p w14:paraId="54D9EBA8"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414142"/>
              <w:left w:val="outset" w:sz="6" w:space="0" w:color="414142"/>
              <w:bottom w:val="outset" w:sz="6" w:space="0" w:color="414142"/>
              <w:right w:val="outset" w:sz="6" w:space="0" w:color="414142"/>
            </w:tcBorders>
            <w:hideMark/>
          </w:tcPr>
          <w:p w14:paraId="47325DEE"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r>
      <w:tr w:rsidR="0072076F" w:rsidRPr="0072076F" w14:paraId="58271A01"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24D5538E"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 Finansiālā ietekme:</w:t>
            </w:r>
          </w:p>
        </w:tc>
        <w:tc>
          <w:tcPr>
            <w:tcW w:w="548" w:type="pct"/>
            <w:tcBorders>
              <w:top w:val="outset" w:sz="6" w:space="0" w:color="414142"/>
              <w:left w:val="outset" w:sz="6" w:space="0" w:color="414142"/>
              <w:bottom w:val="outset" w:sz="6" w:space="0" w:color="414142"/>
              <w:right w:val="outset" w:sz="6" w:space="0" w:color="414142"/>
            </w:tcBorders>
            <w:vAlign w:val="center"/>
            <w:hideMark/>
          </w:tcPr>
          <w:p w14:paraId="26F33B8A" w14:textId="19B4E383"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5C3FE583" w14:textId="7C6DF40E"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1A54BE44" w14:textId="23F5C02C"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hAnsi="Times New Roman" w:cs="Times New Roman"/>
                <w:sz w:val="24"/>
                <w:szCs w:val="24"/>
              </w:rPr>
              <w:t>-</w:t>
            </w:r>
            <w:r w:rsidR="001E3F33">
              <w:rPr>
                <w:rFonts w:ascii="Times New Roman" w:hAnsi="Times New Roman" w:cs="Times New Roman"/>
                <w:sz w:val="24"/>
                <w:szCs w:val="24"/>
              </w:rPr>
              <w:t>102 500</w:t>
            </w:r>
          </w:p>
        </w:tc>
        <w:tc>
          <w:tcPr>
            <w:tcW w:w="704" w:type="pct"/>
            <w:tcBorders>
              <w:top w:val="outset" w:sz="6" w:space="0" w:color="414142"/>
              <w:left w:val="outset" w:sz="6" w:space="0" w:color="414142"/>
              <w:bottom w:val="outset" w:sz="6" w:space="0" w:color="414142"/>
              <w:right w:val="outset" w:sz="6" w:space="0" w:color="414142"/>
            </w:tcBorders>
            <w:hideMark/>
          </w:tcPr>
          <w:p w14:paraId="4013EADB" w14:textId="60290593" w:rsidR="00370C20" w:rsidRPr="0072076F" w:rsidRDefault="00801378" w:rsidP="00B34588">
            <w:pPr>
              <w:spacing w:after="0" w:line="240" w:lineRule="auto"/>
              <w:rPr>
                <w:rFonts w:ascii="Times New Roman" w:eastAsia="Times New Roman" w:hAnsi="Times New Roman" w:cs="Times New Roman"/>
                <w:sz w:val="24"/>
                <w:szCs w:val="24"/>
                <w:lang w:eastAsia="lv-LV"/>
              </w:rPr>
            </w:pPr>
            <w:r w:rsidRPr="0072076F">
              <w:rPr>
                <w:rFonts w:ascii="Times New Roman" w:hAnsi="Times New Roman" w:cs="Times New Roman"/>
                <w:sz w:val="24"/>
                <w:szCs w:val="24"/>
              </w:rPr>
              <w:t>-113 990</w:t>
            </w:r>
          </w:p>
        </w:tc>
        <w:tc>
          <w:tcPr>
            <w:tcW w:w="775" w:type="pct"/>
            <w:tcBorders>
              <w:top w:val="outset" w:sz="6" w:space="0" w:color="414142"/>
              <w:left w:val="outset" w:sz="6" w:space="0" w:color="414142"/>
              <w:bottom w:val="outset" w:sz="6" w:space="0" w:color="414142"/>
              <w:right w:val="outset" w:sz="6" w:space="0" w:color="414142"/>
            </w:tcBorders>
            <w:hideMark/>
          </w:tcPr>
          <w:p w14:paraId="57259738" w14:textId="5E68E382"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hAnsi="Times New Roman" w:cs="Times New Roman"/>
                <w:sz w:val="24"/>
                <w:szCs w:val="24"/>
              </w:rPr>
              <w:t>-</w:t>
            </w:r>
            <w:r w:rsidR="00801378" w:rsidRPr="0072076F">
              <w:rPr>
                <w:rFonts w:ascii="Times New Roman" w:hAnsi="Times New Roman" w:cs="Times New Roman"/>
                <w:sz w:val="24"/>
                <w:szCs w:val="24"/>
              </w:rPr>
              <w:t>113 990</w:t>
            </w:r>
          </w:p>
        </w:tc>
      </w:tr>
      <w:tr w:rsidR="0072076F" w:rsidRPr="0072076F" w14:paraId="7E172D69"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6F1D9052"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3.1. valsts pamatbudžets</w:t>
            </w:r>
          </w:p>
        </w:tc>
        <w:tc>
          <w:tcPr>
            <w:tcW w:w="548" w:type="pct"/>
            <w:tcBorders>
              <w:top w:val="outset" w:sz="6" w:space="0" w:color="414142"/>
              <w:left w:val="outset" w:sz="6" w:space="0" w:color="414142"/>
              <w:bottom w:val="outset" w:sz="6" w:space="0" w:color="414142"/>
              <w:right w:val="outset" w:sz="6" w:space="0" w:color="414142"/>
            </w:tcBorders>
            <w:hideMark/>
          </w:tcPr>
          <w:p w14:paraId="5C369292" w14:textId="53069C0E"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34A1E3C0" w14:textId="10992594"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41AB0821" w14:textId="7801C622" w:rsidR="00370C20" w:rsidRPr="0072076F" w:rsidRDefault="00801378" w:rsidP="00B34588">
            <w:pPr>
              <w:spacing w:after="0" w:line="240" w:lineRule="auto"/>
              <w:rPr>
                <w:rFonts w:ascii="Times New Roman" w:eastAsia="Times New Roman" w:hAnsi="Times New Roman" w:cs="Times New Roman"/>
                <w:sz w:val="24"/>
                <w:szCs w:val="24"/>
                <w:lang w:eastAsia="lv-LV"/>
              </w:rPr>
            </w:pPr>
            <w:r w:rsidRPr="0072076F">
              <w:rPr>
                <w:rFonts w:ascii="Times New Roman" w:hAnsi="Times New Roman" w:cs="Times New Roman"/>
                <w:sz w:val="24"/>
                <w:szCs w:val="24"/>
              </w:rPr>
              <w:t>-</w:t>
            </w:r>
            <w:r w:rsidR="001E3F33">
              <w:rPr>
                <w:rFonts w:ascii="Times New Roman" w:hAnsi="Times New Roman" w:cs="Times New Roman"/>
                <w:sz w:val="24"/>
                <w:szCs w:val="24"/>
              </w:rPr>
              <w:t>102 500</w:t>
            </w:r>
          </w:p>
        </w:tc>
        <w:tc>
          <w:tcPr>
            <w:tcW w:w="704" w:type="pct"/>
            <w:tcBorders>
              <w:top w:val="outset" w:sz="6" w:space="0" w:color="414142"/>
              <w:left w:val="outset" w:sz="6" w:space="0" w:color="414142"/>
              <w:bottom w:val="outset" w:sz="6" w:space="0" w:color="414142"/>
              <w:right w:val="outset" w:sz="6" w:space="0" w:color="414142"/>
            </w:tcBorders>
            <w:hideMark/>
          </w:tcPr>
          <w:p w14:paraId="5963A97C" w14:textId="3A159D20" w:rsidR="00370C20" w:rsidRPr="0072076F" w:rsidRDefault="00801378" w:rsidP="00B34588">
            <w:pPr>
              <w:spacing w:after="0" w:line="240" w:lineRule="auto"/>
              <w:rPr>
                <w:rFonts w:ascii="Times New Roman" w:eastAsia="Times New Roman" w:hAnsi="Times New Roman" w:cs="Times New Roman"/>
                <w:sz w:val="24"/>
                <w:szCs w:val="24"/>
                <w:lang w:eastAsia="lv-LV"/>
              </w:rPr>
            </w:pPr>
            <w:r w:rsidRPr="0072076F">
              <w:rPr>
                <w:rFonts w:ascii="Times New Roman" w:hAnsi="Times New Roman" w:cs="Times New Roman"/>
                <w:sz w:val="24"/>
                <w:szCs w:val="24"/>
              </w:rPr>
              <w:t>-113 990</w:t>
            </w:r>
          </w:p>
        </w:tc>
        <w:tc>
          <w:tcPr>
            <w:tcW w:w="775" w:type="pct"/>
            <w:tcBorders>
              <w:top w:val="outset" w:sz="6" w:space="0" w:color="414142"/>
              <w:left w:val="outset" w:sz="6" w:space="0" w:color="414142"/>
              <w:bottom w:val="outset" w:sz="6" w:space="0" w:color="414142"/>
              <w:right w:val="outset" w:sz="6" w:space="0" w:color="414142"/>
            </w:tcBorders>
            <w:hideMark/>
          </w:tcPr>
          <w:p w14:paraId="5F69EF88" w14:textId="378F1CAB" w:rsidR="00370C20" w:rsidRPr="0072076F" w:rsidRDefault="00801378" w:rsidP="00B34588">
            <w:pPr>
              <w:spacing w:after="0" w:line="240" w:lineRule="auto"/>
              <w:rPr>
                <w:rFonts w:ascii="Times New Roman" w:eastAsia="Times New Roman" w:hAnsi="Times New Roman" w:cs="Times New Roman"/>
                <w:sz w:val="24"/>
                <w:szCs w:val="24"/>
                <w:lang w:eastAsia="lv-LV"/>
              </w:rPr>
            </w:pPr>
            <w:r w:rsidRPr="0072076F">
              <w:rPr>
                <w:rFonts w:ascii="Times New Roman" w:hAnsi="Times New Roman" w:cs="Times New Roman"/>
                <w:sz w:val="24"/>
                <w:szCs w:val="24"/>
              </w:rPr>
              <w:t>-113 990</w:t>
            </w:r>
          </w:p>
        </w:tc>
      </w:tr>
      <w:tr w:rsidR="0072076F" w:rsidRPr="0072076F" w14:paraId="0FFF4F67"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5A3622C2"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3.2. speciālais budžets</w:t>
            </w:r>
          </w:p>
        </w:tc>
        <w:tc>
          <w:tcPr>
            <w:tcW w:w="548" w:type="pct"/>
            <w:tcBorders>
              <w:top w:val="outset" w:sz="6" w:space="0" w:color="414142"/>
              <w:left w:val="outset" w:sz="6" w:space="0" w:color="414142"/>
              <w:bottom w:val="outset" w:sz="6" w:space="0" w:color="414142"/>
              <w:right w:val="outset" w:sz="6" w:space="0" w:color="414142"/>
            </w:tcBorders>
            <w:hideMark/>
          </w:tcPr>
          <w:p w14:paraId="69E05201"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5DB6CEEC"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492D166A"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04" w:type="pct"/>
            <w:tcBorders>
              <w:top w:val="outset" w:sz="6" w:space="0" w:color="414142"/>
              <w:left w:val="outset" w:sz="6" w:space="0" w:color="414142"/>
              <w:bottom w:val="outset" w:sz="6" w:space="0" w:color="414142"/>
              <w:right w:val="outset" w:sz="6" w:space="0" w:color="414142"/>
            </w:tcBorders>
            <w:hideMark/>
          </w:tcPr>
          <w:p w14:paraId="61C1C2D0"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414142"/>
              <w:left w:val="outset" w:sz="6" w:space="0" w:color="414142"/>
              <w:bottom w:val="outset" w:sz="6" w:space="0" w:color="414142"/>
              <w:right w:val="outset" w:sz="6" w:space="0" w:color="414142"/>
            </w:tcBorders>
            <w:hideMark/>
          </w:tcPr>
          <w:p w14:paraId="615B8B63"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r>
      <w:tr w:rsidR="0072076F" w:rsidRPr="0072076F" w14:paraId="59F36BDA"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5095CE40"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3.3. pašvaldību budžets</w:t>
            </w:r>
          </w:p>
        </w:tc>
        <w:tc>
          <w:tcPr>
            <w:tcW w:w="548" w:type="pct"/>
            <w:tcBorders>
              <w:top w:val="outset" w:sz="6" w:space="0" w:color="414142"/>
              <w:left w:val="outset" w:sz="6" w:space="0" w:color="414142"/>
              <w:bottom w:val="outset" w:sz="6" w:space="0" w:color="414142"/>
              <w:right w:val="outset" w:sz="6" w:space="0" w:color="414142"/>
            </w:tcBorders>
            <w:hideMark/>
          </w:tcPr>
          <w:p w14:paraId="1E16510F"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59305DD3"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2F8C5C64"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04" w:type="pct"/>
            <w:tcBorders>
              <w:top w:val="outset" w:sz="6" w:space="0" w:color="414142"/>
              <w:left w:val="outset" w:sz="6" w:space="0" w:color="414142"/>
              <w:bottom w:val="outset" w:sz="6" w:space="0" w:color="414142"/>
              <w:right w:val="outset" w:sz="6" w:space="0" w:color="414142"/>
            </w:tcBorders>
            <w:hideMark/>
          </w:tcPr>
          <w:p w14:paraId="36C14205"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414142"/>
              <w:left w:val="outset" w:sz="6" w:space="0" w:color="414142"/>
              <w:bottom w:val="outset" w:sz="6" w:space="0" w:color="414142"/>
              <w:right w:val="outset" w:sz="6" w:space="0" w:color="414142"/>
            </w:tcBorders>
            <w:hideMark/>
          </w:tcPr>
          <w:p w14:paraId="2F0E7D8E"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r>
      <w:tr w:rsidR="0072076F" w:rsidRPr="0072076F" w14:paraId="6D2692B8" w14:textId="77777777" w:rsidTr="00B34588">
        <w:trPr>
          <w:jc w:val="center"/>
        </w:trPr>
        <w:tc>
          <w:tcPr>
            <w:tcW w:w="1601" w:type="pct"/>
            <w:vMerge w:val="restart"/>
            <w:tcBorders>
              <w:top w:val="outset" w:sz="6" w:space="0" w:color="414142"/>
              <w:left w:val="outset" w:sz="6" w:space="0" w:color="414142"/>
              <w:bottom w:val="outset" w:sz="6" w:space="0" w:color="414142"/>
              <w:right w:val="outset" w:sz="6" w:space="0" w:color="414142"/>
            </w:tcBorders>
            <w:hideMark/>
          </w:tcPr>
          <w:p w14:paraId="6A7D7E08"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548" w:type="pct"/>
            <w:vMerge w:val="restart"/>
            <w:tcBorders>
              <w:top w:val="outset" w:sz="6" w:space="0" w:color="414142"/>
              <w:left w:val="outset" w:sz="6" w:space="0" w:color="414142"/>
              <w:bottom w:val="outset" w:sz="6" w:space="0" w:color="414142"/>
              <w:right w:val="outset" w:sz="6" w:space="0" w:color="414142"/>
            </w:tcBorders>
            <w:hideMark/>
          </w:tcPr>
          <w:p w14:paraId="6B58F210"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X</w:t>
            </w:r>
          </w:p>
        </w:tc>
        <w:tc>
          <w:tcPr>
            <w:tcW w:w="749" w:type="pct"/>
            <w:tcBorders>
              <w:top w:val="outset" w:sz="6" w:space="0" w:color="414142"/>
              <w:left w:val="outset" w:sz="6" w:space="0" w:color="414142"/>
              <w:bottom w:val="outset" w:sz="6" w:space="0" w:color="414142"/>
              <w:right w:val="outset" w:sz="6" w:space="0" w:color="414142"/>
            </w:tcBorders>
            <w:hideMark/>
          </w:tcPr>
          <w:p w14:paraId="4E4B4500"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38A2EE23"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04" w:type="pct"/>
            <w:tcBorders>
              <w:top w:val="outset" w:sz="6" w:space="0" w:color="414142"/>
              <w:left w:val="outset" w:sz="6" w:space="0" w:color="414142"/>
              <w:bottom w:val="outset" w:sz="6" w:space="0" w:color="414142"/>
              <w:right w:val="outset" w:sz="6" w:space="0" w:color="414142"/>
            </w:tcBorders>
            <w:hideMark/>
          </w:tcPr>
          <w:p w14:paraId="5D968616"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414142"/>
              <w:left w:val="outset" w:sz="6" w:space="0" w:color="414142"/>
              <w:bottom w:val="outset" w:sz="6" w:space="0" w:color="414142"/>
              <w:right w:val="outset" w:sz="6" w:space="0" w:color="414142"/>
            </w:tcBorders>
            <w:hideMark/>
          </w:tcPr>
          <w:p w14:paraId="72A2DDDE"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r>
      <w:tr w:rsidR="0072076F" w:rsidRPr="0072076F" w14:paraId="68E4F86F" w14:textId="77777777" w:rsidTr="00B34588">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BD78D75"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75AC202"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0FD18DFD"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7540CC6B"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04" w:type="pct"/>
            <w:tcBorders>
              <w:top w:val="outset" w:sz="6" w:space="0" w:color="414142"/>
              <w:left w:val="outset" w:sz="6" w:space="0" w:color="414142"/>
              <w:bottom w:val="outset" w:sz="6" w:space="0" w:color="414142"/>
              <w:right w:val="outset" w:sz="6" w:space="0" w:color="414142"/>
            </w:tcBorders>
            <w:hideMark/>
          </w:tcPr>
          <w:p w14:paraId="51EF16D6"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414142"/>
              <w:left w:val="outset" w:sz="6" w:space="0" w:color="414142"/>
              <w:bottom w:val="outset" w:sz="6" w:space="0" w:color="414142"/>
              <w:right w:val="outset" w:sz="6" w:space="0" w:color="414142"/>
            </w:tcBorders>
            <w:hideMark/>
          </w:tcPr>
          <w:p w14:paraId="5C4BF438"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r>
      <w:tr w:rsidR="0072076F" w:rsidRPr="0072076F" w14:paraId="4A32DA6C" w14:textId="77777777" w:rsidTr="00B34588">
        <w:trPr>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31BB056"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848B04E"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27A06ABE"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502BBCA9"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0</w:t>
            </w:r>
          </w:p>
        </w:tc>
        <w:tc>
          <w:tcPr>
            <w:tcW w:w="704" w:type="pct"/>
            <w:tcBorders>
              <w:top w:val="outset" w:sz="6" w:space="0" w:color="414142"/>
              <w:left w:val="outset" w:sz="6" w:space="0" w:color="414142"/>
              <w:bottom w:val="outset" w:sz="6" w:space="0" w:color="414142"/>
              <w:right w:val="outset" w:sz="6" w:space="0" w:color="414142"/>
            </w:tcBorders>
            <w:hideMark/>
          </w:tcPr>
          <w:p w14:paraId="38F17DBB"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0</w:t>
            </w:r>
          </w:p>
        </w:tc>
        <w:tc>
          <w:tcPr>
            <w:tcW w:w="775" w:type="pct"/>
            <w:tcBorders>
              <w:top w:val="outset" w:sz="6" w:space="0" w:color="414142"/>
              <w:left w:val="outset" w:sz="6" w:space="0" w:color="414142"/>
              <w:bottom w:val="outset" w:sz="6" w:space="0" w:color="414142"/>
              <w:right w:val="outset" w:sz="6" w:space="0" w:color="414142"/>
            </w:tcBorders>
            <w:hideMark/>
          </w:tcPr>
          <w:p w14:paraId="23713CB6"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0</w:t>
            </w:r>
          </w:p>
        </w:tc>
      </w:tr>
      <w:tr w:rsidR="0072076F" w:rsidRPr="0072076F" w14:paraId="421A137F"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1BF245F1"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5. Precizēta finansiālā ietekme:</w:t>
            </w:r>
          </w:p>
        </w:tc>
        <w:tc>
          <w:tcPr>
            <w:tcW w:w="548" w:type="pct"/>
            <w:vMerge w:val="restart"/>
            <w:tcBorders>
              <w:top w:val="outset" w:sz="6" w:space="0" w:color="414142"/>
              <w:left w:val="outset" w:sz="6" w:space="0" w:color="414142"/>
              <w:bottom w:val="outset" w:sz="6" w:space="0" w:color="414142"/>
              <w:right w:val="outset" w:sz="6" w:space="0" w:color="414142"/>
            </w:tcBorders>
            <w:hideMark/>
          </w:tcPr>
          <w:p w14:paraId="3871E6D3"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X</w:t>
            </w:r>
          </w:p>
        </w:tc>
        <w:tc>
          <w:tcPr>
            <w:tcW w:w="749" w:type="pct"/>
            <w:tcBorders>
              <w:top w:val="outset" w:sz="6" w:space="0" w:color="414142"/>
              <w:left w:val="outset" w:sz="6" w:space="0" w:color="414142"/>
              <w:bottom w:val="outset" w:sz="6" w:space="0" w:color="414142"/>
              <w:right w:val="outset" w:sz="6" w:space="0" w:color="414142"/>
            </w:tcBorders>
            <w:hideMark/>
          </w:tcPr>
          <w:p w14:paraId="04B0EFF1"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12F1A860"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04" w:type="pct"/>
            <w:tcBorders>
              <w:top w:val="outset" w:sz="6" w:space="0" w:color="414142"/>
              <w:left w:val="outset" w:sz="6" w:space="0" w:color="414142"/>
              <w:bottom w:val="outset" w:sz="6" w:space="0" w:color="414142"/>
              <w:right w:val="outset" w:sz="6" w:space="0" w:color="414142"/>
            </w:tcBorders>
            <w:hideMark/>
          </w:tcPr>
          <w:p w14:paraId="5BD52AB6"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414142"/>
              <w:left w:val="outset" w:sz="6" w:space="0" w:color="414142"/>
              <w:bottom w:val="outset" w:sz="6" w:space="0" w:color="414142"/>
              <w:right w:val="outset" w:sz="6" w:space="0" w:color="414142"/>
            </w:tcBorders>
            <w:hideMark/>
          </w:tcPr>
          <w:p w14:paraId="1BD47F08"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w:t>
            </w:r>
          </w:p>
        </w:tc>
      </w:tr>
      <w:tr w:rsidR="0072076F" w:rsidRPr="0072076F" w14:paraId="473C6110"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7D6AD4D0"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6731C10"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090845E4"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1D6DF886"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04" w:type="pct"/>
            <w:tcBorders>
              <w:top w:val="outset" w:sz="6" w:space="0" w:color="414142"/>
              <w:left w:val="outset" w:sz="6" w:space="0" w:color="414142"/>
              <w:bottom w:val="outset" w:sz="6" w:space="0" w:color="414142"/>
              <w:right w:val="outset" w:sz="6" w:space="0" w:color="414142"/>
            </w:tcBorders>
            <w:hideMark/>
          </w:tcPr>
          <w:p w14:paraId="1EE3E51A"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414142"/>
              <w:left w:val="outset" w:sz="6" w:space="0" w:color="414142"/>
              <w:bottom w:val="outset" w:sz="6" w:space="0" w:color="414142"/>
              <w:right w:val="outset" w:sz="6" w:space="0" w:color="414142"/>
            </w:tcBorders>
            <w:hideMark/>
          </w:tcPr>
          <w:p w14:paraId="27D8E7AB"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w:t>
            </w:r>
          </w:p>
        </w:tc>
      </w:tr>
      <w:tr w:rsidR="0072076F" w:rsidRPr="0072076F" w14:paraId="7D7E1719"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726489C3"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605EDB6"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7C7D19EF"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6658D637"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04" w:type="pct"/>
            <w:tcBorders>
              <w:top w:val="outset" w:sz="6" w:space="0" w:color="414142"/>
              <w:left w:val="outset" w:sz="6" w:space="0" w:color="414142"/>
              <w:bottom w:val="outset" w:sz="6" w:space="0" w:color="414142"/>
              <w:right w:val="outset" w:sz="6" w:space="0" w:color="414142"/>
            </w:tcBorders>
            <w:hideMark/>
          </w:tcPr>
          <w:p w14:paraId="791EE780"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414142"/>
              <w:left w:val="outset" w:sz="6" w:space="0" w:color="414142"/>
              <w:bottom w:val="outset" w:sz="6" w:space="0" w:color="414142"/>
              <w:right w:val="outset" w:sz="6" w:space="0" w:color="414142"/>
            </w:tcBorders>
            <w:hideMark/>
          </w:tcPr>
          <w:p w14:paraId="31A40C71"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w:t>
            </w:r>
          </w:p>
        </w:tc>
      </w:tr>
      <w:tr w:rsidR="0072076F" w:rsidRPr="0072076F" w14:paraId="2633CC13"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6949284B"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69BBC28"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49" w:type="pct"/>
            <w:tcBorders>
              <w:top w:val="outset" w:sz="6" w:space="0" w:color="414142"/>
              <w:left w:val="outset" w:sz="6" w:space="0" w:color="414142"/>
              <w:bottom w:val="outset" w:sz="6" w:space="0" w:color="414142"/>
              <w:right w:val="outset" w:sz="6" w:space="0" w:color="414142"/>
            </w:tcBorders>
            <w:hideMark/>
          </w:tcPr>
          <w:p w14:paraId="0F8E2E7D"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hideMark/>
          </w:tcPr>
          <w:p w14:paraId="5C9A30B9"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04" w:type="pct"/>
            <w:tcBorders>
              <w:top w:val="outset" w:sz="6" w:space="0" w:color="414142"/>
              <w:left w:val="outset" w:sz="6" w:space="0" w:color="414142"/>
              <w:bottom w:val="outset" w:sz="6" w:space="0" w:color="414142"/>
              <w:right w:val="outset" w:sz="6" w:space="0" w:color="414142"/>
            </w:tcBorders>
            <w:hideMark/>
          </w:tcPr>
          <w:p w14:paraId="224C15B5"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414142"/>
              <w:left w:val="outset" w:sz="6" w:space="0" w:color="414142"/>
              <w:bottom w:val="outset" w:sz="6" w:space="0" w:color="414142"/>
              <w:right w:val="outset" w:sz="6" w:space="0" w:color="414142"/>
            </w:tcBorders>
            <w:hideMark/>
          </w:tcPr>
          <w:p w14:paraId="5BE974D4"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w:t>
            </w:r>
          </w:p>
        </w:tc>
      </w:tr>
      <w:tr w:rsidR="0072076F" w:rsidRPr="0072076F" w14:paraId="526146B5"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2C28AD53"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99"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14:paraId="2F8E1A60" w14:textId="25125AB5" w:rsidR="00370C20" w:rsidRPr="00D2403D" w:rsidRDefault="00C655B8" w:rsidP="00B34588">
            <w:pPr>
              <w:rPr>
                <w:rFonts w:ascii="Times New Roman" w:hAnsi="Times New Roman" w:cs="Times New Roman"/>
                <w:b/>
              </w:rPr>
            </w:pPr>
            <w:r w:rsidRPr="00D2403D">
              <w:rPr>
                <w:rFonts w:ascii="Times New Roman" w:hAnsi="Times New Roman" w:cs="Times New Roman"/>
                <w:b/>
              </w:rPr>
              <w:t>BUDŽETA IZDEVUMI</w:t>
            </w:r>
          </w:p>
          <w:p w14:paraId="65897AF2" w14:textId="7213D490" w:rsidR="009C6E22" w:rsidRPr="00D2403D" w:rsidRDefault="009C6E22" w:rsidP="00B34588">
            <w:pPr>
              <w:rPr>
                <w:rFonts w:ascii="Times New Roman" w:hAnsi="Times New Roman" w:cs="Times New Roman"/>
                <w:b/>
              </w:rPr>
            </w:pPr>
            <w:r w:rsidRPr="00D2403D">
              <w:rPr>
                <w:rFonts w:ascii="Times New Roman" w:hAnsi="Times New Roman" w:cs="Times New Roman"/>
                <w:b/>
              </w:rPr>
              <w:t>I.</w:t>
            </w:r>
            <w:r w:rsidR="00DA5FEB" w:rsidRPr="00D2403D">
              <w:rPr>
                <w:rFonts w:ascii="Times New Roman" w:hAnsi="Times New Roman" w:cs="Times New Roman"/>
                <w:b/>
              </w:rPr>
              <w:t>1.</w:t>
            </w:r>
            <w:r w:rsidRPr="00D2403D">
              <w:rPr>
                <w:rFonts w:ascii="Times New Roman" w:hAnsi="Times New Roman" w:cs="Times New Roman"/>
                <w:b/>
              </w:rPr>
              <w:t xml:space="preserve"> Atlīdzība PTAC darbiniekiem-</w:t>
            </w:r>
            <w:r w:rsidR="00787FF3" w:rsidRPr="00D2403D">
              <w:rPr>
                <w:rFonts w:ascii="Times New Roman" w:hAnsi="Times New Roman" w:cs="Times New Roman"/>
                <w:b/>
              </w:rPr>
              <w:t>56 690</w:t>
            </w:r>
            <w:r w:rsidRPr="00D2403D">
              <w:rPr>
                <w:rFonts w:ascii="Times New Roman" w:hAnsi="Times New Roman" w:cs="Times New Roman"/>
                <w:b/>
              </w:rPr>
              <w:t xml:space="preserve"> EUR (par 2018.gada 7 mēnešiem)</w:t>
            </w:r>
          </w:p>
          <w:p w14:paraId="5F643584" w14:textId="77777777" w:rsidR="009C6E22" w:rsidRPr="00D2403D" w:rsidRDefault="009C6E22" w:rsidP="009C6E22">
            <w:pPr>
              <w:jc w:val="both"/>
              <w:rPr>
                <w:rFonts w:ascii="Times New Roman" w:hAnsi="Times New Roman" w:cs="Times New Roman"/>
                <w:u w:val="single"/>
              </w:rPr>
            </w:pPr>
            <w:r w:rsidRPr="00D2403D">
              <w:rPr>
                <w:rFonts w:ascii="Times New Roman" w:hAnsi="Times New Roman" w:cs="Times New Roman"/>
                <w:u w:val="single"/>
              </w:rPr>
              <w:t>I.2. 26.3.saime, V līmenis, 12.mēnešalgu grupa (1 amata vieta)</w:t>
            </w:r>
          </w:p>
          <w:p w14:paraId="2265F2AE" w14:textId="6C22A274" w:rsidR="009C6E22" w:rsidRPr="00D2403D" w:rsidRDefault="009C6E22" w:rsidP="009C6E22">
            <w:pPr>
              <w:jc w:val="both"/>
              <w:rPr>
                <w:rFonts w:ascii="Times New Roman" w:hAnsi="Times New Roman" w:cs="Times New Roman"/>
              </w:rPr>
            </w:pPr>
            <w:r w:rsidRPr="00D2403D">
              <w:rPr>
                <w:rFonts w:ascii="Times New Roman" w:hAnsi="Times New Roman" w:cs="Times New Roman"/>
              </w:rPr>
              <w:t xml:space="preserve">1647 eiro x 7 +23,59%= </w:t>
            </w:r>
            <w:r w:rsidRPr="00D2403D">
              <w:rPr>
                <w:rFonts w:ascii="Times New Roman" w:hAnsi="Times New Roman" w:cs="Times New Roman"/>
                <w:b/>
              </w:rPr>
              <w:t xml:space="preserve">14 249 </w:t>
            </w:r>
            <w:r w:rsidRPr="00D2403D">
              <w:rPr>
                <w:rFonts w:ascii="Times New Roman" w:hAnsi="Times New Roman" w:cs="Times New Roman"/>
              </w:rPr>
              <w:t xml:space="preserve">+ </w:t>
            </w:r>
            <w:r w:rsidR="00787FF3" w:rsidRPr="00D2403D">
              <w:rPr>
                <w:rFonts w:ascii="Times New Roman" w:hAnsi="Times New Roman" w:cs="Times New Roman"/>
                <w:b/>
              </w:rPr>
              <w:t>712</w:t>
            </w:r>
            <w:r w:rsidRPr="00D2403D">
              <w:rPr>
                <w:rFonts w:ascii="Times New Roman" w:hAnsi="Times New Roman" w:cs="Times New Roman"/>
              </w:rPr>
              <w:t xml:space="preserve"> (5% sociālās garantijas) + </w:t>
            </w:r>
            <w:r w:rsidR="00787FF3" w:rsidRPr="00D2403D">
              <w:rPr>
                <w:rFonts w:ascii="Times New Roman" w:hAnsi="Times New Roman" w:cs="Times New Roman"/>
                <w:b/>
              </w:rPr>
              <w:t>1425</w:t>
            </w:r>
            <w:r w:rsidRPr="00D2403D">
              <w:rPr>
                <w:rFonts w:ascii="Times New Roman" w:hAnsi="Times New Roman" w:cs="Times New Roman"/>
              </w:rPr>
              <w:t xml:space="preserve"> (10% prēmija+ 23,59%) = </w:t>
            </w:r>
            <w:r w:rsidR="00787FF3" w:rsidRPr="00D2403D">
              <w:rPr>
                <w:rFonts w:ascii="Times New Roman" w:hAnsi="Times New Roman" w:cs="Times New Roman"/>
                <w:b/>
              </w:rPr>
              <w:t>16 386</w:t>
            </w:r>
            <w:r w:rsidRPr="00D2403D">
              <w:rPr>
                <w:rFonts w:ascii="Times New Roman" w:hAnsi="Times New Roman" w:cs="Times New Roman"/>
                <w:b/>
              </w:rPr>
              <w:t xml:space="preserve"> </w:t>
            </w:r>
            <w:r w:rsidR="00DA5FEB" w:rsidRPr="00D2403D">
              <w:rPr>
                <w:rFonts w:ascii="Times New Roman" w:hAnsi="Times New Roman" w:cs="Times New Roman"/>
                <w:b/>
              </w:rPr>
              <w:t>EUR</w:t>
            </w:r>
          </w:p>
          <w:p w14:paraId="3C1BBC00" w14:textId="77777777" w:rsidR="009C6E22" w:rsidRPr="00D2403D" w:rsidRDefault="009C6E22" w:rsidP="009C6E22">
            <w:pPr>
              <w:jc w:val="both"/>
              <w:rPr>
                <w:rFonts w:ascii="Times New Roman" w:hAnsi="Times New Roman" w:cs="Times New Roman"/>
                <w:u w:val="single"/>
              </w:rPr>
            </w:pPr>
            <w:r w:rsidRPr="00D2403D">
              <w:rPr>
                <w:rFonts w:ascii="Times New Roman" w:hAnsi="Times New Roman" w:cs="Times New Roman"/>
                <w:u w:val="single"/>
              </w:rPr>
              <w:t>I.3. 26.3.saime, IV līmenis, 11.mēneš</w:t>
            </w:r>
            <w:bookmarkStart w:id="0" w:name="_GoBack"/>
            <w:bookmarkEnd w:id="0"/>
            <w:r w:rsidRPr="00D2403D">
              <w:rPr>
                <w:rFonts w:ascii="Times New Roman" w:hAnsi="Times New Roman" w:cs="Times New Roman"/>
                <w:u w:val="single"/>
              </w:rPr>
              <w:t>algu grupa (2 amata vietas)</w:t>
            </w:r>
          </w:p>
          <w:p w14:paraId="0F082E16" w14:textId="5E57FD5C" w:rsidR="009C6E22" w:rsidRPr="00D2403D" w:rsidRDefault="009C6E22" w:rsidP="009C6E22">
            <w:pPr>
              <w:jc w:val="both"/>
              <w:rPr>
                <w:rFonts w:ascii="Times New Roman" w:hAnsi="Times New Roman" w:cs="Times New Roman"/>
                <w:b/>
              </w:rPr>
            </w:pPr>
            <w:r w:rsidRPr="00D2403D">
              <w:rPr>
                <w:rFonts w:ascii="Times New Roman" w:hAnsi="Times New Roman" w:cs="Times New Roman"/>
              </w:rPr>
              <w:t xml:space="preserve">1382 eiro x 7 +23,59%= </w:t>
            </w:r>
            <w:r w:rsidR="00787FF3" w:rsidRPr="00D2403D">
              <w:rPr>
                <w:rFonts w:ascii="Times New Roman" w:hAnsi="Times New Roman" w:cs="Times New Roman"/>
                <w:b/>
              </w:rPr>
              <w:t>11 956</w:t>
            </w:r>
            <w:r w:rsidRPr="00D2403D">
              <w:rPr>
                <w:rFonts w:ascii="Times New Roman" w:hAnsi="Times New Roman" w:cs="Times New Roman"/>
              </w:rPr>
              <w:t xml:space="preserve">+ </w:t>
            </w:r>
            <w:r w:rsidR="00787FF3" w:rsidRPr="00D2403D">
              <w:rPr>
                <w:rFonts w:ascii="Times New Roman" w:hAnsi="Times New Roman" w:cs="Times New Roman"/>
                <w:b/>
              </w:rPr>
              <w:t>598</w:t>
            </w:r>
            <w:r w:rsidRPr="00D2403D">
              <w:rPr>
                <w:rFonts w:ascii="Times New Roman" w:hAnsi="Times New Roman" w:cs="Times New Roman"/>
              </w:rPr>
              <w:t xml:space="preserve"> (5% sociālās garantijas) + </w:t>
            </w:r>
            <w:r w:rsidR="00787FF3" w:rsidRPr="00D2403D">
              <w:rPr>
                <w:rFonts w:ascii="Times New Roman" w:hAnsi="Times New Roman" w:cs="Times New Roman"/>
                <w:b/>
              </w:rPr>
              <w:t>1196</w:t>
            </w:r>
            <w:r w:rsidRPr="00D2403D">
              <w:rPr>
                <w:rFonts w:ascii="Times New Roman" w:hAnsi="Times New Roman" w:cs="Times New Roman"/>
              </w:rPr>
              <w:t xml:space="preserve"> (10% prēmija+ 23,59%)= </w:t>
            </w:r>
            <w:r w:rsidR="00787FF3" w:rsidRPr="00D2403D">
              <w:rPr>
                <w:rFonts w:ascii="Times New Roman" w:hAnsi="Times New Roman" w:cs="Times New Roman"/>
                <w:b/>
              </w:rPr>
              <w:t>13 750</w:t>
            </w:r>
            <w:r w:rsidRPr="00D2403D">
              <w:rPr>
                <w:rFonts w:ascii="Times New Roman" w:hAnsi="Times New Roman" w:cs="Times New Roman"/>
                <w:b/>
              </w:rPr>
              <w:t xml:space="preserve"> </w:t>
            </w:r>
            <w:r w:rsidR="00DA5FEB" w:rsidRPr="00D2403D">
              <w:rPr>
                <w:rFonts w:ascii="Times New Roman" w:hAnsi="Times New Roman" w:cs="Times New Roman"/>
                <w:b/>
              </w:rPr>
              <w:t>EUR</w:t>
            </w:r>
          </w:p>
          <w:p w14:paraId="47DCAC8D" w14:textId="3103DCD6" w:rsidR="009C6E22" w:rsidRPr="00D2403D" w:rsidRDefault="009C6E22" w:rsidP="009C6E22">
            <w:pPr>
              <w:jc w:val="both"/>
              <w:rPr>
                <w:rFonts w:ascii="Times New Roman" w:hAnsi="Times New Roman" w:cs="Times New Roman"/>
                <w:b/>
              </w:rPr>
            </w:pPr>
            <w:r w:rsidRPr="00D2403D">
              <w:rPr>
                <w:rFonts w:ascii="Times New Roman" w:hAnsi="Times New Roman" w:cs="Times New Roman"/>
              </w:rPr>
              <w:t xml:space="preserve">Uz 2 amata vietām 2 x </w:t>
            </w:r>
            <w:r w:rsidR="00787FF3" w:rsidRPr="00D2403D">
              <w:rPr>
                <w:rFonts w:ascii="Times New Roman" w:hAnsi="Times New Roman" w:cs="Times New Roman"/>
              </w:rPr>
              <w:t>13 750</w:t>
            </w:r>
            <w:r w:rsidRPr="00D2403D">
              <w:rPr>
                <w:rFonts w:ascii="Times New Roman" w:hAnsi="Times New Roman" w:cs="Times New Roman"/>
              </w:rPr>
              <w:t xml:space="preserve"> eiro</w:t>
            </w:r>
            <w:r w:rsidRPr="00D2403D">
              <w:rPr>
                <w:rFonts w:ascii="Times New Roman" w:hAnsi="Times New Roman" w:cs="Times New Roman"/>
                <w:b/>
              </w:rPr>
              <w:t xml:space="preserve">= </w:t>
            </w:r>
            <w:r w:rsidR="00787FF3" w:rsidRPr="00D2403D">
              <w:rPr>
                <w:rFonts w:ascii="Times New Roman" w:hAnsi="Times New Roman" w:cs="Times New Roman"/>
                <w:b/>
              </w:rPr>
              <w:t>27 500</w:t>
            </w:r>
            <w:r w:rsidRPr="00D2403D">
              <w:rPr>
                <w:rFonts w:ascii="Times New Roman" w:hAnsi="Times New Roman" w:cs="Times New Roman"/>
                <w:b/>
              </w:rPr>
              <w:t xml:space="preserve"> eiro</w:t>
            </w:r>
          </w:p>
          <w:p w14:paraId="77D47DA7" w14:textId="77777777" w:rsidR="009C6E22" w:rsidRPr="00D2403D" w:rsidRDefault="009C6E22" w:rsidP="009C6E22">
            <w:pPr>
              <w:jc w:val="both"/>
              <w:rPr>
                <w:rFonts w:ascii="Times New Roman" w:hAnsi="Times New Roman" w:cs="Times New Roman"/>
                <w:u w:val="single"/>
              </w:rPr>
            </w:pPr>
            <w:r w:rsidRPr="00D2403D">
              <w:rPr>
                <w:rFonts w:ascii="Times New Roman" w:hAnsi="Times New Roman" w:cs="Times New Roman"/>
                <w:u w:val="single"/>
              </w:rPr>
              <w:t>26.3.saime, III.B līmenis, 10.mēnešalgu grupa (1 amata vietas)</w:t>
            </w:r>
          </w:p>
          <w:p w14:paraId="2DE0132D" w14:textId="5412683A" w:rsidR="00DA5FEB" w:rsidRPr="00D2403D" w:rsidRDefault="009C6E22" w:rsidP="00DA5FEB">
            <w:pPr>
              <w:jc w:val="both"/>
              <w:rPr>
                <w:rFonts w:ascii="Times New Roman" w:hAnsi="Times New Roman" w:cs="Times New Roman"/>
              </w:rPr>
            </w:pPr>
            <w:r w:rsidRPr="00D2403D">
              <w:rPr>
                <w:rFonts w:ascii="Times New Roman" w:hAnsi="Times New Roman" w:cs="Times New Roman"/>
              </w:rPr>
              <w:t xml:space="preserve">1287 eiro x </w:t>
            </w:r>
            <w:r w:rsidR="00787FF3" w:rsidRPr="00D2403D">
              <w:rPr>
                <w:rFonts w:ascii="Times New Roman" w:hAnsi="Times New Roman" w:cs="Times New Roman"/>
              </w:rPr>
              <w:t>7</w:t>
            </w:r>
            <w:r w:rsidRPr="00D2403D">
              <w:rPr>
                <w:rFonts w:ascii="Times New Roman" w:hAnsi="Times New Roman" w:cs="Times New Roman"/>
              </w:rPr>
              <w:t xml:space="preserve"> +23,59%= </w:t>
            </w:r>
            <w:r w:rsidR="00787FF3" w:rsidRPr="00D2403D">
              <w:rPr>
                <w:rFonts w:ascii="Times New Roman" w:hAnsi="Times New Roman" w:cs="Times New Roman"/>
                <w:b/>
              </w:rPr>
              <w:t>11 134</w:t>
            </w:r>
            <w:r w:rsidRPr="00D2403D">
              <w:rPr>
                <w:rFonts w:ascii="Times New Roman" w:hAnsi="Times New Roman" w:cs="Times New Roman"/>
              </w:rPr>
              <w:t xml:space="preserve">+ </w:t>
            </w:r>
            <w:r w:rsidR="00787FF3" w:rsidRPr="00D2403D">
              <w:rPr>
                <w:rFonts w:ascii="Times New Roman" w:hAnsi="Times New Roman" w:cs="Times New Roman"/>
                <w:b/>
              </w:rPr>
              <w:t>557</w:t>
            </w:r>
            <w:r w:rsidRPr="00D2403D">
              <w:rPr>
                <w:rFonts w:ascii="Times New Roman" w:hAnsi="Times New Roman" w:cs="Times New Roman"/>
              </w:rPr>
              <w:t xml:space="preserve"> (5% sociālās garantijas) + </w:t>
            </w:r>
            <w:r w:rsidR="00787FF3" w:rsidRPr="00D2403D">
              <w:rPr>
                <w:rFonts w:ascii="Times New Roman" w:hAnsi="Times New Roman" w:cs="Times New Roman"/>
                <w:b/>
              </w:rPr>
              <w:t>1113</w:t>
            </w:r>
            <w:r w:rsidRPr="00D2403D">
              <w:rPr>
                <w:rFonts w:ascii="Times New Roman" w:hAnsi="Times New Roman" w:cs="Times New Roman"/>
              </w:rPr>
              <w:t xml:space="preserve"> (10% prēmija+ 23,59%)= </w:t>
            </w:r>
            <w:r w:rsidR="00787FF3" w:rsidRPr="00D2403D">
              <w:rPr>
                <w:rFonts w:ascii="Times New Roman" w:hAnsi="Times New Roman" w:cs="Times New Roman"/>
                <w:b/>
              </w:rPr>
              <w:t>12 804</w:t>
            </w:r>
            <w:r w:rsidRPr="00D2403D">
              <w:rPr>
                <w:rFonts w:ascii="Times New Roman" w:hAnsi="Times New Roman" w:cs="Times New Roman"/>
              </w:rPr>
              <w:t xml:space="preserve"> </w:t>
            </w:r>
            <w:r w:rsidR="00DA5FEB" w:rsidRPr="00D2403D">
              <w:rPr>
                <w:rFonts w:ascii="Times New Roman" w:hAnsi="Times New Roman" w:cs="Times New Roman"/>
                <w:b/>
              </w:rPr>
              <w:t>EUR</w:t>
            </w:r>
          </w:p>
          <w:p w14:paraId="7996AAD1" w14:textId="20F33FE2" w:rsidR="00370C20" w:rsidRPr="00D2403D" w:rsidRDefault="00DA5FEB" w:rsidP="00B34588">
            <w:pPr>
              <w:rPr>
                <w:rFonts w:ascii="Times New Roman" w:hAnsi="Times New Roman" w:cs="Times New Roman"/>
                <w:b/>
              </w:rPr>
            </w:pPr>
            <w:r w:rsidRPr="00D2403D">
              <w:rPr>
                <w:rFonts w:ascii="Times New Roman" w:hAnsi="Times New Roman" w:cs="Times New Roman"/>
                <w:b/>
              </w:rPr>
              <w:t xml:space="preserve">I.2. </w:t>
            </w:r>
            <w:r w:rsidR="00370C20" w:rsidRPr="00D2403D">
              <w:rPr>
                <w:rFonts w:ascii="Times New Roman" w:hAnsi="Times New Roman" w:cs="Times New Roman"/>
                <w:b/>
              </w:rPr>
              <w:t xml:space="preserve">Atlīdzība PTAC darbiniekiem- 97 </w:t>
            </w:r>
            <w:r w:rsidR="002872C9" w:rsidRPr="00D2403D">
              <w:rPr>
                <w:rFonts w:ascii="Times New Roman" w:hAnsi="Times New Roman" w:cs="Times New Roman"/>
                <w:b/>
              </w:rPr>
              <w:t>182</w:t>
            </w:r>
            <w:r w:rsidR="00370C20" w:rsidRPr="00D2403D">
              <w:rPr>
                <w:rFonts w:ascii="Times New Roman" w:hAnsi="Times New Roman" w:cs="Times New Roman"/>
                <w:b/>
              </w:rPr>
              <w:t xml:space="preserve"> EUR (</w:t>
            </w:r>
            <w:r w:rsidR="009C6E22" w:rsidRPr="00D2403D">
              <w:rPr>
                <w:rFonts w:ascii="Times New Roman" w:hAnsi="Times New Roman" w:cs="Times New Roman"/>
                <w:b/>
              </w:rPr>
              <w:t>par 2019., 2020.un turpmākajiem gadiem</w:t>
            </w:r>
            <w:r w:rsidR="00370C20" w:rsidRPr="00D2403D">
              <w:rPr>
                <w:rFonts w:ascii="Times New Roman" w:hAnsi="Times New Roman" w:cs="Times New Roman"/>
                <w:b/>
              </w:rPr>
              <w:t>)</w:t>
            </w:r>
          </w:p>
          <w:p w14:paraId="2423FAE1" w14:textId="77777777" w:rsidR="00370C20" w:rsidRPr="00D2403D" w:rsidRDefault="00370C20" w:rsidP="00B34588">
            <w:pPr>
              <w:jc w:val="both"/>
              <w:rPr>
                <w:rFonts w:ascii="Times New Roman" w:hAnsi="Times New Roman" w:cs="Times New Roman"/>
                <w:u w:val="single"/>
              </w:rPr>
            </w:pPr>
            <w:r w:rsidRPr="00D2403D">
              <w:rPr>
                <w:rFonts w:ascii="Times New Roman" w:hAnsi="Times New Roman" w:cs="Times New Roman"/>
                <w:u w:val="single"/>
              </w:rPr>
              <w:t>I.2. 26.3.saime, V līmenis, 12.mēnešalgu grupa (1 amata vieta)</w:t>
            </w:r>
          </w:p>
          <w:p w14:paraId="135C5365" w14:textId="0E45EEF3" w:rsidR="00370C20" w:rsidRPr="00D2403D" w:rsidRDefault="00370C20" w:rsidP="00B34588">
            <w:pPr>
              <w:jc w:val="both"/>
              <w:rPr>
                <w:rFonts w:ascii="Times New Roman" w:hAnsi="Times New Roman" w:cs="Times New Roman"/>
              </w:rPr>
            </w:pPr>
            <w:r w:rsidRPr="00D2403D">
              <w:rPr>
                <w:rFonts w:ascii="Times New Roman" w:hAnsi="Times New Roman" w:cs="Times New Roman"/>
              </w:rPr>
              <w:t xml:space="preserve">1647 eiro x 12 +23,59%= </w:t>
            </w:r>
            <w:r w:rsidRPr="00D2403D">
              <w:rPr>
                <w:rFonts w:ascii="Times New Roman" w:hAnsi="Times New Roman" w:cs="Times New Roman"/>
                <w:b/>
              </w:rPr>
              <w:t>24</w:t>
            </w:r>
            <w:r w:rsidR="00320A06" w:rsidRPr="00D2403D">
              <w:rPr>
                <w:rFonts w:ascii="Times New Roman" w:hAnsi="Times New Roman" w:cs="Times New Roman"/>
                <w:b/>
              </w:rPr>
              <w:t> </w:t>
            </w:r>
            <w:r w:rsidRPr="00D2403D">
              <w:rPr>
                <w:rFonts w:ascii="Times New Roman" w:hAnsi="Times New Roman" w:cs="Times New Roman"/>
                <w:b/>
              </w:rPr>
              <w:t>426</w:t>
            </w:r>
            <w:r w:rsidR="00320A06" w:rsidRPr="00D2403D">
              <w:rPr>
                <w:rFonts w:ascii="Times New Roman" w:hAnsi="Times New Roman" w:cs="Times New Roman"/>
                <w:b/>
              </w:rPr>
              <w:t xml:space="preserve"> </w:t>
            </w:r>
            <w:r w:rsidR="0029565E" w:rsidRPr="00D2403D">
              <w:rPr>
                <w:rFonts w:ascii="Times New Roman" w:hAnsi="Times New Roman" w:cs="Times New Roman"/>
              </w:rPr>
              <w:t>+</w:t>
            </w:r>
            <w:r w:rsidR="00320A06" w:rsidRPr="00D2403D">
              <w:rPr>
                <w:rFonts w:ascii="Times New Roman" w:hAnsi="Times New Roman" w:cs="Times New Roman"/>
              </w:rPr>
              <w:t xml:space="preserve"> </w:t>
            </w:r>
            <w:r w:rsidR="0029565E" w:rsidRPr="00D2403D">
              <w:rPr>
                <w:rFonts w:ascii="Times New Roman" w:hAnsi="Times New Roman" w:cs="Times New Roman"/>
                <w:b/>
              </w:rPr>
              <w:t>1221</w:t>
            </w:r>
            <w:r w:rsidR="0029565E" w:rsidRPr="00D2403D">
              <w:rPr>
                <w:rFonts w:ascii="Times New Roman" w:hAnsi="Times New Roman" w:cs="Times New Roman"/>
              </w:rPr>
              <w:t xml:space="preserve"> (5% sociālās garantijas) </w:t>
            </w:r>
            <w:r w:rsidR="00320A06" w:rsidRPr="00D2403D">
              <w:rPr>
                <w:rFonts w:ascii="Times New Roman" w:hAnsi="Times New Roman" w:cs="Times New Roman"/>
              </w:rPr>
              <w:t xml:space="preserve">+ </w:t>
            </w:r>
            <w:r w:rsidR="00320A06" w:rsidRPr="00D2403D">
              <w:rPr>
                <w:rFonts w:ascii="Times New Roman" w:hAnsi="Times New Roman" w:cs="Times New Roman"/>
                <w:b/>
              </w:rPr>
              <w:t>2443</w:t>
            </w:r>
            <w:r w:rsidR="00320A06" w:rsidRPr="00D2403D">
              <w:rPr>
                <w:rFonts w:ascii="Times New Roman" w:hAnsi="Times New Roman" w:cs="Times New Roman"/>
              </w:rPr>
              <w:t xml:space="preserve"> </w:t>
            </w:r>
            <w:r w:rsidRPr="00D2403D">
              <w:rPr>
                <w:rFonts w:ascii="Times New Roman" w:hAnsi="Times New Roman" w:cs="Times New Roman"/>
              </w:rPr>
              <w:t>(10% prēmija+ 23,59%)</w:t>
            </w:r>
            <w:r w:rsidR="00320A06" w:rsidRPr="00D2403D">
              <w:rPr>
                <w:rFonts w:ascii="Times New Roman" w:hAnsi="Times New Roman" w:cs="Times New Roman"/>
              </w:rPr>
              <w:t xml:space="preserve"> </w:t>
            </w:r>
            <w:r w:rsidRPr="00D2403D">
              <w:rPr>
                <w:rFonts w:ascii="Times New Roman" w:hAnsi="Times New Roman" w:cs="Times New Roman"/>
              </w:rPr>
              <w:t xml:space="preserve">= </w:t>
            </w:r>
            <w:r w:rsidRPr="00D2403D">
              <w:rPr>
                <w:rFonts w:ascii="Times New Roman" w:hAnsi="Times New Roman" w:cs="Times New Roman"/>
                <w:b/>
              </w:rPr>
              <w:t xml:space="preserve">28 </w:t>
            </w:r>
            <w:r w:rsidR="00320A06" w:rsidRPr="00D2403D">
              <w:rPr>
                <w:rFonts w:ascii="Times New Roman" w:hAnsi="Times New Roman" w:cs="Times New Roman"/>
                <w:b/>
              </w:rPr>
              <w:t>090</w:t>
            </w:r>
            <w:r w:rsidRPr="00D2403D">
              <w:rPr>
                <w:rFonts w:ascii="Times New Roman" w:hAnsi="Times New Roman" w:cs="Times New Roman"/>
                <w:b/>
              </w:rPr>
              <w:t xml:space="preserve"> </w:t>
            </w:r>
            <w:r w:rsidR="00DA5FEB" w:rsidRPr="00D2403D">
              <w:rPr>
                <w:rFonts w:ascii="Times New Roman" w:hAnsi="Times New Roman" w:cs="Times New Roman"/>
                <w:b/>
              </w:rPr>
              <w:t>EUR</w:t>
            </w:r>
          </w:p>
          <w:p w14:paraId="57F8125F" w14:textId="77777777" w:rsidR="00370C20" w:rsidRPr="00D2403D" w:rsidRDefault="00370C20" w:rsidP="00B34588">
            <w:pPr>
              <w:jc w:val="both"/>
              <w:rPr>
                <w:rFonts w:ascii="Times New Roman" w:hAnsi="Times New Roman" w:cs="Times New Roman"/>
                <w:u w:val="single"/>
              </w:rPr>
            </w:pPr>
            <w:r w:rsidRPr="00D2403D">
              <w:rPr>
                <w:rFonts w:ascii="Times New Roman" w:hAnsi="Times New Roman" w:cs="Times New Roman"/>
                <w:u w:val="single"/>
              </w:rPr>
              <w:t>I.3. 26.3.saime, IV līmenis, 11.mēnešalgu grupa (2 amata vietas)</w:t>
            </w:r>
          </w:p>
          <w:p w14:paraId="62E5A7B1" w14:textId="6A192EB4" w:rsidR="00370C20" w:rsidRPr="00D2403D" w:rsidRDefault="00370C20" w:rsidP="00B34588">
            <w:pPr>
              <w:jc w:val="both"/>
              <w:rPr>
                <w:rFonts w:ascii="Times New Roman" w:hAnsi="Times New Roman" w:cs="Times New Roman"/>
                <w:b/>
              </w:rPr>
            </w:pPr>
            <w:r w:rsidRPr="00D2403D">
              <w:rPr>
                <w:rFonts w:ascii="Times New Roman" w:hAnsi="Times New Roman" w:cs="Times New Roman"/>
              </w:rPr>
              <w:lastRenderedPageBreak/>
              <w:t xml:space="preserve">1382 eiro x 12 +23,59%= </w:t>
            </w:r>
            <w:r w:rsidRPr="00D2403D">
              <w:rPr>
                <w:rFonts w:ascii="Times New Roman" w:hAnsi="Times New Roman" w:cs="Times New Roman"/>
                <w:b/>
              </w:rPr>
              <w:t>20 496</w:t>
            </w:r>
            <w:r w:rsidRPr="00D2403D">
              <w:rPr>
                <w:rFonts w:ascii="Times New Roman" w:hAnsi="Times New Roman" w:cs="Times New Roman"/>
              </w:rPr>
              <w:t xml:space="preserve">+ </w:t>
            </w:r>
            <w:r w:rsidR="00320A06" w:rsidRPr="00D2403D">
              <w:rPr>
                <w:rFonts w:ascii="Times New Roman" w:hAnsi="Times New Roman" w:cs="Times New Roman"/>
                <w:b/>
              </w:rPr>
              <w:t>1025</w:t>
            </w:r>
            <w:r w:rsidRPr="00D2403D">
              <w:rPr>
                <w:rFonts w:ascii="Times New Roman" w:hAnsi="Times New Roman" w:cs="Times New Roman"/>
              </w:rPr>
              <w:t xml:space="preserve"> </w:t>
            </w:r>
            <w:r w:rsidR="00320A06" w:rsidRPr="00D2403D">
              <w:rPr>
                <w:rFonts w:ascii="Times New Roman" w:hAnsi="Times New Roman" w:cs="Times New Roman"/>
              </w:rPr>
              <w:t xml:space="preserve">(5% sociālās garantijas) </w:t>
            </w:r>
            <w:r w:rsidRPr="00D2403D">
              <w:rPr>
                <w:rFonts w:ascii="Times New Roman" w:hAnsi="Times New Roman" w:cs="Times New Roman"/>
              </w:rPr>
              <w:t xml:space="preserve">+ </w:t>
            </w:r>
            <w:r w:rsidRPr="00D2403D">
              <w:rPr>
                <w:rFonts w:ascii="Times New Roman" w:hAnsi="Times New Roman" w:cs="Times New Roman"/>
                <w:b/>
              </w:rPr>
              <w:t>2050</w:t>
            </w:r>
            <w:r w:rsidRPr="00D2403D">
              <w:rPr>
                <w:rFonts w:ascii="Times New Roman" w:hAnsi="Times New Roman" w:cs="Times New Roman"/>
              </w:rPr>
              <w:t xml:space="preserve"> (10% prēmija+ 23,59%)= </w:t>
            </w:r>
            <w:r w:rsidRPr="00D2403D">
              <w:rPr>
                <w:rFonts w:ascii="Times New Roman" w:hAnsi="Times New Roman" w:cs="Times New Roman"/>
                <w:b/>
              </w:rPr>
              <w:t>23 </w:t>
            </w:r>
            <w:r w:rsidR="00320A06" w:rsidRPr="00D2403D">
              <w:rPr>
                <w:rFonts w:ascii="Times New Roman" w:hAnsi="Times New Roman" w:cs="Times New Roman"/>
                <w:b/>
              </w:rPr>
              <w:t>571</w:t>
            </w:r>
            <w:r w:rsidRPr="00D2403D">
              <w:rPr>
                <w:rFonts w:ascii="Times New Roman" w:hAnsi="Times New Roman" w:cs="Times New Roman"/>
                <w:b/>
              </w:rPr>
              <w:t xml:space="preserve"> </w:t>
            </w:r>
            <w:r w:rsidR="00DA5FEB" w:rsidRPr="00D2403D">
              <w:rPr>
                <w:rFonts w:ascii="Times New Roman" w:hAnsi="Times New Roman" w:cs="Times New Roman"/>
                <w:b/>
              </w:rPr>
              <w:t>EUR</w:t>
            </w:r>
          </w:p>
          <w:p w14:paraId="1F5F21B2" w14:textId="3712BEA1" w:rsidR="00370C20" w:rsidRPr="00D2403D" w:rsidRDefault="00370C20" w:rsidP="00B34588">
            <w:pPr>
              <w:jc w:val="both"/>
              <w:rPr>
                <w:rFonts w:ascii="Times New Roman" w:hAnsi="Times New Roman" w:cs="Times New Roman"/>
                <w:b/>
              </w:rPr>
            </w:pPr>
            <w:r w:rsidRPr="00D2403D">
              <w:rPr>
                <w:rFonts w:ascii="Times New Roman" w:hAnsi="Times New Roman" w:cs="Times New Roman"/>
              </w:rPr>
              <w:t>Uz 2 amata vietām 2 x 23 </w:t>
            </w:r>
            <w:r w:rsidR="00320A06" w:rsidRPr="00D2403D">
              <w:rPr>
                <w:rFonts w:ascii="Times New Roman" w:hAnsi="Times New Roman" w:cs="Times New Roman"/>
              </w:rPr>
              <w:t>571</w:t>
            </w:r>
            <w:r w:rsidRPr="00D2403D">
              <w:rPr>
                <w:rFonts w:ascii="Times New Roman" w:hAnsi="Times New Roman" w:cs="Times New Roman"/>
              </w:rPr>
              <w:t xml:space="preserve"> eiro</w:t>
            </w:r>
            <w:r w:rsidRPr="00D2403D">
              <w:rPr>
                <w:rFonts w:ascii="Times New Roman" w:hAnsi="Times New Roman" w:cs="Times New Roman"/>
                <w:b/>
              </w:rPr>
              <w:t xml:space="preserve">= 47 </w:t>
            </w:r>
            <w:r w:rsidR="00320A06" w:rsidRPr="00D2403D">
              <w:rPr>
                <w:rFonts w:ascii="Times New Roman" w:hAnsi="Times New Roman" w:cs="Times New Roman"/>
                <w:b/>
              </w:rPr>
              <w:t>142</w:t>
            </w:r>
            <w:r w:rsidRPr="00D2403D">
              <w:rPr>
                <w:rFonts w:ascii="Times New Roman" w:hAnsi="Times New Roman" w:cs="Times New Roman"/>
                <w:b/>
              </w:rPr>
              <w:t xml:space="preserve"> </w:t>
            </w:r>
            <w:r w:rsidR="00DA5FEB" w:rsidRPr="00D2403D">
              <w:rPr>
                <w:rFonts w:ascii="Times New Roman" w:hAnsi="Times New Roman" w:cs="Times New Roman"/>
                <w:b/>
              </w:rPr>
              <w:t>EUR</w:t>
            </w:r>
          </w:p>
          <w:p w14:paraId="1F9C6ED3" w14:textId="77777777" w:rsidR="00370C20" w:rsidRPr="00D2403D" w:rsidRDefault="00370C20" w:rsidP="00B34588">
            <w:pPr>
              <w:jc w:val="both"/>
              <w:rPr>
                <w:rFonts w:ascii="Times New Roman" w:hAnsi="Times New Roman" w:cs="Times New Roman"/>
                <w:u w:val="single"/>
              </w:rPr>
            </w:pPr>
            <w:r w:rsidRPr="00D2403D">
              <w:rPr>
                <w:rFonts w:ascii="Times New Roman" w:hAnsi="Times New Roman" w:cs="Times New Roman"/>
                <w:u w:val="single"/>
              </w:rPr>
              <w:t>26.3.saime, III.B līmenis, 10.mēnešalgu grupa (1 amata vietas)</w:t>
            </w:r>
          </w:p>
          <w:p w14:paraId="65372786" w14:textId="0512E393" w:rsidR="00DA5FEB" w:rsidRPr="00D2403D" w:rsidRDefault="00370C20" w:rsidP="00B34588">
            <w:pPr>
              <w:jc w:val="both"/>
              <w:rPr>
                <w:rFonts w:ascii="Times New Roman" w:hAnsi="Times New Roman" w:cs="Times New Roman"/>
                <w:b/>
              </w:rPr>
            </w:pPr>
            <w:r w:rsidRPr="00D2403D">
              <w:rPr>
                <w:rFonts w:ascii="Times New Roman" w:hAnsi="Times New Roman" w:cs="Times New Roman"/>
              </w:rPr>
              <w:t xml:space="preserve">1287 eiro x 12 +23,59%= </w:t>
            </w:r>
            <w:r w:rsidRPr="00D2403D">
              <w:rPr>
                <w:rFonts w:ascii="Times New Roman" w:hAnsi="Times New Roman" w:cs="Times New Roman"/>
                <w:b/>
              </w:rPr>
              <w:t>19 087</w:t>
            </w:r>
            <w:r w:rsidRPr="00D2403D">
              <w:rPr>
                <w:rFonts w:ascii="Times New Roman" w:hAnsi="Times New Roman" w:cs="Times New Roman"/>
              </w:rPr>
              <w:t xml:space="preserve">+ </w:t>
            </w:r>
            <w:r w:rsidR="00320A06" w:rsidRPr="00D2403D">
              <w:rPr>
                <w:rFonts w:ascii="Times New Roman" w:hAnsi="Times New Roman" w:cs="Times New Roman"/>
                <w:b/>
              </w:rPr>
              <w:t>954</w:t>
            </w:r>
            <w:r w:rsidRPr="00D2403D">
              <w:rPr>
                <w:rFonts w:ascii="Times New Roman" w:hAnsi="Times New Roman" w:cs="Times New Roman"/>
              </w:rPr>
              <w:t xml:space="preserve"> </w:t>
            </w:r>
            <w:r w:rsidR="00320A06" w:rsidRPr="00D2403D">
              <w:rPr>
                <w:rFonts w:ascii="Times New Roman" w:hAnsi="Times New Roman" w:cs="Times New Roman"/>
              </w:rPr>
              <w:t xml:space="preserve">(5% sociālās garantijas) </w:t>
            </w:r>
            <w:r w:rsidRPr="00D2403D">
              <w:rPr>
                <w:rFonts w:ascii="Times New Roman" w:hAnsi="Times New Roman" w:cs="Times New Roman"/>
              </w:rPr>
              <w:t xml:space="preserve">+ </w:t>
            </w:r>
            <w:r w:rsidRPr="00D2403D">
              <w:rPr>
                <w:rFonts w:ascii="Times New Roman" w:hAnsi="Times New Roman" w:cs="Times New Roman"/>
                <w:b/>
              </w:rPr>
              <w:t>1909</w:t>
            </w:r>
            <w:r w:rsidRPr="00D2403D">
              <w:rPr>
                <w:rFonts w:ascii="Times New Roman" w:hAnsi="Times New Roman" w:cs="Times New Roman"/>
              </w:rPr>
              <w:t xml:space="preserve"> (10% prēmija+ 23,59%)= </w:t>
            </w:r>
            <w:r w:rsidR="00320A06" w:rsidRPr="00D2403D">
              <w:rPr>
                <w:rFonts w:ascii="Times New Roman" w:hAnsi="Times New Roman" w:cs="Times New Roman"/>
                <w:b/>
              </w:rPr>
              <w:t>21 950</w:t>
            </w:r>
            <w:r w:rsidRPr="00D2403D">
              <w:rPr>
                <w:rFonts w:ascii="Times New Roman" w:hAnsi="Times New Roman" w:cs="Times New Roman"/>
              </w:rPr>
              <w:t xml:space="preserve"> </w:t>
            </w:r>
            <w:r w:rsidR="00DA5FEB" w:rsidRPr="00D2403D">
              <w:rPr>
                <w:rFonts w:ascii="Times New Roman" w:hAnsi="Times New Roman" w:cs="Times New Roman"/>
                <w:b/>
              </w:rPr>
              <w:t>EUR</w:t>
            </w:r>
          </w:p>
          <w:p w14:paraId="7322E055" w14:textId="2BEB96A6" w:rsidR="00370C20" w:rsidRPr="00D2403D" w:rsidRDefault="00370C20" w:rsidP="00B34588">
            <w:pPr>
              <w:jc w:val="both"/>
              <w:rPr>
                <w:rFonts w:ascii="Times New Roman" w:hAnsi="Times New Roman" w:cs="Times New Roman"/>
                <w:b/>
              </w:rPr>
            </w:pPr>
            <w:r w:rsidRPr="00D2403D">
              <w:rPr>
                <w:rFonts w:ascii="Times New Roman" w:hAnsi="Times New Roman" w:cs="Times New Roman"/>
                <w:b/>
              </w:rPr>
              <w:t xml:space="preserve">II. 1. Preču un pakalpojumu apmaksa PTAC darbiniekiem – </w:t>
            </w:r>
            <w:r w:rsidR="004A6F2B" w:rsidRPr="00D2403D">
              <w:rPr>
                <w:rFonts w:ascii="Times New Roman" w:hAnsi="Times New Roman" w:cs="Times New Roman"/>
                <w:b/>
              </w:rPr>
              <w:t>49 860</w:t>
            </w:r>
            <w:r w:rsidRPr="00D2403D">
              <w:rPr>
                <w:rFonts w:ascii="Times New Roman" w:hAnsi="Times New Roman" w:cs="Times New Roman"/>
                <w:b/>
              </w:rPr>
              <w:t xml:space="preserve"> </w:t>
            </w:r>
            <w:r w:rsidR="00DA5FEB" w:rsidRPr="00D2403D">
              <w:rPr>
                <w:rFonts w:ascii="Times New Roman" w:hAnsi="Times New Roman" w:cs="Times New Roman"/>
                <w:b/>
              </w:rPr>
              <w:t>EUR</w:t>
            </w:r>
            <w:r w:rsidRPr="00D2403D">
              <w:rPr>
                <w:rFonts w:ascii="Times New Roman" w:hAnsi="Times New Roman" w:cs="Times New Roman"/>
                <w:b/>
              </w:rPr>
              <w:t xml:space="preserve"> (2018.g.). </w:t>
            </w:r>
            <w:r w:rsidRPr="00D2403D">
              <w:rPr>
                <w:rFonts w:ascii="Times New Roman" w:hAnsi="Times New Roman" w:cs="Times New Roman"/>
              </w:rPr>
              <w:t>2019.gadam un turpmākajiem gadiem</w:t>
            </w:r>
            <w:r w:rsidRPr="00D2403D">
              <w:rPr>
                <w:rFonts w:ascii="Times New Roman" w:hAnsi="Times New Roman" w:cs="Times New Roman"/>
                <w:b/>
              </w:rPr>
              <w:t>- 33</w:t>
            </w:r>
            <w:r w:rsidR="00DA5FEB" w:rsidRPr="00D2403D">
              <w:rPr>
                <w:rFonts w:ascii="Times New Roman" w:hAnsi="Times New Roman" w:cs="Times New Roman"/>
                <w:b/>
              </w:rPr>
              <w:t xml:space="preserve"> </w:t>
            </w:r>
            <w:r w:rsidRPr="00D2403D">
              <w:rPr>
                <w:rFonts w:ascii="Times New Roman" w:hAnsi="Times New Roman" w:cs="Times New Roman"/>
                <w:b/>
              </w:rPr>
              <w:t xml:space="preserve">360 </w:t>
            </w:r>
            <w:r w:rsidR="00DA5FEB" w:rsidRPr="00D2403D">
              <w:rPr>
                <w:rFonts w:ascii="Times New Roman" w:hAnsi="Times New Roman" w:cs="Times New Roman"/>
                <w:b/>
              </w:rPr>
              <w:t>EUR</w:t>
            </w:r>
            <w:r w:rsidRPr="00D2403D">
              <w:rPr>
                <w:rFonts w:ascii="Times New Roman" w:hAnsi="Times New Roman" w:cs="Times New Roman"/>
                <w:b/>
              </w:rPr>
              <w:t>:</w:t>
            </w:r>
          </w:p>
          <w:p w14:paraId="66B15F4E" w14:textId="5F4EAD3A" w:rsidR="00DA5FEB" w:rsidRPr="00D2403D" w:rsidRDefault="00370C20" w:rsidP="00B34588">
            <w:pPr>
              <w:jc w:val="both"/>
              <w:rPr>
                <w:rFonts w:ascii="Times New Roman" w:hAnsi="Times New Roman" w:cs="Times New Roman"/>
              </w:rPr>
            </w:pPr>
            <w:r w:rsidRPr="00D2403D">
              <w:rPr>
                <w:rFonts w:ascii="Times New Roman" w:hAnsi="Times New Roman" w:cs="Times New Roman"/>
              </w:rPr>
              <w:t xml:space="preserve">- telpu noma </w:t>
            </w:r>
            <w:r w:rsidR="00DA5FEB" w:rsidRPr="00D2403D">
              <w:rPr>
                <w:rFonts w:ascii="Times New Roman" w:hAnsi="Times New Roman" w:cs="Times New Roman"/>
              </w:rPr>
              <w:t>2018.g.</w:t>
            </w:r>
            <w:r w:rsidRPr="00D2403D">
              <w:rPr>
                <w:rFonts w:ascii="Times New Roman" w:hAnsi="Times New Roman" w:cs="Times New Roman"/>
              </w:rPr>
              <w:t xml:space="preserve"> </w:t>
            </w:r>
            <w:r w:rsidR="00DA5FEB" w:rsidRPr="00D2403D">
              <w:rPr>
                <w:rFonts w:ascii="Times New Roman" w:hAnsi="Times New Roman" w:cs="Times New Roman"/>
              </w:rPr>
              <w:t xml:space="preserve">(60 m² x 10 EUR) x 7 mēn. = 4 200 EUR </w:t>
            </w:r>
          </w:p>
          <w:p w14:paraId="1C051D29" w14:textId="47B547EB" w:rsidR="00370C20" w:rsidRPr="00D2403D" w:rsidRDefault="00DA5FEB" w:rsidP="00B34588">
            <w:pPr>
              <w:jc w:val="both"/>
              <w:rPr>
                <w:rFonts w:ascii="Times New Roman" w:hAnsi="Times New Roman" w:cs="Times New Roman"/>
              </w:rPr>
            </w:pPr>
            <w:r w:rsidRPr="00D2403D">
              <w:rPr>
                <w:rFonts w:ascii="Times New Roman" w:hAnsi="Times New Roman" w:cs="Times New Roman"/>
              </w:rPr>
              <w:t xml:space="preserve">- telpu noma 2019.g.un turpmākajiem gadiem </w:t>
            </w:r>
            <w:r w:rsidR="00370C20" w:rsidRPr="00D2403D">
              <w:rPr>
                <w:rFonts w:ascii="Times New Roman" w:hAnsi="Times New Roman" w:cs="Times New Roman"/>
              </w:rPr>
              <w:t xml:space="preserve">(60 m² x 10 </w:t>
            </w:r>
            <w:r w:rsidRPr="00D2403D">
              <w:rPr>
                <w:rFonts w:ascii="Times New Roman" w:hAnsi="Times New Roman" w:cs="Times New Roman"/>
              </w:rPr>
              <w:t>EUR</w:t>
            </w:r>
            <w:r w:rsidR="00370C20" w:rsidRPr="00D2403D">
              <w:rPr>
                <w:rFonts w:ascii="Times New Roman" w:hAnsi="Times New Roman" w:cs="Times New Roman"/>
              </w:rPr>
              <w:t xml:space="preserve">) x 12 mēn. = 7 200 </w:t>
            </w:r>
            <w:r w:rsidRPr="00D2403D">
              <w:rPr>
                <w:rFonts w:ascii="Times New Roman" w:hAnsi="Times New Roman" w:cs="Times New Roman"/>
              </w:rPr>
              <w:t>EUR</w:t>
            </w:r>
            <w:r w:rsidR="00370C20" w:rsidRPr="00D2403D">
              <w:rPr>
                <w:rFonts w:ascii="Times New Roman" w:hAnsi="Times New Roman" w:cs="Times New Roman"/>
              </w:rPr>
              <w:t xml:space="preserve">; </w:t>
            </w:r>
          </w:p>
          <w:p w14:paraId="0B3C602D" w14:textId="6E5204D1" w:rsidR="00370C20" w:rsidRPr="00D2403D" w:rsidRDefault="00370C20" w:rsidP="00B34588">
            <w:pPr>
              <w:jc w:val="both"/>
              <w:rPr>
                <w:rFonts w:ascii="Times New Roman" w:hAnsi="Times New Roman" w:cs="Times New Roman"/>
              </w:rPr>
            </w:pPr>
            <w:r w:rsidRPr="00D2403D">
              <w:rPr>
                <w:rFonts w:ascii="Times New Roman" w:hAnsi="Times New Roman" w:cs="Times New Roman"/>
              </w:rPr>
              <w:t xml:space="preserve">- telekomunikāciju pakalpojumi, internets, u.c. </w:t>
            </w:r>
            <w:r w:rsidR="00DA5FEB" w:rsidRPr="00D2403D">
              <w:rPr>
                <w:rFonts w:ascii="Times New Roman" w:hAnsi="Times New Roman" w:cs="Times New Roman"/>
              </w:rPr>
              <w:t xml:space="preserve">2018.g. </w:t>
            </w:r>
            <w:r w:rsidRPr="00D2403D">
              <w:rPr>
                <w:rFonts w:ascii="Times New Roman" w:hAnsi="Times New Roman" w:cs="Times New Roman"/>
              </w:rPr>
              <w:t xml:space="preserve">(25 eiro x </w:t>
            </w:r>
            <w:r w:rsidR="00DA5FEB" w:rsidRPr="00D2403D">
              <w:rPr>
                <w:rFonts w:ascii="Times New Roman" w:hAnsi="Times New Roman" w:cs="Times New Roman"/>
              </w:rPr>
              <w:t>7</w:t>
            </w:r>
            <w:r w:rsidRPr="00D2403D">
              <w:rPr>
                <w:rFonts w:ascii="Times New Roman" w:hAnsi="Times New Roman" w:cs="Times New Roman"/>
              </w:rPr>
              <w:t xml:space="preserve"> mēn.) x 4 cilv. = </w:t>
            </w:r>
            <w:r w:rsidR="00DA5FEB" w:rsidRPr="00D2403D">
              <w:rPr>
                <w:rFonts w:ascii="Times New Roman" w:hAnsi="Times New Roman" w:cs="Times New Roman"/>
              </w:rPr>
              <w:t>700</w:t>
            </w:r>
            <w:r w:rsidRPr="00D2403D">
              <w:rPr>
                <w:rFonts w:ascii="Times New Roman" w:hAnsi="Times New Roman" w:cs="Times New Roman"/>
              </w:rPr>
              <w:t xml:space="preserve"> </w:t>
            </w:r>
            <w:r w:rsidR="00DA5FEB" w:rsidRPr="00D2403D">
              <w:rPr>
                <w:rFonts w:ascii="Times New Roman" w:hAnsi="Times New Roman" w:cs="Times New Roman"/>
              </w:rPr>
              <w:t>EUR</w:t>
            </w:r>
            <w:r w:rsidRPr="00D2403D">
              <w:rPr>
                <w:rFonts w:ascii="Times New Roman" w:hAnsi="Times New Roman" w:cs="Times New Roman"/>
              </w:rPr>
              <w:t>;</w:t>
            </w:r>
          </w:p>
          <w:p w14:paraId="15B77E53" w14:textId="3C47A50D" w:rsidR="00DA5FEB" w:rsidRPr="00D2403D" w:rsidRDefault="00DA5FEB" w:rsidP="00B34588">
            <w:pPr>
              <w:jc w:val="both"/>
              <w:rPr>
                <w:rFonts w:ascii="Times New Roman" w:hAnsi="Times New Roman" w:cs="Times New Roman"/>
              </w:rPr>
            </w:pPr>
            <w:r w:rsidRPr="00D2403D">
              <w:rPr>
                <w:rFonts w:ascii="Times New Roman" w:hAnsi="Times New Roman" w:cs="Times New Roman"/>
              </w:rPr>
              <w:t xml:space="preserve">- telekomunikāciju pakalpojumi, internets, u.c. </w:t>
            </w:r>
            <w:r w:rsidR="004A6F2B" w:rsidRPr="00D2403D">
              <w:rPr>
                <w:rFonts w:ascii="Times New Roman" w:hAnsi="Times New Roman" w:cs="Times New Roman"/>
              </w:rPr>
              <w:t xml:space="preserve">2019.g. un turpmākajiem gadiem </w:t>
            </w:r>
            <w:r w:rsidRPr="00D2403D">
              <w:rPr>
                <w:rFonts w:ascii="Times New Roman" w:hAnsi="Times New Roman" w:cs="Times New Roman"/>
              </w:rPr>
              <w:t>(25 eiro x 12 mēn.) x 4 cilv. = 1 200 EUR;</w:t>
            </w:r>
          </w:p>
          <w:p w14:paraId="26424D41" w14:textId="72A0A6EB" w:rsidR="00370C20" w:rsidRPr="00D2403D" w:rsidRDefault="00370C20" w:rsidP="00B34588">
            <w:pPr>
              <w:jc w:val="both"/>
              <w:rPr>
                <w:rFonts w:ascii="Times New Roman" w:hAnsi="Times New Roman" w:cs="Times New Roman"/>
              </w:rPr>
            </w:pPr>
            <w:r w:rsidRPr="00D2403D">
              <w:rPr>
                <w:rFonts w:ascii="Times New Roman" w:hAnsi="Times New Roman" w:cs="Times New Roman"/>
              </w:rPr>
              <w:t xml:space="preserve">- pasta pakalpojumi 50 </w:t>
            </w:r>
            <w:r w:rsidR="00DA5FEB" w:rsidRPr="00D2403D">
              <w:rPr>
                <w:rFonts w:ascii="Times New Roman" w:hAnsi="Times New Roman" w:cs="Times New Roman"/>
              </w:rPr>
              <w:t>EUR</w:t>
            </w:r>
            <w:r w:rsidRPr="00D2403D">
              <w:rPr>
                <w:rFonts w:ascii="Times New Roman" w:hAnsi="Times New Roman" w:cs="Times New Roman"/>
              </w:rPr>
              <w:t xml:space="preserve"> x 4 cilv. = 200 </w:t>
            </w:r>
            <w:r w:rsidR="00DA5FEB" w:rsidRPr="00D2403D">
              <w:rPr>
                <w:rFonts w:ascii="Times New Roman" w:hAnsi="Times New Roman" w:cs="Times New Roman"/>
              </w:rPr>
              <w:t>EUR</w:t>
            </w:r>
            <w:r w:rsidRPr="00D2403D">
              <w:rPr>
                <w:rFonts w:ascii="Times New Roman" w:hAnsi="Times New Roman" w:cs="Times New Roman"/>
              </w:rPr>
              <w:t>;</w:t>
            </w:r>
          </w:p>
          <w:p w14:paraId="589A8536" w14:textId="57CD2F5D" w:rsidR="00370C20" w:rsidRPr="00D2403D" w:rsidRDefault="00370C20" w:rsidP="00B34588">
            <w:pPr>
              <w:jc w:val="both"/>
              <w:rPr>
                <w:rFonts w:ascii="Times New Roman" w:hAnsi="Times New Roman" w:cs="Times New Roman"/>
              </w:rPr>
            </w:pPr>
            <w:r w:rsidRPr="00D2403D">
              <w:rPr>
                <w:rFonts w:ascii="Times New Roman" w:hAnsi="Times New Roman" w:cs="Times New Roman"/>
              </w:rPr>
              <w:t xml:space="preserve">- darbinieku apmācība 550 </w:t>
            </w:r>
            <w:r w:rsidR="00DA5FEB" w:rsidRPr="00D2403D">
              <w:rPr>
                <w:rFonts w:ascii="Times New Roman" w:hAnsi="Times New Roman" w:cs="Times New Roman"/>
              </w:rPr>
              <w:t>EUR</w:t>
            </w:r>
            <w:r w:rsidRPr="00D2403D">
              <w:rPr>
                <w:rFonts w:ascii="Times New Roman" w:hAnsi="Times New Roman" w:cs="Times New Roman"/>
              </w:rPr>
              <w:t xml:space="preserve"> x 4 cilv. = 2 200 </w:t>
            </w:r>
            <w:r w:rsidR="00DA5FEB" w:rsidRPr="00D2403D">
              <w:rPr>
                <w:rFonts w:ascii="Times New Roman" w:hAnsi="Times New Roman" w:cs="Times New Roman"/>
              </w:rPr>
              <w:t>EUR</w:t>
            </w:r>
            <w:r w:rsidRPr="00D2403D">
              <w:rPr>
                <w:rFonts w:ascii="Times New Roman" w:hAnsi="Times New Roman" w:cs="Times New Roman"/>
              </w:rPr>
              <w:t>;</w:t>
            </w:r>
          </w:p>
          <w:p w14:paraId="3AF55736" w14:textId="08DDA928" w:rsidR="00370C20" w:rsidRPr="00D2403D" w:rsidRDefault="00370C20" w:rsidP="00B34588">
            <w:pPr>
              <w:jc w:val="both"/>
              <w:rPr>
                <w:rFonts w:ascii="Times New Roman" w:hAnsi="Times New Roman" w:cs="Times New Roman"/>
              </w:rPr>
            </w:pPr>
            <w:r w:rsidRPr="00D2403D">
              <w:rPr>
                <w:rFonts w:ascii="Times New Roman" w:hAnsi="Times New Roman" w:cs="Times New Roman"/>
              </w:rPr>
              <w:t xml:space="preserve">- komandējumi un darba braucieni= </w:t>
            </w:r>
            <w:r w:rsidRPr="00D2403D">
              <w:rPr>
                <w:rFonts w:ascii="Times New Roman" w:hAnsi="Times New Roman" w:cs="Times New Roman"/>
                <w:b/>
              </w:rPr>
              <w:t xml:space="preserve">2 560 </w:t>
            </w:r>
            <w:r w:rsidR="00DA5FEB" w:rsidRPr="00D2403D">
              <w:rPr>
                <w:rFonts w:ascii="Times New Roman" w:hAnsi="Times New Roman" w:cs="Times New Roman"/>
                <w:b/>
              </w:rPr>
              <w:t>EUR</w:t>
            </w:r>
            <w:r w:rsidRPr="00D2403D">
              <w:rPr>
                <w:rFonts w:ascii="Times New Roman" w:hAnsi="Times New Roman" w:cs="Times New Roman"/>
              </w:rPr>
              <w:t>, tai skaitā:</w:t>
            </w:r>
          </w:p>
          <w:p w14:paraId="711F905A" w14:textId="5D37466E" w:rsidR="00370C20" w:rsidRPr="00D2403D" w:rsidRDefault="00370C20" w:rsidP="00B34588">
            <w:pPr>
              <w:jc w:val="both"/>
              <w:rPr>
                <w:rFonts w:ascii="Times New Roman" w:hAnsi="Times New Roman" w:cs="Times New Roman"/>
              </w:rPr>
            </w:pPr>
            <w:r w:rsidRPr="00D2403D">
              <w:rPr>
                <w:rFonts w:ascii="Times New Roman" w:hAnsi="Times New Roman" w:cs="Times New Roman"/>
              </w:rPr>
              <w:t xml:space="preserve">- </w:t>
            </w:r>
            <w:r w:rsidRPr="00D2403D">
              <w:rPr>
                <w:rFonts w:ascii="Times New Roman" w:hAnsi="Times New Roman" w:cs="Times New Roman"/>
                <w:u w:val="single"/>
              </w:rPr>
              <w:t>Latvija</w:t>
            </w:r>
            <w:r w:rsidRPr="00D2403D">
              <w:rPr>
                <w:rFonts w:ascii="Times New Roman" w:hAnsi="Times New Roman" w:cs="Times New Roman"/>
              </w:rPr>
              <w:t xml:space="preserve"> 4 reizes gadā x 140 </w:t>
            </w:r>
            <w:r w:rsidR="00DA5FEB" w:rsidRPr="00D2403D">
              <w:rPr>
                <w:rFonts w:ascii="Times New Roman" w:hAnsi="Times New Roman" w:cs="Times New Roman"/>
              </w:rPr>
              <w:t>EUR</w:t>
            </w:r>
            <w:r w:rsidRPr="00D2403D">
              <w:rPr>
                <w:rFonts w:ascii="Times New Roman" w:hAnsi="Times New Roman" w:cs="Times New Roman"/>
              </w:rPr>
              <w:t xml:space="preserve"> = 140 </w:t>
            </w:r>
            <w:r w:rsidR="00DA5FEB" w:rsidRPr="00D2403D">
              <w:rPr>
                <w:rFonts w:ascii="Times New Roman" w:hAnsi="Times New Roman" w:cs="Times New Roman"/>
              </w:rPr>
              <w:t>EUR</w:t>
            </w:r>
            <w:r w:rsidRPr="00D2403D">
              <w:rPr>
                <w:rFonts w:ascii="Times New Roman" w:hAnsi="Times New Roman" w:cs="Times New Roman"/>
              </w:rPr>
              <w:t xml:space="preserve"> x 4 cilv. = 560 </w:t>
            </w:r>
            <w:r w:rsidR="00DA5FEB" w:rsidRPr="00D2403D">
              <w:rPr>
                <w:rFonts w:ascii="Times New Roman" w:hAnsi="Times New Roman" w:cs="Times New Roman"/>
              </w:rPr>
              <w:t>EUR</w:t>
            </w:r>
            <w:r w:rsidRPr="00D2403D">
              <w:rPr>
                <w:rFonts w:ascii="Times New Roman" w:hAnsi="Times New Roman" w:cs="Times New Roman"/>
              </w:rPr>
              <w:t>;</w:t>
            </w:r>
          </w:p>
          <w:p w14:paraId="62F1AF73" w14:textId="42B684C8" w:rsidR="00370C20" w:rsidRPr="00D2403D" w:rsidRDefault="00370C20" w:rsidP="00B34588">
            <w:pPr>
              <w:jc w:val="both"/>
              <w:rPr>
                <w:rFonts w:ascii="Times New Roman" w:hAnsi="Times New Roman" w:cs="Times New Roman"/>
              </w:rPr>
            </w:pPr>
            <w:r w:rsidRPr="00D2403D">
              <w:rPr>
                <w:rFonts w:ascii="Times New Roman" w:hAnsi="Times New Roman" w:cs="Times New Roman"/>
              </w:rPr>
              <w:t xml:space="preserve">- </w:t>
            </w:r>
            <w:r w:rsidRPr="00D2403D">
              <w:rPr>
                <w:rFonts w:ascii="Times New Roman" w:hAnsi="Times New Roman" w:cs="Times New Roman"/>
                <w:u w:val="single"/>
              </w:rPr>
              <w:t>Ārvalstis</w:t>
            </w:r>
            <w:r w:rsidRPr="00D2403D">
              <w:rPr>
                <w:rFonts w:ascii="Times New Roman" w:hAnsi="Times New Roman" w:cs="Times New Roman"/>
              </w:rPr>
              <w:t xml:space="preserve"> 2 reizes gadā 2 cilv. (apmācības, semināri kvalifikācijas celšanai, lietu virzība, pieredzes apmaiņa): 1000 </w:t>
            </w:r>
            <w:r w:rsidR="00DA5FEB" w:rsidRPr="00D2403D">
              <w:rPr>
                <w:rFonts w:ascii="Times New Roman" w:hAnsi="Times New Roman" w:cs="Times New Roman"/>
              </w:rPr>
              <w:t>EUR</w:t>
            </w:r>
            <w:r w:rsidRPr="00D2403D">
              <w:rPr>
                <w:rFonts w:ascii="Times New Roman" w:hAnsi="Times New Roman" w:cs="Times New Roman"/>
              </w:rPr>
              <w:t xml:space="preserve"> (dienas nauda - 3 dienas x 60 </w:t>
            </w:r>
            <w:r w:rsidR="00DA5FEB" w:rsidRPr="00D2403D">
              <w:rPr>
                <w:rFonts w:ascii="Times New Roman" w:hAnsi="Times New Roman" w:cs="Times New Roman"/>
              </w:rPr>
              <w:t>EUR</w:t>
            </w:r>
            <w:r w:rsidRPr="00D2403D">
              <w:rPr>
                <w:rFonts w:ascii="Times New Roman" w:hAnsi="Times New Roman" w:cs="Times New Roman"/>
              </w:rPr>
              <w:t xml:space="preserve"> = 180 </w:t>
            </w:r>
            <w:r w:rsidR="00DA5FEB" w:rsidRPr="00D2403D">
              <w:rPr>
                <w:rFonts w:ascii="Times New Roman" w:hAnsi="Times New Roman" w:cs="Times New Roman"/>
              </w:rPr>
              <w:t>EUR</w:t>
            </w:r>
            <w:r w:rsidRPr="00D2403D">
              <w:rPr>
                <w:rFonts w:ascii="Times New Roman" w:hAnsi="Times New Roman" w:cs="Times New Roman"/>
              </w:rPr>
              <w:t xml:space="preserve">; viesnīca - 2 naktis x160 </w:t>
            </w:r>
            <w:r w:rsidR="00DA5FEB" w:rsidRPr="00D2403D">
              <w:rPr>
                <w:rFonts w:ascii="Times New Roman" w:hAnsi="Times New Roman" w:cs="Times New Roman"/>
              </w:rPr>
              <w:t>EUR</w:t>
            </w:r>
            <w:r w:rsidRPr="00D2403D">
              <w:rPr>
                <w:rFonts w:ascii="Times New Roman" w:hAnsi="Times New Roman" w:cs="Times New Roman"/>
              </w:rPr>
              <w:t xml:space="preserve">= 320 </w:t>
            </w:r>
            <w:r w:rsidR="00DA5FEB" w:rsidRPr="00D2403D">
              <w:rPr>
                <w:rFonts w:ascii="Times New Roman" w:hAnsi="Times New Roman" w:cs="Times New Roman"/>
              </w:rPr>
              <w:t>EUR</w:t>
            </w:r>
            <w:r w:rsidRPr="00D2403D">
              <w:rPr>
                <w:rFonts w:ascii="Times New Roman" w:hAnsi="Times New Roman" w:cs="Times New Roman"/>
              </w:rPr>
              <w:t xml:space="preserve">; transports - 500 </w:t>
            </w:r>
            <w:r w:rsidR="00DA5FEB" w:rsidRPr="00D2403D">
              <w:rPr>
                <w:rFonts w:ascii="Times New Roman" w:hAnsi="Times New Roman" w:cs="Times New Roman"/>
              </w:rPr>
              <w:t>EUR</w:t>
            </w:r>
            <w:r w:rsidRPr="00D2403D">
              <w:rPr>
                <w:rFonts w:ascii="Times New Roman" w:hAnsi="Times New Roman" w:cs="Times New Roman"/>
              </w:rPr>
              <w:t xml:space="preserve">) x 2 cilv.= 2000 </w:t>
            </w:r>
            <w:r w:rsidR="00DA5FEB" w:rsidRPr="00D2403D">
              <w:rPr>
                <w:rFonts w:ascii="Times New Roman" w:hAnsi="Times New Roman" w:cs="Times New Roman"/>
              </w:rPr>
              <w:t>EUR</w:t>
            </w:r>
          </w:p>
          <w:p w14:paraId="6CE4B833" w14:textId="5D0F9A3E" w:rsidR="00370C20" w:rsidRPr="00D2403D" w:rsidRDefault="00370C20" w:rsidP="00B34588">
            <w:pPr>
              <w:jc w:val="both"/>
              <w:rPr>
                <w:rFonts w:ascii="Times New Roman" w:hAnsi="Times New Roman" w:cs="Times New Roman"/>
              </w:rPr>
            </w:pPr>
            <w:r w:rsidRPr="00D2403D">
              <w:rPr>
                <w:rFonts w:ascii="Times New Roman" w:hAnsi="Times New Roman" w:cs="Times New Roman"/>
              </w:rPr>
              <w:t xml:space="preserve">- Informācijas sistēmas izstrāde/ datu bāzes pilnveidošana – 40 000 </w:t>
            </w:r>
            <w:r w:rsidR="00DA5FEB" w:rsidRPr="00D2403D">
              <w:rPr>
                <w:rFonts w:ascii="Times New Roman" w:hAnsi="Times New Roman" w:cs="Times New Roman"/>
              </w:rPr>
              <w:t>EUR</w:t>
            </w:r>
            <w:r w:rsidRPr="00D2403D">
              <w:rPr>
                <w:rFonts w:ascii="Times New Roman" w:hAnsi="Times New Roman" w:cs="Times New Roman"/>
              </w:rPr>
              <w:t xml:space="preserve">; </w:t>
            </w:r>
            <w:r w:rsidRPr="00D2403D">
              <w:rPr>
                <w:rFonts w:ascii="Times New Roman" w:hAnsi="Times New Roman" w:cs="Times New Roman"/>
                <w:b/>
              </w:rPr>
              <w:t xml:space="preserve">2019.gadā un turpmākajos gados -20 000 </w:t>
            </w:r>
            <w:r w:rsidR="00DA5FEB" w:rsidRPr="00D2403D">
              <w:rPr>
                <w:rFonts w:ascii="Times New Roman" w:hAnsi="Times New Roman" w:cs="Times New Roman"/>
                <w:b/>
              </w:rPr>
              <w:t>EUR</w:t>
            </w:r>
            <w:r w:rsidRPr="00D2403D">
              <w:rPr>
                <w:rFonts w:ascii="Times New Roman" w:hAnsi="Times New Roman" w:cs="Times New Roman"/>
              </w:rPr>
              <w:t xml:space="preserve"> IT sistēmas uzturēšanas licenču gada maksas un uzturēšanas izdevumu, atjauninājumu uzstādīšanas gada izmaksas.</w:t>
            </w:r>
          </w:p>
          <w:p w14:paraId="1D7B6C2C" w14:textId="2E68F877" w:rsidR="00370C20" w:rsidRPr="00D2403D" w:rsidRDefault="00370C20" w:rsidP="00B34588">
            <w:pPr>
              <w:jc w:val="both"/>
              <w:rPr>
                <w:rFonts w:ascii="Times New Roman" w:hAnsi="Times New Roman" w:cs="Times New Roman"/>
                <w:b/>
              </w:rPr>
            </w:pPr>
            <w:r w:rsidRPr="00D2403D">
              <w:rPr>
                <w:rFonts w:ascii="Times New Roman" w:hAnsi="Times New Roman" w:cs="Times New Roman"/>
                <w:b/>
              </w:rPr>
              <w:t xml:space="preserve">II.2. Materiālais nodrošinājums PTAC darbiniekiem – 1 </w:t>
            </w:r>
            <w:r w:rsidR="004A6F2B" w:rsidRPr="00D2403D">
              <w:rPr>
                <w:rFonts w:ascii="Times New Roman" w:hAnsi="Times New Roman" w:cs="Times New Roman"/>
                <w:b/>
              </w:rPr>
              <w:t>380</w:t>
            </w:r>
            <w:r w:rsidRPr="00D2403D">
              <w:rPr>
                <w:rFonts w:ascii="Times New Roman" w:hAnsi="Times New Roman" w:cs="Times New Roman"/>
                <w:b/>
              </w:rPr>
              <w:t xml:space="preserve"> </w:t>
            </w:r>
            <w:r w:rsidR="00DA5FEB" w:rsidRPr="00D2403D">
              <w:rPr>
                <w:rFonts w:ascii="Times New Roman" w:hAnsi="Times New Roman" w:cs="Times New Roman"/>
                <w:b/>
              </w:rPr>
              <w:t>EUR</w:t>
            </w:r>
            <w:r w:rsidRPr="00D2403D">
              <w:rPr>
                <w:rFonts w:ascii="Times New Roman" w:hAnsi="Times New Roman" w:cs="Times New Roman"/>
                <w:b/>
              </w:rPr>
              <w:t xml:space="preserve"> (2018.g.). </w:t>
            </w:r>
            <w:r w:rsidRPr="00D2403D">
              <w:rPr>
                <w:rFonts w:ascii="Times New Roman" w:hAnsi="Times New Roman" w:cs="Times New Roman"/>
              </w:rPr>
              <w:t>2019.gadam un turpmākajiem gadiem</w:t>
            </w:r>
            <w:r w:rsidRPr="00D2403D">
              <w:rPr>
                <w:rFonts w:ascii="Times New Roman" w:hAnsi="Times New Roman" w:cs="Times New Roman"/>
                <w:b/>
              </w:rPr>
              <w:t xml:space="preserve">- 928 </w:t>
            </w:r>
            <w:r w:rsidR="00DA5FEB" w:rsidRPr="00D2403D">
              <w:rPr>
                <w:rFonts w:ascii="Times New Roman" w:hAnsi="Times New Roman" w:cs="Times New Roman"/>
                <w:b/>
              </w:rPr>
              <w:t>EUR</w:t>
            </w:r>
            <w:r w:rsidRPr="00D2403D">
              <w:rPr>
                <w:rFonts w:ascii="Times New Roman" w:hAnsi="Times New Roman" w:cs="Times New Roman"/>
                <w:b/>
              </w:rPr>
              <w:t>.</w:t>
            </w:r>
          </w:p>
          <w:p w14:paraId="22F1A057" w14:textId="32937B31" w:rsidR="00370C20" w:rsidRPr="00D2403D" w:rsidRDefault="00370C20" w:rsidP="00B34588">
            <w:pPr>
              <w:jc w:val="both"/>
              <w:rPr>
                <w:rFonts w:ascii="Times New Roman" w:hAnsi="Times New Roman" w:cs="Times New Roman"/>
              </w:rPr>
            </w:pPr>
            <w:r w:rsidRPr="00D2403D">
              <w:rPr>
                <w:rFonts w:ascii="Times New Roman" w:hAnsi="Times New Roman" w:cs="Times New Roman"/>
              </w:rPr>
              <w:t xml:space="preserve">- biroja tehnikas uzturēšana – kopētāju kasetes, lāzerprinteru kasetes u.c. uz 1 darbinieku – 100 </w:t>
            </w:r>
            <w:r w:rsidR="00DA5FEB" w:rsidRPr="00D2403D">
              <w:rPr>
                <w:rFonts w:ascii="Times New Roman" w:hAnsi="Times New Roman" w:cs="Times New Roman"/>
              </w:rPr>
              <w:t>EUR</w:t>
            </w:r>
            <w:r w:rsidRPr="00D2403D">
              <w:rPr>
                <w:rFonts w:ascii="Times New Roman" w:hAnsi="Times New Roman" w:cs="Times New Roman"/>
              </w:rPr>
              <w:t xml:space="preserve">, 100 x 4 = 400 </w:t>
            </w:r>
            <w:r w:rsidR="00DA5FEB" w:rsidRPr="00D2403D">
              <w:rPr>
                <w:rFonts w:ascii="Times New Roman" w:hAnsi="Times New Roman" w:cs="Times New Roman"/>
              </w:rPr>
              <w:t>EUR</w:t>
            </w:r>
          </w:p>
          <w:p w14:paraId="2AA0E09B" w14:textId="3DF27301" w:rsidR="00370C20" w:rsidRPr="00D2403D" w:rsidRDefault="00370C20" w:rsidP="00B34588">
            <w:pPr>
              <w:rPr>
                <w:rFonts w:ascii="Times New Roman" w:hAnsi="Times New Roman" w:cs="Times New Roman"/>
              </w:rPr>
            </w:pPr>
            <w:r w:rsidRPr="00D2403D">
              <w:rPr>
                <w:rFonts w:ascii="Times New Roman" w:hAnsi="Times New Roman" w:cs="Times New Roman"/>
              </w:rPr>
              <w:t xml:space="preserve">- kancelejas piederumi </w:t>
            </w:r>
            <w:r w:rsidR="004A6F2B" w:rsidRPr="00D2403D">
              <w:rPr>
                <w:rFonts w:ascii="Times New Roman" w:hAnsi="Times New Roman" w:cs="Times New Roman"/>
              </w:rPr>
              <w:t xml:space="preserve">2018.g. </w:t>
            </w:r>
            <w:r w:rsidRPr="00D2403D">
              <w:rPr>
                <w:rFonts w:ascii="Times New Roman" w:hAnsi="Times New Roman" w:cs="Times New Roman"/>
              </w:rPr>
              <w:t xml:space="preserve">– (11,00 </w:t>
            </w:r>
            <w:r w:rsidR="00DA5FEB" w:rsidRPr="00D2403D">
              <w:rPr>
                <w:rFonts w:ascii="Times New Roman" w:hAnsi="Times New Roman" w:cs="Times New Roman"/>
              </w:rPr>
              <w:t>EUR</w:t>
            </w:r>
            <w:r w:rsidRPr="00D2403D">
              <w:rPr>
                <w:rFonts w:ascii="Times New Roman" w:hAnsi="Times New Roman" w:cs="Times New Roman"/>
              </w:rPr>
              <w:t xml:space="preserve"> x </w:t>
            </w:r>
            <w:r w:rsidR="004A6F2B" w:rsidRPr="00D2403D">
              <w:rPr>
                <w:rFonts w:ascii="Times New Roman" w:hAnsi="Times New Roman" w:cs="Times New Roman"/>
              </w:rPr>
              <w:t>7</w:t>
            </w:r>
            <w:r w:rsidRPr="00D2403D">
              <w:rPr>
                <w:rFonts w:ascii="Times New Roman" w:hAnsi="Times New Roman" w:cs="Times New Roman"/>
              </w:rPr>
              <w:t xml:space="preserve"> mēn.) x 4 cilv. = </w:t>
            </w:r>
            <w:r w:rsidR="004A6F2B" w:rsidRPr="00D2403D">
              <w:rPr>
                <w:rFonts w:ascii="Times New Roman" w:hAnsi="Times New Roman" w:cs="Times New Roman"/>
              </w:rPr>
              <w:t>308</w:t>
            </w:r>
            <w:r w:rsidRPr="00D2403D">
              <w:rPr>
                <w:rFonts w:ascii="Times New Roman" w:hAnsi="Times New Roman" w:cs="Times New Roman"/>
              </w:rPr>
              <w:t xml:space="preserve"> </w:t>
            </w:r>
            <w:r w:rsidR="00DA5FEB" w:rsidRPr="00D2403D">
              <w:rPr>
                <w:rFonts w:ascii="Times New Roman" w:hAnsi="Times New Roman" w:cs="Times New Roman"/>
              </w:rPr>
              <w:t>EUR</w:t>
            </w:r>
            <w:r w:rsidRPr="00D2403D">
              <w:rPr>
                <w:rFonts w:ascii="Times New Roman" w:hAnsi="Times New Roman" w:cs="Times New Roman"/>
              </w:rPr>
              <w:t xml:space="preserve">; </w:t>
            </w:r>
          </w:p>
          <w:p w14:paraId="6EF93A9C" w14:textId="6A2DD2AF" w:rsidR="004A6F2B" w:rsidRPr="00D2403D" w:rsidRDefault="004A6F2B" w:rsidP="00B34588">
            <w:pPr>
              <w:rPr>
                <w:rFonts w:ascii="Times New Roman" w:hAnsi="Times New Roman" w:cs="Times New Roman"/>
              </w:rPr>
            </w:pPr>
            <w:r w:rsidRPr="00D2403D">
              <w:rPr>
                <w:rFonts w:ascii="Times New Roman" w:hAnsi="Times New Roman" w:cs="Times New Roman"/>
              </w:rPr>
              <w:t xml:space="preserve">- kancelejas piederumi 2019.g.un turpmākajiem gadiem – (11,00 EUR x 12 mēn.) x 4 cilv. = 528 EUR; </w:t>
            </w:r>
          </w:p>
          <w:p w14:paraId="78D55A38" w14:textId="5C8E3718" w:rsidR="00370C20" w:rsidRPr="00D2403D" w:rsidRDefault="00370C20" w:rsidP="00B34588">
            <w:pPr>
              <w:rPr>
                <w:rFonts w:ascii="Times New Roman" w:hAnsi="Times New Roman" w:cs="Times New Roman"/>
              </w:rPr>
            </w:pPr>
            <w:r w:rsidRPr="00D2403D">
              <w:rPr>
                <w:rFonts w:ascii="Times New Roman" w:hAnsi="Times New Roman" w:cs="Times New Roman"/>
              </w:rPr>
              <w:t>- 4 darba krēsli 4 x14</w:t>
            </w:r>
            <w:r w:rsidR="0074301E">
              <w:rPr>
                <w:rFonts w:ascii="Times New Roman" w:hAnsi="Times New Roman" w:cs="Times New Roman"/>
              </w:rPr>
              <w:t>5</w:t>
            </w:r>
            <w:r w:rsidRPr="00D2403D">
              <w:rPr>
                <w:rFonts w:ascii="Times New Roman" w:hAnsi="Times New Roman" w:cs="Times New Roman"/>
              </w:rPr>
              <w:t xml:space="preserve"> </w:t>
            </w:r>
            <w:r w:rsidR="00DA5FEB" w:rsidRPr="00D2403D">
              <w:rPr>
                <w:rFonts w:ascii="Times New Roman" w:hAnsi="Times New Roman" w:cs="Times New Roman"/>
              </w:rPr>
              <w:t>EUR</w:t>
            </w:r>
            <w:r w:rsidRPr="00D2403D">
              <w:rPr>
                <w:rFonts w:ascii="Times New Roman" w:hAnsi="Times New Roman" w:cs="Times New Roman"/>
              </w:rPr>
              <w:t xml:space="preserve"> = 5</w:t>
            </w:r>
            <w:r w:rsidR="0074301E">
              <w:rPr>
                <w:rFonts w:ascii="Times New Roman" w:hAnsi="Times New Roman" w:cs="Times New Roman"/>
              </w:rPr>
              <w:t>8</w:t>
            </w:r>
            <w:r w:rsidRPr="00D2403D">
              <w:rPr>
                <w:rFonts w:ascii="Times New Roman" w:hAnsi="Times New Roman" w:cs="Times New Roman"/>
              </w:rPr>
              <w:t xml:space="preserve">0 </w:t>
            </w:r>
            <w:r w:rsidR="00DA5FEB" w:rsidRPr="00D2403D">
              <w:rPr>
                <w:rFonts w:ascii="Times New Roman" w:hAnsi="Times New Roman" w:cs="Times New Roman"/>
              </w:rPr>
              <w:t>EUR</w:t>
            </w:r>
          </w:p>
          <w:p w14:paraId="2BF3143A" w14:textId="144B655A" w:rsidR="00370C20" w:rsidRPr="00D2403D" w:rsidRDefault="00370C20" w:rsidP="00B34588">
            <w:pPr>
              <w:rPr>
                <w:rFonts w:ascii="Times New Roman" w:hAnsi="Times New Roman" w:cs="Times New Roman"/>
              </w:rPr>
            </w:pPr>
            <w:r w:rsidRPr="00D2403D">
              <w:rPr>
                <w:rFonts w:ascii="Times New Roman" w:hAnsi="Times New Roman" w:cs="Times New Roman"/>
              </w:rPr>
              <w:t xml:space="preserve">- drēbju pakaramais = 92 </w:t>
            </w:r>
            <w:r w:rsidR="00DA5FEB" w:rsidRPr="00D2403D">
              <w:rPr>
                <w:rFonts w:ascii="Times New Roman" w:hAnsi="Times New Roman" w:cs="Times New Roman"/>
              </w:rPr>
              <w:t>EUR</w:t>
            </w:r>
            <w:r w:rsidRPr="00D2403D">
              <w:rPr>
                <w:rFonts w:ascii="Times New Roman" w:hAnsi="Times New Roman" w:cs="Times New Roman"/>
              </w:rPr>
              <w:t>.</w:t>
            </w:r>
          </w:p>
          <w:p w14:paraId="275BAE8B" w14:textId="4F0F5C32" w:rsidR="00370C20" w:rsidRPr="00D2403D" w:rsidRDefault="00370C20" w:rsidP="00B34588">
            <w:pPr>
              <w:rPr>
                <w:rFonts w:ascii="Times New Roman" w:hAnsi="Times New Roman" w:cs="Times New Roman"/>
                <w:b/>
              </w:rPr>
            </w:pPr>
            <w:r w:rsidRPr="00D2403D">
              <w:rPr>
                <w:rFonts w:ascii="Times New Roman" w:hAnsi="Times New Roman" w:cs="Times New Roman"/>
                <w:b/>
              </w:rPr>
              <w:lastRenderedPageBreak/>
              <w:t xml:space="preserve">III. Kapitālās izmaksas PTAC – 12 050 </w:t>
            </w:r>
            <w:r w:rsidR="00DA5FEB" w:rsidRPr="00D2403D">
              <w:rPr>
                <w:rFonts w:ascii="Times New Roman" w:hAnsi="Times New Roman" w:cs="Times New Roman"/>
                <w:b/>
              </w:rPr>
              <w:t>EUR</w:t>
            </w:r>
            <w:r w:rsidRPr="00D2403D">
              <w:rPr>
                <w:rFonts w:ascii="Times New Roman" w:hAnsi="Times New Roman" w:cs="Times New Roman"/>
                <w:b/>
              </w:rPr>
              <w:t xml:space="preserve"> (vienreizējas izmaksas 2018.g.):</w:t>
            </w:r>
          </w:p>
          <w:p w14:paraId="0343CA30" w14:textId="381B36EE" w:rsidR="00370C20" w:rsidRPr="00D2403D" w:rsidRDefault="00370C20" w:rsidP="00B34588">
            <w:pPr>
              <w:rPr>
                <w:rFonts w:ascii="Times New Roman" w:hAnsi="Times New Roman" w:cs="Times New Roman"/>
              </w:rPr>
            </w:pPr>
            <w:r w:rsidRPr="00D2403D">
              <w:rPr>
                <w:rFonts w:ascii="Times New Roman" w:hAnsi="Times New Roman" w:cs="Times New Roman"/>
              </w:rPr>
              <w:t xml:space="preserve">- 4 datori, monitori, u.c. x 1700 </w:t>
            </w:r>
            <w:r w:rsidR="00DA5FEB" w:rsidRPr="00D2403D">
              <w:rPr>
                <w:rFonts w:ascii="Times New Roman" w:hAnsi="Times New Roman" w:cs="Times New Roman"/>
              </w:rPr>
              <w:t>EUR</w:t>
            </w:r>
            <w:r w:rsidRPr="00D2403D">
              <w:rPr>
                <w:rFonts w:ascii="Times New Roman" w:hAnsi="Times New Roman" w:cs="Times New Roman"/>
              </w:rPr>
              <w:t xml:space="preserve"> = 6 800 </w:t>
            </w:r>
            <w:r w:rsidR="00DA5FEB" w:rsidRPr="00D2403D">
              <w:rPr>
                <w:rFonts w:ascii="Times New Roman" w:hAnsi="Times New Roman" w:cs="Times New Roman"/>
              </w:rPr>
              <w:t>EUR</w:t>
            </w:r>
            <w:r w:rsidRPr="00D2403D">
              <w:rPr>
                <w:rFonts w:ascii="Times New Roman" w:hAnsi="Times New Roman" w:cs="Times New Roman"/>
              </w:rPr>
              <w:t>;</w:t>
            </w:r>
          </w:p>
          <w:p w14:paraId="5AB0560C" w14:textId="3EAF14A8" w:rsidR="00370C20" w:rsidRPr="00D2403D" w:rsidRDefault="00370C20" w:rsidP="00B34588">
            <w:pPr>
              <w:rPr>
                <w:rFonts w:ascii="Times New Roman" w:hAnsi="Times New Roman" w:cs="Times New Roman"/>
              </w:rPr>
            </w:pPr>
            <w:r w:rsidRPr="00D2403D">
              <w:rPr>
                <w:rFonts w:ascii="Times New Roman" w:hAnsi="Times New Roman" w:cs="Times New Roman"/>
              </w:rPr>
              <w:t xml:space="preserve">- 1 krāsainais tīkla printeris = 750 </w:t>
            </w:r>
            <w:r w:rsidR="00DA5FEB" w:rsidRPr="00D2403D">
              <w:rPr>
                <w:rFonts w:ascii="Times New Roman" w:hAnsi="Times New Roman" w:cs="Times New Roman"/>
              </w:rPr>
              <w:t>EUR</w:t>
            </w:r>
            <w:r w:rsidRPr="00D2403D">
              <w:rPr>
                <w:rFonts w:ascii="Times New Roman" w:hAnsi="Times New Roman" w:cs="Times New Roman"/>
              </w:rPr>
              <w:t>;</w:t>
            </w:r>
          </w:p>
          <w:p w14:paraId="39E1F68F" w14:textId="3A007A76" w:rsidR="00370C20" w:rsidRPr="00D2403D" w:rsidRDefault="00370C20" w:rsidP="00B34588">
            <w:pPr>
              <w:rPr>
                <w:rFonts w:ascii="Times New Roman" w:hAnsi="Times New Roman" w:cs="Times New Roman"/>
              </w:rPr>
            </w:pPr>
            <w:r w:rsidRPr="00D2403D">
              <w:rPr>
                <w:rFonts w:ascii="Times New Roman" w:hAnsi="Times New Roman" w:cs="Times New Roman"/>
              </w:rPr>
              <w:t xml:space="preserve">- 4 darba galdi x 800 eiro = 3 200 </w:t>
            </w:r>
            <w:r w:rsidR="00DA5FEB" w:rsidRPr="00D2403D">
              <w:rPr>
                <w:rFonts w:ascii="Times New Roman" w:hAnsi="Times New Roman" w:cs="Times New Roman"/>
              </w:rPr>
              <w:t>EUR</w:t>
            </w:r>
            <w:r w:rsidRPr="00D2403D">
              <w:rPr>
                <w:rFonts w:ascii="Times New Roman" w:hAnsi="Times New Roman" w:cs="Times New Roman"/>
              </w:rPr>
              <w:t>;</w:t>
            </w:r>
          </w:p>
          <w:p w14:paraId="2CBCA185" w14:textId="5AAB1E3D" w:rsidR="00370C20" w:rsidRPr="00D2403D" w:rsidRDefault="00370C20" w:rsidP="00B34588">
            <w:pPr>
              <w:rPr>
                <w:rFonts w:ascii="Times New Roman" w:hAnsi="Times New Roman" w:cs="Times New Roman"/>
              </w:rPr>
            </w:pPr>
            <w:r w:rsidRPr="00D2403D">
              <w:rPr>
                <w:rFonts w:ascii="Times New Roman" w:hAnsi="Times New Roman" w:cs="Times New Roman"/>
              </w:rPr>
              <w:t xml:space="preserve">- 2 dokumentu skapji = 2 x 500 </w:t>
            </w:r>
            <w:r w:rsidR="00DA5FEB" w:rsidRPr="00D2403D">
              <w:rPr>
                <w:rFonts w:ascii="Times New Roman" w:hAnsi="Times New Roman" w:cs="Times New Roman"/>
              </w:rPr>
              <w:t>EUR</w:t>
            </w:r>
            <w:r w:rsidRPr="00D2403D">
              <w:rPr>
                <w:rFonts w:ascii="Times New Roman" w:hAnsi="Times New Roman" w:cs="Times New Roman"/>
              </w:rPr>
              <w:t xml:space="preserve"> = 1000 </w:t>
            </w:r>
            <w:r w:rsidR="00DA5FEB" w:rsidRPr="00D2403D">
              <w:rPr>
                <w:rFonts w:ascii="Times New Roman" w:hAnsi="Times New Roman" w:cs="Times New Roman"/>
              </w:rPr>
              <w:t>EUR</w:t>
            </w:r>
          </w:p>
          <w:p w14:paraId="2D2BC4B2" w14:textId="531A1E0E" w:rsidR="00C655B8" w:rsidRPr="00D2403D" w:rsidRDefault="00370C20" w:rsidP="00C655B8">
            <w:pPr>
              <w:rPr>
                <w:rFonts w:ascii="Times New Roman" w:hAnsi="Times New Roman" w:cs="Times New Roman"/>
                <w:b/>
              </w:rPr>
            </w:pPr>
            <w:r w:rsidRPr="00D2403D">
              <w:rPr>
                <w:rFonts w:ascii="Times New Roman" w:hAnsi="Times New Roman" w:cs="Times New Roman"/>
              </w:rPr>
              <w:t xml:space="preserve">- zems dokumentu skapis = 300 </w:t>
            </w:r>
            <w:r w:rsidR="00DA5FEB" w:rsidRPr="00D2403D">
              <w:rPr>
                <w:rFonts w:ascii="Times New Roman" w:hAnsi="Times New Roman" w:cs="Times New Roman"/>
              </w:rPr>
              <w:t>EUR</w:t>
            </w:r>
            <w:r w:rsidRPr="00D2403D">
              <w:rPr>
                <w:rFonts w:ascii="Times New Roman" w:hAnsi="Times New Roman" w:cs="Times New Roman"/>
              </w:rPr>
              <w:t xml:space="preserve"> x 1 = 300 </w:t>
            </w:r>
            <w:r w:rsidR="00DA5FEB" w:rsidRPr="00D2403D">
              <w:rPr>
                <w:rFonts w:ascii="Times New Roman" w:hAnsi="Times New Roman" w:cs="Times New Roman"/>
              </w:rPr>
              <w:t>EUR</w:t>
            </w:r>
            <w:r w:rsidR="00C655B8" w:rsidRPr="00D2403D">
              <w:rPr>
                <w:rFonts w:ascii="Times New Roman" w:hAnsi="Times New Roman" w:cs="Times New Roman"/>
                <w:b/>
              </w:rPr>
              <w:t xml:space="preserve"> </w:t>
            </w:r>
          </w:p>
          <w:p w14:paraId="4C24048F" w14:textId="28F48844" w:rsidR="00C655B8" w:rsidRPr="00D2403D" w:rsidRDefault="00C655B8" w:rsidP="00C655B8">
            <w:pPr>
              <w:rPr>
                <w:rFonts w:ascii="Times New Roman" w:hAnsi="Times New Roman" w:cs="Times New Roman"/>
                <w:b/>
              </w:rPr>
            </w:pPr>
            <w:r w:rsidRPr="00D2403D">
              <w:rPr>
                <w:rFonts w:ascii="Times New Roman" w:hAnsi="Times New Roman" w:cs="Times New Roman"/>
                <w:b/>
              </w:rPr>
              <w:t>BUDŽETA IEŅĒMUMI NO LICENCĒM</w:t>
            </w:r>
          </w:p>
          <w:p w14:paraId="1CCFC262" w14:textId="0880EFB0" w:rsidR="00C655B8" w:rsidRPr="00D2403D" w:rsidRDefault="00C655B8" w:rsidP="00C655B8">
            <w:pPr>
              <w:rPr>
                <w:rFonts w:ascii="Times New Roman" w:hAnsi="Times New Roman" w:cs="Times New Roman"/>
              </w:rPr>
            </w:pPr>
            <w:r w:rsidRPr="00D2403D">
              <w:rPr>
                <w:rFonts w:ascii="Times New Roman" w:hAnsi="Times New Roman" w:cs="Times New Roman"/>
                <w:u w:val="single"/>
              </w:rPr>
              <w:t xml:space="preserve">437 licences gadā x 40 </w:t>
            </w:r>
            <w:r w:rsidR="00122A53">
              <w:rPr>
                <w:rFonts w:ascii="Times New Roman" w:hAnsi="Times New Roman" w:cs="Times New Roman"/>
                <w:u w:val="single"/>
              </w:rPr>
              <w:t>EUR</w:t>
            </w:r>
            <w:r w:rsidRPr="00D2403D">
              <w:rPr>
                <w:rFonts w:ascii="Times New Roman" w:hAnsi="Times New Roman" w:cs="Times New Roman"/>
                <w:u w:val="single"/>
              </w:rPr>
              <w:t xml:space="preserve"> = 17 480 </w:t>
            </w:r>
            <w:r w:rsidR="00DA5FEB" w:rsidRPr="00D2403D">
              <w:rPr>
                <w:rFonts w:ascii="Times New Roman" w:hAnsi="Times New Roman" w:cs="Times New Roman"/>
                <w:u w:val="single"/>
              </w:rPr>
              <w:t>EUR</w:t>
            </w:r>
            <w:r w:rsidRPr="00D2403D">
              <w:rPr>
                <w:rFonts w:ascii="Times New Roman" w:hAnsi="Times New Roman" w:cs="Times New Roman"/>
                <w:u w:val="single"/>
              </w:rPr>
              <w:t xml:space="preserve"> gadā</w:t>
            </w:r>
            <w:r w:rsidRPr="00D2403D">
              <w:rPr>
                <w:rFonts w:ascii="Times New Roman" w:hAnsi="Times New Roman" w:cs="Times New Roman"/>
              </w:rPr>
              <w:t>.</w:t>
            </w:r>
          </w:p>
          <w:p w14:paraId="5B8D2F6D" w14:textId="54DBE6ED" w:rsidR="00370C20" w:rsidRPr="00D2403D" w:rsidRDefault="00C655B8" w:rsidP="0029565E">
            <w:pPr>
              <w:jc w:val="both"/>
              <w:rPr>
                <w:rFonts w:ascii="Times New Roman" w:hAnsi="Times New Roman" w:cs="Times New Roman"/>
              </w:rPr>
            </w:pPr>
            <w:r w:rsidRPr="00D2403D">
              <w:rPr>
                <w:rFonts w:ascii="Times New Roman" w:hAnsi="Times New Roman" w:cs="Times New Roman"/>
              </w:rPr>
              <w:t xml:space="preserve">Licenču maksa tiks ieskaitīta </w:t>
            </w:r>
            <w:r w:rsidR="0029565E" w:rsidRPr="00D2403D">
              <w:rPr>
                <w:rFonts w:ascii="Times New Roman" w:hAnsi="Times New Roman" w:cs="Times New Roman"/>
              </w:rPr>
              <w:t xml:space="preserve">valsts budžetā. </w:t>
            </w:r>
            <w:r w:rsidRPr="00D2403D">
              <w:rPr>
                <w:rFonts w:ascii="Times New Roman" w:hAnsi="Times New Roman" w:cs="Times New Roman"/>
              </w:rPr>
              <w:t xml:space="preserve">Ja palielinās tūrisma pakalpojumu sniedzēju klāsts, kas vēlas saņemt licenci (atbilstoši iepriekš minētajam, tie ir potenciāli papildus 300 komersanti), tad </w:t>
            </w:r>
            <w:r w:rsidRPr="00D2403D">
              <w:rPr>
                <w:rFonts w:ascii="Times New Roman" w:hAnsi="Times New Roman" w:cs="Times New Roman"/>
                <w:u w:val="single"/>
              </w:rPr>
              <w:t>ieņēmumi gadā var sasniegt 29 480 EUR</w:t>
            </w:r>
            <w:r w:rsidRPr="00D2403D">
              <w:rPr>
                <w:rFonts w:ascii="Times New Roman" w:hAnsi="Times New Roman" w:cs="Times New Roman"/>
              </w:rPr>
              <w:t>.</w:t>
            </w:r>
          </w:p>
        </w:tc>
      </w:tr>
      <w:tr w:rsidR="0072076F" w:rsidRPr="0072076F" w14:paraId="2C48E37F"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78E26CFC"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217BFA95"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r>
      <w:tr w:rsidR="0072076F" w:rsidRPr="0072076F" w14:paraId="6FB4EE64" w14:textId="77777777" w:rsidTr="00B34588">
        <w:trPr>
          <w:jc w:val="center"/>
        </w:trPr>
        <w:tc>
          <w:tcPr>
            <w:tcW w:w="1601" w:type="pct"/>
            <w:tcBorders>
              <w:top w:val="outset" w:sz="6" w:space="0" w:color="414142"/>
              <w:left w:val="outset" w:sz="6" w:space="0" w:color="414142"/>
              <w:bottom w:val="outset" w:sz="6" w:space="0" w:color="414142"/>
              <w:right w:val="outset" w:sz="6" w:space="0" w:color="414142"/>
            </w:tcBorders>
            <w:hideMark/>
          </w:tcPr>
          <w:p w14:paraId="034C4FEA"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21A27025"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r>
      <w:tr w:rsidR="00370C20" w:rsidRPr="0072076F" w14:paraId="3D17E446" w14:textId="77777777" w:rsidTr="00B34588">
        <w:trPr>
          <w:trHeight w:val="444"/>
          <w:jc w:val="center"/>
        </w:trPr>
        <w:tc>
          <w:tcPr>
            <w:tcW w:w="1601" w:type="pct"/>
            <w:tcBorders>
              <w:top w:val="outset" w:sz="6" w:space="0" w:color="414142"/>
              <w:left w:val="outset" w:sz="6" w:space="0" w:color="414142"/>
              <w:bottom w:val="outset" w:sz="6" w:space="0" w:color="414142"/>
              <w:right w:val="outset" w:sz="6" w:space="0" w:color="414142"/>
            </w:tcBorders>
            <w:hideMark/>
          </w:tcPr>
          <w:p w14:paraId="0B2A76F4"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lastRenderedPageBreak/>
              <w:t>7. Cita informācija</w:t>
            </w:r>
          </w:p>
        </w:tc>
        <w:tc>
          <w:tcPr>
            <w:tcW w:w="3399" w:type="pct"/>
            <w:gridSpan w:val="5"/>
            <w:tcBorders>
              <w:top w:val="outset" w:sz="6" w:space="0" w:color="414142"/>
              <w:left w:val="outset" w:sz="6" w:space="0" w:color="414142"/>
              <w:bottom w:val="outset" w:sz="6" w:space="0" w:color="414142"/>
              <w:right w:val="outset" w:sz="6" w:space="0" w:color="414142"/>
            </w:tcBorders>
            <w:hideMark/>
          </w:tcPr>
          <w:p w14:paraId="042290C1" w14:textId="26F502A1" w:rsidR="00370C20" w:rsidRPr="008C3AEF" w:rsidRDefault="00370C20" w:rsidP="00B34588">
            <w:pPr>
              <w:spacing w:after="0" w:line="240" w:lineRule="auto"/>
              <w:jc w:val="both"/>
              <w:rPr>
                <w:rFonts w:ascii="Times New Roman" w:eastAsia="Times New Roman" w:hAnsi="Times New Roman" w:cs="Times New Roman"/>
                <w:sz w:val="24"/>
                <w:szCs w:val="24"/>
                <w:lang w:eastAsia="lv-LV"/>
              </w:rPr>
            </w:pPr>
            <w:r w:rsidRPr="008C3AEF">
              <w:rPr>
                <w:rFonts w:ascii="Times New Roman" w:eastAsia="Times New Roman" w:hAnsi="Times New Roman" w:cs="Times New Roman"/>
                <w:sz w:val="24"/>
                <w:szCs w:val="24"/>
                <w:lang w:eastAsia="lv-LV"/>
              </w:rPr>
              <w:t>Jautājums par finansējum</w:t>
            </w:r>
            <w:r w:rsidR="008C3AEF" w:rsidRPr="008C3AEF">
              <w:rPr>
                <w:rFonts w:ascii="Times New Roman" w:eastAsia="Times New Roman" w:hAnsi="Times New Roman" w:cs="Times New Roman"/>
                <w:sz w:val="24"/>
                <w:szCs w:val="24"/>
                <w:lang w:eastAsia="lv-LV"/>
              </w:rPr>
              <w:t>a piešķiršanu skatāms Ministru k</w:t>
            </w:r>
            <w:r w:rsidRPr="008C3AEF">
              <w:rPr>
                <w:rFonts w:ascii="Times New Roman" w:eastAsia="Times New Roman" w:hAnsi="Times New Roman" w:cs="Times New Roman"/>
                <w:sz w:val="24"/>
                <w:szCs w:val="24"/>
                <w:lang w:eastAsia="lv-LV"/>
              </w:rPr>
              <w:t xml:space="preserve">abineta likumprojekta (par valsts budžetu 2018.gadam) un likumprojekta par vidēja termiņa budžeta ietvaru 2018., 2019., 2020.gadam sagatavošanas un izskatīšanas procesā atbilstoši valsts budžeta finansiālajām iespējām. </w:t>
            </w:r>
          </w:p>
        </w:tc>
      </w:tr>
    </w:tbl>
    <w:p w14:paraId="589D390E" w14:textId="77777777" w:rsidR="00370C20" w:rsidRPr="0072076F" w:rsidRDefault="00370C20" w:rsidP="00370C20">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1525"/>
        <w:gridCol w:w="7077"/>
      </w:tblGrid>
      <w:tr w:rsidR="0072076F" w:rsidRPr="0072076F" w14:paraId="564492EE" w14:textId="77777777" w:rsidTr="00B34588">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2A2AFF2"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IV. Tiesību akta projekta ietekme uz spēkā esošo tiesību normu sistēmu</w:t>
            </w:r>
          </w:p>
        </w:tc>
      </w:tr>
      <w:tr w:rsidR="0072076F" w:rsidRPr="0072076F" w14:paraId="7FDB04C8" w14:textId="77777777" w:rsidTr="006C3EED">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1FC5A142"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w:t>
            </w:r>
          </w:p>
        </w:tc>
        <w:tc>
          <w:tcPr>
            <w:tcW w:w="842" w:type="pct"/>
            <w:tcBorders>
              <w:top w:val="outset" w:sz="6" w:space="0" w:color="414142"/>
              <w:left w:val="outset" w:sz="6" w:space="0" w:color="414142"/>
              <w:bottom w:val="outset" w:sz="6" w:space="0" w:color="414142"/>
              <w:right w:val="outset" w:sz="6" w:space="0" w:color="414142"/>
            </w:tcBorders>
            <w:hideMark/>
          </w:tcPr>
          <w:p w14:paraId="7BC830EC"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Nepieciešamie saistītie tiesību aktu projekti</w:t>
            </w:r>
          </w:p>
        </w:tc>
        <w:tc>
          <w:tcPr>
            <w:tcW w:w="3908" w:type="pct"/>
            <w:tcBorders>
              <w:top w:val="outset" w:sz="6" w:space="0" w:color="414142"/>
              <w:left w:val="outset" w:sz="6" w:space="0" w:color="414142"/>
              <w:bottom w:val="outset" w:sz="6" w:space="0" w:color="414142"/>
              <w:right w:val="outset" w:sz="6" w:space="0" w:color="414142"/>
            </w:tcBorders>
            <w:hideMark/>
          </w:tcPr>
          <w:p w14:paraId="4A09C6AB" w14:textId="77777777" w:rsidR="00370C20" w:rsidRPr="0072076F" w:rsidRDefault="00370C20" w:rsidP="00B34588">
            <w:pPr>
              <w:pStyle w:val="ListParagraph"/>
              <w:numPr>
                <w:ilvl w:val="0"/>
                <w:numId w:val="31"/>
              </w:numPr>
              <w:spacing w:after="0" w:line="240" w:lineRule="auto"/>
              <w:ind w:left="432"/>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Ministru kabineta noteikumi par speciālās atļaujas (licences) izsniegšanas, anulēšanas un darbības apturēšanas kārtību, prasības kādām jāatbilst pakalpojuma sniedzējam, lai tas varētu saņemt speciālo atļauju (licenci), tajā skaitā valsts nodevas apmēru par speciālās atļaujas (licences) izsniegšanu un ikgadējās valsts nodevas apmēru par komplekso un saistīto tūrisma pakalpojuma sniedzēja darbības uzraudzību un maksāšanas kārtību, kā arī nodrošinājuma tūrisma pakalpojuma sniedzēja maksātnespējas gadījumā iemaksas kārtību;</w:t>
            </w:r>
          </w:p>
          <w:p w14:paraId="74176E8D" w14:textId="77777777" w:rsidR="00370C20" w:rsidRPr="0072076F" w:rsidRDefault="00370C20" w:rsidP="00B34588">
            <w:pPr>
              <w:pStyle w:val="ListParagraph"/>
              <w:numPr>
                <w:ilvl w:val="0"/>
                <w:numId w:val="31"/>
              </w:numPr>
              <w:spacing w:after="0" w:line="240" w:lineRule="auto"/>
              <w:ind w:left="432"/>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Ministru kabineta noteikumi par kompleksā tūrisma pakalpojuma un saistītā tūrisma pakalpojuma sagatavošanas un īstenošanas kārtību, ceļotājam sniedzamo informāciju, komplekso un saistīto tūrisma pakalpojumu sniedzēju un klientu tiesības un pienākumus, tūrisma aģentu;</w:t>
            </w:r>
          </w:p>
          <w:p w14:paraId="3DDDC4FD" w14:textId="2B9AAD2E" w:rsidR="00370C20" w:rsidRPr="00AB4FFE" w:rsidRDefault="00370C20" w:rsidP="00B34588">
            <w:pPr>
              <w:pStyle w:val="ListParagraph"/>
              <w:numPr>
                <w:ilvl w:val="0"/>
                <w:numId w:val="31"/>
              </w:numPr>
              <w:spacing w:after="0" w:line="240" w:lineRule="auto"/>
              <w:ind w:left="432"/>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bCs/>
                <w:sz w:val="24"/>
                <w:szCs w:val="24"/>
                <w:lang w:eastAsia="lv-LV"/>
              </w:rPr>
              <w:t>Grozījumi Patērētāju tiesību aizsardzības centra nolikumā, precizējot jaunās PTAC funkcijas.</w:t>
            </w:r>
          </w:p>
        </w:tc>
      </w:tr>
      <w:tr w:rsidR="0072076F" w:rsidRPr="0072076F" w14:paraId="630B8B37" w14:textId="77777777" w:rsidTr="006C3EED">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10537BEC"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2.</w:t>
            </w:r>
          </w:p>
        </w:tc>
        <w:tc>
          <w:tcPr>
            <w:tcW w:w="842" w:type="pct"/>
            <w:tcBorders>
              <w:top w:val="outset" w:sz="6" w:space="0" w:color="414142"/>
              <w:left w:val="outset" w:sz="6" w:space="0" w:color="414142"/>
              <w:bottom w:val="outset" w:sz="6" w:space="0" w:color="414142"/>
              <w:right w:val="outset" w:sz="6" w:space="0" w:color="414142"/>
            </w:tcBorders>
            <w:hideMark/>
          </w:tcPr>
          <w:p w14:paraId="582095A1" w14:textId="25EFCCB2" w:rsidR="00370C20" w:rsidRPr="0072076F" w:rsidRDefault="00370C20" w:rsidP="00AB4FFE">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Atbildīgā institūcija</w:t>
            </w:r>
          </w:p>
        </w:tc>
        <w:tc>
          <w:tcPr>
            <w:tcW w:w="3908" w:type="pct"/>
            <w:tcBorders>
              <w:top w:val="outset" w:sz="6" w:space="0" w:color="414142"/>
              <w:left w:val="outset" w:sz="6" w:space="0" w:color="414142"/>
              <w:bottom w:val="outset" w:sz="6" w:space="0" w:color="414142"/>
              <w:right w:val="outset" w:sz="6" w:space="0" w:color="414142"/>
            </w:tcBorders>
            <w:hideMark/>
          </w:tcPr>
          <w:p w14:paraId="751934CD"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EM un PTAC</w:t>
            </w:r>
          </w:p>
        </w:tc>
      </w:tr>
      <w:tr w:rsidR="0072076F" w:rsidRPr="0072076F" w14:paraId="4B2D6E5E" w14:textId="77777777" w:rsidTr="006C3EED">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4CE8A8CD"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w:t>
            </w:r>
          </w:p>
        </w:tc>
        <w:tc>
          <w:tcPr>
            <w:tcW w:w="842" w:type="pct"/>
            <w:tcBorders>
              <w:top w:val="outset" w:sz="6" w:space="0" w:color="414142"/>
              <w:left w:val="outset" w:sz="6" w:space="0" w:color="414142"/>
              <w:bottom w:val="outset" w:sz="6" w:space="0" w:color="414142"/>
              <w:right w:val="outset" w:sz="6" w:space="0" w:color="414142"/>
            </w:tcBorders>
            <w:hideMark/>
          </w:tcPr>
          <w:p w14:paraId="14A0A8ED"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Cita informācija</w:t>
            </w:r>
          </w:p>
        </w:tc>
        <w:tc>
          <w:tcPr>
            <w:tcW w:w="3908" w:type="pct"/>
            <w:tcBorders>
              <w:top w:val="outset" w:sz="6" w:space="0" w:color="414142"/>
              <w:left w:val="outset" w:sz="6" w:space="0" w:color="414142"/>
              <w:bottom w:val="outset" w:sz="6" w:space="0" w:color="414142"/>
              <w:right w:val="outset" w:sz="6" w:space="0" w:color="414142"/>
            </w:tcBorders>
            <w:hideMark/>
          </w:tcPr>
          <w:p w14:paraId="727D4783" w14:textId="562E2079" w:rsidR="00370C20" w:rsidRPr="0072076F" w:rsidRDefault="00AB4FFE" w:rsidP="00AB4FF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Neskatoties uz to, ka speciālā atļauja (licence) tūrisma pakalpojumu sniedzējiem paredz jaunu </w:t>
            </w:r>
            <w:r w:rsidR="009B6642">
              <w:rPr>
                <w:rFonts w:ascii="Times New Roman" w:eastAsia="Times New Roman" w:hAnsi="Times New Roman" w:cs="Times New Roman"/>
                <w:sz w:val="24"/>
                <w:szCs w:val="24"/>
                <w:lang w:eastAsia="lv-LV"/>
              </w:rPr>
              <w:t xml:space="preserve">valsts </w:t>
            </w:r>
            <w:r>
              <w:rPr>
                <w:rFonts w:ascii="Times New Roman" w:eastAsia="Times New Roman" w:hAnsi="Times New Roman" w:cs="Times New Roman"/>
                <w:sz w:val="24"/>
                <w:szCs w:val="24"/>
                <w:lang w:eastAsia="lv-LV"/>
              </w:rPr>
              <w:t>nodevas objektu, atsevišķi g</w:t>
            </w:r>
            <w:r w:rsidRPr="00AB4FFE">
              <w:rPr>
                <w:rFonts w:ascii="Times New Roman" w:eastAsia="Times New Roman" w:hAnsi="Times New Roman" w:cs="Times New Roman"/>
                <w:sz w:val="24"/>
                <w:szCs w:val="24"/>
                <w:lang w:eastAsia="lv-LV"/>
              </w:rPr>
              <w:t>rozījumi likumā Par nodokļiem un nodevām</w:t>
            </w:r>
            <w:r>
              <w:rPr>
                <w:rFonts w:ascii="Times New Roman" w:eastAsia="Times New Roman" w:hAnsi="Times New Roman" w:cs="Times New Roman"/>
                <w:sz w:val="24"/>
                <w:szCs w:val="24"/>
                <w:lang w:eastAsia="lv-LV"/>
              </w:rPr>
              <w:t xml:space="preserve"> neti</w:t>
            </w:r>
            <w:r w:rsidR="001500BA">
              <w:rPr>
                <w:rFonts w:ascii="Times New Roman" w:eastAsia="Times New Roman" w:hAnsi="Times New Roman" w:cs="Times New Roman"/>
                <w:sz w:val="24"/>
                <w:szCs w:val="24"/>
                <w:lang w:eastAsia="lv-LV"/>
              </w:rPr>
              <w:t>ks</w:t>
            </w:r>
            <w:r>
              <w:rPr>
                <w:rFonts w:ascii="Times New Roman" w:eastAsia="Times New Roman" w:hAnsi="Times New Roman" w:cs="Times New Roman"/>
                <w:sz w:val="24"/>
                <w:szCs w:val="24"/>
                <w:lang w:eastAsia="lv-LV"/>
              </w:rPr>
              <w:t xml:space="preserve"> veikti, jo</w:t>
            </w:r>
            <w:r w:rsidR="009B6642">
              <w:rPr>
                <w:rFonts w:ascii="Times New Roman" w:eastAsia="Times New Roman" w:hAnsi="Times New Roman" w:cs="Times New Roman"/>
                <w:sz w:val="24"/>
                <w:szCs w:val="24"/>
                <w:lang w:eastAsia="lv-LV"/>
              </w:rPr>
              <w:t xml:space="preserve"> speciālā atļauja (licence) tūrisma pakalpojumu sniedzējiem atbilst likuma</w:t>
            </w:r>
            <w:r>
              <w:rPr>
                <w:rFonts w:ascii="Times New Roman" w:eastAsia="Times New Roman" w:hAnsi="Times New Roman" w:cs="Times New Roman"/>
                <w:sz w:val="24"/>
                <w:szCs w:val="24"/>
                <w:lang w:eastAsia="lv-LV"/>
              </w:rPr>
              <w:t xml:space="preserve"> </w:t>
            </w:r>
            <w:r w:rsidRPr="00AB4FFE">
              <w:rPr>
                <w:rFonts w:ascii="Times New Roman" w:eastAsia="Times New Roman" w:hAnsi="Times New Roman" w:cs="Times New Roman"/>
                <w:sz w:val="24"/>
                <w:szCs w:val="24"/>
                <w:lang w:eastAsia="lv-LV"/>
              </w:rPr>
              <w:t>Par nodokļiem un nodevām</w:t>
            </w:r>
            <w:r>
              <w:rPr>
                <w:rFonts w:ascii="Times New Roman" w:eastAsia="Times New Roman" w:hAnsi="Times New Roman" w:cs="Times New Roman"/>
                <w:sz w:val="24"/>
                <w:szCs w:val="24"/>
                <w:lang w:eastAsia="lv-LV"/>
              </w:rPr>
              <w:t xml:space="preserve"> 11.panta otrās daļas 9.punktā min</w:t>
            </w:r>
            <w:r w:rsidR="001500BA">
              <w:rPr>
                <w:rFonts w:ascii="Times New Roman" w:eastAsia="Times New Roman" w:hAnsi="Times New Roman" w:cs="Times New Roman"/>
                <w:sz w:val="24"/>
                <w:szCs w:val="24"/>
                <w:lang w:eastAsia="lv-LV"/>
              </w:rPr>
              <w:t xml:space="preserve">ētajam </w:t>
            </w:r>
            <w:r w:rsidR="009B6642">
              <w:rPr>
                <w:rFonts w:ascii="Times New Roman" w:eastAsia="Times New Roman" w:hAnsi="Times New Roman" w:cs="Times New Roman"/>
                <w:sz w:val="24"/>
                <w:szCs w:val="24"/>
                <w:lang w:eastAsia="lv-LV"/>
              </w:rPr>
              <w:t>valsts nodevas objektam</w:t>
            </w:r>
            <w:r>
              <w:rPr>
                <w:rFonts w:ascii="Times New Roman" w:eastAsia="Times New Roman" w:hAnsi="Times New Roman" w:cs="Times New Roman"/>
                <w:sz w:val="24"/>
                <w:szCs w:val="24"/>
                <w:lang w:eastAsia="lv-LV"/>
              </w:rPr>
              <w:t>.</w:t>
            </w:r>
          </w:p>
        </w:tc>
      </w:tr>
    </w:tbl>
    <w:p w14:paraId="28EFD6B4" w14:textId="77777777" w:rsidR="00370C20" w:rsidRPr="0072076F" w:rsidRDefault="00370C20" w:rsidP="00370C20">
      <w:pPr>
        <w:shd w:val="clear" w:color="auto" w:fill="FFFFFF"/>
        <w:tabs>
          <w:tab w:val="left" w:pos="5319"/>
        </w:tabs>
        <w:spacing w:after="0" w:line="240" w:lineRule="auto"/>
        <w:ind w:firstLine="301"/>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lastRenderedPageBreak/>
        <w:tab/>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1666"/>
        <w:gridCol w:w="6936"/>
      </w:tblGrid>
      <w:tr w:rsidR="0072076F" w:rsidRPr="0072076F" w14:paraId="3FA287D3" w14:textId="77777777" w:rsidTr="006C3EE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40C86F8"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V. Tiesību akta projekta atbilstība Latvijas Republikas starptautiskajām saistībām</w:t>
            </w:r>
          </w:p>
        </w:tc>
      </w:tr>
      <w:tr w:rsidR="0072076F" w:rsidRPr="0072076F" w14:paraId="3D47E84D" w14:textId="77777777" w:rsidTr="006C3EED">
        <w:tc>
          <w:tcPr>
            <w:tcW w:w="250" w:type="pct"/>
            <w:tcBorders>
              <w:top w:val="outset" w:sz="6" w:space="0" w:color="414142"/>
              <w:left w:val="outset" w:sz="6" w:space="0" w:color="414142"/>
              <w:bottom w:val="outset" w:sz="6" w:space="0" w:color="414142"/>
              <w:right w:val="outset" w:sz="6" w:space="0" w:color="414142"/>
            </w:tcBorders>
            <w:hideMark/>
          </w:tcPr>
          <w:p w14:paraId="5941782D"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w:t>
            </w:r>
          </w:p>
        </w:tc>
        <w:tc>
          <w:tcPr>
            <w:tcW w:w="920" w:type="pct"/>
            <w:tcBorders>
              <w:top w:val="outset" w:sz="6" w:space="0" w:color="414142"/>
              <w:left w:val="outset" w:sz="6" w:space="0" w:color="414142"/>
              <w:bottom w:val="outset" w:sz="6" w:space="0" w:color="414142"/>
              <w:right w:val="outset" w:sz="6" w:space="0" w:color="414142"/>
            </w:tcBorders>
            <w:hideMark/>
          </w:tcPr>
          <w:p w14:paraId="3FAC3DF9"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Saistības pret Eiropas Savienību</w:t>
            </w:r>
          </w:p>
        </w:tc>
        <w:tc>
          <w:tcPr>
            <w:tcW w:w="3830" w:type="pct"/>
            <w:tcBorders>
              <w:top w:val="outset" w:sz="6" w:space="0" w:color="414142"/>
              <w:left w:val="outset" w:sz="6" w:space="0" w:color="414142"/>
              <w:bottom w:val="outset" w:sz="6" w:space="0" w:color="414142"/>
              <w:right w:val="outset" w:sz="6" w:space="0" w:color="414142"/>
            </w:tcBorders>
            <w:hideMark/>
          </w:tcPr>
          <w:p w14:paraId="4DD25B50" w14:textId="77777777" w:rsidR="00370C20" w:rsidRPr="0072076F" w:rsidRDefault="00370C20" w:rsidP="00B34588">
            <w:pPr>
              <w:pStyle w:val="ListParagraph"/>
              <w:numPr>
                <w:ilvl w:val="0"/>
                <w:numId w:val="33"/>
              </w:numPr>
              <w:spacing w:after="0" w:line="240" w:lineRule="auto"/>
              <w:ind w:left="440"/>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Eiropas Parlamenta un Padomes direktīvu </w:t>
            </w:r>
            <w:r w:rsidRPr="0072076F">
              <w:rPr>
                <w:rFonts w:ascii="Times New Roman" w:eastAsia="Times New Roman" w:hAnsi="Times New Roman" w:cs="Times New Roman"/>
                <w:sz w:val="24"/>
                <w:szCs w:val="24"/>
                <w:lang w:eastAsia="lv-LV"/>
              </w:rPr>
              <w:t>(ES) 2015/2302 (</w:t>
            </w:r>
            <w:r w:rsidRPr="0072076F">
              <w:rPr>
                <w:rFonts w:ascii="Times New Roman" w:eastAsia="Times New Roman" w:hAnsi="Times New Roman" w:cs="Times New Roman"/>
                <w:iCs/>
                <w:sz w:val="24"/>
                <w:szCs w:val="24"/>
                <w:lang w:eastAsia="lv-LV"/>
              </w:rPr>
              <w:t>2015.gada 25.novembris) par kompleksiem ceļojumiem un saistītiem ceļojumu pakalpojumiem, ar ko groza Regulu (EK) Nr. 2006/2004 un Eiropas Parlamenta un Padomes Direktīvu 2011/83/ES un atceļ Padomes Direktīvu 90/314/EEK.</w:t>
            </w:r>
          </w:p>
          <w:p w14:paraId="1A05EE72" w14:textId="77777777" w:rsidR="00370C20" w:rsidRPr="0072076F" w:rsidRDefault="00370C20" w:rsidP="00B34588">
            <w:pPr>
              <w:pStyle w:val="ListParagraph"/>
              <w:spacing w:after="0" w:line="240" w:lineRule="auto"/>
              <w:ind w:left="440"/>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Direktīva jāiestrādā Latvijas likumdošanā līdz 2018.gada 1.janvārim. Regulējumam jāstājas spēkā 2018.gada 1.jūlijā.</w:t>
            </w:r>
          </w:p>
          <w:p w14:paraId="709951D8" w14:textId="77777777" w:rsidR="00370C20" w:rsidRPr="0072076F" w:rsidRDefault="00370C20" w:rsidP="00B34588">
            <w:pPr>
              <w:pStyle w:val="ListParagraph"/>
              <w:numPr>
                <w:ilvl w:val="0"/>
                <w:numId w:val="33"/>
              </w:numPr>
              <w:spacing w:after="0" w:line="240" w:lineRule="auto"/>
              <w:ind w:left="440"/>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Eiropas Parlamenta un Padomes 2006.gada 12.decembra Direktīva 2006/123/EK par pakalpojumiem iekšējā tirgū (OV L 376, 27.12.2006., 36./68. lpp.).</w:t>
            </w:r>
          </w:p>
          <w:p w14:paraId="44E5C1C8" w14:textId="77777777" w:rsidR="00370C20" w:rsidRPr="0072076F" w:rsidRDefault="00370C20" w:rsidP="00B34588">
            <w:pPr>
              <w:pStyle w:val="ListParagraph"/>
              <w:spacing w:after="0" w:line="240" w:lineRule="auto"/>
              <w:ind w:left="440"/>
              <w:jc w:val="both"/>
              <w:rPr>
                <w:rFonts w:ascii="Times New Roman" w:eastAsia="Times New Roman" w:hAnsi="Times New Roman" w:cs="Times New Roman"/>
                <w:sz w:val="24"/>
                <w:szCs w:val="24"/>
                <w:lang w:eastAsia="lv-LV"/>
              </w:rPr>
            </w:pPr>
            <w:r w:rsidRPr="0072076F">
              <w:rPr>
                <w:rFonts w:ascii="Times New Roman" w:eastAsia="Calibri" w:hAnsi="Times New Roman" w:cs="Times New Roman"/>
                <w:sz w:val="24"/>
                <w:szCs w:val="24"/>
              </w:rPr>
              <w:t xml:space="preserve">Saskaņā ar Brīvas pakalpojumu sniegšanas likuma 15.panta septīto daļu likumprojekts ir uzskatāms par tehnisko likumprojektu pakalpojumu jomā. Pamatojoties uz iepriekš minēto un </w:t>
            </w:r>
            <w:r w:rsidRPr="0072076F">
              <w:rPr>
                <w:rFonts w:ascii="Times New Roman" w:hAnsi="Times New Roman" w:cs="Times New Roman"/>
                <w:sz w:val="24"/>
                <w:szCs w:val="24"/>
              </w:rPr>
              <w:t>Ministru kabineta 2016.gada 28.jūnija noteikumu Nr.419 „Noteikumi par informācijas apmaiņas un uzraudzības kārtību Iekšējā tirgus informācijas sistēmas ietvaros, informācijas apmaiņā iesaistīto iestāžu atbildību un Eiropas profesionālās kartes izdošanas kārtību” likumprojekts tiks iesniegts</w:t>
            </w:r>
            <w:r w:rsidRPr="0072076F">
              <w:rPr>
                <w:rFonts w:ascii="Times New Roman" w:eastAsia="Calibri" w:hAnsi="Times New Roman" w:cs="Times New Roman"/>
                <w:sz w:val="24"/>
                <w:szCs w:val="24"/>
              </w:rPr>
              <w:t xml:space="preserve"> izvērtēšanai Eiropas Komisijā.</w:t>
            </w:r>
          </w:p>
        </w:tc>
      </w:tr>
      <w:tr w:rsidR="0072076F" w:rsidRPr="0072076F" w14:paraId="347A2AF5" w14:textId="77777777" w:rsidTr="006C3EED">
        <w:tc>
          <w:tcPr>
            <w:tcW w:w="250" w:type="pct"/>
            <w:tcBorders>
              <w:top w:val="outset" w:sz="6" w:space="0" w:color="414142"/>
              <w:left w:val="outset" w:sz="6" w:space="0" w:color="414142"/>
              <w:bottom w:val="outset" w:sz="6" w:space="0" w:color="414142"/>
              <w:right w:val="outset" w:sz="6" w:space="0" w:color="414142"/>
            </w:tcBorders>
            <w:hideMark/>
          </w:tcPr>
          <w:p w14:paraId="0AA7B93A"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2.</w:t>
            </w:r>
          </w:p>
        </w:tc>
        <w:tc>
          <w:tcPr>
            <w:tcW w:w="920" w:type="pct"/>
            <w:tcBorders>
              <w:top w:val="outset" w:sz="6" w:space="0" w:color="414142"/>
              <w:left w:val="outset" w:sz="6" w:space="0" w:color="414142"/>
              <w:bottom w:val="outset" w:sz="6" w:space="0" w:color="414142"/>
              <w:right w:val="outset" w:sz="6" w:space="0" w:color="414142"/>
            </w:tcBorders>
            <w:hideMark/>
          </w:tcPr>
          <w:p w14:paraId="5F79A515"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Citas starptautiskās saistības</w:t>
            </w:r>
          </w:p>
        </w:tc>
        <w:tc>
          <w:tcPr>
            <w:tcW w:w="3830" w:type="pct"/>
            <w:tcBorders>
              <w:top w:val="outset" w:sz="6" w:space="0" w:color="414142"/>
              <w:left w:val="outset" w:sz="6" w:space="0" w:color="414142"/>
              <w:bottom w:val="outset" w:sz="6" w:space="0" w:color="414142"/>
              <w:right w:val="outset" w:sz="6" w:space="0" w:color="414142"/>
            </w:tcBorders>
            <w:hideMark/>
          </w:tcPr>
          <w:p w14:paraId="58BF0D9D" w14:textId="3F53D801" w:rsidR="00370C20" w:rsidRPr="0072076F" w:rsidRDefault="00CC013E"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Nav</w:t>
            </w:r>
          </w:p>
        </w:tc>
      </w:tr>
      <w:tr w:rsidR="00370C20" w:rsidRPr="0072076F" w14:paraId="2BAC5EB5" w14:textId="77777777" w:rsidTr="006C3EED">
        <w:tc>
          <w:tcPr>
            <w:tcW w:w="250" w:type="pct"/>
            <w:tcBorders>
              <w:top w:val="outset" w:sz="6" w:space="0" w:color="414142"/>
              <w:left w:val="outset" w:sz="6" w:space="0" w:color="414142"/>
              <w:bottom w:val="outset" w:sz="6" w:space="0" w:color="414142"/>
              <w:right w:val="outset" w:sz="6" w:space="0" w:color="414142"/>
            </w:tcBorders>
            <w:hideMark/>
          </w:tcPr>
          <w:p w14:paraId="4DCEDA8F"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w:t>
            </w:r>
          </w:p>
        </w:tc>
        <w:tc>
          <w:tcPr>
            <w:tcW w:w="920" w:type="pct"/>
            <w:tcBorders>
              <w:top w:val="outset" w:sz="6" w:space="0" w:color="414142"/>
              <w:left w:val="outset" w:sz="6" w:space="0" w:color="414142"/>
              <w:bottom w:val="outset" w:sz="6" w:space="0" w:color="414142"/>
              <w:right w:val="outset" w:sz="6" w:space="0" w:color="414142"/>
            </w:tcBorders>
            <w:hideMark/>
          </w:tcPr>
          <w:p w14:paraId="13A38CD3"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Cita informācija</w:t>
            </w:r>
          </w:p>
        </w:tc>
        <w:tc>
          <w:tcPr>
            <w:tcW w:w="3830" w:type="pct"/>
            <w:tcBorders>
              <w:top w:val="outset" w:sz="6" w:space="0" w:color="414142"/>
              <w:left w:val="outset" w:sz="6" w:space="0" w:color="414142"/>
              <w:bottom w:val="outset" w:sz="6" w:space="0" w:color="414142"/>
              <w:right w:val="outset" w:sz="6" w:space="0" w:color="414142"/>
            </w:tcBorders>
            <w:hideMark/>
          </w:tcPr>
          <w:p w14:paraId="045E2B36"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Nav</w:t>
            </w:r>
          </w:p>
        </w:tc>
      </w:tr>
    </w:tbl>
    <w:p w14:paraId="0EBA000D" w14:textId="77777777" w:rsidR="00370C20" w:rsidRPr="0072076F" w:rsidRDefault="00370C20" w:rsidP="00370C20">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41"/>
        <w:gridCol w:w="2285"/>
        <w:gridCol w:w="569"/>
        <w:gridCol w:w="1720"/>
        <w:gridCol w:w="2240"/>
      </w:tblGrid>
      <w:tr w:rsidR="0072076F" w:rsidRPr="0072076F" w14:paraId="7FE66F3F" w14:textId="77777777" w:rsidTr="00B34588">
        <w:trPr>
          <w:jc w:val="center"/>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10A0B257"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1. tabula</w:t>
            </w:r>
            <w:r w:rsidRPr="0072076F">
              <w:rPr>
                <w:rFonts w:ascii="Times New Roman" w:eastAsia="Times New Roman" w:hAnsi="Times New Roman" w:cs="Times New Roman"/>
                <w:b/>
                <w:bCs/>
                <w:sz w:val="24"/>
                <w:szCs w:val="24"/>
                <w:lang w:eastAsia="lv-LV"/>
              </w:rPr>
              <w:br/>
              <w:t>Tiesību akta projekta atbilstība ES tiesību aktiem</w:t>
            </w:r>
          </w:p>
        </w:tc>
      </w:tr>
      <w:tr w:rsidR="0072076F" w:rsidRPr="0072076F" w14:paraId="3005ACFC" w14:textId="77777777" w:rsidTr="00B34588">
        <w:trPr>
          <w:jc w:val="center"/>
        </w:trPr>
        <w:tc>
          <w:tcPr>
            <w:tcW w:w="3763" w:type="pct"/>
            <w:gridSpan w:val="4"/>
            <w:tcBorders>
              <w:top w:val="outset" w:sz="6" w:space="0" w:color="414142"/>
              <w:left w:val="outset" w:sz="6" w:space="0" w:color="414142"/>
              <w:bottom w:val="outset" w:sz="6" w:space="0" w:color="414142"/>
              <w:right w:val="outset" w:sz="6" w:space="0" w:color="414142"/>
            </w:tcBorders>
            <w:hideMark/>
          </w:tcPr>
          <w:p w14:paraId="4646B434" w14:textId="77777777" w:rsidR="00370C20" w:rsidRPr="0072076F" w:rsidRDefault="00370C20" w:rsidP="00B34588">
            <w:pPr>
              <w:spacing w:after="0" w:line="240" w:lineRule="auto"/>
              <w:jc w:val="both"/>
              <w:rPr>
                <w:rFonts w:ascii="Times New Roman" w:eastAsia="Times New Roman" w:hAnsi="Times New Roman" w:cs="Times New Roman"/>
                <w:iCs/>
                <w:sz w:val="24"/>
                <w:szCs w:val="24"/>
                <w:lang w:eastAsia="lv-LV"/>
              </w:rPr>
            </w:pPr>
            <w:r w:rsidRPr="0072076F">
              <w:rPr>
                <w:rFonts w:ascii="Times New Roman" w:eastAsia="Times New Roman" w:hAnsi="Times New Roman" w:cs="Times New Roman"/>
                <w:iCs/>
                <w:sz w:val="24"/>
                <w:szCs w:val="24"/>
                <w:lang w:eastAsia="lv-LV"/>
              </w:rPr>
              <w:t xml:space="preserve">Eiropas Parlamenta un Padomes direktīvu </w:t>
            </w:r>
            <w:r w:rsidRPr="0072076F">
              <w:rPr>
                <w:rFonts w:ascii="Times New Roman" w:eastAsia="Times New Roman" w:hAnsi="Times New Roman" w:cs="Times New Roman"/>
                <w:sz w:val="24"/>
                <w:szCs w:val="24"/>
                <w:lang w:eastAsia="lv-LV"/>
              </w:rPr>
              <w:t>(ES) 2015/2302 (</w:t>
            </w:r>
            <w:r w:rsidRPr="0072076F">
              <w:rPr>
                <w:rFonts w:ascii="Times New Roman" w:eastAsia="Times New Roman" w:hAnsi="Times New Roman" w:cs="Times New Roman"/>
                <w:iCs/>
                <w:sz w:val="24"/>
                <w:szCs w:val="24"/>
                <w:lang w:eastAsia="lv-LV"/>
              </w:rPr>
              <w:t>2015.gada 25.novembris) par kompleksiem ceļojumiem un saistītiem ceļojumu pakalpojumiem, ar ko groza Regulu (EK) Nr. 2006/2004 un Eiropas Parlamenta un Padomes Direktīvu 2011/83/ES un atceļ Padomes Direktīvu 90/314/EEK.</w:t>
            </w:r>
          </w:p>
        </w:tc>
        <w:tc>
          <w:tcPr>
            <w:tcW w:w="1237" w:type="pct"/>
            <w:tcBorders>
              <w:top w:val="outset" w:sz="6" w:space="0" w:color="414142"/>
              <w:left w:val="outset" w:sz="6" w:space="0" w:color="414142"/>
              <w:bottom w:val="outset" w:sz="6" w:space="0" w:color="414142"/>
              <w:right w:val="outset" w:sz="6" w:space="0" w:color="414142"/>
            </w:tcBorders>
            <w:hideMark/>
          </w:tcPr>
          <w:p w14:paraId="217C1386"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p>
        </w:tc>
      </w:tr>
      <w:tr w:rsidR="0072076F" w:rsidRPr="0072076F" w14:paraId="00DAE8C1"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hideMark/>
          </w:tcPr>
          <w:p w14:paraId="64CA06F4"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A</w:t>
            </w:r>
          </w:p>
        </w:tc>
        <w:tc>
          <w:tcPr>
            <w:tcW w:w="1262" w:type="pct"/>
            <w:tcBorders>
              <w:top w:val="outset" w:sz="6" w:space="0" w:color="414142"/>
              <w:left w:val="outset" w:sz="6" w:space="0" w:color="414142"/>
              <w:bottom w:val="outset" w:sz="6" w:space="0" w:color="414142"/>
              <w:right w:val="outset" w:sz="6" w:space="0" w:color="414142"/>
            </w:tcBorders>
            <w:vAlign w:val="center"/>
            <w:hideMark/>
          </w:tcPr>
          <w:p w14:paraId="35799C74"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B</w:t>
            </w:r>
          </w:p>
        </w:tc>
        <w:tc>
          <w:tcPr>
            <w:tcW w:w="1264" w:type="pct"/>
            <w:gridSpan w:val="2"/>
            <w:tcBorders>
              <w:top w:val="outset" w:sz="6" w:space="0" w:color="414142"/>
              <w:left w:val="outset" w:sz="6" w:space="0" w:color="414142"/>
              <w:bottom w:val="outset" w:sz="6" w:space="0" w:color="414142"/>
              <w:right w:val="outset" w:sz="6" w:space="0" w:color="414142"/>
            </w:tcBorders>
            <w:vAlign w:val="center"/>
            <w:hideMark/>
          </w:tcPr>
          <w:p w14:paraId="1573D181"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C</w:t>
            </w:r>
          </w:p>
        </w:tc>
        <w:tc>
          <w:tcPr>
            <w:tcW w:w="1237" w:type="pct"/>
            <w:tcBorders>
              <w:top w:val="outset" w:sz="6" w:space="0" w:color="414142"/>
              <w:left w:val="outset" w:sz="6" w:space="0" w:color="414142"/>
              <w:bottom w:val="outset" w:sz="6" w:space="0" w:color="414142"/>
              <w:right w:val="outset" w:sz="6" w:space="0" w:color="414142"/>
            </w:tcBorders>
            <w:vAlign w:val="center"/>
            <w:hideMark/>
          </w:tcPr>
          <w:p w14:paraId="173900A8"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w:t>
            </w:r>
          </w:p>
        </w:tc>
      </w:tr>
      <w:tr w:rsidR="0072076F" w:rsidRPr="0072076F" w14:paraId="4109BB12"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tcPr>
          <w:p w14:paraId="691FDEAC"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b/>
                <w:sz w:val="24"/>
                <w:szCs w:val="24"/>
                <w:lang w:eastAsia="lv-LV"/>
              </w:rPr>
            </w:pPr>
            <w:r w:rsidRPr="0072076F">
              <w:rPr>
                <w:rFonts w:ascii="Times New Roman" w:eastAsia="Times New Roman" w:hAnsi="Times New Roman" w:cs="Times New Roman"/>
                <w:b/>
                <w:sz w:val="24"/>
                <w:szCs w:val="24"/>
                <w:lang w:eastAsia="lv-LV"/>
              </w:rPr>
              <w:t>Direktīva:</w:t>
            </w:r>
          </w:p>
          <w:p w14:paraId="06AE4CEC" w14:textId="77777777" w:rsidR="00370C20" w:rsidRPr="0072076F" w:rsidRDefault="00370C20" w:rsidP="00B34588">
            <w:pPr>
              <w:spacing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3.panta 1.punkts</w:t>
            </w:r>
          </w:p>
        </w:tc>
        <w:tc>
          <w:tcPr>
            <w:tcW w:w="1262" w:type="pct"/>
            <w:tcBorders>
              <w:top w:val="outset" w:sz="6" w:space="0" w:color="414142"/>
              <w:left w:val="outset" w:sz="6" w:space="0" w:color="414142"/>
              <w:bottom w:val="outset" w:sz="6" w:space="0" w:color="414142"/>
              <w:right w:val="outset" w:sz="6" w:space="0" w:color="414142"/>
            </w:tcBorders>
            <w:vAlign w:val="center"/>
          </w:tcPr>
          <w:p w14:paraId="67C9AFE8"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b/>
                <w:sz w:val="24"/>
                <w:szCs w:val="24"/>
                <w:lang w:eastAsia="lv-LV"/>
              </w:rPr>
            </w:pPr>
            <w:r w:rsidRPr="0072076F">
              <w:rPr>
                <w:rFonts w:ascii="Times New Roman" w:eastAsia="Times New Roman" w:hAnsi="Times New Roman" w:cs="Times New Roman"/>
                <w:b/>
                <w:sz w:val="24"/>
                <w:szCs w:val="24"/>
                <w:lang w:eastAsia="lv-LV"/>
              </w:rPr>
              <w:t>Likumprojekts:</w:t>
            </w:r>
          </w:p>
          <w:p w14:paraId="3F6E3DA2"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1.panta 20.punkts</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033F4E57"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2EAD14F5"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780D1670"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2D5A77A2"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3.panta 2.punkts</w:t>
            </w:r>
          </w:p>
        </w:tc>
        <w:tc>
          <w:tcPr>
            <w:tcW w:w="1262" w:type="pct"/>
            <w:tcBorders>
              <w:top w:val="outset" w:sz="6" w:space="0" w:color="414142"/>
              <w:left w:val="outset" w:sz="6" w:space="0" w:color="414142"/>
              <w:bottom w:val="outset" w:sz="6" w:space="0" w:color="414142"/>
              <w:right w:val="outset" w:sz="6" w:space="0" w:color="414142"/>
            </w:tcBorders>
            <w:vAlign w:val="center"/>
          </w:tcPr>
          <w:p w14:paraId="02AC5061"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1.panta 5.punkts</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27945A81"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0160C25D"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4C6206F9"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2922D0C9"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3.panta 3.punkts</w:t>
            </w:r>
          </w:p>
        </w:tc>
        <w:tc>
          <w:tcPr>
            <w:tcW w:w="1262" w:type="pct"/>
            <w:tcBorders>
              <w:top w:val="outset" w:sz="6" w:space="0" w:color="414142"/>
              <w:left w:val="outset" w:sz="6" w:space="0" w:color="414142"/>
              <w:bottom w:val="outset" w:sz="6" w:space="0" w:color="414142"/>
              <w:right w:val="outset" w:sz="6" w:space="0" w:color="414142"/>
            </w:tcBorders>
            <w:vAlign w:val="center"/>
          </w:tcPr>
          <w:p w14:paraId="37B0650B"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1.panta 29.punkts</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05212F6A"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6524B5DF"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2291636C"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67B26BED"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3.panta 5.punkts</w:t>
            </w:r>
          </w:p>
        </w:tc>
        <w:tc>
          <w:tcPr>
            <w:tcW w:w="1262" w:type="pct"/>
            <w:tcBorders>
              <w:top w:val="outset" w:sz="6" w:space="0" w:color="414142"/>
              <w:left w:val="outset" w:sz="6" w:space="0" w:color="414142"/>
              <w:bottom w:val="outset" w:sz="6" w:space="0" w:color="414142"/>
              <w:right w:val="outset" w:sz="6" w:space="0" w:color="414142"/>
            </w:tcBorders>
            <w:vAlign w:val="center"/>
          </w:tcPr>
          <w:p w14:paraId="42E34B66"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1.panta 33.punkts</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24D05BE7"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68626A35"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57D7D657"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3E9FFCDA"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lastRenderedPageBreak/>
              <w:t>3.panta 6.punkts</w:t>
            </w:r>
          </w:p>
        </w:tc>
        <w:tc>
          <w:tcPr>
            <w:tcW w:w="1262" w:type="pct"/>
            <w:tcBorders>
              <w:top w:val="outset" w:sz="6" w:space="0" w:color="414142"/>
              <w:left w:val="outset" w:sz="6" w:space="0" w:color="414142"/>
              <w:bottom w:val="outset" w:sz="6" w:space="0" w:color="414142"/>
              <w:right w:val="outset" w:sz="6" w:space="0" w:color="414142"/>
            </w:tcBorders>
            <w:vAlign w:val="center"/>
          </w:tcPr>
          <w:p w14:paraId="1AB41023"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1.panta 30.punkts</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08DBD97F"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75339B40"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066F4D84"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0E46BD9F"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3.panta 7.punkts</w:t>
            </w:r>
          </w:p>
        </w:tc>
        <w:tc>
          <w:tcPr>
            <w:tcW w:w="1262" w:type="pct"/>
            <w:tcBorders>
              <w:top w:val="outset" w:sz="6" w:space="0" w:color="414142"/>
              <w:left w:val="outset" w:sz="6" w:space="0" w:color="414142"/>
              <w:bottom w:val="outset" w:sz="6" w:space="0" w:color="414142"/>
              <w:right w:val="outset" w:sz="6" w:space="0" w:color="414142"/>
            </w:tcBorders>
            <w:vAlign w:val="center"/>
          </w:tcPr>
          <w:p w14:paraId="4AE53376"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1.panta 31.punkts</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55F40045"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0CBB3F12"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16FA75DC"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76FD685D"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3.panta 8.punkts</w:t>
            </w:r>
          </w:p>
        </w:tc>
        <w:tc>
          <w:tcPr>
            <w:tcW w:w="1262" w:type="pct"/>
            <w:tcBorders>
              <w:top w:val="outset" w:sz="6" w:space="0" w:color="414142"/>
              <w:left w:val="outset" w:sz="6" w:space="0" w:color="414142"/>
              <w:bottom w:val="outset" w:sz="6" w:space="0" w:color="414142"/>
              <w:right w:val="outset" w:sz="6" w:space="0" w:color="414142"/>
            </w:tcBorders>
            <w:vAlign w:val="center"/>
          </w:tcPr>
          <w:p w14:paraId="7299A674"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1.panta 19.punkts</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0B9394EC"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37C4E10D"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4F24614F"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21882D00"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3.panta 9.punkts</w:t>
            </w:r>
          </w:p>
        </w:tc>
        <w:tc>
          <w:tcPr>
            <w:tcW w:w="1262" w:type="pct"/>
            <w:tcBorders>
              <w:top w:val="outset" w:sz="6" w:space="0" w:color="414142"/>
              <w:left w:val="outset" w:sz="6" w:space="0" w:color="414142"/>
              <w:bottom w:val="outset" w:sz="6" w:space="0" w:color="414142"/>
              <w:right w:val="outset" w:sz="6" w:space="0" w:color="414142"/>
            </w:tcBorders>
            <w:vAlign w:val="center"/>
          </w:tcPr>
          <w:p w14:paraId="003315B2"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1.panta 14.punkts</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42D40616"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5AFA4B37"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3E6B2465"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41B5F5DB"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3.panta 15.punkts</w:t>
            </w:r>
          </w:p>
        </w:tc>
        <w:tc>
          <w:tcPr>
            <w:tcW w:w="1262" w:type="pct"/>
            <w:tcBorders>
              <w:top w:val="outset" w:sz="6" w:space="0" w:color="414142"/>
              <w:left w:val="outset" w:sz="6" w:space="0" w:color="414142"/>
              <w:bottom w:val="outset" w:sz="6" w:space="0" w:color="414142"/>
              <w:right w:val="outset" w:sz="6" w:space="0" w:color="414142"/>
            </w:tcBorders>
            <w:vAlign w:val="center"/>
          </w:tcPr>
          <w:p w14:paraId="7CA5AA72"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1.panta 32.punkts</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7A88DA16"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6F2375CD"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3AC0041B"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2F601853"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3.panta 16.punkts </w:t>
            </w:r>
          </w:p>
        </w:tc>
        <w:tc>
          <w:tcPr>
            <w:tcW w:w="1262" w:type="pct"/>
            <w:tcBorders>
              <w:top w:val="outset" w:sz="6" w:space="0" w:color="414142"/>
              <w:left w:val="outset" w:sz="6" w:space="0" w:color="414142"/>
              <w:bottom w:val="outset" w:sz="6" w:space="0" w:color="414142"/>
              <w:right w:val="outset" w:sz="6" w:space="0" w:color="414142"/>
            </w:tcBorders>
            <w:vAlign w:val="center"/>
          </w:tcPr>
          <w:p w14:paraId="1491F5A2" w14:textId="77777777" w:rsidR="00370C20" w:rsidRPr="0072076F" w:rsidRDefault="00370C20" w:rsidP="00B34588">
            <w:pPr>
              <w:spacing w:before="100" w:beforeAutospacing="1" w:after="100" w:afterAutospacing="1"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1.panta 34.punkts</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3E88F449"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27106359"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3D40A26A"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736A512E"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17.panta 1.punkta pirmā daļa</w:t>
            </w:r>
          </w:p>
        </w:tc>
        <w:tc>
          <w:tcPr>
            <w:tcW w:w="1262" w:type="pct"/>
            <w:tcBorders>
              <w:top w:val="outset" w:sz="6" w:space="0" w:color="414142"/>
              <w:left w:val="outset" w:sz="6" w:space="0" w:color="414142"/>
              <w:bottom w:val="outset" w:sz="6" w:space="0" w:color="414142"/>
              <w:right w:val="outset" w:sz="6" w:space="0" w:color="414142"/>
            </w:tcBorders>
            <w:vAlign w:val="center"/>
          </w:tcPr>
          <w:p w14:paraId="50B93597" w14:textId="6B7CBC50" w:rsidR="00370C20" w:rsidRPr="0072076F" w:rsidRDefault="00CC013E"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16.panta piektā daļa</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6C49C0A3"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647024CC"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20397FD3"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73A3A375" w14:textId="01995E53"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17.panta 1.punkt</w:t>
            </w:r>
            <w:r w:rsidR="00CC013E" w:rsidRPr="0072076F">
              <w:rPr>
                <w:rFonts w:ascii="Times New Roman" w:eastAsia="Times New Roman" w:hAnsi="Times New Roman" w:cs="Times New Roman"/>
                <w:sz w:val="24"/>
                <w:szCs w:val="24"/>
                <w:lang w:eastAsia="lv-LV"/>
              </w:rPr>
              <w:t>a</w:t>
            </w:r>
            <w:r w:rsidRPr="0072076F">
              <w:rPr>
                <w:rFonts w:ascii="Times New Roman" w:eastAsia="Times New Roman" w:hAnsi="Times New Roman" w:cs="Times New Roman"/>
                <w:sz w:val="24"/>
                <w:szCs w:val="24"/>
                <w:lang w:eastAsia="lv-LV"/>
              </w:rPr>
              <w:t xml:space="preserve"> otrā daļa</w:t>
            </w:r>
          </w:p>
        </w:tc>
        <w:tc>
          <w:tcPr>
            <w:tcW w:w="1262" w:type="pct"/>
            <w:tcBorders>
              <w:top w:val="outset" w:sz="6" w:space="0" w:color="414142"/>
              <w:left w:val="outset" w:sz="6" w:space="0" w:color="414142"/>
              <w:bottom w:val="outset" w:sz="6" w:space="0" w:color="414142"/>
              <w:right w:val="outset" w:sz="6" w:space="0" w:color="414142"/>
            </w:tcBorders>
            <w:vAlign w:val="center"/>
          </w:tcPr>
          <w:p w14:paraId="67C2AF5F" w14:textId="54B76271"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16.panta </w:t>
            </w:r>
            <w:r w:rsidR="007B37F6" w:rsidRPr="0072076F">
              <w:rPr>
                <w:rFonts w:ascii="Times New Roman" w:eastAsia="Times New Roman" w:hAnsi="Times New Roman" w:cs="Times New Roman"/>
                <w:sz w:val="24"/>
                <w:szCs w:val="24"/>
                <w:lang w:eastAsia="lv-LV"/>
              </w:rPr>
              <w:t>devītā</w:t>
            </w:r>
            <w:r w:rsidRPr="0072076F">
              <w:rPr>
                <w:rFonts w:ascii="Times New Roman" w:eastAsia="Times New Roman" w:hAnsi="Times New Roman" w:cs="Times New Roman"/>
                <w:sz w:val="24"/>
                <w:szCs w:val="24"/>
                <w:lang w:eastAsia="lv-LV"/>
              </w:rPr>
              <w:t xml:space="preserve"> daļa</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32CEB0B2"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3E5D66B2"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1E270A41"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58E98E3A"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18.panta 1.punkts</w:t>
            </w:r>
          </w:p>
        </w:tc>
        <w:tc>
          <w:tcPr>
            <w:tcW w:w="1262" w:type="pct"/>
            <w:tcBorders>
              <w:top w:val="outset" w:sz="6" w:space="0" w:color="414142"/>
              <w:left w:val="outset" w:sz="6" w:space="0" w:color="414142"/>
              <w:bottom w:val="outset" w:sz="6" w:space="0" w:color="414142"/>
              <w:right w:val="outset" w:sz="6" w:space="0" w:color="414142"/>
            </w:tcBorders>
            <w:vAlign w:val="center"/>
          </w:tcPr>
          <w:p w14:paraId="13023957" w14:textId="5A10CF89"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16.panta </w:t>
            </w:r>
            <w:r w:rsidR="007B37F6" w:rsidRPr="0072076F">
              <w:rPr>
                <w:rFonts w:ascii="Times New Roman" w:eastAsia="Times New Roman" w:hAnsi="Times New Roman" w:cs="Times New Roman"/>
                <w:sz w:val="24"/>
                <w:szCs w:val="24"/>
                <w:lang w:eastAsia="lv-LV"/>
              </w:rPr>
              <w:t>astotās</w:t>
            </w:r>
            <w:r w:rsidRPr="0072076F">
              <w:rPr>
                <w:rFonts w:ascii="Times New Roman" w:eastAsia="Times New Roman" w:hAnsi="Times New Roman" w:cs="Times New Roman"/>
                <w:sz w:val="24"/>
                <w:szCs w:val="24"/>
                <w:lang w:eastAsia="lv-LV"/>
              </w:rPr>
              <w:t xml:space="preserve"> daļa</w:t>
            </w:r>
            <w:r w:rsidR="007B37F6" w:rsidRPr="0072076F">
              <w:rPr>
                <w:rFonts w:ascii="Times New Roman" w:eastAsia="Times New Roman" w:hAnsi="Times New Roman" w:cs="Times New Roman"/>
                <w:sz w:val="24"/>
                <w:szCs w:val="24"/>
                <w:lang w:eastAsia="lv-LV"/>
              </w:rPr>
              <w:t>s 4.apakšpunkts</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575E7228"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5D4E412C"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5C73B10D"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5AC12E36"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18.panta 2.punkts</w:t>
            </w:r>
          </w:p>
        </w:tc>
        <w:tc>
          <w:tcPr>
            <w:tcW w:w="1262" w:type="pct"/>
            <w:tcBorders>
              <w:top w:val="outset" w:sz="6" w:space="0" w:color="414142"/>
              <w:left w:val="outset" w:sz="6" w:space="0" w:color="414142"/>
              <w:bottom w:val="outset" w:sz="6" w:space="0" w:color="414142"/>
              <w:right w:val="outset" w:sz="6" w:space="0" w:color="414142"/>
            </w:tcBorders>
            <w:vAlign w:val="center"/>
          </w:tcPr>
          <w:p w14:paraId="4016BC36"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bCs/>
                <w:sz w:val="24"/>
                <w:szCs w:val="24"/>
                <w:lang w:eastAsia="lv-LV"/>
              </w:rPr>
              <w:t>8.</w:t>
            </w:r>
            <w:r w:rsidRPr="0072076F">
              <w:rPr>
                <w:rFonts w:ascii="Times New Roman" w:eastAsia="Times New Roman" w:hAnsi="Times New Roman" w:cs="Times New Roman"/>
                <w:bCs/>
                <w:sz w:val="24"/>
                <w:szCs w:val="24"/>
                <w:vertAlign w:val="superscript"/>
                <w:lang w:eastAsia="lv-LV"/>
              </w:rPr>
              <w:t xml:space="preserve">1 </w:t>
            </w:r>
            <w:r w:rsidRPr="0072076F">
              <w:rPr>
                <w:rFonts w:ascii="Times New Roman" w:eastAsia="Times New Roman" w:hAnsi="Times New Roman" w:cs="Times New Roman"/>
                <w:bCs/>
                <w:sz w:val="24"/>
                <w:szCs w:val="24"/>
                <w:lang w:eastAsia="lv-LV"/>
              </w:rPr>
              <w:t>panta 3.punkts</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433F415A"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6CBAFC73"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1F674A60"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5D5C2181"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19.panta 1.punkts</w:t>
            </w:r>
          </w:p>
        </w:tc>
        <w:tc>
          <w:tcPr>
            <w:tcW w:w="1262" w:type="pct"/>
            <w:tcBorders>
              <w:top w:val="outset" w:sz="6" w:space="0" w:color="414142"/>
              <w:left w:val="outset" w:sz="6" w:space="0" w:color="414142"/>
              <w:bottom w:val="outset" w:sz="6" w:space="0" w:color="414142"/>
              <w:right w:val="outset" w:sz="6" w:space="0" w:color="414142"/>
            </w:tcBorders>
            <w:vAlign w:val="center"/>
          </w:tcPr>
          <w:p w14:paraId="327E2D47" w14:textId="50E5EA4F" w:rsidR="00370C20" w:rsidRPr="0072076F" w:rsidRDefault="00370C20" w:rsidP="00B34588">
            <w:pPr>
              <w:spacing w:before="100" w:beforeAutospacing="1" w:after="100" w:afterAutospacing="1" w:line="293" w:lineRule="atLeast"/>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 xml:space="preserve">16.panta </w:t>
            </w:r>
            <w:r w:rsidR="007B37F6" w:rsidRPr="0072076F">
              <w:rPr>
                <w:rFonts w:ascii="Times New Roman" w:eastAsia="Times New Roman" w:hAnsi="Times New Roman" w:cs="Times New Roman"/>
                <w:bCs/>
                <w:sz w:val="24"/>
                <w:szCs w:val="24"/>
                <w:lang w:eastAsia="lv-LV"/>
              </w:rPr>
              <w:t>sestā daļa</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2D9BC759"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4C3B70E8"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2176FA62"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vAlign w:val="center"/>
          </w:tcPr>
          <w:p w14:paraId="589D1366"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39.preambula</w:t>
            </w:r>
          </w:p>
        </w:tc>
        <w:tc>
          <w:tcPr>
            <w:tcW w:w="1262" w:type="pct"/>
            <w:tcBorders>
              <w:top w:val="outset" w:sz="6" w:space="0" w:color="414142"/>
              <w:left w:val="outset" w:sz="6" w:space="0" w:color="414142"/>
              <w:bottom w:val="outset" w:sz="6" w:space="0" w:color="414142"/>
              <w:right w:val="outset" w:sz="6" w:space="0" w:color="414142"/>
            </w:tcBorders>
            <w:vAlign w:val="center"/>
          </w:tcPr>
          <w:p w14:paraId="1CFE17AF"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bCs/>
                <w:sz w:val="24"/>
                <w:szCs w:val="24"/>
                <w:lang w:eastAsia="lv-LV"/>
              </w:rPr>
            </w:pPr>
            <w:r w:rsidRPr="0072076F">
              <w:rPr>
                <w:rFonts w:ascii="Times New Roman" w:eastAsia="Times New Roman" w:hAnsi="Times New Roman" w:cs="Times New Roman"/>
                <w:bCs/>
                <w:sz w:val="24"/>
                <w:szCs w:val="24"/>
                <w:lang w:eastAsia="lv-LV"/>
              </w:rPr>
              <w:t>1.panta 35.punkts</w:t>
            </w:r>
          </w:p>
        </w:tc>
        <w:tc>
          <w:tcPr>
            <w:tcW w:w="1264" w:type="pct"/>
            <w:gridSpan w:val="2"/>
            <w:tcBorders>
              <w:top w:val="outset" w:sz="6" w:space="0" w:color="414142"/>
              <w:left w:val="outset" w:sz="6" w:space="0" w:color="414142"/>
              <w:bottom w:val="outset" w:sz="6" w:space="0" w:color="414142"/>
              <w:right w:val="outset" w:sz="6" w:space="0" w:color="414142"/>
            </w:tcBorders>
            <w:vAlign w:val="center"/>
          </w:tcPr>
          <w:p w14:paraId="5ADF5011"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Direktīvas prasības tiek ieviestas pilnībā.</w:t>
            </w:r>
          </w:p>
        </w:tc>
        <w:tc>
          <w:tcPr>
            <w:tcW w:w="1237" w:type="pct"/>
            <w:tcBorders>
              <w:top w:val="outset" w:sz="6" w:space="0" w:color="414142"/>
              <w:left w:val="outset" w:sz="6" w:space="0" w:color="414142"/>
              <w:bottom w:val="outset" w:sz="6" w:space="0" w:color="414142"/>
              <w:right w:val="outset" w:sz="6" w:space="0" w:color="414142"/>
            </w:tcBorders>
            <w:vAlign w:val="center"/>
          </w:tcPr>
          <w:p w14:paraId="440F7E8F"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Tiesību norma neparedz stingrākas prasības.</w:t>
            </w:r>
          </w:p>
        </w:tc>
      </w:tr>
      <w:tr w:rsidR="0072076F" w:rsidRPr="0072076F" w14:paraId="7F8F2C2D" w14:textId="77777777" w:rsidTr="006C3EED">
        <w:trPr>
          <w:jc w:val="center"/>
        </w:trPr>
        <w:tc>
          <w:tcPr>
            <w:tcW w:w="3763" w:type="pct"/>
            <w:gridSpan w:val="4"/>
            <w:tcBorders>
              <w:top w:val="outset" w:sz="6" w:space="0" w:color="414142"/>
              <w:left w:val="outset" w:sz="6" w:space="0" w:color="414142"/>
              <w:bottom w:val="outset" w:sz="6" w:space="0" w:color="414142"/>
              <w:right w:val="outset" w:sz="6" w:space="0" w:color="414142"/>
            </w:tcBorders>
            <w:hideMark/>
          </w:tcPr>
          <w:p w14:paraId="6C70518C"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72076F">
              <w:rPr>
                <w:rFonts w:ascii="Times New Roman" w:eastAsia="Times New Roman" w:hAnsi="Times New Roman" w:cs="Times New Roman"/>
                <w:sz w:val="24"/>
                <w:szCs w:val="24"/>
                <w:lang w:eastAsia="lv-LV"/>
              </w:rPr>
              <w:br/>
              <w:t>Kādēļ?</w:t>
            </w:r>
          </w:p>
        </w:tc>
        <w:tc>
          <w:tcPr>
            <w:tcW w:w="1237" w:type="pct"/>
            <w:tcBorders>
              <w:top w:val="outset" w:sz="6" w:space="0" w:color="414142"/>
              <w:left w:val="outset" w:sz="6" w:space="0" w:color="414142"/>
              <w:bottom w:val="outset" w:sz="6" w:space="0" w:color="414142"/>
              <w:right w:val="outset" w:sz="6" w:space="0" w:color="414142"/>
            </w:tcBorders>
            <w:hideMark/>
          </w:tcPr>
          <w:p w14:paraId="2BF560CC"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Nav attiecināms</w:t>
            </w:r>
          </w:p>
        </w:tc>
      </w:tr>
      <w:tr w:rsidR="0072076F" w:rsidRPr="0072076F" w14:paraId="202F890C" w14:textId="77777777" w:rsidTr="006C3EED">
        <w:trPr>
          <w:jc w:val="center"/>
        </w:trPr>
        <w:tc>
          <w:tcPr>
            <w:tcW w:w="2813" w:type="pct"/>
            <w:gridSpan w:val="3"/>
            <w:tcBorders>
              <w:top w:val="outset" w:sz="6" w:space="0" w:color="414142"/>
              <w:left w:val="outset" w:sz="6" w:space="0" w:color="414142"/>
              <w:bottom w:val="outset" w:sz="6" w:space="0" w:color="414142"/>
              <w:right w:val="outset" w:sz="6" w:space="0" w:color="414142"/>
            </w:tcBorders>
            <w:hideMark/>
          </w:tcPr>
          <w:p w14:paraId="329EB1C9"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2187" w:type="pct"/>
            <w:gridSpan w:val="2"/>
            <w:tcBorders>
              <w:top w:val="outset" w:sz="6" w:space="0" w:color="414142"/>
              <w:left w:val="outset" w:sz="6" w:space="0" w:color="414142"/>
              <w:bottom w:val="outset" w:sz="6" w:space="0" w:color="414142"/>
              <w:right w:val="outset" w:sz="6" w:space="0" w:color="414142"/>
            </w:tcBorders>
            <w:hideMark/>
          </w:tcPr>
          <w:p w14:paraId="0D17342E"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Saskaņā ar Direktīvas transponēšanas noteikumiem, dalībvalstis tūlīt dara zināmus Eiropas Komisijai pieņemtos tiesību aktu noteikumus, kas saistīti ar Direktīvas pārņemšanu.</w:t>
            </w:r>
          </w:p>
          <w:p w14:paraId="0DE8346A" w14:textId="4785CD4C" w:rsidR="00370C20" w:rsidRPr="0072076F" w:rsidRDefault="00370C20" w:rsidP="00B34588">
            <w:pPr>
              <w:spacing w:after="0" w:line="240" w:lineRule="auto"/>
              <w:rPr>
                <w:rFonts w:ascii="Times New Roman" w:eastAsia="Times New Roman" w:hAnsi="Times New Roman" w:cs="Times New Roman"/>
                <w:sz w:val="24"/>
                <w:szCs w:val="24"/>
                <w:lang w:eastAsia="lv-LV"/>
              </w:rPr>
            </w:pPr>
          </w:p>
        </w:tc>
      </w:tr>
      <w:tr w:rsidR="00370C20" w:rsidRPr="0072076F" w14:paraId="00067648" w14:textId="77777777" w:rsidTr="006C3EED">
        <w:trPr>
          <w:jc w:val="center"/>
        </w:trPr>
        <w:tc>
          <w:tcPr>
            <w:tcW w:w="1237" w:type="pct"/>
            <w:tcBorders>
              <w:top w:val="outset" w:sz="6" w:space="0" w:color="414142"/>
              <w:left w:val="outset" w:sz="6" w:space="0" w:color="414142"/>
              <w:bottom w:val="outset" w:sz="6" w:space="0" w:color="414142"/>
              <w:right w:val="outset" w:sz="6" w:space="0" w:color="414142"/>
            </w:tcBorders>
            <w:hideMark/>
          </w:tcPr>
          <w:p w14:paraId="5AA95039"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Cita informācija</w:t>
            </w:r>
          </w:p>
        </w:tc>
        <w:tc>
          <w:tcPr>
            <w:tcW w:w="3763" w:type="pct"/>
            <w:gridSpan w:val="4"/>
            <w:tcBorders>
              <w:top w:val="outset" w:sz="6" w:space="0" w:color="414142"/>
              <w:left w:val="outset" w:sz="6" w:space="0" w:color="414142"/>
              <w:bottom w:val="outset" w:sz="6" w:space="0" w:color="414142"/>
              <w:right w:val="outset" w:sz="6" w:space="0" w:color="414142"/>
            </w:tcBorders>
            <w:hideMark/>
          </w:tcPr>
          <w:p w14:paraId="2C7783C2"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Nav</w:t>
            </w:r>
          </w:p>
        </w:tc>
      </w:tr>
    </w:tbl>
    <w:p w14:paraId="12F4629A" w14:textId="77777777" w:rsidR="00370C20" w:rsidRPr="0072076F" w:rsidRDefault="00370C20" w:rsidP="00370C20"/>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56"/>
      </w:tblGrid>
      <w:tr w:rsidR="0072076F" w:rsidRPr="0072076F" w14:paraId="49FFB3E1" w14:textId="77777777" w:rsidTr="00B34588">
        <w:trPr>
          <w:trHeight w:val="792"/>
          <w:jc w:val="center"/>
        </w:trPr>
        <w:tc>
          <w:tcPr>
            <w:tcW w:w="5000" w:type="pct"/>
            <w:vAlign w:val="center"/>
          </w:tcPr>
          <w:p w14:paraId="44777B7F" w14:textId="77777777" w:rsidR="00370C20" w:rsidRPr="0072076F" w:rsidRDefault="00370C20" w:rsidP="00B34588">
            <w:pPr>
              <w:pStyle w:val="naisnod"/>
              <w:spacing w:before="0" w:after="0"/>
            </w:pPr>
            <w:r w:rsidRPr="0072076F">
              <w:t xml:space="preserve">2.tabula </w:t>
            </w:r>
          </w:p>
          <w:p w14:paraId="36C99E8F" w14:textId="77777777" w:rsidR="00370C20" w:rsidRPr="0072076F" w:rsidRDefault="00370C20" w:rsidP="00B34588">
            <w:pPr>
              <w:pStyle w:val="naisnod"/>
              <w:spacing w:before="0" w:after="0"/>
            </w:pPr>
            <w:r w:rsidRPr="0072076F">
              <w:t>Ar tiesību akta projektu uzņemtās saistības, kas izriet no starptautiskajiem tiesību aktiem vai starptautiskas institūcijas vai organizācijas dokumentiem</w:t>
            </w:r>
          </w:p>
          <w:p w14:paraId="6FD49908" w14:textId="77777777" w:rsidR="00370C20" w:rsidRPr="0072076F" w:rsidRDefault="00370C20" w:rsidP="00B34588">
            <w:pPr>
              <w:pStyle w:val="naisnod"/>
              <w:spacing w:before="0" w:after="0"/>
            </w:pPr>
            <w:r w:rsidRPr="0072076F">
              <w:t>Pasākumi šo saistību izpildei</w:t>
            </w:r>
          </w:p>
        </w:tc>
      </w:tr>
      <w:tr w:rsidR="00370C20" w:rsidRPr="0072076F" w14:paraId="51088840" w14:textId="77777777" w:rsidTr="00B34588">
        <w:trPr>
          <w:trHeight w:val="529"/>
          <w:jc w:val="center"/>
        </w:trPr>
        <w:tc>
          <w:tcPr>
            <w:tcW w:w="5000" w:type="pct"/>
            <w:vAlign w:val="center"/>
          </w:tcPr>
          <w:p w14:paraId="71A48ED5" w14:textId="77777777" w:rsidR="00370C20" w:rsidRPr="0072076F" w:rsidRDefault="00370C20" w:rsidP="00B34588">
            <w:pPr>
              <w:pStyle w:val="naisnod"/>
              <w:spacing w:before="0" w:after="0"/>
              <w:rPr>
                <w:b w:val="0"/>
              </w:rPr>
            </w:pPr>
            <w:r w:rsidRPr="0072076F">
              <w:rPr>
                <w:b w:val="0"/>
              </w:rPr>
              <w:t>Nav attiecināms</w:t>
            </w:r>
          </w:p>
        </w:tc>
      </w:tr>
    </w:tbl>
    <w:p w14:paraId="4F5FD74A" w14:textId="77777777" w:rsidR="00370C20" w:rsidRPr="0072076F" w:rsidRDefault="00370C20" w:rsidP="00370C20">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517"/>
        <w:gridCol w:w="6085"/>
      </w:tblGrid>
      <w:tr w:rsidR="0072076F" w:rsidRPr="0072076F" w14:paraId="7FEB0D8E" w14:textId="77777777" w:rsidTr="00B34588">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AD31C22"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VI. Sabiedrības līdzdalība un komunikācijas aktivitātes</w:t>
            </w:r>
          </w:p>
        </w:tc>
      </w:tr>
      <w:tr w:rsidR="0072076F" w:rsidRPr="0072076F" w14:paraId="10194908" w14:textId="77777777" w:rsidTr="006C3EED">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7773EC2E"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w:t>
            </w:r>
          </w:p>
        </w:tc>
        <w:tc>
          <w:tcPr>
            <w:tcW w:w="1390" w:type="pct"/>
            <w:tcBorders>
              <w:top w:val="outset" w:sz="6" w:space="0" w:color="414142"/>
              <w:left w:val="outset" w:sz="6" w:space="0" w:color="414142"/>
              <w:bottom w:val="outset" w:sz="6" w:space="0" w:color="414142"/>
              <w:right w:val="outset" w:sz="6" w:space="0" w:color="414142"/>
            </w:tcBorders>
            <w:hideMark/>
          </w:tcPr>
          <w:p w14:paraId="35389A9F"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5F95C7A7" w14:textId="577B68DB"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Sabiedrības līdzdalība projekta izstrādē </w:t>
            </w:r>
            <w:r w:rsidR="00745EC5" w:rsidRPr="0072076F">
              <w:rPr>
                <w:rFonts w:ascii="Times New Roman" w:eastAsia="Times New Roman" w:hAnsi="Times New Roman" w:cs="Times New Roman"/>
                <w:sz w:val="24"/>
                <w:szCs w:val="24"/>
                <w:lang w:eastAsia="lv-LV"/>
              </w:rPr>
              <w:t>tiek</w:t>
            </w:r>
            <w:r w:rsidRPr="0072076F">
              <w:rPr>
                <w:rFonts w:ascii="Times New Roman" w:eastAsia="Times New Roman" w:hAnsi="Times New Roman" w:cs="Times New Roman"/>
                <w:sz w:val="24"/>
                <w:szCs w:val="24"/>
                <w:lang w:eastAsia="lv-LV"/>
              </w:rPr>
              <w:t xml:space="preserve"> nodrošināta, divas nedēļas pirms likumprojekta izsludināšanas Valsts sekretāru sanāksmē</w:t>
            </w:r>
            <w:r w:rsidR="00745EC5" w:rsidRPr="0072076F">
              <w:rPr>
                <w:rFonts w:ascii="Times New Roman" w:eastAsia="Times New Roman" w:hAnsi="Times New Roman" w:cs="Times New Roman"/>
                <w:sz w:val="24"/>
                <w:szCs w:val="24"/>
                <w:lang w:eastAsia="lv-LV"/>
              </w:rPr>
              <w:t xml:space="preserve"> </w:t>
            </w:r>
            <w:r w:rsidRPr="0072076F">
              <w:rPr>
                <w:rFonts w:ascii="Times New Roman" w:eastAsia="Times New Roman" w:hAnsi="Times New Roman" w:cs="Times New Roman"/>
                <w:sz w:val="24"/>
                <w:szCs w:val="24"/>
                <w:lang w:eastAsia="lv-LV"/>
              </w:rPr>
              <w:t xml:space="preserve">publicējot </w:t>
            </w:r>
            <w:r w:rsidR="00745EC5" w:rsidRPr="0072076F">
              <w:rPr>
                <w:rFonts w:ascii="Times New Roman" w:eastAsia="Times New Roman" w:hAnsi="Times New Roman" w:cs="Times New Roman"/>
                <w:sz w:val="24"/>
                <w:szCs w:val="24"/>
                <w:lang w:eastAsia="lv-LV"/>
              </w:rPr>
              <w:t xml:space="preserve">to </w:t>
            </w:r>
            <w:r w:rsidRPr="0072076F">
              <w:rPr>
                <w:rFonts w:ascii="Times New Roman" w:eastAsia="Times New Roman" w:hAnsi="Times New Roman" w:cs="Times New Roman"/>
                <w:sz w:val="24"/>
                <w:szCs w:val="24"/>
                <w:lang w:eastAsia="lv-LV"/>
              </w:rPr>
              <w:t xml:space="preserve">EM mājas lapā, kā arī </w:t>
            </w:r>
            <w:r w:rsidR="00745EC5" w:rsidRPr="0072076F">
              <w:rPr>
                <w:rFonts w:ascii="Times New Roman" w:eastAsia="Times New Roman" w:hAnsi="Times New Roman" w:cs="Times New Roman"/>
                <w:sz w:val="24"/>
                <w:szCs w:val="24"/>
                <w:lang w:eastAsia="lv-LV"/>
              </w:rPr>
              <w:t>tiks</w:t>
            </w:r>
            <w:r w:rsidRPr="0072076F">
              <w:rPr>
                <w:rFonts w:ascii="Times New Roman" w:eastAsia="Times New Roman" w:hAnsi="Times New Roman" w:cs="Times New Roman"/>
                <w:sz w:val="24"/>
                <w:szCs w:val="24"/>
                <w:lang w:eastAsia="lv-LV"/>
              </w:rPr>
              <w:t xml:space="preserve"> nodrošināta turpmākā likumprojekta saskaņošanas gaitā pēc tā izsludināšanas Valsts sekretāru sanāksmē. </w:t>
            </w:r>
          </w:p>
        </w:tc>
      </w:tr>
      <w:tr w:rsidR="0072076F" w:rsidRPr="0072076F" w14:paraId="7A2D9936" w14:textId="77777777" w:rsidTr="006C3EED">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351378F2"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2.</w:t>
            </w:r>
          </w:p>
        </w:tc>
        <w:tc>
          <w:tcPr>
            <w:tcW w:w="1390" w:type="pct"/>
            <w:tcBorders>
              <w:top w:val="outset" w:sz="6" w:space="0" w:color="414142"/>
              <w:left w:val="outset" w:sz="6" w:space="0" w:color="414142"/>
              <w:bottom w:val="outset" w:sz="6" w:space="0" w:color="414142"/>
              <w:right w:val="outset" w:sz="6" w:space="0" w:color="414142"/>
            </w:tcBorders>
            <w:hideMark/>
          </w:tcPr>
          <w:p w14:paraId="4713A8DE"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58421507"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Likumprojekts ir saskaņots ar Eiropas Parlamenta un Eiropas Padomes Direktīvas (ES) 2015/2302 par kompleksiem ceļojumiem un saistītiem ceļojumu pakalpojumiem darba grupu, kas pārstāv gan patērētāju, gan komersantu intereses.</w:t>
            </w:r>
          </w:p>
        </w:tc>
      </w:tr>
      <w:tr w:rsidR="0072076F" w:rsidRPr="0072076F" w14:paraId="27C07D87" w14:textId="77777777" w:rsidTr="006C3EED">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425BAD7E"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w:t>
            </w:r>
          </w:p>
        </w:tc>
        <w:tc>
          <w:tcPr>
            <w:tcW w:w="1390" w:type="pct"/>
            <w:tcBorders>
              <w:top w:val="outset" w:sz="6" w:space="0" w:color="414142"/>
              <w:left w:val="outset" w:sz="6" w:space="0" w:color="414142"/>
              <w:bottom w:val="outset" w:sz="6" w:space="0" w:color="414142"/>
              <w:right w:val="outset" w:sz="6" w:space="0" w:color="414142"/>
            </w:tcBorders>
            <w:hideMark/>
          </w:tcPr>
          <w:p w14:paraId="521BA4CC"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098E00C7" w14:textId="7D994808" w:rsidR="00370C20" w:rsidRPr="0072076F" w:rsidRDefault="00745EC5"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Darba grupā izteiktie priekšlikumi ir ņemti vērā.</w:t>
            </w:r>
          </w:p>
        </w:tc>
      </w:tr>
      <w:tr w:rsidR="00370C20" w:rsidRPr="0072076F" w14:paraId="44573D17" w14:textId="77777777" w:rsidTr="006C3EED">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1E9C7677"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4.</w:t>
            </w:r>
          </w:p>
        </w:tc>
        <w:tc>
          <w:tcPr>
            <w:tcW w:w="1390" w:type="pct"/>
            <w:tcBorders>
              <w:top w:val="outset" w:sz="6" w:space="0" w:color="414142"/>
              <w:left w:val="outset" w:sz="6" w:space="0" w:color="414142"/>
              <w:bottom w:val="outset" w:sz="6" w:space="0" w:color="414142"/>
              <w:right w:val="outset" w:sz="6" w:space="0" w:color="414142"/>
            </w:tcBorders>
            <w:hideMark/>
          </w:tcPr>
          <w:p w14:paraId="73798593"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18064A25" w14:textId="77777777" w:rsidR="00370C20" w:rsidRPr="0072076F" w:rsidRDefault="00370C20" w:rsidP="00B34588">
            <w:pPr>
              <w:tabs>
                <w:tab w:val="left" w:pos="4283"/>
              </w:tabs>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Nav</w:t>
            </w:r>
          </w:p>
        </w:tc>
      </w:tr>
    </w:tbl>
    <w:p w14:paraId="61CF786A" w14:textId="77777777" w:rsidR="00370C20" w:rsidRPr="0072076F" w:rsidRDefault="00370C20" w:rsidP="00370C20">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9"/>
        <w:gridCol w:w="1568"/>
        <w:gridCol w:w="7198"/>
      </w:tblGrid>
      <w:tr w:rsidR="0072076F" w:rsidRPr="0072076F" w14:paraId="3B5F446E" w14:textId="77777777" w:rsidTr="00B34588">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F4B6B46" w14:textId="77777777" w:rsidR="00370C20" w:rsidRPr="0072076F" w:rsidRDefault="00370C20" w:rsidP="00B3458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VII. Tiesību akta projekta izpildes nodrošināšana un tās ietekme uz institūcijām</w:t>
            </w:r>
          </w:p>
        </w:tc>
      </w:tr>
      <w:tr w:rsidR="0072076F" w:rsidRPr="0072076F" w14:paraId="2FC460D9" w14:textId="77777777" w:rsidTr="006C3EED">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50D10E4C"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1.</w:t>
            </w:r>
          </w:p>
        </w:tc>
        <w:tc>
          <w:tcPr>
            <w:tcW w:w="685" w:type="pct"/>
            <w:tcBorders>
              <w:top w:val="outset" w:sz="6" w:space="0" w:color="414142"/>
              <w:left w:val="outset" w:sz="6" w:space="0" w:color="414142"/>
              <w:bottom w:val="outset" w:sz="6" w:space="0" w:color="414142"/>
              <w:right w:val="outset" w:sz="6" w:space="0" w:color="414142"/>
            </w:tcBorders>
            <w:hideMark/>
          </w:tcPr>
          <w:p w14:paraId="7F1E4762"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Projekta izpildē iesaistītās institūcijas</w:t>
            </w:r>
          </w:p>
        </w:tc>
        <w:tc>
          <w:tcPr>
            <w:tcW w:w="4065" w:type="pct"/>
            <w:tcBorders>
              <w:top w:val="outset" w:sz="6" w:space="0" w:color="414142"/>
              <w:left w:val="outset" w:sz="6" w:space="0" w:color="414142"/>
              <w:bottom w:val="outset" w:sz="6" w:space="0" w:color="414142"/>
              <w:right w:val="outset" w:sz="6" w:space="0" w:color="414142"/>
            </w:tcBorders>
            <w:hideMark/>
          </w:tcPr>
          <w:p w14:paraId="47A56945"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EM un PTAC</w:t>
            </w:r>
          </w:p>
        </w:tc>
      </w:tr>
      <w:tr w:rsidR="0072076F" w:rsidRPr="0072076F" w14:paraId="4DEE0CC8" w14:textId="77777777" w:rsidTr="006C3EED">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1BC42413"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2.</w:t>
            </w:r>
          </w:p>
        </w:tc>
        <w:tc>
          <w:tcPr>
            <w:tcW w:w="685" w:type="pct"/>
            <w:tcBorders>
              <w:top w:val="outset" w:sz="6" w:space="0" w:color="414142"/>
              <w:left w:val="outset" w:sz="6" w:space="0" w:color="414142"/>
              <w:bottom w:val="outset" w:sz="6" w:space="0" w:color="414142"/>
              <w:right w:val="outset" w:sz="6" w:space="0" w:color="414142"/>
            </w:tcBorders>
            <w:hideMark/>
          </w:tcPr>
          <w:p w14:paraId="4EA8AC11"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Projekta izpildes ietekme uz pārvaldes funkcijām un institucionālo struktūru.</w:t>
            </w:r>
          </w:p>
          <w:p w14:paraId="37DDE6BC" w14:textId="77777777" w:rsidR="00370C20" w:rsidRPr="0072076F" w:rsidRDefault="00370C20" w:rsidP="00B34588">
            <w:pPr>
              <w:spacing w:before="100" w:beforeAutospacing="1" w:after="100" w:afterAutospacing="1" w:line="293" w:lineRule="atLeast"/>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4065" w:type="pct"/>
            <w:tcBorders>
              <w:top w:val="outset" w:sz="6" w:space="0" w:color="414142"/>
              <w:left w:val="outset" w:sz="6" w:space="0" w:color="414142"/>
              <w:bottom w:val="outset" w:sz="6" w:space="0" w:color="414142"/>
              <w:right w:val="outset" w:sz="6" w:space="0" w:color="414142"/>
            </w:tcBorders>
            <w:hideMark/>
          </w:tcPr>
          <w:p w14:paraId="56E99CFA"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Lai nodrošinātu jaunās garantiju sistēmas ieviešanu un uzraudzību, </w:t>
            </w:r>
            <w:r w:rsidRPr="0072076F">
              <w:rPr>
                <w:rFonts w:ascii="Times New Roman" w:eastAsia="Times New Roman" w:hAnsi="Times New Roman" w:cs="Times New Roman"/>
                <w:b/>
                <w:sz w:val="24"/>
                <w:szCs w:val="24"/>
                <w:lang w:eastAsia="lv-LV"/>
              </w:rPr>
              <w:t>nepieciešams stiprināt PTAC kapacitāti</w:t>
            </w:r>
            <w:r w:rsidRPr="0072076F">
              <w:rPr>
                <w:rFonts w:ascii="Times New Roman" w:eastAsia="Times New Roman" w:hAnsi="Times New Roman" w:cs="Times New Roman"/>
                <w:sz w:val="24"/>
                <w:szCs w:val="24"/>
                <w:lang w:eastAsia="lv-LV"/>
              </w:rPr>
              <w:t>.</w:t>
            </w:r>
          </w:p>
          <w:p w14:paraId="5B380520"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0F298275"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PTAC plānotās jaunās funkcijas komplekso un saistīto tūrisma pakalpojumu jomā:</w:t>
            </w:r>
          </w:p>
          <w:p w14:paraId="467E7036" w14:textId="56BAC512" w:rsidR="00370C20" w:rsidRPr="0072076F" w:rsidRDefault="0072190D" w:rsidP="00B34588">
            <w:pPr>
              <w:numPr>
                <w:ilvl w:val="0"/>
                <w:numId w:val="16"/>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Tūrisma aģentu un tūrisma</w:t>
            </w:r>
            <w:r w:rsidR="00370C20" w:rsidRPr="0072076F">
              <w:rPr>
                <w:rFonts w:ascii="Times New Roman" w:eastAsia="Times New Roman" w:hAnsi="Times New Roman" w:cs="Times New Roman"/>
                <w:sz w:val="24"/>
                <w:szCs w:val="24"/>
                <w:lang w:eastAsia="lv-LV"/>
              </w:rPr>
              <w:t xml:space="preserve"> operatoru licencēšana un licences prasību ievērošanas uzraudzība (katru gadu apmēram 500 – 700 komersantiem), informācijas pārbaude un lēmumu sagatavošana; </w:t>
            </w:r>
          </w:p>
          <w:p w14:paraId="7BA399CF" w14:textId="77777777" w:rsidR="00370C20" w:rsidRPr="0072076F" w:rsidRDefault="00370C20" w:rsidP="00B34588">
            <w:pPr>
              <w:numPr>
                <w:ilvl w:val="0"/>
                <w:numId w:val="16"/>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TATO datu bāzes uzturēšana, pilnveidošana, informācijas atjaunināšana  – pašlaik datu bāzē ir 730 ierakstu;</w:t>
            </w:r>
          </w:p>
          <w:p w14:paraId="4E50A45E" w14:textId="77777777" w:rsidR="00370C20" w:rsidRPr="0072076F" w:rsidRDefault="00370C20" w:rsidP="00B34588">
            <w:pPr>
              <w:numPr>
                <w:ilvl w:val="0"/>
                <w:numId w:val="16"/>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Komplekso tūrisma pakalpojumu direktīvas kontaktpunkta funkcija – informācijas sagatavošana un sniegšana citu ES valstu uzraudzības iestādēm par komersantiem, kas darbojas Latvijā, un informācijas pieprasīšana un izvērtēšana no citām uzraudzības iestādēm;</w:t>
            </w:r>
          </w:p>
          <w:p w14:paraId="06BE81E5" w14:textId="77777777" w:rsidR="00370C20" w:rsidRPr="0072076F" w:rsidRDefault="00370C20" w:rsidP="00B34588">
            <w:pPr>
              <w:numPr>
                <w:ilvl w:val="0"/>
                <w:numId w:val="16"/>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Tūrisma aģentu, operatoru un saistīto tūrisma pakalpojumu sniedzēju iesniegto datu apkopošana un analīze; </w:t>
            </w:r>
          </w:p>
          <w:p w14:paraId="5589D634" w14:textId="0052E2DF" w:rsidR="00370C20" w:rsidRPr="0072076F" w:rsidRDefault="00370C20" w:rsidP="00B34588">
            <w:pPr>
              <w:pStyle w:val="ListParagraph"/>
              <w:numPr>
                <w:ilvl w:val="0"/>
                <w:numId w:val="16"/>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Komplekso un saistīto tūrisma pakalpojumu regulējuma uzraudzība, īpaši attiecībā uz </w:t>
            </w:r>
            <w:r w:rsidR="00953872" w:rsidRPr="0072076F">
              <w:rPr>
                <w:rFonts w:ascii="Times New Roman" w:eastAsia="Times New Roman" w:hAnsi="Times New Roman" w:cs="Times New Roman"/>
                <w:sz w:val="24"/>
                <w:szCs w:val="24"/>
                <w:lang w:eastAsia="lv-LV"/>
              </w:rPr>
              <w:t>tūrisma pakalpojumu sniedzēju nodrošinājumu tūrisma pakalpojuma sniedzēja maksātnespējas gadījumā</w:t>
            </w:r>
            <w:r w:rsidRPr="0072076F">
              <w:rPr>
                <w:rFonts w:ascii="Times New Roman" w:eastAsia="Times New Roman" w:hAnsi="Times New Roman" w:cs="Times New Roman"/>
                <w:sz w:val="24"/>
                <w:szCs w:val="24"/>
                <w:lang w:eastAsia="lv-LV"/>
              </w:rPr>
              <w:t xml:space="preserve"> (eksistējoša funkcija, bet jauna funkcija attiecībā uz jauniem pakalpojumu veidiem un saistītajiem pakalpojumiem);</w:t>
            </w:r>
          </w:p>
          <w:p w14:paraId="23EB6295" w14:textId="77777777" w:rsidR="00370C20" w:rsidRPr="0072076F" w:rsidRDefault="00370C20" w:rsidP="00B34588">
            <w:pPr>
              <w:numPr>
                <w:ilvl w:val="0"/>
                <w:numId w:val="16"/>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Uzraudzības un pārbaužu veikšana ar nolūku izvērtēt, vai nereģistrētie/nelicencētie komersanti nodarbojas ar komplekso/saistīto tūrisma pakalpojumu sniegšanu ar nolūku panākt šo komersantu licencēšanu/reģistrēšanu un nepieciešamības gadījumā piemērot administratīvos sodus (eksistējoša funkcija, bet jauna funkcija attiecībā uz licencēm un jauniem pakalpojumu veidiem un saistītajiem pakalpojumiem).</w:t>
            </w:r>
          </w:p>
          <w:p w14:paraId="1831B1DE"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45814CEB" w14:textId="77777777" w:rsidR="00370C20" w:rsidRPr="0072076F" w:rsidRDefault="00370C20" w:rsidP="00B34588">
            <w:pPr>
              <w:spacing w:after="0" w:line="240" w:lineRule="auto"/>
              <w:jc w:val="both"/>
              <w:rPr>
                <w:rFonts w:ascii="Times New Roman" w:eastAsia="Times New Roman" w:hAnsi="Times New Roman" w:cs="Times New Roman"/>
                <w:b/>
                <w:bCs/>
                <w:sz w:val="24"/>
                <w:szCs w:val="24"/>
                <w:lang w:eastAsia="lv-LV"/>
              </w:rPr>
            </w:pPr>
            <w:r w:rsidRPr="0072076F">
              <w:rPr>
                <w:rFonts w:ascii="Times New Roman" w:eastAsia="Times New Roman" w:hAnsi="Times New Roman" w:cs="Times New Roman"/>
                <w:b/>
                <w:bCs/>
                <w:sz w:val="24"/>
                <w:szCs w:val="24"/>
                <w:lang w:eastAsia="lv-LV"/>
              </w:rPr>
              <w:t xml:space="preserve">Ņemot vērā minēto PTAC ir nepieciešami četri  darbinieki, kas veiks augstāk minētās funkcijas </w:t>
            </w:r>
            <w:r w:rsidRPr="0072076F">
              <w:rPr>
                <w:rFonts w:ascii="Times New Roman" w:eastAsia="Times New Roman" w:hAnsi="Times New Roman" w:cs="Times New Roman"/>
                <w:bCs/>
                <w:sz w:val="24"/>
                <w:szCs w:val="24"/>
                <w:lang w:eastAsia="lv-LV"/>
              </w:rPr>
              <w:t>(2 vecākie eksperti, 1 galvenais juriskonsults, 1 juriskonsults)</w:t>
            </w:r>
            <w:r w:rsidRPr="0072076F">
              <w:rPr>
                <w:rFonts w:ascii="Times New Roman" w:eastAsia="Times New Roman" w:hAnsi="Times New Roman" w:cs="Times New Roman"/>
                <w:b/>
                <w:bCs/>
                <w:sz w:val="24"/>
                <w:szCs w:val="24"/>
                <w:lang w:eastAsia="lv-LV"/>
              </w:rPr>
              <w:t>.</w:t>
            </w:r>
          </w:p>
          <w:p w14:paraId="0C70A0DA" w14:textId="77777777" w:rsidR="00370C20" w:rsidRPr="0072076F" w:rsidRDefault="00370C20" w:rsidP="00B34588">
            <w:pPr>
              <w:spacing w:after="0" w:line="240" w:lineRule="auto"/>
              <w:jc w:val="both"/>
              <w:rPr>
                <w:rFonts w:ascii="Times New Roman" w:eastAsia="Times New Roman" w:hAnsi="Times New Roman" w:cs="Times New Roman"/>
                <w:b/>
                <w:bCs/>
                <w:sz w:val="24"/>
                <w:szCs w:val="24"/>
                <w:lang w:eastAsia="lv-LV"/>
              </w:rPr>
            </w:pPr>
          </w:p>
          <w:p w14:paraId="57D777A0" w14:textId="77777777" w:rsidR="00370C20" w:rsidRPr="0072076F" w:rsidRDefault="00370C20" w:rsidP="00B34588">
            <w:pPr>
              <w:spacing w:after="0" w:line="240" w:lineRule="auto"/>
              <w:jc w:val="both"/>
              <w:rPr>
                <w:rFonts w:ascii="Times New Roman" w:eastAsia="Times New Roman" w:hAnsi="Times New Roman" w:cs="Times New Roman"/>
                <w:bCs/>
                <w:sz w:val="24"/>
                <w:szCs w:val="24"/>
                <w:u w:val="single"/>
                <w:lang w:eastAsia="lv-LV"/>
              </w:rPr>
            </w:pPr>
            <w:r w:rsidRPr="0072076F">
              <w:rPr>
                <w:rFonts w:ascii="Times New Roman" w:eastAsia="Times New Roman" w:hAnsi="Times New Roman" w:cs="Times New Roman"/>
                <w:bCs/>
                <w:sz w:val="24"/>
                <w:szCs w:val="24"/>
                <w:u w:val="single"/>
                <w:lang w:eastAsia="lv-LV"/>
              </w:rPr>
              <w:t>2 vecākie eksperti, kuru funkcijās ietilps:</w:t>
            </w:r>
          </w:p>
          <w:p w14:paraId="00152A51" w14:textId="3B93461A" w:rsidR="00370C20" w:rsidRPr="0072076F" w:rsidRDefault="00953872" w:rsidP="00B34588">
            <w:pPr>
              <w:pStyle w:val="ListParagraph"/>
              <w:numPr>
                <w:ilvl w:val="0"/>
                <w:numId w:val="25"/>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Tūrisma pakalpojumu sniedzēju nodrošinājuma maksātnespējas gadījumā </w:t>
            </w:r>
            <w:r w:rsidR="00370C20" w:rsidRPr="0072076F">
              <w:rPr>
                <w:rFonts w:ascii="Times New Roman" w:eastAsia="Times New Roman" w:hAnsi="Times New Roman" w:cs="Times New Roman"/>
                <w:sz w:val="24"/>
                <w:szCs w:val="24"/>
                <w:lang w:eastAsia="lv-LV"/>
              </w:rPr>
              <w:t>uzraudzība (t.sk., pārbaužu veikšana);</w:t>
            </w:r>
          </w:p>
          <w:p w14:paraId="47051C33" w14:textId="77777777" w:rsidR="00370C20" w:rsidRPr="0072076F" w:rsidRDefault="00370C20" w:rsidP="00B34588">
            <w:pPr>
              <w:pStyle w:val="ListParagraph"/>
              <w:numPr>
                <w:ilvl w:val="0"/>
                <w:numId w:val="25"/>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Tūrisma aģentu, tūrisma operatoru un saistīto tūrisma pakalpojumu sniedzēju iesniegto datu analīze un sekošana līdzi uzņēmumu finanšu datu izmaiņām;</w:t>
            </w:r>
          </w:p>
          <w:p w14:paraId="2A17A1E7" w14:textId="42D4CD14" w:rsidR="00370C20" w:rsidRPr="0072076F" w:rsidRDefault="00953872" w:rsidP="00B34588">
            <w:pPr>
              <w:pStyle w:val="ListParagraph"/>
              <w:numPr>
                <w:ilvl w:val="0"/>
                <w:numId w:val="25"/>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Tūrisma aģentu un</w:t>
            </w:r>
            <w:r w:rsidR="00370C20" w:rsidRPr="0072076F">
              <w:rPr>
                <w:rFonts w:ascii="Times New Roman" w:eastAsia="Times New Roman" w:hAnsi="Times New Roman" w:cs="Times New Roman"/>
                <w:sz w:val="24"/>
                <w:szCs w:val="24"/>
                <w:lang w:eastAsia="lv-LV"/>
              </w:rPr>
              <w:t xml:space="preserve"> operatoru licencēšana un licences prasību ievērošanas uzraudzība (īpaši attiecībā uz klienta iemaksātās naudas drošības garantijām);</w:t>
            </w:r>
          </w:p>
          <w:p w14:paraId="67AAE612" w14:textId="21182487" w:rsidR="00370C20" w:rsidRPr="0072076F" w:rsidRDefault="00953872" w:rsidP="00B34588">
            <w:pPr>
              <w:pStyle w:val="ListParagraph"/>
              <w:numPr>
                <w:ilvl w:val="0"/>
                <w:numId w:val="25"/>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D</w:t>
            </w:r>
            <w:r w:rsidR="00370C20" w:rsidRPr="0072076F">
              <w:rPr>
                <w:rFonts w:ascii="Times New Roman" w:eastAsia="Times New Roman" w:hAnsi="Times New Roman" w:cs="Times New Roman"/>
                <w:sz w:val="24"/>
                <w:szCs w:val="24"/>
                <w:lang w:eastAsia="lv-LV"/>
              </w:rPr>
              <w:t xml:space="preserve">irektīvas kontaktpunkta funkcija – informācijas sagatavošana un sniegšana citu ES </w:t>
            </w:r>
            <w:r w:rsidRPr="0072076F">
              <w:rPr>
                <w:rFonts w:ascii="Times New Roman" w:eastAsia="Times New Roman" w:hAnsi="Times New Roman" w:cs="Times New Roman"/>
                <w:sz w:val="24"/>
                <w:szCs w:val="24"/>
                <w:lang w:eastAsia="lv-LV"/>
              </w:rPr>
              <w:t>dalīb</w:t>
            </w:r>
            <w:r w:rsidR="00370C20" w:rsidRPr="0072076F">
              <w:rPr>
                <w:rFonts w:ascii="Times New Roman" w:eastAsia="Times New Roman" w:hAnsi="Times New Roman" w:cs="Times New Roman"/>
                <w:sz w:val="24"/>
                <w:szCs w:val="24"/>
                <w:lang w:eastAsia="lv-LV"/>
              </w:rPr>
              <w:t>valstu uzraudzības iestādēm par komersantiem, kas darbojas Latvijā, un informācijas pieprasīšana un izvērtēšana no citām uzraudzības iestādēm;</w:t>
            </w:r>
          </w:p>
          <w:p w14:paraId="22492180" w14:textId="77777777" w:rsidR="00370C20" w:rsidRPr="0072076F" w:rsidRDefault="00370C20" w:rsidP="00B34588">
            <w:pPr>
              <w:pStyle w:val="ListParagraph"/>
              <w:numPr>
                <w:ilvl w:val="0"/>
                <w:numId w:val="25"/>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Uzraudzības un pārbaužu veikšana, ar nolūku izvērtēt, vai nereģistrētie/nelicencētie komersanti nodarbojas ar komplekso/saistīto tūrisma pakalpojumu sniegšanu ar nolūku panākt šo komersantu licencēšanu/reģistrēšanu;</w:t>
            </w:r>
          </w:p>
          <w:p w14:paraId="6A96E09F" w14:textId="77777777" w:rsidR="00370C20" w:rsidRPr="0072076F" w:rsidRDefault="00370C20" w:rsidP="00B34588">
            <w:pPr>
              <w:pStyle w:val="ListParagraph"/>
              <w:numPr>
                <w:ilvl w:val="0"/>
                <w:numId w:val="25"/>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TATO datu bāzes uzturēšana, pilnveidošana, informācijas atjaunināšana.</w:t>
            </w:r>
          </w:p>
          <w:p w14:paraId="39342BA6"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p w14:paraId="217B4AC2" w14:textId="77777777" w:rsidR="00370C20" w:rsidRPr="0072076F" w:rsidRDefault="00370C20" w:rsidP="00B34588">
            <w:pPr>
              <w:spacing w:after="0" w:line="240" w:lineRule="auto"/>
              <w:jc w:val="both"/>
              <w:rPr>
                <w:rFonts w:ascii="Times New Roman" w:eastAsia="Times New Roman" w:hAnsi="Times New Roman" w:cs="Times New Roman"/>
                <w:bCs/>
                <w:sz w:val="24"/>
                <w:szCs w:val="24"/>
                <w:u w:val="single"/>
                <w:lang w:eastAsia="lv-LV"/>
              </w:rPr>
            </w:pPr>
            <w:r w:rsidRPr="0072076F">
              <w:rPr>
                <w:rFonts w:ascii="Times New Roman" w:eastAsia="Times New Roman" w:hAnsi="Times New Roman" w:cs="Times New Roman"/>
                <w:bCs/>
                <w:sz w:val="24"/>
                <w:szCs w:val="24"/>
                <w:u w:val="single"/>
                <w:lang w:eastAsia="lv-LV"/>
              </w:rPr>
              <w:t>1 galvenais juriskonsults, kura funkcijās ietilps:</w:t>
            </w:r>
          </w:p>
          <w:p w14:paraId="11EFCAF2" w14:textId="77777777" w:rsidR="00370C20" w:rsidRPr="0072076F" w:rsidRDefault="00370C20" w:rsidP="00B34588">
            <w:pPr>
              <w:pStyle w:val="ListParagraph"/>
              <w:numPr>
                <w:ilvl w:val="0"/>
                <w:numId w:val="26"/>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Komplekso un saistīto tūrisma pakalpojumu regulējuma uzraudzība (t.sk., pārbaužu veikšana); administratīvo lietu izskatīšana, administratīvo aktu sagatavošana, administratīvo pārkāpumu lietu izskatīšana un lēmumu pieņemšana;</w:t>
            </w:r>
          </w:p>
          <w:p w14:paraId="374970EB" w14:textId="0EB01318" w:rsidR="00370C20" w:rsidRPr="0072076F" w:rsidRDefault="00953872" w:rsidP="00B34588">
            <w:pPr>
              <w:pStyle w:val="ListParagraph"/>
              <w:numPr>
                <w:ilvl w:val="0"/>
                <w:numId w:val="26"/>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Tūrisma aģentu un tūrisma</w:t>
            </w:r>
            <w:r w:rsidR="00370C20" w:rsidRPr="0072076F">
              <w:rPr>
                <w:rFonts w:ascii="Times New Roman" w:eastAsia="Times New Roman" w:hAnsi="Times New Roman" w:cs="Times New Roman"/>
                <w:sz w:val="24"/>
                <w:szCs w:val="24"/>
                <w:lang w:eastAsia="lv-LV"/>
              </w:rPr>
              <w:t xml:space="preserve"> operatoru licencēšana un licences prasību ievērošanas uzraudzība: licences lietu izskatīšana, administratīvo aktu sagatavošana;</w:t>
            </w:r>
          </w:p>
          <w:p w14:paraId="177DBA65" w14:textId="77777777" w:rsidR="00370C20" w:rsidRPr="0072076F" w:rsidRDefault="00370C20" w:rsidP="00B34588">
            <w:pPr>
              <w:pStyle w:val="ListParagraph"/>
              <w:numPr>
                <w:ilvl w:val="0"/>
                <w:numId w:val="26"/>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Komplekso tūrisma pakalpojumu direktīvas kontaktpunkta funkcija – informācijas sagatavošana un sniegšana citu ES valstu uzraudzības iestādēm par komersantiem, kas darbojas Latvijā, un informācijas pieprasīšana un izvērtēšana no citām uzraudzības iestādēm;</w:t>
            </w:r>
          </w:p>
          <w:p w14:paraId="4D64720F" w14:textId="77777777" w:rsidR="00370C20" w:rsidRPr="0072076F" w:rsidRDefault="00370C20" w:rsidP="00B34588">
            <w:pPr>
              <w:pStyle w:val="ListParagraph"/>
              <w:numPr>
                <w:ilvl w:val="0"/>
                <w:numId w:val="26"/>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Uzraudzības un pārbaužu veikšana ar nolūku izvērtēt, vai nereģistrētie/nelicencētie komersanti nodarbojas ar komplekso/saistīto tūrisma pakalpojumu sniegšanu ar nolūku panākt šo komersantu licencēšanu/reģistrēšanu; administratīvo pārkāpumu lietu izskatīšana un lēmumu pieņemšana (atkarīgs no jaunā regulējuma).</w:t>
            </w:r>
          </w:p>
          <w:p w14:paraId="21787A39" w14:textId="77777777" w:rsidR="00370C20" w:rsidRPr="0072076F" w:rsidRDefault="00370C20" w:rsidP="00B34588">
            <w:pPr>
              <w:spacing w:after="0" w:line="240" w:lineRule="auto"/>
              <w:ind w:left="109"/>
              <w:jc w:val="both"/>
              <w:rPr>
                <w:rFonts w:ascii="Times New Roman" w:eastAsia="Times New Roman" w:hAnsi="Times New Roman" w:cs="Times New Roman"/>
                <w:sz w:val="24"/>
                <w:szCs w:val="24"/>
                <w:lang w:eastAsia="lv-LV"/>
              </w:rPr>
            </w:pPr>
          </w:p>
          <w:p w14:paraId="25F5AF34" w14:textId="77777777" w:rsidR="00370C20" w:rsidRPr="0072076F" w:rsidRDefault="00370C20" w:rsidP="00B34588">
            <w:pPr>
              <w:spacing w:after="0" w:line="240" w:lineRule="auto"/>
              <w:jc w:val="both"/>
              <w:rPr>
                <w:rFonts w:ascii="Times New Roman" w:eastAsia="Times New Roman" w:hAnsi="Times New Roman" w:cs="Times New Roman"/>
                <w:bCs/>
                <w:sz w:val="24"/>
                <w:szCs w:val="24"/>
                <w:u w:val="single"/>
                <w:lang w:eastAsia="lv-LV"/>
              </w:rPr>
            </w:pPr>
            <w:r w:rsidRPr="0072076F">
              <w:rPr>
                <w:rFonts w:ascii="Times New Roman" w:eastAsia="Times New Roman" w:hAnsi="Times New Roman" w:cs="Times New Roman"/>
                <w:bCs/>
                <w:sz w:val="24"/>
                <w:szCs w:val="24"/>
                <w:u w:val="single"/>
                <w:lang w:eastAsia="lv-LV"/>
              </w:rPr>
              <w:t>1 juriskonsults, kura funkcijās ietilps:</w:t>
            </w:r>
          </w:p>
          <w:p w14:paraId="5D4F3734" w14:textId="77777777" w:rsidR="00370C20" w:rsidRPr="0072076F" w:rsidRDefault="00370C20" w:rsidP="00B34588">
            <w:pPr>
              <w:pStyle w:val="ListParagraph"/>
              <w:numPr>
                <w:ilvl w:val="0"/>
                <w:numId w:val="27"/>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Komplekso un saistīto tūrisma pakalpojumu regulējuma uzraudzība (t.sk., pārbaužu veikšana); administratīvo lietu izskatīšana, administratīvo aktu sagatavošana, administratīvo pārkāpumu lietu materiālu, protokolu un lēmumu sagatavošana;</w:t>
            </w:r>
          </w:p>
          <w:p w14:paraId="4305B383" w14:textId="5BF31C04" w:rsidR="00370C20" w:rsidRPr="0072076F" w:rsidRDefault="00953872" w:rsidP="00B34588">
            <w:pPr>
              <w:pStyle w:val="ListParagraph"/>
              <w:numPr>
                <w:ilvl w:val="0"/>
                <w:numId w:val="27"/>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Tūrisma aģentu un tūrisma</w:t>
            </w:r>
            <w:r w:rsidR="00370C20" w:rsidRPr="0072076F">
              <w:rPr>
                <w:rFonts w:ascii="Times New Roman" w:eastAsia="Times New Roman" w:hAnsi="Times New Roman" w:cs="Times New Roman"/>
                <w:sz w:val="24"/>
                <w:szCs w:val="24"/>
                <w:lang w:eastAsia="lv-LV"/>
              </w:rPr>
              <w:t xml:space="preserve"> operatoru licencēšana un licences prasību ievērošanas uzraudzība: licences lietu dokumentācijas sagatavošana, administratīvo aktu sagatavošana;</w:t>
            </w:r>
          </w:p>
          <w:p w14:paraId="4CC47877" w14:textId="10303CAA" w:rsidR="00370C20" w:rsidRPr="0072076F" w:rsidRDefault="00370C20" w:rsidP="00B34588">
            <w:pPr>
              <w:pStyle w:val="ListParagraph"/>
              <w:numPr>
                <w:ilvl w:val="0"/>
                <w:numId w:val="27"/>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 xml:space="preserve">Komplekso tūrisma pakalpojumu direktīvas kontaktpunkta funkcija – informācijas sagatavošana un sniegšana citu ES </w:t>
            </w:r>
            <w:r w:rsidR="00953872" w:rsidRPr="0072076F">
              <w:rPr>
                <w:rFonts w:ascii="Times New Roman" w:eastAsia="Times New Roman" w:hAnsi="Times New Roman" w:cs="Times New Roman"/>
                <w:sz w:val="24"/>
                <w:szCs w:val="24"/>
                <w:lang w:eastAsia="lv-LV"/>
              </w:rPr>
              <w:t>dalīb</w:t>
            </w:r>
            <w:r w:rsidRPr="0072076F">
              <w:rPr>
                <w:rFonts w:ascii="Times New Roman" w:eastAsia="Times New Roman" w:hAnsi="Times New Roman" w:cs="Times New Roman"/>
                <w:sz w:val="24"/>
                <w:szCs w:val="24"/>
                <w:lang w:eastAsia="lv-LV"/>
              </w:rPr>
              <w:t>valstu uzraudzības iestādēm par komersantiem, kas darbojas Latvijā, un informācijas pieprasīšana un izvērtēšana no citām uzraudzības iestādēm;</w:t>
            </w:r>
          </w:p>
          <w:p w14:paraId="284E38D6" w14:textId="77777777" w:rsidR="00370C20" w:rsidRPr="0072076F" w:rsidRDefault="00370C20" w:rsidP="00B34588">
            <w:pPr>
              <w:pStyle w:val="ListParagraph"/>
              <w:numPr>
                <w:ilvl w:val="0"/>
                <w:numId w:val="27"/>
              </w:numPr>
              <w:spacing w:after="0" w:line="240" w:lineRule="auto"/>
              <w:ind w:left="469"/>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Uzraudzības un pārbaužu veikšana ar nolūku izvērtēt, vai nereģistrētie/nelicencētie komersanti nodarbojas ar komplekso/saistīto tūrisma pakalpojumu sniegšanu ar nolūku panākt šo komersantu licencēšanu/reģistrēšanu; administratīvo pārkāpumu lietu materiālu, protokolu un lēmumu sagatavošana (atkarīgs no jaunā regulējuma).</w:t>
            </w:r>
          </w:p>
          <w:p w14:paraId="5BE727C8" w14:textId="77777777"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p>
        </w:tc>
      </w:tr>
      <w:tr w:rsidR="00370C20" w:rsidRPr="0072076F" w14:paraId="2029FBA9" w14:textId="77777777" w:rsidTr="006C3EED">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406D286D"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3.</w:t>
            </w:r>
          </w:p>
        </w:tc>
        <w:tc>
          <w:tcPr>
            <w:tcW w:w="685" w:type="pct"/>
            <w:tcBorders>
              <w:top w:val="outset" w:sz="6" w:space="0" w:color="414142"/>
              <w:left w:val="outset" w:sz="6" w:space="0" w:color="414142"/>
              <w:bottom w:val="outset" w:sz="6" w:space="0" w:color="414142"/>
              <w:right w:val="outset" w:sz="6" w:space="0" w:color="414142"/>
            </w:tcBorders>
            <w:hideMark/>
          </w:tcPr>
          <w:p w14:paraId="36B4BA49" w14:textId="77777777" w:rsidR="00370C20" w:rsidRPr="0072076F" w:rsidRDefault="00370C20" w:rsidP="00B34588">
            <w:pPr>
              <w:spacing w:after="0" w:line="240" w:lineRule="auto"/>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Cita informācija</w:t>
            </w:r>
          </w:p>
        </w:tc>
        <w:tc>
          <w:tcPr>
            <w:tcW w:w="4065" w:type="pct"/>
            <w:tcBorders>
              <w:top w:val="outset" w:sz="6" w:space="0" w:color="414142"/>
              <w:left w:val="outset" w:sz="6" w:space="0" w:color="414142"/>
              <w:bottom w:val="outset" w:sz="6" w:space="0" w:color="414142"/>
              <w:right w:val="outset" w:sz="6" w:space="0" w:color="414142"/>
            </w:tcBorders>
            <w:hideMark/>
          </w:tcPr>
          <w:p w14:paraId="4E5B5072" w14:textId="06AFA1AD" w:rsidR="00370C20" w:rsidRPr="0072076F" w:rsidRDefault="00370C20" w:rsidP="00B34588">
            <w:pPr>
              <w:spacing w:after="0" w:line="240" w:lineRule="auto"/>
              <w:jc w:val="both"/>
              <w:rPr>
                <w:rFonts w:ascii="Times New Roman" w:eastAsia="Times New Roman" w:hAnsi="Times New Roman" w:cs="Times New Roman"/>
                <w:sz w:val="24"/>
                <w:szCs w:val="24"/>
                <w:lang w:eastAsia="lv-LV"/>
              </w:rPr>
            </w:pPr>
            <w:r w:rsidRPr="0072076F">
              <w:rPr>
                <w:rFonts w:ascii="Times New Roman" w:eastAsia="Times New Roman" w:hAnsi="Times New Roman" w:cs="Times New Roman"/>
                <w:sz w:val="24"/>
                <w:szCs w:val="24"/>
                <w:lang w:eastAsia="lv-LV"/>
              </w:rPr>
              <w:t>PTAC funkcijas detalizētāk tiks definētas likumprojekta saistošajos MK noteikumos, kas tiks izstrādāti līdz attiecīgā regulējum</w:t>
            </w:r>
            <w:r w:rsidR="00953872" w:rsidRPr="0072076F">
              <w:rPr>
                <w:rFonts w:ascii="Times New Roman" w:eastAsia="Times New Roman" w:hAnsi="Times New Roman" w:cs="Times New Roman"/>
                <w:sz w:val="24"/>
                <w:szCs w:val="24"/>
                <w:lang w:eastAsia="lv-LV"/>
              </w:rPr>
              <w:t>a</w:t>
            </w:r>
            <w:r w:rsidRPr="0072076F">
              <w:rPr>
                <w:rFonts w:ascii="Times New Roman" w:eastAsia="Times New Roman" w:hAnsi="Times New Roman" w:cs="Times New Roman"/>
                <w:sz w:val="24"/>
                <w:szCs w:val="24"/>
                <w:lang w:eastAsia="lv-LV"/>
              </w:rPr>
              <w:t xml:space="preserve"> spēkā stāšanās  brīdim - 2018.gada 1.jūlijam.</w:t>
            </w:r>
          </w:p>
        </w:tc>
      </w:tr>
    </w:tbl>
    <w:p w14:paraId="05A8387F" w14:textId="77777777" w:rsidR="00370C20" w:rsidRPr="0072076F" w:rsidRDefault="00370C20" w:rsidP="00370C20">
      <w:pPr>
        <w:spacing w:after="0" w:line="240" w:lineRule="auto"/>
        <w:rPr>
          <w:rFonts w:ascii="Times New Roman" w:hAnsi="Times New Roman" w:cs="Times New Roman"/>
          <w:sz w:val="28"/>
          <w:szCs w:val="28"/>
        </w:rPr>
      </w:pPr>
    </w:p>
    <w:p w14:paraId="218C1929" w14:textId="77777777" w:rsidR="00370C20" w:rsidRPr="0072076F" w:rsidRDefault="00370C20" w:rsidP="00370C20">
      <w:pPr>
        <w:spacing w:after="0" w:line="240" w:lineRule="auto"/>
        <w:rPr>
          <w:rFonts w:ascii="Times New Roman" w:hAnsi="Times New Roman" w:cs="Times New Roman"/>
          <w:sz w:val="28"/>
          <w:szCs w:val="28"/>
        </w:rPr>
      </w:pPr>
    </w:p>
    <w:p w14:paraId="16ADF624" w14:textId="77777777" w:rsidR="00370C20" w:rsidRPr="0072076F" w:rsidRDefault="00370C20" w:rsidP="00370C20">
      <w:pPr>
        <w:tabs>
          <w:tab w:val="left" w:pos="6237"/>
        </w:tabs>
        <w:spacing w:after="0" w:line="240" w:lineRule="auto"/>
        <w:rPr>
          <w:rFonts w:ascii="Times New Roman" w:hAnsi="Times New Roman" w:cs="Times New Roman"/>
          <w:b/>
          <w:sz w:val="28"/>
          <w:szCs w:val="28"/>
        </w:rPr>
      </w:pPr>
      <w:r w:rsidRPr="0072076F">
        <w:rPr>
          <w:rFonts w:ascii="Times New Roman" w:hAnsi="Times New Roman" w:cs="Times New Roman"/>
          <w:b/>
          <w:sz w:val="28"/>
          <w:szCs w:val="28"/>
        </w:rPr>
        <w:t>Ministru prezidenta biedrs,</w:t>
      </w:r>
      <w:r w:rsidRPr="0072076F">
        <w:rPr>
          <w:rFonts w:ascii="Times New Roman" w:hAnsi="Times New Roman" w:cs="Times New Roman"/>
          <w:b/>
          <w:sz w:val="28"/>
          <w:szCs w:val="28"/>
        </w:rPr>
        <w:tab/>
      </w:r>
      <w:r w:rsidRPr="0072076F">
        <w:rPr>
          <w:rFonts w:ascii="Times New Roman" w:hAnsi="Times New Roman" w:cs="Times New Roman"/>
          <w:b/>
          <w:sz w:val="28"/>
          <w:szCs w:val="28"/>
        </w:rPr>
        <w:br/>
        <w:t>ekonomikas ministrs</w:t>
      </w:r>
      <w:r w:rsidRPr="0072076F">
        <w:rPr>
          <w:rFonts w:ascii="Times New Roman" w:hAnsi="Times New Roman" w:cs="Times New Roman"/>
          <w:b/>
          <w:sz w:val="28"/>
          <w:szCs w:val="28"/>
        </w:rPr>
        <w:tab/>
      </w:r>
      <w:r w:rsidRPr="0072076F">
        <w:rPr>
          <w:rFonts w:ascii="Times New Roman" w:hAnsi="Times New Roman" w:cs="Times New Roman"/>
          <w:b/>
          <w:sz w:val="28"/>
          <w:szCs w:val="28"/>
        </w:rPr>
        <w:tab/>
      </w:r>
      <w:r w:rsidRPr="0072076F">
        <w:rPr>
          <w:rFonts w:ascii="Times New Roman" w:hAnsi="Times New Roman" w:cs="Times New Roman"/>
          <w:b/>
          <w:sz w:val="28"/>
          <w:szCs w:val="28"/>
        </w:rPr>
        <w:tab/>
        <w:t xml:space="preserve">    A.Ašeradens</w:t>
      </w:r>
    </w:p>
    <w:p w14:paraId="2AC8780E" w14:textId="77777777" w:rsidR="00370C20" w:rsidRPr="0072076F" w:rsidRDefault="00370C20" w:rsidP="00370C20">
      <w:pPr>
        <w:tabs>
          <w:tab w:val="left" w:pos="6237"/>
        </w:tabs>
        <w:spacing w:after="0" w:line="240" w:lineRule="auto"/>
        <w:ind w:firstLine="720"/>
        <w:rPr>
          <w:rFonts w:ascii="Times New Roman" w:hAnsi="Times New Roman" w:cs="Times New Roman"/>
          <w:b/>
          <w:sz w:val="28"/>
          <w:szCs w:val="28"/>
        </w:rPr>
      </w:pPr>
    </w:p>
    <w:p w14:paraId="69B6C06D" w14:textId="0D053AE8" w:rsidR="00370C20" w:rsidRPr="0072076F" w:rsidRDefault="00370C20" w:rsidP="00370C20">
      <w:pPr>
        <w:pStyle w:val="Signature"/>
        <w:widowControl/>
        <w:spacing w:before="0"/>
        <w:ind w:firstLine="0"/>
        <w:rPr>
          <w:b/>
          <w:sz w:val="28"/>
          <w:szCs w:val="28"/>
        </w:rPr>
      </w:pPr>
      <w:r w:rsidRPr="0072076F">
        <w:rPr>
          <w:b/>
          <w:sz w:val="28"/>
          <w:szCs w:val="28"/>
        </w:rPr>
        <w:t>Vīza: Valsts sekretār</w:t>
      </w:r>
      <w:r w:rsidR="00A530FF">
        <w:rPr>
          <w:b/>
          <w:sz w:val="28"/>
          <w:szCs w:val="28"/>
        </w:rPr>
        <w:t>s</w:t>
      </w:r>
      <w:r w:rsidRPr="0072076F">
        <w:rPr>
          <w:b/>
          <w:sz w:val="28"/>
          <w:szCs w:val="28"/>
        </w:rPr>
        <w:t xml:space="preserve"> </w:t>
      </w:r>
      <w:r w:rsidRPr="0072076F">
        <w:rPr>
          <w:b/>
          <w:sz w:val="28"/>
          <w:szCs w:val="28"/>
        </w:rPr>
        <w:tab/>
      </w:r>
      <w:r w:rsidR="00A530FF">
        <w:rPr>
          <w:b/>
          <w:sz w:val="28"/>
          <w:szCs w:val="28"/>
        </w:rPr>
        <w:t>J.Stinka</w:t>
      </w:r>
    </w:p>
    <w:p w14:paraId="23010E02" w14:textId="77777777" w:rsidR="00370C20" w:rsidRPr="0072076F" w:rsidRDefault="00370C20" w:rsidP="00370C20">
      <w:pPr>
        <w:rPr>
          <w:sz w:val="28"/>
          <w:szCs w:val="28"/>
        </w:rPr>
      </w:pPr>
    </w:p>
    <w:p w14:paraId="7A833897" w14:textId="77777777" w:rsidR="00370C20" w:rsidRPr="0072076F" w:rsidRDefault="00370C20" w:rsidP="00370C20">
      <w:pPr>
        <w:tabs>
          <w:tab w:val="left" w:pos="6237"/>
        </w:tabs>
        <w:spacing w:after="0" w:line="240" w:lineRule="auto"/>
        <w:rPr>
          <w:rFonts w:ascii="Times New Roman" w:hAnsi="Times New Roman" w:cs="Times New Roman"/>
          <w:sz w:val="28"/>
          <w:szCs w:val="28"/>
        </w:rPr>
      </w:pPr>
    </w:p>
    <w:p w14:paraId="171EFF34" w14:textId="62E5BF9E" w:rsidR="00370C20" w:rsidRPr="0072076F" w:rsidRDefault="006C3EED" w:rsidP="00370C20">
      <w:pPr>
        <w:tabs>
          <w:tab w:val="left" w:pos="6237"/>
        </w:tabs>
        <w:spacing w:after="0" w:line="240" w:lineRule="auto"/>
        <w:rPr>
          <w:rFonts w:ascii="Times New Roman" w:hAnsi="Times New Roman" w:cs="Times New Roman"/>
          <w:sz w:val="20"/>
          <w:szCs w:val="28"/>
        </w:rPr>
      </w:pPr>
      <w:r>
        <w:rPr>
          <w:rFonts w:ascii="Times New Roman" w:hAnsi="Times New Roman" w:cs="Times New Roman"/>
          <w:sz w:val="20"/>
          <w:szCs w:val="28"/>
        </w:rPr>
        <w:t>0</w:t>
      </w:r>
      <w:r w:rsidR="009D5AA0">
        <w:rPr>
          <w:rFonts w:ascii="Times New Roman" w:hAnsi="Times New Roman" w:cs="Times New Roman"/>
          <w:sz w:val="20"/>
          <w:szCs w:val="28"/>
        </w:rPr>
        <w:t>8</w:t>
      </w:r>
      <w:r>
        <w:rPr>
          <w:rFonts w:ascii="Times New Roman" w:hAnsi="Times New Roman" w:cs="Times New Roman"/>
          <w:sz w:val="20"/>
          <w:szCs w:val="28"/>
        </w:rPr>
        <w:t>.08</w:t>
      </w:r>
      <w:r w:rsidR="00370C20" w:rsidRPr="0072076F">
        <w:rPr>
          <w:rFonts w:ascii="Times New Roman" w:hAnsi="Times New Roman" w:cs="Times New Roman"/>
          <w:sz w:val="20"/>
          <w:szCs w:val="28"/>
        </w:rPr>
        <w:t xml:space="preserve">.2017. </w:t>
      </w:r>
      <w:r>
        <w:rPr>
          <w:rFonts w:ascii="Times New Roman" w:hAnsi="Times New Roman" w:cs="Times New Roman"/>
          <w:sz w:val="20"/>
          <w:szCs w:val="28"/>
        </w:rPr>
        <w:t>1</w:t>
      </w:r>
      <w:r w:rsidR="009D5AA0">
        <w:rPr>
          <w:rFonts w:ascii="Times New Roman" w:hAnsi="Times New Roman" w:cs="Times New Roman"/>
          <w:sz w:val="20"/>
          <w:szCs w:val="28"/>
        </w:rPr>
        <w:t>0</w:t>
      </w:r>
      <w:r w:rsidR="00370C20" w:rsidRPr="0072076F">
        <w:rPr>
          <w:rFonts w:ascii="Times New Roman" w:hAnsi="Times New Roman" w:cs="Times New Roman"/>
          <w:sz w:val="20"/>
          <w:szCs w:val="28"/>
        </w:rPr>
        <w:t>:15</w:t>
      </w:r>
    </w:p>
    <w:p w14:paraId="1B313B98" w14:textId="62AA6103" w:rsidR="00370C20" w:rsidRPr="0072076F" w:rsidRDefault="006C3EED" w:rsidP="00370C20">
      <w:pPr>
        <w:tabs>
          <w:tab w:val="left" w:pos="6237"/>
        </w:tabs>
        <w:spacing w:after="0" w:line="240" w:lineRule="auto"/>
        <w:rPr>
          <w:rFonts w:ascii="Times New Roman" w:hAnsi="Times New Roman" w:cs="Times New Roman"/>
          <w:sz w:val="20"/>
          <w:szCs w:val="28"/>
        </w:rPr>
      </w:pPr>
      <w:r>
        <w:rPr>
          <w:rFonts w:ascii="Times New Roman" w:hAnsi="Times New Roman" w:cs="Times New Roman"/>
          <w:sz w:val="20"/>
          <w:szCs w:val="28"/>
        </w:rPr>
        <w:t>8</w:t>
      </w:r>
      <w:r w:rsidR="009D5AA0">
        <w:rPr>
          <w:rFonts w:ascii="Times New Roman" w:hAnsi="Times New Roman" w:cs="Times New Roman"/>
          <w:sz w:val="20"/>
          <w:szCs w:val="28"/>
        </w:rPr>
        <w:t>116</w:t>
      </w:r>
    </w:p>
    <w:p w14:paraId="4AC7F78E" w14:textId="77777777" w:rsidR="00370C20" w:rsidRPr="0072076F" w:rsidRDefault="00370C20" w:rsidP="00370C20">
      <w:pPr>
        <w:tabs>
          <w:tab w:val="left" w:pos="6237"/>
        </w:tabs>
        <w:spacing w:after="0" w:line="240" w:lineRule="auto"/>
        <w:rPr>
          <w:rFonts w:ascii="Times New Roman" w:hAnsi="Times New Roman" w:cs="Times New Roman"/>
          <w:sz w:val="20"/>
          <w:szCs w:val="28"/>
        </w:rPr>
      </w:pPr>
      <w:r w:rsidRPr="0072076F">
        <w:rPr>
          <w:rFonts w:ascii="Times New Roman" w:hAnsi="Times New Roman" w:cs="Times New Roman"/>
          <w:sz w:val="20"/>
          <w:szCs w:val="28"/>
        </w:rPr>
        <w:t>M.Lūka, 67013256,</w:t>
      </w:r>
    </w:p>
    <w:p w14:paraId="7470EB68" w14:textId="77777777" w:rsidR="00370C20" w:rsidRPr="0072076F" w:rsidRDefault="00132714" w:rsidP="00370C20">
      <w:pPr>
        <w:tabs>
          <w:tab w:val="left" w:pos="6237"/>
        </w:tabs>
        <w:spacing w:after="0" w:line="240" w:lineRule="auto"/>
        <w:rPr>
          <w:rFonts w:ascii="Times New Roman" w:hAnsi="Times New Roman" w:cs="Times New Roman"/>
          <w:sz w:val="20"/>
          <w:szCs w:val="28"/>
        </w:rPr>
      </w:pPr>
      <w:hyperlink r:id="rId8" w:history="1">
        <w:r w:rsidR="00370C20" w:rsidRPr="0072076F">
          <w:rPr>
            <w:rStyle w:val="Hyperlink"/>
            <w:rFonts w:ascii="Times New Roman" w:hAnsi="Times New Roman" w:cs="Times New Roman"/>
            <w:color w:val="auto"/>
            <w:sz w:val="20"/>
            <w:szCs w:val="28"/>
          </w:rPr>
          <w:t>Madara.Luka@em.gov.lv</w:t>
        </w:r>
      </w:hyperlink>
      <w:r w:rsidR="00370C20" w:rsidRPr="0072076F">
        <w:rPr>
          <w:rFonts w:ascii="Times New Roman" w:hAnsi="Times New Roman" w:cs="Times New Roman"/>
          <w:sz w:val="20"/>
          <w:szCs w:val="28"/>
        </w:rPr>
        <w:t xml:space="preserve"> </w:t>
      </w:r>
    </w:p>
    <w:p w14:paraId="2B03F968" w14:textId="77777777" w:rsidR="00370C20" w:rsidRPr="0072076F" w:rsidRDefault="00370C20" w:rsidP="00370C20">
      <w:pPr>
        <w:tabs>
          <w:tab w:val="left" w:pos="6237"/>
        </w:tabs>
        <w:spacing w:after="0" w:line="240" w:lineRule="auto"/>
        <w:ind w:firstLine="720"/>
        <w:rPr>
          <w:rFonts w:ascii="Times New Roman" w:hAnsi="Times New Roman" w:cs="Times New Roman"/>
          <w:sz w:val="24"/>
          <w:szCs w:val="28"/>
        </w:rPr>
      </w:pPr>
    </w:p>
    <w:p w14:paraId="45EF3F0A" w14:textId="77777777" w:rsidR="00894C55" w:rsidRPr="0072076F" w:rsidRDefault="00894C55" w:rsidP="00370C20"/>
    <w:sectPr w:rsidR="00894C55" w:rsidRPr="0072076F"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4C87E" w14:textId="77777777" w:rsidR="00122A53" w:rsidRDefault="00122A53" w:rsidP="00894C55">
      <w:pPr>
        <w:spacing w:after="0" w:line="240" w:lineRule="auto"/>
      </w:pPr>
      <w:r>
        <w:separator/>
      </w:r>
    </w:p>
  </w:endnote>
  <w:endnote w:type="continuationSeparator" w:id="0">
    <w:p w14:paraId="6D3D0E5B" w14:textId="77777777" w:rsidR="00122A53" w:rsidRDefault="00122A53"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Avenir Next Demi Bold">
    <w:altName w:val="Calibri"/>
    <w:charset w:val="00"/>
    <w:family w:val="auto"/>
    <w:pitch w:val="variable"/>
    <w:sig w:usb0="00000001" w:usb1="5000204A" w:usb2="00000000" w:usb3="00000000" w:csb0="0000009B"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D812E" w14:textId="14C78C53" w:rsidR="00122A53" w:rsidRPr="00F054CA" w:rsidRDefault="00122A53" w:rsidP="00F054CA">
    <w:pPr>
      <w:pStyle w:val="Footer"/>
      <w:rPr>
        <w:rFonts w:ascii="Times New Roman" w:hAnsi="Times New Roman" w:cs="Times New Roman"/>
        <w:sz w:val="20"/>
        <w:szCs w:val="20"/>
      </w:rPr>
    </w:pPr>
    <w:r>
      <w:rPr>
        <w:rFonts w:ascii="Times New Roman" w:hAnsi="Times New Roman" w:cs="Times New Roman"/>
        <w:sz w:val="20"/>
        <w:szCs w:val="20"/>
      </w:rPr>
      <w:t>EMAnot_0</w:t>
    </w:r>
    <w:r w:rsidR="009D5AA0">
      <w:rPr>
        <w:rFonts w:ascii="Times New Roman" w:hAnsi="Times New Roman" w:cs="Times New Roman"/>
        <w:sz w:val="20"/>
        <w:szCs w:val="20"/>
      </w:rPr>
      <w:t>8</w:t>
    </w:r>
    <w:r>
      <w:rPr>
        <w:rFonts w:ascii="Times New Roman" w:hAnsi="Times New Roman" w:cs="Times New Roman"/>
        <w:sz w:val="20"/>
        <w:szCs w:val="20"/>
      </w:rPr>
      <w:t>0817_tur_PTD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8C80" w14:textId="1E78E918" w:rsidR="00122A53" w:rsidRPr="009A2654" w:rsidRDefault="00122A53">
    <w:pPr>
      <w:pStyle w:val="Footer"/>
      <w:rPr>
        <w:rFonts w:ascii="Times New Roman" w:hAnsi="Times New Roman" w:cs="Times New Roman"/>
        <w:sz w:val="20"/>
        <w:szCs w:val="20"/>
      </w:rPr>
    </w:pPr>
    <w:r>
      <w:rPr>
        <w:rFonts w:ascii="Times New Roman" w:hAnsi="Times New Roman" w:cs="Times New Roman"/>
        <w:sz w:val="20"/>
        <w:szCs w:val="20"/>
      </w:rPr>
      <w:t>EMAnot_0</w:t>
    </w:r>
    <w:r w:rsidR="009D5AA0">
      <w:rPr>
        <w:rFonts w:ascii="Times New Roman" w:hAnsi="Times New Roman" w:cs="Times New Roman"/>
        <w:sz w:val="20"/>
        <w:szCs w:val="20"/>
      </w:rPr>
      <w:t>8</w:t>
    </w:r>
    <w:r>
      <w:rPr>
        <w:rFonts w:ascii="Times New Roman" w:hAnsi="Times New Roman" w:cs="Times New Roman"/>
        <w:sz w:val="20"/>
        <w:szCs w:val="20"/>
      </w:rPr>
      <w:t>0817_tur_PTD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7349C" w14:textId="77777777" w:rsidR="00122A53" w:rsidRDefault="00122A53" w:rsidP="00894C55">
      <w:pPr>
        <w:spacing w:after="0" w:line="240" w:lineRule="auto"/>
      </w:pPr>
      <w:r>
        <w:separator/>
      </w:r>
    </w:p>
  </w:footnote>
  <w:footnote w:type="continuationSeparator" w:id="0">
    <w:p w14:paraId="3BFA85CF" w14:textId="77777777" w:rsidR="00122A53" w:rsidRDefault="00122A53"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672B795" w14:textId="485B0897" w:rsidR="00122A53" w:rsidRPr="00C25B49" w:rsidRDefault="00122A53">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132714">
          <w:rPr>
            <w:rFonts w:ascii="Times New Roman" w:hAnsi="Times New Roman" w:cs="Times New Roman"/>
            <w:noProof/>
            <w:sz w:val="24"/>
            <w:szCs w:val="20"/>
          </w:rPr>
          <w:t>18</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54C"/>
    <w:multiLevelType w:val="hybridMultilevel"/>
    <w:tmpl w:val="6AE2DBD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 w15:restartNumberingAfterBreak="0">
    <w:nsid w:val="08BA6D63"/>
    <w:multiLevelType w:val="hybridMultilevel"/>
    <w:tmpl w:val="76643B2A"/>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 w15:restartNumberingAfterBreak="0">
    <w:nsid w:val="0C3D2789"/>
    <w:multiLevelType w:val="hybridMultilevel"/>
    <w:tmpl w:val="F288CF98"/>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 w15:restartNumberingAfterBreak="0">
    <w:nsid w:val="10A54656"/>
    <w:multiLevelType w:val="hybridMultilevel"/>
    <w:tmpl w:val="16482E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3133D9"/>
    <w:multiLevelType w:val="hybridMultilevel"/>
    <w:tmpl w:val="AD46CCB6"/>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5" w15:restartNumberingAfterBreak="0">
    <w:nsid w:val="16905005"/>
    <w:multiLevelType w:val="hybridMultilevel"/>
    <w:tmpl w:val="47308192"/>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6" w15:restartNumberingAfterBreak="0">
    <w:nsid w:val="18261BD2"/>
    <w:multiLevelType w:val="multilevel"/>
    <w:tmpl w:val="E5D261C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770783"/>
    <w:multiLevelType w:val="multilevel"/>
    <w:tmpl w:val="E5D261C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0115EA"/>
    <w:multiLevelType w:val="hybridMultilevel"/>
    <w:tmpl w:val="17C0A4A6"/>
    <w:lvl w:ilvl="0" w:tplc="1A741D58">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9" w15:restartNumberingAfterBreak="0">
    <w:nsid w:val="25C409E4"/>
    <w:multiLevelType w:val="hybridMultilevel"/>
    <w:tmpl w:val="1E66B6A2"/>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0" w15:restartNumberingAfterBreak="0">
    <w:nsid w:val="271049E1"/>
    <w:multiLevelType w:val="hybridMultilevel"/>
    <w:tmpl w:val="EF342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DD0579"/>
    <w:multiLevelType w:val="hybridMultilevel"/>
    <w:tmpl w:val="A1CEC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8D4C81"/>
    <w:multiLevelType w:val="hybridMultilevel"/>
    <w:tmpl w:val="FFACF080"/>
    <w:lvl w:ilvl="0" w:tplc="B9988FD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95CBC"/>
    <w:multiLevelType w:val="hybridMultilevel"/>
    <w:tmpl w:val="B00661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0F2D80"/>
    <w:multiLevelType w:val="hybridMultilevel"/>
    <w:tmpl w:val="62746742"/>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5" w15:restartNumberingAfterBreak="0">
    <w:nsid w:val="398C685F"/>
    <w:multiLevelType w:val="hybridMultilevel"/>
    <w:tmpl w:val="57106D92"/>
    <w:lvl w:ilvl="0" w:tplc="8FA8AA3C">
      <w:numFmt w:val="bullet"/>
      <w:lvlText w:val="-"/>
      <w:lvlJc w:val="left"/>
      <w:pPr>
        <w:ind w:left="405" w:hanging="360"/>
      </w:pPr>
      <w:rPr>
        <w:rFonts w:ascii="Calibri" w:eastAsia="Calibri" w:hAnsi="Calibri" w:cs="Times New Roman"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16" w15:restartNumberingAfterBreak="0">
    <w:nsid w:val="3A16152F"/>
    <w:multiLevelType w:val="hybridMultilevel"/>
    <w:tmpl w:val="1B56F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394DE8"/>
    <w:multiLevelType w:val="hybridMultilevel"/>
    <w:tmpl w:val="8A2072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EC2860"/>
    <w:multiLevelType w:val="hybridMultilevel"/>
    <w:tmpl w:val="40DEF4B8"/>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9" w15:restartNumberingAfterBreak="0">
    <w:nsid w:val="3B434B69"/>
    <w:multiLevelType w:val="multilevel"/>
    <w:tmpl w:val="E5D261C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8B684F"/>
    <w:multiLevelType w:val="multilevel"/>
    <w:tmpl w:val="E5D261C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5B1A90"/>
    <w:multiLevelType w:val="hybridMultilevel"/>
    <w:tmpl w:val="D8B881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4F2B11"/>
    <w:multiLevelType w:val="multilevel"/>
    <w:tmpl w:val="E5D261C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B90641"/>
    <w:multiLevelType w:val="hybridMultilevel"/>
    <w:tmpl w:val="513E38A0"/>
    <w:lvl w:ilvl="0" w:tplc="0426000F">
      <w:start w:val="1"/>
      <w:numFmt w:val="decimal"/>
      <w:lvlText w:val="%1."/>
      <w:lvlJc w:val="left"/>
      <w:pPr>
        <w:ind w:left="405" w:hanging="360"/>
      </w:pPr>
      <w:rPr>
        <w:rFonts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24" w15:restartNumberingAfterBreak="0">
    <w:nsid w:val="4EDE5F85"/>
    <w:multiLevelType w:val="hybridMultilevel"/>
    <w:tmpl w:val="B874ED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13631B"/>
    <w:multiLevelType w:val="multilevel"/>
    <w:tmpl w:val="E5D261C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F2B5CD1"/>
    <w:multiLevelType w:val="hybridMultilevel"/>
    <w:tmpl w:val="B874ED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B314ED"/>
    <w:multiLevelType w:val="hybridMultilevel"/>
    <w:tmpl w:val="EA0A2E30"/>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8" w15:restartNumberingAfterBreak="0">
    <w:nsid w:val="52233C83"/>
    <w:multiLevelType w:val="hybridMultilevel"/>
    <w:tmpl w:val="CEE0FF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840C7C"/>
    <w:multiLevelType w:val="hybridMultilevel"/>
    <w:tmpl w:val="5C906E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886012"/>
    <w:multiLevelType w:val="multilevel"/>
    <w:tmpl w:val="E5D261C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A371C8B"/>
    <w:multiLevelType w:val="hybridMultilevel"/>
    <w:tmpl w:val="76EA7290"/>
    <w:lvl w:ilvl="0" w:tplc="0426000F">
      <w:start w:val="1"/>
      <w:numFmt w:val="decimal"/>
      <w:lvlText w:val="%1."/>
      <w:lvlJc w:val="left"/>
      <w:pPr>
        <w:ind w:left="765" w:hanging="360"/>
      </w:pPr>
      <w:rPr>
        <w:rFont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2" w15:restartNumberingAfterBreak="0">
    <w:nsid w:val="6BCF3F8D"/>
    <w:multiLevelType w:val="hybridMultilevel"/>
    <w:tmpl w:val="C17E97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AD0E60"/>
    <w:multiLevelType w:val="hybridMultilevel"/>
    <w:tmpl w:val="7CAC45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2B84D5A"/>
    <w:multiLevelType w:val="hybridMultilevel"/>
    <w:tmpl w:val="265E2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3C63D97"/>
    <w:multiLevelType w:val="hybridMultilevel"/>
    <w:tmpl w:val="1DDCC3C6"/>
    <w:lvl w:ilvl="0" w:tplc="0426000F">
      <w:start w:val="1"/>
      <w:numFmt w:val="decimal"/>
      <w:lvlText w:val="%1."/>
      <w:lvlJc w:val="left"/>
      <w:pPr>
        <w:ind w:left="720" w:hanging="360"/>
      </w:pPr>
      <w:rPr>
        <w:rFont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84064"/>
    <w:multiLevelType w:val="multilevel"/>
    <w:tmpl w:val="E5D261C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A3A4D6E"/>
    <w:multiLevelType w:val="hybridMultilevel"/>
    <w:tmpl w:val="7332B1F2"/>
    <w:lvl w:ilvl="0" w:tplc="B9988FD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671FF"/>
    <w:multiLevelType w:val="hybridMultilevel"/>
    <w:tmpl w:val="74CEA630"/>
    <w:lvl w:ilvl="0" w:tplc="29E6BB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8"/>
  </w:num>
  <w:num w:numId="2">
    <w:abstractNumId w:val="16"/>
  </w:num>
  <w:num w:numId="3">
    <w:abstractNumId w:val="12"/>
  </w:num>
  <w:num w:numId="4">
    <w:abstractNumId w:val="35"/>
  </w:num>
  <w:num w:numId="5">
    <w:abstractNumId w:val="13"/>
  </w:num>
  <w:num w:numId="6">
    <w:abstractNumId w:val="33"/>
  </w:num>
  <w:num w:numId="7">
    <w:abstractNumId w:val="29"/>
  </w:num>
  <w:num w:numId="8">
    <w:abstractNumId w:val="19"/>
  </w:num>
  <w:num w:numId="9">
    <w:abstractNumId w:val="37"/>
  </w:num>
  <w:num w:numId="10">
    <w:abstractNumId w:val="22"/>
  </w:num>
  <w:num w:numId="11">
    <w:abstractNumId w:val="34"/>
  </w:num>
  <w:num w:numId="12">
    <w:abstractNumId w:val="38"/>
  </w:num>
  <w:num w:numId="13">
    <w:abstractNumId w:val="36"/>
  </w:num>
  <w:num w:numId="14">
    <w:abstractNumId w:val="15"/>
  </w:num>
  <w:num w:numId="15">
    <w:abstractNumId w:val="15"/>
  </w:num>
  <w:num w:numId="16">
    <w:abstractNumId w:val="30"/>
  </w:num>
  <w:num w:numId="17">
    <w:abstractNumId w:val="2"/>
  </w:num>
  <w:num w:numId="18">
    <w:abstractNumId w:val="9"/>
  </w:num>
  <w:num w:numId="19">
    <w:abstractNumId w:val="14"/>
  </w:num>
  <w:num w:numId="20">
    <w:abstractNumId w:val="27"/>
  </w:num>
  <w:num w:numId="21">
    <w:abstractNumId w:val="5"/>
  </w:num>
  <w:num w:numId="22">
    <w:abstractNumId w:val="0"/>
  </w:num>
  <w:num w:numId="23">
    <w:abstractNumId w:val="18"/>
  </w:num>
  <w:num w:numId="24">
    <w:abstractNumId w:val="4"/>
  </w:num>
  <w:num w:numId="25">
    <w:abstractNumId w:val="20"/>
  </w:num>
  <w:num w:numId="26">
    <w:abstractNumId w:val="7"/>
  </w:num>
  <w:num w:numId="27">
    <w:abstractNumId w:val="25"/>
  </w:num>
  <w:num w:numId="28">
    <w:abstractNumId w:val="6"/>
  </w:num>
  <w:num w:numId="29">
    <w:abstractNumId w:val="32"/>
  </w:num>
  <w:num w:numId="30">
    <w:abstractNumId w:val="3"/>
  </w:num>
  <w:num w:numId="31">
    <w:abstractNumId w:val="24"/>
  </w:num>
  <w:num w:numId="32">
    <w:abstractNumId w:val="28"/>
  </w:num>
  <w:num w:numId="33">
    <w:abstractNumId w:val="21"/>
  </w:num>
  <w:num w:numId="34">
    <w:abstractNumId w:val="11"/>
  </w:num>
  <w:num w:numId="35">
    <w:abstractNumId w:val="17"/>
  </w:num>
  <w:num w:numId="36">
    <w:abstractNumId w:val="15"/>
  </w:num>
  <w:num w:numId="37">
    <w:abstractNumId w:val="1"/>
  </w:num>
  <w:num w:numId="38">
    <w:abstractNumId w:val="31"/>
  </w:num>
  <w:num w:numId="39">
    <w:abstractNumId w:val="23"/>
  </w:num>
  <w:num w:numId="40">
    <w:abstractNumId w:val="1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hideSpellingErrors/>
  <w:hideGrammaticalErrors/>
  <w:revisionView w:markup="0"/>
  <w:documentProtection w:edit="forms" w:enforcement="0"/>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57E6"/>
    <w:rsid w:val="00007917"/>
    <w:rsid w:val="00013655"/>
    <w:rsid w:val="00024F29"/>
    <w:rsid w:val="000257D3"/>
    <w:rsid w:val="00031E8E"/>
    <w:rsid w:val="00037A65"/>
    <w:rsid w:val="00050D9D"/>
    <w:rsid w:val="00053904"/>
    <w:rsid w:val="00054934"/>
    <w:rsid w:val="00064E97"/>
    <w:rsid w:val="00077FD3"/>
    <w:rsid w:val="00082CB5"/>
    <w:rsid w:val="000A1C8A"/>
    <w:rsid w:val="000A2415"/>
    <w:rsid w:val="000B03B1"/>
    <w:rsid w:val="000B109D"/>
    <w:rsid w:val="000B5A56"/>
    <w:rsid w:val="000B6B9D"/>
    <w:rsid w:val="000E3D86"/>
    <w:rsid w:val="000E5CFF"/>
    <w:rsid w:val="00116209"/>
    <w:rsid w:val="00122A53"/>
    <w:rsid w:val="00132714"/>
    <w:rsid w:val="001355BC"/>
    <w:rsid w:val="001446C1"/>
    <w:rsid w:val="001500BA"/>
    <w:rsid w:val="00150946"/>
    <w:rsid w:val="00152D70"/>
    <w:rsid w:val="00156FBA"/>
    <w:rsid w:val="00160F07"/>
    <w:rsid w:val="00170A82"/>
    <w:rsid w:val="0017411B"/>
    <w:rsid w:val="001902AF"/>
    <w:rsid w:val="001B7280"/>
    <w:rsid w:val="001C08C0"/>
    <w:rsid w:val="001E3F33"/>
    <w:rsid w:val="001F2404"/>
    <w:rsid w:val="001F2A2A"/>
    <w:rsid w:val="001F7C95"/>
    <w:rsid w:val="00203E9E"/>
    <w:rsid w:val="00206086"/>
    <w:rsid w:val="00215B4D"/>
    <w:rsid w:val="002160E9"/>
    <w:rsid w:val="0023558A"/>
    <w:rsid w:val="002406F9"/>
    <w:rsid w:val="0024108F"/>
    <w:rsid w:val="00243426"/>
    <w:rsid w:val="002505D1"/>
    <w:rsid w:val="00257564"/>
    <w:rsid w:val="00257A1B"/>
    <w:rsid w:val="00260A7E"/>
    <w:rsid w:val="00260B29"/>
    <w:rsid w:val="0028347A"/>
    <w:rsid w:val="002843A1"/>
    <w:rsid w:val="002872C9"/>
    <w:rsid w:val="0029565E"/>
    <w:rsid w:val="002A6098"/>
    <w:rsid w:val="002B272A"/>
    <w:rsid w:val="002B69E6"/>
    <w:rsid w:val="002D0ACE"/>
    <w:rsid w:val="002E0193"/>
    <w:rsid w:val="002E1C05"/>
    <w:rsid w:val="002F7095"/>
    <w:rsid w:val="002F7F8A"/>
    <w:rsid w:val="00300E53"/>
    <w:rsid w:val="0030457C"/>
    <w:rsid w:val="00312F69"/>
    <w:rsid w:val="00320A06"/>
    <w:rsid w:val="003232AF"/>
    <w:rsid w:val="00331DB9"/>
    <w:rsid w:val="0033518D"/>
    <w:rsid w:val="00346040"/>
    <w:rsid w:val="0035109F"/>
    <w:rsid w:val="00351B3A"/>
    <w:rsid w:val="00367969"/>
    <w:rsid w:val="00370C20"/>
    <w:rsid w:val="00373267"/>
    <w:rsid w:val="00391CB7"/>
    <w:rsid w:val="00391D85"/>
    <w:rsid w:val="003A34F9"/>
    <w:rsid w:val="003B0BF9"/>
    <w:rsid w:val="003B2083"/>
    <w:rsid w:val="003C0FD9"/>
    <w:rsid w:val="003C1B54"/>
    <w:rsid w:val="003C2E7C"/>
    <w:rsid w:val="003C37FF"/>
    <w:rsid w:val="003D2FE2"/>
    <w:rsid w:val="003D6785"/>
    <w:rsid w:val="003E0791"/>
    <w:rsid w:val="003F28AC"/>
    <w:rsid w:val="00402529"/>
    <w:rsid w:val="00405147"/>
    <w:rsid w:val="004135CC"/>
    <w:rsid w:val="004454FE"/>
    <w:rsid w:val="00445A32"/>
    <w:rsid w:val="00446EFA"/>
    <w:rsid w:val="004548BF"/>
    <w:rsid w:val="004566EC"/>
    <w:rsid w:val="004575DA"/>
    <w:rsid w:val="004667AF"/>
    <w:rsid w:val="00471F27"/>
    <w:rsid w:val="0047602A"/>
    <w:rsid w:val="0049290A"/>
    <w:rsid w:val="00493E10"/>
    <w:rsid w:val="00496F9B"/>
    <w:rsid w:val="004A08E8"/>
    <w:rsid w:val="004A5987"/>
    <w:rsid w:val="004A6F2B"/>
    <w:rsid w:val="004A7909"/>
    <w:rsid w:val="004B1BC7"/>
    <w:rsid w:val="004B418D"/>
    <w:rsid w:val="004C0B96"/>
    <w:rsid w:val="004C2C03"/>
    <w:rsid w:val="004D2EA7"/>
    <w:rsid w:val="004D4693"/>
    <w:rsid w:val="004D5762"/>
    <w:rsid w:val="004E08D1"/>
    <w:rsid w:val="004E3072"/>
    <w:rsid w:val="004E3DFB"/>
    <w:rsid w:val="004E44F0"/>
    <w:rsid w:val="004F594C"/>
    <w:rsid w:val="0050178F"/>
    <w:rsid w:val="00501B61"/>
    <w:rsid w:val="00501BB5"/>
    <w:rsid w:val="0050531C"/>
    <w:rsid w:val="00514477"/>
    <w:rsid w:val="00530AA3"/>
    <w:rsid w:val="00540DD5"/>
    <w:rsid w:val="0054666E"/>
    <w:rsid w:val="00553F8F"/>
    <w:rsid w:val="0055529B"/>
    <w:rsid w:val="00565EB0"/>
    <w:rsid w:val="00567AB8"/>
    <w:rsid w:val="00581FB2"/>
    <w:rsid w:val="005879E3"/>
    <w:rsid w:val="00591E76"/>
    <w:rsid w:val="00595FF6"/>
    <w:rsid w:val="005A0F05"/>
    <w:rsid w:val="005A45E7"/>
    <w:rsid w:val="005A750A"/>
    <w:rsid w:val="005B75FC"/>
    <w:rsid w:val="005C56F3"/>
    <w:rsid w:val="005F0AE4"/>
    <w:rsid w:val="005F7510"/>
    <w:rsid w:val="00602020"/>
    <w:rsid w:val="00626CEE"/>
    <w:rsid w:val="0062783B"/>
    <w:rsid w:val="00627AF5"/>
    <w:rsid w:val="0063440F"/>
    <w:rsid w:val="00634553"/>
    <w:rsid w:val="00634984"/>
    <w:rsid w:val="0064130A"/>
    <w:rsid w:val="006430BC"/>
    <w:rsid w:val="00652500"/>
    <w:rsid w:val="00655062"/>
    <w:rsid w:val="0066724F"/>
    <w:rsid w:val="00676F27"/>
    <w:rsid w:val="006773C2"/>
    <w:rsid w:val="0069765A"/>
    <w:rsid w:val="00697B9F"/>
    <w:rsid w:val="006A4D1C"/>
    <w:rsid w:val="006C1B3F"/>
    <w:rsid w:val="006C1C06"/>
    <w:rsid w:val="006C3EED"/>
    <w:rsid w:val="006E1081"/>
    <w:rsid w:val="006F6C22"/>
    <w:rsid w:val="00702B69"/>
    <w:rsid w:val="00720585"/>
    <w:rsid w:val="0072076F"/>
    <w:rsid w:val="0072190D"/>
    <w:rsid w:val="00741151"/>
    <w:rsid w:val="0074301E"/>
    <w:rsid w:val="00745EC5"/>
    <w:rsid w:val="00751AD2"/>
    <w:rsid w:val="00751B07"/>
    <w:rsid w:val="00756F5F"/>
    <w:rsid w:val="00773AF6"/>
    <w:rsid w:val="007836CB"/>
    <w:rsid w:val="00787FF3"/>
    <w:rsid w:val="00790654"/>
    <w:rsid w:val="007909A8"/>
    <w:rsid w:val="0079125A"/>
    <w:rsid w:val="00795100"/>
    <w:rsid w:val="00795F71"/>
    <w:rsid w:val="007A4E4D"/>
    <w:rsid w:val="007A6ADB"/>
    <w:rsid w:val="007A7ADA"/>
    <w:rsid w:val="007B37F6"/>
    <w:rsid w:val="007E24CE"/>
    <w:rsid w:val="007E24F7"/>
    <w:rsid w:val="007E2D45"/>
    <w:rsid w:val="007E73AB"/>
    <w:rsid w:val="00801378"/>
    <w:rsid w:val="0080325F"/>
    <w:rsid w:val="0081388D"/>
    <w:rsid w:val="00816C11"/>
    <w:rsid w:val="0082466D"/>
    <w:rsid w:val="0082535B"/>
    <w:rsid w:val="0082774C"/>
    <w:rsid w:val="0083463C"/>
    <w:rsid w:val="00840643"/>
    <w:rsid w:val="00847672"/>
    <w:rsid w:val="00861351"/>
    <w:rsid w:val="00866B1C"/>
    <w:rsid w:val="00894C55"/>
    <w:rsid w:val="008A141F"/>
    <w:rsid w:val="008C3192"/>
    <w:rsid w:val="008C3AEF"/>
    <w:rsid w:val="008D0A43"/>
    <w:rsid w:val="008E0360"/>
    <w:rsid w:val="0090608D"/>
    <w:rsid w:val="009140F0"/>
    <w:rsid w:val="00951462"/>
    <w:rsid w:val="0095357C"/>
    <w:rsid w:val="00953872"/>
    <w:rsid w:val="00954A20"/>
    <w:rsid w:val="00957BFE"/>
    <w:rsid w:val="009647ED"/>
    <w:rsid w:val="00966AD8"/>
    <w:rsid w:val="00975D72"/>
    <w:rsid w:val="009825DB"/>
    <w:rsid w:val="009904D6"/>
    <w:rsid w:val="009929AC"/>
    <w:rsid w:val="009A0E35"/>
    <w:rsid w:val="009A2654"/>
    <w:rsid w:val="009B01E4"/>
    <w:rsid w:val="009B1973"/>
    <w:rsid w:val="009B6642"/>
    <w:rsid w:val="009B7B90"/>
    <w:rsid w:val="009C3EC0"/>
    <w:rsid w:val="009C6E22"/>
    <w:rsid w:val="009D5AA0"/>
    <w:rsid w:val="009E498D"/>
    <w:rsid w:val="009F4DE8"/>
    <w:rsid w:val="00A03F95"/>
    <w:rsid w:val="00A128CA"/>
    <w:rsid w:val="00A16BC7"/>
    <w:rsid w:val="00A17716"/>
    <w:rsid w:val="00A21F5E"/>
    <w:rsid w:val="00A221DF"/>
    <w:rsid w:val="00A229DA"/>
    <w:rsid w:val="00A3487F"/>
    <w:rsid w:val="00A34C63"/>
    <w:rsid w:val="00A35DD9"/>
    <w:rsid w:val="00A36590"/>
    <w:rsid w:val="00A37F1C"/>
    <w:rsid w:val="00A37F96"/>
    <w:rsid w:val="00A43FE5"/>
    <w:rsid w:val="00A4611A"/>
    <w:rsid w:val="00A530FF"/>
    <w:rsid w:val="00A6073E"/>
    <w:rsid w:val="00A72B2F"/>
    <w:rsid w:val="00A95315"/>
    <w:rsid w:val="00AA3CD8"/>
    <w:rsid w:val="00AA51F4"/>
    <w:rsid w:val="00AA61C9"/>
    <w:rsid w:val="00AB28CE"/>
    <w:rsid w:val="00AB4FFE"/>
    <w:rsid w:val="00AC1715"/>
    <w:rsid w:val="00AE2597"/>
    <w:rsid w:val="00AE2A41"/>
    <w:rsid w:val="00AE4099"/>
    <w:rsid w:val="00AE5567"/>
    <w:rsid w:val="00B07CC0"/>
    <w:rsid w:val="00B16480"/>
    <w:rsid w:val="00B17704"/>
    <w:rsid w:val="00B2165C"/>
    <w:rsid w:val="00B216DF"/>
    <w:rsid w:val="00B25683"/>
    <w:rsid w:val="00B2684F"/>
    <w:rsid w:val="00B34588"/>
    <w:rsid w:val="00B54A23"/>
    <w:rsid w:val="00B602D0"/>
    <w:rsid w:val="00B648B7"/>
    <w:rsid w:val="00B708F8"/>
    <w:rsid w:val="00B74AD1"/>
    <w:rsid w:val="00B83816"/>
    <w:rsid w:val="00B91594"/>
    <w:rsid w:val="00BA0415"/>
    <w:rsid w:val="00BA20AA"/>
    <w:rsid w:val="00BB4C54"/>
    <w:rsid w:val="00BB566F"/>
    <w:rsid w:val="00BC13E7"/>
    <w:rsid w:val="00BD2BE3"/>
    <w:rsid w:val="00BD4425"/>
    <w:rsid w:val="00BE0411"/>
    <w:rsid w:val="00BE5406"/>
    <w:rsid w:val="00BE779B"/>
    <w:rsid w:val="00C162D5"/>
    <w:rsid w:val="00C25B49"/>
    <w:rsid w:val="00C25D48"/>
    <w:rsid w:val="00C26FBA"/>
    <w:rsid w:val="00C304B6"/>
    <w:rsid w:val="00C35BCB"/>
    <w:rsid w:val="00C3792A"/>
    <w:rsid w:val="00C412C3"/>
    <w:rsid w:val="00C41747"/>
    <w:rsid w:val="00C47374"/>
    <w:rsid w:val="00C47F72"/>
    <w:rsid w:val="00C5245D"/>
    <w:rsid w:val="00C57714"/>
    <w:rsid w:val="00C655B8"/>
    <w:rsid w:val="00C75BEF"/>
    <w:rsid w:val="00C968C0"/>
    <w:rsid w:val="00C96FCF"/>
    <w:rsid w:val="00CA10F2"/>
    <w:rsid w:val="00CA4DE3"/>
    <w:rsid w:val="00CA69FF"/>
    <w:rsid w:val="00CB0D37"/>
    <w:rsid w:val="00CB44EB"/>
    <w:rsid w:val="00CC013E"/>
    <w:rsid w:val="00CC2B84"/>
    <w:rsid w:val="00CC589D"/>
    <w:rsid w:val="00CD053E"/>
    <w:rsid w:val="00CD293D"/>
    <w:rsid w:val="00CD750F"/>
    <w:rsid w:val="00CE5657"/>
    <w:rsid w:val="00CF492C"/>
    <w:rsid w:val="00CF6284"/>
    <w:rsid w:val="00CF62AB"/>
    <w:rsid w:val="00D03B62"/>
    <w:rsid w:val="00D107A7"/>
    <w:rsid w:val="00D133F8"/>
    <w:rsid w:val="00D14A3E"/>
    <w:rsid w:val="00D2403D"/>
    <w:rsid w:val="00D264B8"/>
    <w:rsid w:val="00D36AD8"/>
    <w:rsid w:val="00D451AC"/>
    <w:rsid w:val="00D5096D"/>
    <w:rsid w:val="00D552D3"/>
    <w:rsid w:val="00D63B68"/>
    <w:rsid w:val="00D8414E"/>
    <w:rsid w:val="00D878C5"/>
    <w:rsid w:val="00D914DF"/>
    <w:rsid w:val="00DA5FEB"/>
    <w:rsid w:val="00DB1F46"/>
    <w:rsid w:val="00DB44F8"/>
    <w:rsid w:val="00DC1A61"/>
    <w:rsid w:val="00DC651B"/>
    <w:rsid w:val="00DE68CB"/>
    <w:rsid w:val="00DF7C8F"/>
    <w:rsid w:val="00E01C1E"/>
    <w:rsid w:val="00E14222"/>
    <w:rsid w:val="00E20645"/>
    <w:rsid w:val="00E3716B"/>
    <w:rsid w:val="00E54615"/>
    <w:rsid w:val="00E63FB6"/>
    <w:rsid w:val="00E64883"/>
    <w:rsid w:val="00E67547"/>
    <w:rsid w:val="00E7527E"/>
    <w:rsid w:val="00E774D3"/>
    <w:rsid w:val="00E82269"/>
    <w:rsid w:val="00E8749E"/>
    <w:rsid w:val="00E90C01"/>
    <w:rsid w:val="00E91223"/>
    <w:rsid w:val="00E95FD8"/>
    <w:rsid w:val="00EA3BDB"/>
    <w:rsid w:val="00EA486E"/>
    <w:rsid w:val="00ED226A"/>
    <w:rsid w:val="00ED2438"/>
    <w:rsid w:val="00ED4FD4"/>
    <w:rsid w:val="00ED7A92"/>
    <w:rsid w:val="00EE64EC"/>
    <w:rsid w:val="00EE718B"/>
    <w:rsid w:val="00EF12A5"/>
    <w:rsid w:val="00F04CF8"/>
    <w:rsid w:val="00F054CA"/>
    <w:rsid w:val="00F10B6C"/>
    <w:rsid w:val="00F14B09"/>
    <w:rsid w:val="00F1616C"/>
    <w:rsid w:val="00F27092"/>
    <w:rsid w:val="00F41E89"/>
    <w:rsid w:val="00F44ABE"/>
    <w:rsid w:val="00F4640F"/>
    <w:rsid w:val="00F51115"/>
    <w:rsid w:val="00F53959"/>
    <w:rsid w:val="00F57B0C"/>
    <w:rsid w:val="00F62751"/>
    <w:rsid w:val="00F77AFB"/>
    <w:rsid w:val="00F8124C"/>
    <w:rsid w:val="00F904FC"/>
    <w:rsid w:val="00F91419"/>
    <w:rsid w:val="00F96F7E"/>
    <w:rsid w:val="00FA0C2A"/>
    <w:rsid w:val="00FE4C69"/>
    <w:rsid w:val="00FE6D42"/>
    <w:rsid w:val="00FF257A"/>
    <w:rsid w:val="00FF37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87983E"/>
  <w15:docId w15:val="{F4F43F36-D923-41F0-AB71-09FB8D67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rsid w:val="00C96FCF"/>
    <w:pPr>
      <w:spacing w:before="75" w:after="75"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67AB8"/>
    <w:pPr>
      <w:ind w:left="720"/>
      <w:contextualSpacing/>
    </w:pPr>
  </w:style>
  <w:style w:type="paragraph" w:styleId="FootnoteText">
    <w:name w:val="footnote text"/>
    <w:basedOn w:val="Normal"/>
    <w:link w:val="FootnoteTextChar"/>
    <w:uiPriority w:val="99"/>
    <w:rsid w:val="00B708F8"/>
    <w:pPr>
      <w:spacing w:after="0" w:line="240" w:lineRule="auto"/>
      <w:jc w:val="both"/>
    </w:pPr>
    <w:rPr>
      <w:rFonts w:eastAsia="SimSun" w:cs="Cambria"/>
      <w:bCs/>
      <w:sz w:val="20"/>
      <w:szCs w:val="20"/>
      <w:lang w:eastAsia="ja-JP"/>
    </w:rPr>
  </w:style>
  <w:style w:type="character" w:customStyle="1" w:styleId="FootnoteTextChar">
    <w:name w:val="Footnote Text Char"/>
    <w:basedOn w:val="DefaultParagraphFont"/>
    <w:link w:val="FootnoteText"/>
    <w:uiPriority w:val="99"/>
    <w:rsid w:val="00B708F8"/>
    <w:rPr>
      <w:rFonts w:eastAsia="SimSun" w:cs="Cambria"/>
      <w:bCs/>
      <w:sz w:val="20"/>
      <w:szCs w:val="20"/>
      <w:lang w:eastAsia="ja-JP"/>
    </w:rPr>
  </w:style>
  <w:style w:type="character" w:styleId="FootnoteReference">
    <w:name w:val="footnote reference"/>
    <w:basedOn w:val="DefaultParagraphFont"/>
    <w:uiPriority w:val="99"/>
    <w:rsid w:val="00B708F8"/>
    <w:rPr>
      <w:vertAlign w:val="superscript"/>
    </w:rPr>
  </w:style>
  <w:style w:type="character" w:styleId="CommentReference">
    <w:name w:val="annotation reference"/>
    <w:uiPriority w:val="99"/>
    <w:semiHidden/>
    <w:rsid w:val="00E20645"/>
    <w:rPr>
      <w:sz w:val="16"/>
      <w:szCs w:val="16"/>
    </w:rPr>
  </w:style>
  <w:style w:type="paragraph" w:styleId="CommentText">
    <w:name w:val="annotation text"/>
    <w:basedOn w:val="Normal"/>
    <w:link w:val="CommentTextChar"/>
    <w:uiPriority w:val="99"/>
    <w:semiHidden/>
    <w:rsid w:val="00E20645"/>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E2064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D053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D053E"/>
    <w:rPr>
      <w:rFonts w:ascii="Times New Roman" w:eastAsia="Times New Roman" w:hAnsi="Times New Roman" w:cs="Times New Roman"/>
      <w:b/>
      <w:bCs/>
      <w:sz w:val="20"/>
      <w:szCs w:val="20"/>
      <w:lang w:eastAsia="lv-LV"/>
    </w:rPr>
  </w:style>
  <w:style w:type="paragraph" w:customStyle="1" w:styleId="naisnod">
    <w:name w:val="naisnod"/>
    <w:basedOn w:val="Normal"/>
    <w:rsid w:val="007E2D45"/>
    <w:pPr>
      <w:spacing w:before="150" w:after="150" w:line="240" w:lineRule="auto"/>
      <w:jc w:val="center"/>
    </w:pPr>
    <w:rPr>
      <w:rFonts w:ascii="Times New Roman" w:eastAsia="Times New Roman" w:hAnsi="Times New Roman" w:cs="Times New Roman"/>
      <w:b/>
      <w:bCs/>
      <w:sz w:val="24"/>
      <w:szCs w:val="24"/>
      <w:lang w:eastAsia="lv-LV"/>
    </w:rPr>
  </w:style>
  <w:style w:type="table" w:styleId="TableGrid">
    <w:name w:val="Table Grid"/>
    <w:basedOn w:val="TableNormal"/>
    <w:uiPriority w:val="59"/>
    <w:rsid w:val="00A16BC7"/>
    <w:pPr>
      <w:spacing w:after="0" w:line="240" w:lineRule="auto"/>
    </w:pPr>
    <w:rPr>
      <w:rFonts w:ascii="Avenir Next Demi Bold" w:eastAsia="SimSun" w:hAnsi="Avenir Next Demi Bold" w:cs="Calibri"/>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16B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gnature">
    <w:name w:val="Signature"/>
    <w:basedOn w:val="Normal"/>
    <w:next w:val="EnvelopeReturn"/>
    <w:link w:val="SignatureChar"/>
    <w:semiHidden/>
    <w:unhideWhenUsed/>
    <w:rsid w:val="00370C20"/>
    <w:pPr>
      <w:keepNext/>
      <w:keepLines/>
      <w:widowControl w:val="0"/>
      <w:tabs>
        <w:tab w:val="right" w:pos="9072"/>
      </w:tabs>
      <w:suppressAutoHyphens/>
      <w:spacing w:before="600" w:after="0" w:line="240" w:lineRule="auto"/>
      <w:ind w:firstLine="720"/>
    </w:pPr>
    <w:rPr>
      <w:rFonts w:ascii="Times New Roman" w:eastAsia="Times New Roman" w:hAnsi="Times New Roman" w:cs="Times New Roman"/>
      <w:sz w:val="26"/>
      <w:szCs w:val="20"/>
    </w:rPr>
  </w:style>
  <w:style w:type="character" w:customStyle="1" w:styleId="SignatureChar">
    <w:name w:val="Signature Char"/>
    <w:basedOn w:val="DefaultParagraphFont"/>
    <w:link w:val="Signature"/>
    <w:semiHidden/>
    <w:rsid w:val="00370C20"/>
    <w:rPr>
      <w:rFonts w:ascii="Times New Roman" w:eastAsia="Times New Roman" w:hAnsi="Times New Roman" w:cs="Times New Roman"/>
      <w:sz w:val="26"/>
      <w:szCs w:val="20"/>
    </w:rPr>
  </w:style>
  <w:style w:type="paragraph" w:styleId="EnvelopeReturn">
    <w:name w:val="envelope return"/>
    <w:basedOn w:val="Normal"/>
    <w:uiPriority w:val="99"/>
    <w:semiHidden/>
    <w:unhideWhenUsed/>
    <w:rsid w:val="00370C20"/>
    <w:pPr>
      <w:spacing w:after="0" w:line="240" w:lineRule="auto"/>
    </w:pPr>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730275273">
      <w:bodyDiv w:val="1"/>
      <w:marLeft w:val="0"/>
      <w:marRight w:val="0"/>
      <w:marTop w:val="0"/>
      <w:marBottom w:val="0"/>
      <w:divBdr>
        <w:top w:val="none" w:sz="0" w:space="0" w:color="auto"/>
        <w:left w:val="none" w:sz="0" w:space="0" w:color="auto"/>
        <w:bottom w:val="none" w:sz="0" w:space="0" w:color="auto"/>
        <w:right w:val="none" w:sz="0" w:space="0" w:color="auto"/>
      </w:divBdr>
    </w:div>
    <w:div w:id="1329137708">
      <w:bodyDiv w:val="1"/>
      <w:marLeft w:val="0"/>
      <w:marRight w:val="0"/>
      <w:marTop w:val="0"/>
      <w:marBottom w:val="0"/>
      <w:divBdr>
        <w:top w:val="none" w:sz="0" w:space="0" w:color="auto"/>
        <w:left w:val="none" w:sz="0" w:space="0" w:color="auto"/>
        <w:bottom w:val="none" w:sz="0" w:space="0" w:color="auto"/>
        <w:right w:val="none" w:sz="0" w:space="0" w:color="auto"/>
      </w:divBdr>
    </w:div>
    <w:div w:id="1367827059">
      <w:bodyDiv w:val="1"/>
      <w:marLeft w:val="0"/>
      <w:marRight w:val="0"/>
      <w:marTop w:val="0"/>
      <w:marBottom w:val="0"/>
      <w:divBdr>
        <w:top w:val="none" w:sz="0" w:space="0" w:color="auto"/>
        <w:left w:val="none" w:sz="0" w:space="0" w:color="auto"/>
        <w:bottom w:val="none" w:sz="0" w:space="0" w:color="auto"/>
        <w:right w:val="none" w:sz="0" w:space="0" w:color="auto"/>
      </w:divBdr>
    </w:div>
    <w:div w:id="1499229209">
      <w:bodyDiv w:val="1"/>
      <w:marLeft w:val="0"/>
      <w:marRight w:val="0"/>
      <w:marTop w:val="0"/>
      <w:marBottom w:val="0"/>
      <w:divBdr>
        <w:top w:val="none" w:sz="0" w:space="0" w:color="auto"/>
        <w:left w:val="none" w:sz="0" w:space="0" w:color="auto"/>
        <w:bottom w:val="none" w:sz="0" w:space="0" w:color="auto"/>
        <w:right w:val="none" w:sz="0" w:space="0" w:color="auto"/>
      </w:divBdr>
    </w:div>
    <w:div w:id="165421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ra.Luka@e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9541-42C1-497C-852F-C397CEE2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8116</Words>
  <Characters>55635</Characters>
  <Application>Microsoft Office Word</Application>
  <DocSecurity>0</DocSecurity>
  <Lines>1586</Lines>
  <Paragraphs>468</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63758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Irēna Bērziņa</cp:lastModifiedBy>
  <cp:revision>63</cp:revision>
  <cp:lastPrinted>2017-07-24T10:20:00Z</cp:lastPrinted>
  <dcterms:created xsi:type="dcterms:W3CDTF">2017-05-31T11:24:00Z</dcterms:created>
  <dcterms:modified xsi:type="dcterms:W3CDTF">2017-08-08T13:40:00Z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