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7D50" w14:textId="5B5774A3" w:rsidR="00EA6CD3" w:rsidRPr="004232A9" w:rsidRDefault="00EA6CD3" w:rsidP="00EA6CD3">
      <w:pPr>
        <w:jc w:val="center"/>
        <w:rPr>
          <w:rFonts w:eastAsia="Times New Roman"/>
          <w:b/>
          <w:sz w:val="24"/>
          <w:szCs w:val="24"/>
          <w:lang w:val="lv-LV" w:eastAsia="lv-LV"/>
        </w:rPr>
      </w:pPr>
      <w:bookmarkStart w:id="0" w:name="OLE_LINK3"/>
      <w:bookmarkStart w:id="1" w:name="OLE_LINK1"/>
      <w:bookmarkStart w:id="2" w:name="OLE_LINK2"/>
      <w:r w:rsidRPr="004232A9">
        <w:rPr>
          <w:b/>
          <w:sz w:val="24"/>
          <w:szCs w:val="24"/>
          <w:lang w:val="lv-LV"/>
        </w:rPr>
        <w:t>Ministru kabineta noteikumu projekta ,,</w:t>
      </w:r>
      <w:bookmarkStart w:id="3" w:name="OLE_LINK7"/>
      <w:bookmarkStart w:id="4" w:name="OLE_LINK8"/>
      <w:r w:rsidR="00E37F50" w:rsidRPr="004232A9">
        <w:rPr>
          <w:rFonts w:eastAsia="Times New Roman"/>
          <w:b/>
          <w:sz w:val="24"/>
          <w:szCs w:val="24"/>
          <w:lang w:val="lv-LV" w:eastAsia="lv-LV"/>
        </w:rPr>
        <w:t xml:space="preserve"> Grozījumi Ministru kabineta 2016.gada 15.jūlija noteikumos Nr.469 „</w:t>
      </w:r>
      <w:r w:rsidR="00E37F50" w:rsidRPr="004232A9">
        <w:rPr>
          <w:b/>
          <w:bCs/>
          <w:sz w:val="24"/>
          <w:szCs w:val="24"/>
          <w:shd w:val="clear" w:color="auto" w:fill="FFFFFF"/>
          <w:lang w:val="lv-LV"/>
        </w:rPr>
        <w:t>Noteikumi par paralēlajiem aizdevumiem saimnieciskās darbības veicējiem konkurētspējas uzlabošanai</w:t>
      </w:r>
      <w:r w:rsidR="00CA0BCB" w:rsidRPr="004232A9">
        <w:rPr>
          <w:b/>
          <w:sz w:val="24"/>
          <w:szCs w:val="24"/>
          <w:lang w:val="lv-LV"/>
        </w:rPr>
        <w:t>”</w:t>
      </w:r>
      <w:r w:rsidRPr="004232A9">
        <w:rPr>
          <w:b/>
          <w:sz w:val="24"/>
          <w:szCs w:val="24"/>
          <w:lang w:val="lv-LV"/>
        </w:rPr>
        <w:t>”</w:t>
      </w:r>
      <w:bookmarkEnd w:id="3"/>
      <w:bookmarkEnd w:id="4"/>
      <w:r w:rsidR="00844176" w:rsidRPr="004232A9">
        <w:rPr>
          <w:b/>
          <w:sz w:val="24"/>
          <w:szCs w:val="24"/>
          <w:lang w:val="lv-LV"/>
        </w:rPr>
        <w:t xml:space="preserve"> </w:t>
      </w:r>
    </w:p>
    <w:p w14:paraId="13882E5F" w14:textId="77777777" w:rsidR="00EA6CD3" w:rsidRPr="004232A9" w:rsidRDefault="00EA6CD3" w:rsidP="00EA6CD3">
      <w:pPr>
        <w:pStyle w:val="BodyText"/>
        <w:jc w:val="center"/>
        <w:rPr>
          <w:b/>
          <w:sz w:val="24"/>
          <w:szCs w:val="24"/>
        </w:rPr>
      </w:pPr>
      <w:r w:rsidRPr="004232A9">
        <w:rPr>
          <w:b/>
          <w:sz w:val="24"/>
          <w:szCs w:val="24"/>
        </w:rPr>
        <w:t>sākotnējās ietekmes novērtējuma ziņojums (anotācija)</w:t>
      </w:r>
    </w:p>
    <w:p w14:paraId="6A67B0DA" w14:textId="77777777" w:rsidR="00EA6CD3" w:rsidRPr="004232A9" w:rsidRDefault="00EA6CD3" w:rsidP="00E15447">
      <w:pPr>
        <w:pStyle w:val="BodyText"/>
        <w:rPr>
          <w:b/>
          <w:sz w:val="24"/>
          <w:szCs w:val="24"/>
        </w:rPr>
      </w:pPr>
    </w:p>
    <w:bookmarkEnd w:id="0"/>
    <w:bookmarkEnd w:id="1"/>
    <w:bookmarkEnd w:id="2"/>
    <w:p w14:paraId="5E74745E" w14:textId="77777777" w:rsidR="003E171B" w:rsidRPr="004232A9" w:rsidRDefault="003E171B" w:rsidP="00EA6CD3">
      <w:pPr>
        <w:tabs>
          <w:tab w:val="right" w:pos="9072"/>
        </w:tabs>
        <w:rPr>
          <w:sz w:val="24"/>
          <w:szCs w:val="24"/>
          <w:lang w:val="lv-LV"/>
        </w:rPr>
      </w:pPr>
    </w:p>
    <w:tbl>
      <w:tblPr>
        <w:tblW w:w="935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3"/>
        <w:gridCol w:w="1482"/>
        <w:gridCol w:w="7547"/>
      </w:tblGrid>
      <w:tr w:rsidR="00844176" w:rsidRPr="00FB4A8C" w14:paraId="3B854522" w14:textId="77777777" w:rsidTr="000472EA">
        <w:trPr>
          <w:trHeight w:val="405"/>
        </w:trPr>
        <w:tc>
          <w:tcPr>
            <w:tcW w:w="9352" w:type="dxa"/>
            <w:gridSpan w:val="3"/>
            <w:tcBorders>
              <w:top w:val="outset" w:sz="6" w:space="0" w:color="414142"/>
              <w:left w:val="outset" w:sz="6" w:space="0" w:color="414142"/>
              <w:bottom w:val="outset" w:sz="6" w:space="0" w:color="414142"/>
              <w:right w:val="outset" w:sz="6" w:space="0" w:color="414142"/>
            </w:tcBorders>
            <w:hideMark/>
          </w:tcPr>
          <w:p w14:paraId="6EEAA9E9" w14:textId="77777777" w:rsidR="00844176" w:rsidRPr="004232A9" w:rsidRDefault="00844176" w:rsidP="00A459E6">
            <w:pPr>
              <w:spacing w:before="100" w:beforeAutospacing="1" w:after="100" w:afterAutospacing="1"/>
              <w:ind w:firstLine="300"/>
              <w:jc w:val="center"/>
              <w:rPr>
                <w:rFonts w:eastAsia="Times New Roman"/>
                <w:sz w:val="24"/>
                <w:szCs w:val="24"/>
                <w:lang w:val="lv-LV" w:eastAsia="lv-LV"/>
              </w:rPr>
            </w:pPr>
            <w:r w:rsidRPr="004232A9">
              <w:rPr>
                <w:rFonts w:eastAsia="Times New Roman"/>
                <w:b/>
                <w:bCs/>
                <w:color w:val="000000"/>
                <w:sz w:val="24"/>
                <w:szCs w:val="24"/>
                <w:lang w:val="lv-LV" w:eastAsia="lv-LV"/>
              </w:rPr>
              <w:t>I. Tiesību akta projekta izstrādes nepieciešamība</w:t>
            </w:r>
          </w:p>
        </w:tc>
      </w:tr>
      <w:tr w:rsidR="00844176" w:rsidRPr="00FB4A8C" w14:paraId="13C64775" w14:textId="77777777" w:rsidTr="000472EA">
        <w:trPr>
          <w:trHeight w:val="405"/>
        </w:trPr>
        <w:tc>
          <w:tcPr>
            <w:tcW w:w="323" w:type="dxa"/>
            <w:tcBorders>
              <w:top w:val="outset" w:sz="6" w:space="0" w:color="414142"/>
              <w:left w:val="outset" w:sz="6" w:space="0" w:color="414142"/>
              <w:bottom w:val="outset" w:sz="6" w:space="0" w:color="414142"/>
              <w:right w:val="outset" w:sz="6" w:space="0" w:color="414142"/>
            </w:tcBorders>
            <w:hideMark/>
          </w:tcPr>
          <w:p w14:paraId="02B9FC00"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1.</w:t>
            </w:r>
          </w:p>
        </w:tc>
        <w:tc>
          <w:tcPr>
            <w:tcW w:w="1482" w:type="dxa"/>
            <w:tcBorders>
              <w:top w:val="outset" w:sz="6" w:space="0" w:color="414142"/>
              <w:left w:val="outset" w:sz="6" w:space="0" w:color="414142"/>
              <w:bottom w:val="outset" w:sz="6" w:space="0" w:color="414142"/>
              <w:right w:val="outset" w:sz="6" w:space="0" w:color="414142"/>
            </w:tcBorders>
            <w:hideMark/>
          </w:tcPr>
          <w:p w14:paraId="34054CE4"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Pamatojums</w:t>
            </w:r>
          </w:p>
        </w:tc>
        <w:tc>
          <w:tcPr>
            <w:tcW w:w="7547" w:type="dxa"/>
            <w:tcBorders>
              <w:top w:val="outset" w:sz="6" w:space="0" w:color="414142"/>
              <w:left w:val="outset" w:sz="6" w:space="0" w:color="414142"/>
              <w:bottom w:val="outset" w:sz="6" w:space="0" w:color="414142"/>
              <w:right w:val="outset" w:sz="6" w:space="0" w:color="414142"/>
            </w:tcBorders>
            <w:hideMark/>
          </w:tcPr>
          <w:p w14:paraId="4A6385D8" w14:textId="77777777" w:rsidR="00844176" w:rsidRPr="004232A9" w:rsidRDefault="00844176" w:rsidP="00A459E6">
            <w:pPr>
              <w:ind w:right="344"/>
              <w:jc w:val="both"/>
              <w:rPr>
                <w:sz w:val="24"/>
                <w:szCs w:val="24"/>
                <w:lang w:val="lv-LV"/>
              </w:rPr>
            </w:pPr>
            <w:r w:rsidRPr="004232A9">
              <w:rPr>
                <w:sz w:val="24"/>
                <w:szCs w:val="24"/>
                <w:lang w:val="lv-LV"/>
              </w:rPr>
              <w:t>Noteikumu projekts sagatavots, pamatojoties uz:</w:t>
            </w:r>
          </w:p>
          <w:p w14:paraId="67129718" w14:textId="77777777" w:rsidR="00844176" w:rsidRPr="004232A9" w:rsidRDefault="00844176" w:rsidP="00844176">
            <w:pPr>
              <w:pStyle w:val="ListParagraph"/>
              <w:numPr>
                <w:ilvl w:val="0"/>
                <w:numId w:val="14"/>
              </w:numPr>
              <w:ind w:right="344"/>
              <w:jc w:val="both"/>
              <w:rPr>
                <w:sz w:val="24"/>
                <w:szCs w:val="24"/>
                <w:lang w:val="lv-LV"/>
              </w:rPr>
            </w:pPr>
            <w:r w:rsidRPr="004232A9">
              <w:rPr>
                <w:sz w:val="24"/>
                <w:szCs w:val="24"/>
                <w:lang w:val="lv-LV"/>
              </w:rPr>
              <w:t>Ministru kabineta 2016.gada 29.novembra sēdes protokollēmuma (prot. Nr.65, 22§) 2. punktu;</w:t>
            </w:r>
          </w:p>
          <w:p w14:paraId="4F3B5593" w14:textId="77777777" w:rsidR="00844176" w:rsidRPr="004232A9" w:rsidRDefault="00844176" w:rsidP="00844176">
            <w:pPr>
              <w:pStyle w:val="ListParagraph"/>
              <w:numPr>
                <w:ilvl w:val="0"/>
                <w:numId w:val="14"/>
              </w:numPr>
              <w:ind w:right="344"/>
              <w:jc w:val="both"/>
              <w:rPr>
                <w:sz w:val="24"/>
                <w:szCs w:val="24"/>
                <w:lang w:val="lv-LV"/>
              </w:rPr>
            </w:pPr>
            <w:r w:rsidRPr="004232A9">
              <w:rPr>
                <w:sz w:val="24"/>
                <w:szCs w:val="24"/>
                <w:lang w:val="lv-LV"/>
              </w:rPr>
              <w:t>Attīstības finanšu institūcijas likuma 12.panta ceturto daļu;</w:t>
            </w:r>
          </w:p>
          <w:p w14:paraId="324ECAC9" w14:textId="7780F2E9" w:rsidR="00844176" w:rsidRPr="004232A9" w:rsidRDefault="00D642DE" w:rsidP="00844176">
            <w:pPr>
              <w:pStyle w:val="ListParagraph"/>
              <w:numPr>
                <w:ilvl w:val="0"/>
                <w:numId w:val="14"/>
              </w:numPr>
              <w:ind w:right="344"/>
              <w:jc w:val="both"/>
              <w:rPr>
                <w:sz w:val="24"/>
                <w:szCs w:val="24"/>
                <w:lang w:val="lv-LV"/>
              </w:rPr>
            </w:pPr>
            <w:hyperlink r:id="rId8" w:tgtFrame="_blank" w:history="1">
              <w:r w:rsidR="00844176" w:rsidRPr="004232A9">
                <w:rPr>
                  <w:rStyle w:val="Hyperlink"/>
                  <w:iCs/>
                  <w:color w:val="auto"/>
                  <w:sz w:val="24"/>
                  <w:szCs w:val="24"/>
                  <w:u w:val="none"/>
                  <w:shd w:val="clear" w:color="auto" w:fill="FFFFFF"/>
                  <w:lang w:val="lv-LV"/>
                </w:rPr>
                <w:t>Eiropas Savienības struktūrfondu un</w:t>
              </w:r>
              <w:r w:rsidR="00844176" w:rsidRPr="004232A9">
                <w:rPr>
                  <w:iCs/>
                  <w:sz w:val="24"/>
                  <w:szCs w:val="24"/>
                  <w:shd w:val="clear" w:color="auto" w:fill="FFFFFF"/>
                  <w:lang w:val="lv-LV"/>
                </w:rPr>
                <w:br/>
              </w:r>
              <w:r w:rsidR="00844176" w:rsidRPr="004232A9">
                <w:rPr>
                  <w:rStyle w:val="Hyperlink"/>
                  <w:iCs/>
                  <w:color w:val="auto"/>
                  <w:sz w:val="24"/>
                  <w:szCs w:val="24"/>
                  <w:u w:val="none"/>
                  <w:shd w:val="clear" w:color="auto" w:fill="FFFFFF"/>
                  <w:lang w:val="lv-LV"/>
                </w:rPr>
                <w:t>Kohēzijas fonda 2014.–2020. gada plānošanas perioda</w:t>
              </w:r>
              <w:r w:rsidR="00844176" w:rsidRPr="004232A9">
                <w:rPr>
                  <w:iCs/>
                  <w:sz w:val="24"/>
                  <w:szCs w:val="24"/>
                  <w:shd w:val="clear" w:color="auto" w:fill="FFFFFF"/>
                  <w:lang w:val="lv-LV"/>
                </w:rPr>
                <w:br/>
              </w:r>
              <w:r w:rsidR="00844176" w:rsidRPr="004232A9">
                <w:rPr>
                  <w:rStyle w:val="Hyperlink"/>
                  <w:iCs/>
                  <w:color w:val="auto"/>
                  <w:sz w:val="24"/>
                  <w:szCs w:val="24"/>
                  <w:u w:val="none"/>
                  <w:shd w:val="clear" w:color="auto" w:fill="FFFFFF"/>
                  <w:lang w:val="lv-LV"/>
                </w:rPr>
                <w:t>vadības likuma</w:t>
              </w:r>
            </w:hyperlink>
            <w:r w:rsidR="00844176" w:rsidRPr="004232A9">
              <w:rPr>
                <w:rStyle w:val="apple-converted-space"/>
                <w:iCs/>
                <w:sz w:val="24"/>
                <w:szCs w:val="24"/>
                <w:shd w:val="clear" w:color="auto" w:fill="FFFFFF"/>
                <w:lang w:val="lv-LV"/>
              </w:rPr>
              <w:t> </w:t>
            </w:r>
            <w:hyperlink r:id="rId9" w:anchor="p20" w:tgtFrame="_blank" w:history="1">
              <w:r w:rsidR="00844176" w:rsidRPr="004232A9">
                <w:rPr>
                  <w:rStyle w:val="Hyperlink"/>
                  <w:iCs/>
                  <w:color w:val="auto"/>
                  <w:sz w:val="24"/>
                  <w:szCs w:val="24"/>
                  <w:u w:val="none"/>
                  <w:shd w:val="clear" w:color="auto" w:fill="FFFFFF"/>
                  <w:lang w:val="lv-LV"/>
                </w:rPr>
                <w:t>20. pant</w:t>
              </w:r>
            </w:hyperlink>
            <w:r w:rsidR="001C2832" w:rsidRPr="004232A9">
              <w:rPr>
                <w:rStyle w:val="Hyperlink"/>
                <w:iCs/>
                <w:color w:val="auto"/>
                <w:sz w:val="24"/>
                <w:szCs w:val="24"/>
                <w:u w:val="none"/>
                <w:shd w:val="clear" w:color="auto" w:fill="FFFFFF"/>
                <w:lang w:val="lv-LV"/>
              </w:rPr>
              <w:t>a 14.punktu</w:t>
            </w:r>
            <w:r w:rsidR="00844176" w:rsidRPr="004232A9">
              <w:rPr>
                <w:sz w:val="24"/>
                <w:szCs w:val="24"/>
                <w:lang w:val="lv-LV"/>
              </w:rPr>
              <w:t>.</w:t>
            </w:r>
          </w:p>
        </w:tc>
      </w:tr>
      <w:tr w:rsidR="00844176" w:rsidRPr="00FB4A8C" w14:paraId="0FF0CCE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38AFFD17"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2.</w:t>
            </w:r>
          </w:p>
        </w:tc>
        <w:tc>
          <w:tcPr>
            <w:tcW w:w="1482" w:type="dxa"/>
            <w:tcBorders>
              <w:top w:val="outset" w:sz="6" w:space="0" w:color="414142"/>
              <w:left w:val="outset" w:sz="6" w:space="0" w:color="414142"/>
              <w:bottom w:val="outset" w:sz="6" w:space="0" w:color="414142"/>
              <w:right w:val="outset" w:sz="6" w:space="0" w:color="414142"/>
            </w:tcBorders>
            <w:hideMark/>
          </w:tcPr>
          <w:p w14:paraId="528D2DED"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7547" w:type="dxa"/>
            <w:tcBorders>
              <w:top w:val="outset" w:sz="6" w:space="0" w:color="414142"/>
              <w:left w:val="outset" w:sz="6" w:space="0" w:color="414142"/>
              <w:bottom w:val="outset" w:sz="6" w:space="0" w:color="414142"/>
              <w:right w:val="outset" w:sz="6" w:space="0" w:color="414142"/>
            </w:tcBorders>
          </w:tcPr>
          <w:p w14:paraId="0D27BD62" w14:textId="77777777" w:rsidR="00844176" w:rsidRPr="004232A9" w:rsidRDefault="00844176" w:rsidP="00A459E6">
            <w:pPr>
              <w:spacing w:before="120"/>
              <w:ind w:left="142" w:right="346"/>
              <w:jc w:val="both"/>
              <w:rPr>
                <w:sz w:val="24"/>
                <w:szCs w:val="24"/>
                <w:lang w:val="lv-LV"/>
              </w:rPr>
            </w:pPr>
            <w:r w:rsidRPr="004232A9">
              <w:rPr>
                <w:sz w:val="24"/>
                <w:szCs w:val="24"/>
                <w:lang w:val="lv-LV"/>
              </w:rPr>
              <w:t>Ministru kabineta 2016.gada 15.jūlija  noteikumi Nr.469 „</w:t>
            </w:r>
            <w:r w:rsidRPr="004232A9">
              <w:rPr>
                <w:bCs/>
                <w:sz w:val="24"/>
                <w:szCs w:val="24"/>
                <w:shd w:val="clear" w:color="auto" w:fill="FFFFFF"/>
                <w:lang w:val="lv-LV"/>
              </w:rPr>
              <w:t>Noteikumi par paralēlajiem aizdevumiem saimnieciskās darbības veicējiem konkurētspējas uzlabošanai</w:t>
            </w:r>
            <w:r w:rsidRPr="004232A9">
              <w:rPr>
                <w:sz w:val="24"/>
                <w:szCs w:val="24"/>
                <w:lang w:val="lv-LV"/>
              </w:rPr>
              <w:t>” (turpmāk - MK noteikumi Nr.469) nosaka atbalsta piešķiršanas nosacījumus paralēlajiem aizdevumiem – ilgtermiņa investīciju aizdevumiem ar paaugstinātu kredīta risku. Paralēlais aizdevums tiek sniegts kopā ar Latvijā reģistrētas kredītiestādes vai tās meitas sabiedrības finansējumu.</w:t>
            </w:r>
          </w:p>
          <w:p w14:paraId="48991BBD" w14:textId="596E88AB"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Ministru kabineta 2016.gada 29.novembra sēdē (prot. </w:t>
            </w:r>
            <w:r w:rsidR="00EE573A">
              <w:rPr>
                <w:sz w:val="24"/>
                <w:szCs w:val="24"/>
                <w:lang w:val="lv-LV"/>
              </w:rPr>
              <w:t>N</w:t>
            </w:r>
            <w:r w:rsidR="00EE573A" w:rsidRPr="004232A9">
              <w:rPr>
                <w:sz w:val="24"/>
                <w:szCs w:val="24"/>
                <w:lang w:val="lv-LV"/>
              </w:rPr>
              <w:t>r</w:t>
            </w:r>
            <w:r w:rsidRPr="004232A9">
              <w:rPr>
                <w:sz w:val="24"/>
                <w:szCs w:val="24"/>
                <w:lang w:val="lv-LV"/>
              </w:rPr>
              <w:t xml:space="preserve">.65, 22§) tika skatīts Finanšu ministrijas sagatavotais informatīvais ziņojums “Par Latvijas mazo un vidējo komersantu mikrokreditēšanas programmas izpildes rezultātiem” (turpmāk – Informatīvais ziņojums), saskaņā ar kuru uz 2016.gada 30.septembri aizdevumu izsniegšanai ir pieejami līdzekļi 740 579 </w:t>
            </w:r>
            <w:r w:rsidRPr="004232A9">
              <w:rPr>
                <w:i/>
                <w:sz w:val="24"/>
                <w:szCs w:val="24"/>
                <w:lang w:val="lv-LV"/>
              </w:rPr>
              <w:t>euro</w:t>
            </w:r>
            <w:r w:rsidRPr="004232A9">
              <w:rPr>
                <w:sz w:val="24"/>
                <w:szCs w:val="24"/>
                <w:lang w:val="lv-LV"/>
              </w:rPr>
              <w:t xml:space="preserve"> apmērā. </w:t>
            </w:r>
            <w:r w:rsidR="0088562C">
              <w:rPr>
                <w:sz w:val="24"/>
                <w:szCs w:val="24"/>
                <w:lang w:val="lv-LV"/>
              </w:rPr>
              <w:t>Tā kā programmas portfelī vēl ir vairāki aizdevumi</w:t>
            </w:r>
            <w:r w:rsidR="003A6D12">
              <w:rPr>
                <w:sz w:val="24"/>
                <w:szCs w:val="24"/>
                <w:lang w:val="lv-LV"/>
              </w:rPr>
              <w:t>,</w:t>
            </w:r>
            <w:r w:rsidR="0088562C">
              <w:rPr>
                <w:sz w:val="24"/>
                <w:szCs w:val="24"/>
                <w:lang w:val="lv-LV"/>
              </w:rPr>
              <w:t xml:space="preserve"> no programmas finansējuma tiek segtas programmas ieviešanas izmaksas</w:t>
            </w:r>
            <w:r w:rsidR="00957122">
              <w:rPr>
                <w:sz w:val="24"/>
                <w:szCs w:val="24"/>
                <w:lang w:val="lv-LV"/>
              </w:rPr>
              <w:t xml:space="preserve">, </w:t>
            </w:r>
            <w:r w:rsidR="0088562C">
              <w:rPr>
                <w:sz w:val="24"/>
                <w:szCs w:val="24"/>
                <w:lang w:val="lv-LV"/>
              </w:rPr>
              <w:t xml:space="preserve">tādēļ </w:t>
            </w:r>
            <w:r w:rsidR="00957122">
              <w:rPr>
                <w:sz w:val="24"/>
                <w:szCs w:val="24"/>
                <w:lang w:val="lv-LV"/>
              </w:rPr>
              <w:t xml:space="preserve">katru mēnesi samazinās </w:t>
            </w:r>
            <w:r w:rsidR="0088562C">
              <w:rPr>
                <w:sz w:val="24"/>
                <w:szCs w:val="24"/>
                <w:lang w:val="lv-LV"/>
              </w:rPr>
              <w:t xml:space="preserve">programmas </w:t>
            </w:r>
            <w:r w:rsidR="00957122">
              <w:rPr>
                <w:sz w:val="24"/>
                <w:szCs w:val="24"/>
                <w:lang w:val="lv-LV"/>
              </w:rPr>
              <w:t xml:space="preserve">finansējums. Saskaņā ar operatīvajiem finanšu datiem uz 31.03.2017, aizdevumu izsniegšanai </w:t>
            </w:r>
            <w:r w:rsidR="0088562C">
              <w:rPr>
                <w:sz w:val="24"/>
                <w:szCs w:val="24"/>
                <w:lang w:val="lv-LV"/>
              </w:rPr>
              <w:t xml:space="preserve">ir iespējams novirzīt </w:t>
            </w:r>
            <w:r w:rsidR="00957122">
              <w:rPr>
                <w:sz w:val="24"/>
                <w:szCs w:val="24"/>
                <w:lang w:val="lv-LV"/>
              </w:rPr>
              <w:t xml:space="preserve">725 000 </w:t>
            </w:r>
            <w:r w:rsidR="00957122" w:rsidRPr="008F2317">
              <w:rPr>
                <w:i/>
                <w:sz w:val="24"/>
                <w:szCs w:val="24"/>
                <w:lang w:val="lv-LV"/>
              </w:rPr>
              <w:t>euro</w:t>
            </w:r>
            <w:r w:rsidR="00957122">
              <w:rPr>
                <w:sz w:val="24"/>
                <w:szCs w:val="24"/>
                <w:lang w:val="lv-LV"/>
              </w:rPr>
              <w:t xml:space="preserve">. Par pārējo finansējumu, ko var izmantot jaunu aizdevumu izsniegšanai, varēs lemt pēc programmas slēgšanas, kad būs precīzi zināms rezultāts visas programmas darbības laikā. </w:t>
            </w:r>
          </w:p>
          <w:p w14:paraId="34C9F1E9" w14:textId="2F7D07FB"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Ministru kabineta 2008.gada 2.decembra rīkojuma Nr.752 “Par Latvijas mazo un vidējo komersantu mikrokreditēšanas programmu” (prot. Nr.83, 39.§) </w:t>
            </w:r>
            <w:r w:rsidR="000430AC" w:rsidRPr="004232A9">
              <w:rPr>
                <w:sz w:val="24"/>
                <w:szCs w:val="24"/>
                <w:lang w:val="lv-LV"/>
              </w:rPr>
              <w:t xml:space="preserve">(turpmāk – MK rīkojums Nr.752) </w:t>
            </w:r>
            <w:r w:rsidRPr="004232A9">
              <w:rPr>
                <w:sz w:val="24"/>
                <w:szCs w:val="24"/>
                <w:lang w:val="lv-LV"/>
              </w:rPr>
              <w:t xml:space="preserve">pielikuma 6.punktā noteikts, ka sākotnēji programmas finansēšanai nepieciešamie līdzekļi veidojas no valsts akciju sabiedrības "Latvijas Hipotēku un zemes banka"  (akciju sabiedrība "Attīstības finanšu institūcija Altum" (turpmāk - sabiedrība Altum) ir saistību pārņēmējs) ieguldījuma LVL 112 960,81 (160 728,75 </w:t>
            </w:r>
            <w:r w:rsidRPr="004232A9">
              <w:rPr>
                <w:i/>
                <w:sz w:val="24"/>
                <w:szCs w:val="24"/>
                <w:lang w:val="lv-LV"/>
              </w:rPr>
              <w:t>euro</w:t>
            </w:r>
            <w:r w:rsidRPr="004232A9">
              <w:rPr>
                <w:sz w:val="24"/>
                <w:szCs w:val="24"/>
                <w:lang w:val="lv-LV"/>
              </w:rPr>
              <w:t xml:space="preserve">), kas ir 20% no kopējā programmas apjoma, un Finanšu ministrijas ieguldījuma LVL 451 843,23 (642 914,99 </w:t>
            </w:r>
            <w:r w:rsidRPr="004232A9">
              <w:rPr>
                <w:i/>
                <w:sz w:val="24"/>
                <w:szCs w:val="24"/>
                <w:lang w:val="lv-LV"/>
              </w:rPr>
              <w:t>euro</w:t>
            </w:r>
            <w:r w:rsidRPr="004232A9">
              <w:rPr>
                <w:sz w:val="24"/>
                <w:szCs w:val="24"/>
                <w:lang w:val="lv-LV"/>
              </w:rPr>
              <w:t xml:space="preserve">) apmērā, kas ir 80% no programmas kopējā apjoma. Attiecīgi </w:t>
            </w:r>
            <w:r w:rsidR="008F2317">
              <w:rPr>
                <w:sz w:val="24"/>
                <w:szCs w:val="24"/>
                <w:lang w:val="lv-LV"/>
              </w:rPr>
              <w:t xml:space="preserve">jaunu aizdevumu izsniegšanai </w:t>
            </w:r>
            <w:r w:rsidRPr="004232A9">
              <w:rPr>
                <w:sz w:val="24"/>
                <w:szCs w:val="24"/>
                <w:lang w:val="lv-LV"/>
              </w:rPr>
              <w:t>(</w:t>
            </w:r>
            <w:r w:rsidR="008F2317">
              <w:rPr>
                <w:sz w:val="24"/>
                <w:szCs w:val="24"/>
                <w:lang w:val="lv-LV"/>
              </w:rPr>
              <w:t xml:space="preserve">pieejams finansējums 725 000 </w:t>
            </w:r>
            <w:r w:rsidR="008F2317" w:rsidRPr="008F2317">
              <w:rPr>
                <w:i/>
                <w:sz w:val="24"/>
                <w:szCs w:val="24"/>
                <w:lang w:val="lv-LV"/>
              </w:rPr>
              <w:t>euro</w:t>
            </w:r>
            <w:r w:rsidRPr="004232A9">
              <w:rPr>
                <w:i/>
                <w:sz w:val="24"/>
                <w:szCs w:val="24"/>
                <w:lang w:val="lv-LV"/>
              </w:rPr>
              <w:t xml:space="preserve">) </w:t>
            </w:r>
            <w:r w:rsidRPr="004232A9">
              <w:rPr>
                <w:sz w:val="24"/>
                <w:szCs w:val="24"/>
                <w:lang w:val="lv-LV"/>
              </w:rPr>
              <w:t xml:space="preserve">sabiedrības Altum finansējuma daļa ir </w:t>
            </w:r>
            <w:r w:rsidR="008F2317" w:rsidRPr="004232A9">
              <w:rPr>
                <w:sz w:val="24"/>
                <w:szCs w:val="24"/>
                <w:lang w:val="lv-LV"/>
              </w:rPr>
              <w:t>14</w:t>
            </w:r>
            <w:r w:rsidR="008F2317">
              <w:rPr>
                <w:sz w:val="24"/>
                <w:szCs w:val="24"/>
                <w:lang w:val="lv-LV"/>
              </w:rPr>
              <w:t>5</w:t>
            </w:r>
            <w:r w:rsidR="008F2317" w:rsidRPr="004232A9">
              <w:rPr>
                <w:sz w:val="24"/>
                <w:szCs w:val="24"/>
                <w:lang w:val="lv-LV"/>
              </w:rPr>
              <w:t> </w:t>
            </w:r>
            <w:r w:rsidR="008F2317">
              <w:rPr>
                <w:sz w:val="24"/>
                <w:szCs w:val="24"/>
                <w:lang w:val="lv-LV"/>
              </w:rPr>
              <w:t>000</w:t>
            </w:r>
            <w:r w:rsidR="008F2317" w:rsidRPr="004232A9">
              <w:rPr>
                <w:sz w:val="24"/>
                <w:szCs w:val="24"/>
                <w:lang w:val="lv-LV"/>
              </w:rPr>
              <w:t xml:space="preserve"> </w:t>
            </w:r>
            <w:r w:rsidRPr="004232A9">
              <w:rPr>
                <w:i/>
                <w:sz w:val="24"/>
                <w:szCs w:val="24"/>
                <w:lang w:val="lv-LV"/>
              </w:rPr>
              <w:t>euro</w:t>
            </w:r>
            <w:r w:rsidRPr="004232A9">
              <w:rPr>
                <w:sz w:val="24"/>
                <w:szCs w:val="24"/>
                <w:lang w:val="lv-LV"/>
              </w:rPr>
              <w:t xml:space="preserve">, bet Finanšu ministrijas daļa </w:t>
            </w:r>
            <w:r w:rsidR="008F2317">
              <w:rPr>
                <w:sz w:val="24"/>
                <w:szCs w:val="24"/>
                <w:lang w:val="lv-LV"/>
              </w:rPr>
              <w:t>580 000 euro</w:t>
            </w:r>
            <w:r w:rsidRPr="004232A9">
              <w:rPr>
                <w:sz w:val="24"/>
                <w:szCs w:val="24"/>
                <w:lang w:val="lv-LV"/>
              </w:rPr>
              <w:t xml:space="preserve">. </w:t>
            </w:r>
          </w:p>
          <w:p w14:paraId="42523FBA" w14:textId="214840C9"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Pamatojoties uz Ministru kabineta 2016.gada 29.novembra sēdes protokollēmuma (prot. Nr.65, 22</w:t>
            </w:r>
            <w:bookmarkStart w:id="5" w:name="22"/>
            <w:r w:rsidRPr="004232A9">
              <w:rPr>
                <w:sz w:val="24"/>
                <w:szCs w:val="24"/>
                <w:lang w:val="lv-LV"/>
              </w:rPr>
              <w:t>§</w:t>
            </w:r>
            <w:bookmarkEnd w:id="5"/>
            <w:r w:rsidRPr="004232A9">
              <w:rPr>
                <w:sz w:val="24"/>
                <w:szCs w:val="24"/>
                <w:lang w:val="lv-LV"/>
              </w:rPr>
              <w:t xml:space="preserve">) 2. punktu, kas nosaka: “Ekonomikas ministrijai sadarbībā ar akciju sabiedrību "Attīstības finanšu institūcija Altum" līdz 2017.gada 1.martam izstrādāt: 2.1. normatīvo aktu par Aizdevumu fondā uzkrāto līdzekļu izlietošanu”, Ekonomikas ministrija (turpmāk – EM) sadarbībā ar sabiedrību Altum ir izstrādājusi normatīvo aktu par Aizdevumu fondā </w:t>
            </w:r>
            <w:r w:rsidR="004666F3" w:rsidRPr="004232A9">
              <w:rPr>
                <w:sz w:val="24"/>
                <w:szCs w:val="24"/>
                <w:lang w:val="lv-LV"/>
              </w:rPr>
              <w:t xml:space="preserve">(t.i. “Latvijas mazo un vidējo komersantu  Mikrokreditēšanas programmas” atmaksu publiskais finansējums) </w:t>
            </w:r>
            <w:r w:rsidRPr="004232A9">
              <w:rPr>
                <w:sz w:val="24"/>
                <w:szCs w:val="24"/>
                <w:lang w:val="lv-LV"/>
              </w:rPr>
              <w:t>uzkrāto līdzekļu izlietošanu.</w:t>
            </w:r>
          </w:p>
          <w:p w14:paraId="6BEA12CB" w14:textId="77777777" w:rsidR="004666F3" w:rsidRPr="004232A9" w:rsidRDefault="004666F3" w:rsidP="00A459E6">
            <w:pPr>
              <w:autoSpaceDE w:val="0"/>
              <w:autoSpaceDN w:val="0"/>
              <w:adjustRightInd w:val="0"/>
              <w:spacing w:before="120"/>
              <w:ind w:left="142" w:right="346"/>
              <w:jc w:val="both"/>
              <w:rPr>
                <w:sz w:val="24"/>
                <w:szCs w:val="24"/>
                <w:lang w:val="lv-LV"/>
              </w:rPr>
            </w:pPr>
          </w:p>
          <w:p w14:paraId="6863925E" w14:textId="6219AC03"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Mikrokreditēšanas sistēmas uzturēšana turpmākajos gados tiks nodrošināta Ministru kabineta 2016.gada 31.maija noteikumu </w:t>
            </w:r>
            <w:r w:rsidR="00381382" w:rsidRPr="004232A9">
              <w:rPr>
                <w:sz w:val="24"/>
                <w:szCs w:val="24"/>
                <w:lang w:val="lv-LV"/>
              </w:rPr>
              <w:t xml:space="preserve">Nr.328 </w:t>
            </w:r>
            <w:r w:rsidRPr="004232A9">
              <w:rPr>
                <w:sz w:val="24"/>
                <w:szCs w:val="24"/>
                <w:lang w:val="lv-LV"/>
              </w:rPr>
              <w:t xml:space="preserve">“Noteikumi par mikroaizdevumiem un starta aizdevumiem” ietvaros, saskaņā ar kuriem mikroaizdevumu un starta aizdevumu piešķiršanai ir paredzēts finansējums 34 000 000 </w:t>
            </w:r>
            <w:r w:rsidRPr="004232A9">
              <w:rPr>
                <w:i/>
                <w:sz w:val="24"/>
                <w:szCs w:val="24"/>
                <w:lang w:val="lv-LV"/>
              </w:rPr>
              <w:t>euro</w:t>
            </w:r>
            <w:r w:rsidRPr="004232A9">
              <w:rPr>
                <w:sz w:val="24"/>
                <w:szCs w:val="24"/>
                <w:lang w:val="lv-LV"/>
              </w:rPr>
              <w:t xml:space="preserve"> apjomā un papildus finansējums tuvākajos gados nav nepieciešams. Mikrokreditēšanas programmas ietvaros tiks veicināta Latvijas reģionu ekonomiskā aktivitāte, kā arī radītas iespējas jaunu darba vietu izveidei. </w:t>
            </w:r>
          </w:p>
          <w:p w14:paraId="4EF30B25" w14:textId="77777777" w:rsidR="00844176" w:rsidRPr="004232A9" w:rsidRDefault="00844176" w:rsidP="00A459E6">
            <w:pPr>
              <w:spacing w:before="120"/>
              <w:ind w:left="141" w:right="346"/>
              <w:jc w:val="both"/>
              <w:rPr>
                <w:sz w:val="24"/>
                <w:szCs w:val="24"/>
                <w:lang w:val="lv-LV"/>
              </w:rPr>
            </w:pPr>
            <w:r w:rsidRPr="004232A9">
              <w:rPr>
                <w:sz w:val="24"/>
                <w:szCs w:val="24"/>
                <w:lang w:val="lv-LV"/>
              </w:rPr>
              <w:t>Eiropas Savienības 2014.-2020.gada plānošanas perioda finanšu instrumentu finansējums 3.1.1.specifiskā atbalsta mērķa “Sekmēt MVK izveidi un attīstību, īpaši apstrādes rūpniecībā un RIS3 prioritārajās nozarēs” ietvaros pieejamas tikai maziem un vidējiem komersantiem, bet nav pieejams lielajiem komersantiem. Lielajiem komersantiem paralēlajiem aizdevumiem vai aizdevumu garantijām novirza finansējumu no 2004.-2006.gada plānošanas perioda finanšu instrumentu programmu ietvaros atmaksātā publiskā finansējuma vai finansējumu no citiem avotiem, kas pieļauj finanšu instrumentu atbalsta sniegšanu lielajiem komersantiem.</w:t>
            </w:r>
          </w:p>
          <w:p w14:paraId="5CFF72F7" w14:textId="77777777"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Atbilstoši MK noteikumu Nr.469 13.punktam, paralēlie aizdevumi lielajiem saimnieciskās darbības veicējiem ir pieejami pēc Eiropas Stratēģisko investīciju fonda garantiju (turpmāk – ESIF garantijas) piesaistīšanas. Pašreiz ESIF garantijas lielajiem saimnieciskās darbības veicējiem nav pieejamas, jo Eiropas Investīciju Fonds (turpmāk – EIF) vēl nav izstrādājis šādu produktu. Sabiedrība Altum prognozē, ka saimnieciskās darbības veicējiem ESIF garantijas būs pieejamas ne ātrāk kā 2017. gada 3. ceturksnī.  Vienlaicīgi EIF ir informējis, ka ESIF garantijas varēs saņemt lielie saimnieciskās darbības veicēji ar darbinieku skaitu līdz 500. Savukārt, sabiedrībā Altum, veicot sarunas ar komercbankām, ir saņemta informācija, ka šie aizdevumi ir aktuāli arī uzņēmumiem virs 500 darbiniekiem. Šo divu iepriekš minēto iemeslu dēļ ir nepieciešams veikt grozījumus MK noteikumos Nr.469 un nodrošināt publisko finansējumu, lai lielajiem saimnieciskās darbības veicējiem būtu pieejami paralēlie aizdevumi. </w:t>
            </w:r>
          </w:p>
          <w:p w14:paraId="4EEA567B" w14:textId="77777777" w:rsidR="00844176" w:rsidRPr="004232A9" w:rsidRDefault="00844176" w:rsidP="00A459E6">
            <w:pPr>
              <w:autoSpaceDE w:val="0"/>
              <w:autoSpaceDN w:val="0"/>
              <w:adjustRightInd w:val="0"/>
              <w:spacing w:before="120"/>
              <w:ind w:left="142" w:right="346"/>
              <w:jc w:val="both"/>
              <w:rPr>
                <w:strike/>
                <w:sz w:val="24"/>
                <w:szCs w:val="24"/>
                <w:lang w:val="lv-LV"/>
              </w:rPr>
            </w:pPr>
            <w:r w:rsidRPr="004232A9">
              <w:rPr>
                <w:sz w:val="24"/>
                <w:szCs w:val="24"/>
                <w:lang w:val="lv-LV"/>
              </w:rPr>
              <w:t xml:space="preserve">Atbilstoši sabiebrības Altum pieņēmumiem, vidējā aizdevuma summa (līdz 35% no kopējās aizdevuma summas) būs 400 000 - 500 000 </w:t>
            </w:r>
            <w:r w:rsidRPr="004232A9">
              <w:rPr>
                <w:i/>
                <w:sz w:val="24"/>
                <w:szCs w:val="24"/>
                <w:lang w:val="lv-LV"/>
              </w:rPr>
              <w:t>euro</w:t>
            </w:r>
            <w:r w:rsidRPr="004232A9">
              <w:rPr>
                <w:sz w:val="24"/>
                <w:szCs w:val="24"/>
                <w:lang w:val="lv-LV"/>
              </w:rPr>
              <w:t xml:space="preserve">, tādejādi ar plānoto kopējo finansējumu lielajiem saimnieciskās darbības veicējiem 5 992 463 </w:t>
            </w:r>
            <w:r w:rsidRPr="004232A9">
              <w:rPr>
                <w:i/>
                <w:sz w:val="24"/>
                <w:szCs w:val="24"/>
                <w:lang w:val="lv-LV"/>
              </w:rPr>
              <w:t>euro</w:t>
            </w:r>
            <w:r w:rsidRPr="004232A9">
              <w:rPr>
                <w:sz w:val="24"/>
                <w:szCs w:val="24"/>
                <w:lang w:val="lv-LV"/>
              </w:rPr>
              <w:t xml:space="preserve"> apmērā būs iespējams apstiprināt 12 - 15 projektus. Plānots, ka finansējums pietiks līdz 2018. gada beigām.</w:t>
            </w:r>
          </w:p>
          <w:p w14:paraId="0F0483FA" w14:textId="0B3C5E1F"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Ņemot vērā iepriekš minēto, EM sadarbībā ar sabiedrību Altum secinājusi, ka Aizdevumu fonda uzkrātie līdzekļi Latvijas mazo un vidējo komersantu mikrokreditēšanas programmas ietvaros (</w:t>
            </w:r>
            <w:r w:rsidR="000430AC" w:rsidRPr="004232A9">
              <w:rPr>
                <w:sz w:val="24"/>
                <w:szCs w:val="24"/>
                <w:lang w:val="lv-LV"/>
              </w:rPr>
              <w:t>MK</w:t>
            </w:r>
            <w:r w:rsidRPr="004232A9">
              <w:rPr>
                <w:sz w:val="24"/>
                <w:szCs w:val="24"/>
                <w:lang w:val="lv-LV"/>
              </w:rPr>
              <w:t xml:space="preserve"> rīkojums Nr.752) vislietderīgāk būtu izlietojami, palielinot pieejamo finansējumu paralēlajiem aizdevumiem lielajiem saimnieciskās darbības veicējiem. Tāpēc atbilstoši Ministru kabineta 2016.gada 29.novembra sēdes protokollēmumam (prot. </w:t>
            </w:r>
            <w:r w:rsidR="00EE573A">
              <w:rPr>
                <w:sz w:val="24"/>
                <w:szCs w:val="24"/>
                <w:lang w:val="lv-LV"/>
              </w:rPr>
              <w:t>N</w:t>
            </w:r>
            <w:r w:rsidR="00EE573A" w:rsidRPr="004232A9">
              <w:rPr>
                <w:sz w:val="24"/>
                <w:szCs w:val="24"/>
                <w:lang w:val="lv-LV"/>
              </w:rPr>
              <w:t>r</w:t>
            </w:r>
            <w:r w:rsidRPr="004232A9">
              <w:rPr>
                <w:sz w:val="24"/>
                <w:szCs w:val="24"/>
                <w:lang w:val="lv-LV"/>
              </w:rPr>
              <w:t xml:space="preserve">.65, 22§) EM ir izstrādājusi grozījumus MK noteikumos Nr.469 un ierosina mikrokreditēšanas programmas publiskā finansējuma daļu </w:t>
            </w:r>
            <w:r w:rsidR="008F2317">
              <w:rPr>
                <w:sz w:val="24"/>
                <w:szCs w:val="24"/>
                <w:lang w:val="lv-LV"/>
              </w:rPr>
              <w:t>580 000</w:t>
            </w:r>
            <w:r w:rsidRPr="004232A9">
              <w:rPr>
                <w:sz w:val="24"/>
                <w:szCs w:val="24"/>
                <w:lang w:val="lv-LV"/>
              </w:rPr>
              <w:t xml:space="preserve"> </w:t>
            </w:r>
            <w:r w:rsidRPr="004232A9">
              <w:rPr>
                <w:i/>
                <w:sz w:val="24"/>
                <w:szCs w:val="24"/>
                <w:lang w:val="lv-LV"/>
              </w:rPr>
              <w:t>euro</w:t>
            </w:r>
            <w:r w:rsidRPr="004232A9">
              <w:rPr>
                <w:sz w:val="24"/>
                <w:szCs w:val="24"/>
                <w:lang w:val="lv-LV"/>
              </w:rPr>
              <w:t xml:space="preserve"> novirzīt paralēlajiem aizdevumiem lielajiem komersantiem. Savukārt, Altum ieguldījumu daļa </w:t>
            </w:r>
            <w:r w:rsidR="002B407B">
              <w:rPr>
                <w:sz w:val="24"/>
                <w:szCs w:val="24"/>
                <w:lang w:val="lv-LV"/>
              </w:rPr>
              <w:t xml:space="preserve"> </w:t>
            </w:r>
            <w:r w:rsidR="008F2317">
              <w:rPr>
                <w:sz w:val="24"/>
                <w:szCs w:val="24"/>
                <w:lang w:val="lv-LV"/>
              </w:rPr>
              <w:t>145 000</w:t>
            </w:r>
            <w:r w:rsidRPr="004232A9">
              <w:rPr>
                <w:sz w:val="24"/>
                <w:szCs w:val="24"/>
                <w:lang w:val="lv-LV"/>
              </w:rPr>
              <w:t xml:space="preserve"> </w:t>
            </w:r>
            <w:r w:rsidRPr="004232A9">
              <w:rPr>
                <w:i/>
                <w:sz w:val="24"/>
                <w:szCs w:val="24"/>
                <w:lang w:val="lv-LV"/>
              </w:rPr>
              <w:t>euro</w:t>
            </w:r>
            <w:r w:rsidRPr="004232A9">
              <w:rPr>
                <w:sz w:val="24"/>
                <w:szCs w:val="24"/>
                <w:lang w:val="lv-LV"/>
              </w:rPr>
              <w:t xml:space="preserve"> tiek atgriezta Altum.</w:t>
            </w:r>
          </w:p>
          <w:p w14:paraId="3B47D8C0" w14:textId="233E9C44" w:rsidR="00844176" w:rsidRPr="004232A9" w:rsidRDefault="00844176" w:rsidP="00A459E6">
            <w:pPr>
              <w:spacing w:before="120"/>
              <w:ind w:left="201" w:right="346"/>
              <w:jc w:val="both"/>
              <w:rPr>
                <w:sz w:val="24"/>
                <w:szCs w:val="24"/>
                <w:lang w:val="lv-LV"/>
              </w:rPr>
            </w:pPr>
            <w:r w:rsidRPr="004232A9">
              <w:rPr>
                <w:sz w:val="24"/>
                <w:szCs w:val="24"/>
                <w:lang w:val="lv-LV"/>
              </w:rPr>
              <w:t>Ņemot vērā publisko līdzekļu Latvijas mazo un vidējo komersantu mikrokreditēšanas programmas ietvaros (</w:t>
            </w:r>
            <w:r w:rsidR="000430AC" w:rsidRPr="004232A9">
              <w:rPr>
                <w:sz w:val="24"/>
                <w:szCs w:val="24"/>
                <w:lang w:val="lv-LV"/>
              </w:rPr>
              <w:t>MK</w:t>
            </w:r>
            <w:r w:rsidRPr="004232A9">
              <w:rPr>
                <w:sz w:val="24"/>
                <w:szCs w:val="24"/>
                <w:lang w:val="lv-LV"/>
              </w:rPr>
              <w:t xml:space="preserve"> rīkojums Nr.752) ierobežoto apjomu </w:t>
            </w:r>
            <w:r w:rsidR="008F2317">
              <w:rPr>
                <w:sz w:val="24"/>
                <w:szCs w:val="24"/>
                <w:lang w:val="lv-LV"/>
              </w:rPr>
              <w:t>580 000</w:t>
            </w:r>
            <w:r w:rsidRPr="004232A9">
              <w:rPr>
                <w:sz w:val="24"/>
                <w:szCs w:val="24"/>
                <w:lang w:val="lv-LV"/>
              </w:rPr>
              <w:t xml:space="preserve"> </w:t>
            </w:r>
            <w:r w:rsidRPr="004232A9">
              <w:rPr>
                <w:i/>
                <w:sz w:val="24"/>
                <w:szCs w:val="24"/>
                <w:lang w:val="lv-LV"/>
              </w:rPr>
              <w:t>euro</w:t>
            </w:r>
            <w:r w:rsidRPr="004232A9">
              <w:rPr>
                <w:sz w:val="24"/>
                <w:szCs w:val="24"/>
                <w:lang w:val="lv-LV"/>
              </w:rPr>
              <w:t xml:space="preserve"> apmērā, kas nav pietiekams paralēlo aizdevumu izsniegšanai lielajiem komersantiem, MK noteikumu Nr.469 grozījumi paredz izmantot arī 2004.–2006. gada Eiropas Savienības fondu plānošanas perioda 2.4.1. nacionālās programmas "Aizdevumi (t. sk. mikrokredīti) komercdarbības uzsākšanai" (turpmāk – 2.4.1. aktivitāte) atmaksu publiskā finansējuma daļu 400 000 </w:t>
            </w:r>
            <w:r w:rsidRPr="004232A9">
              <w:rPr>
                <w:i/>
                <w:sz w:val="24"/>
                <w:szCs w:val="24"/>
                <w:lang w:val="lv-LV"/>
              </w:rPr>
              <w:t>euro</w:t>
            </w:r>
            <w:r w:rsidRPr="004232A9">
              <w:rPr>
                <w:sz w:val="24"/>
                <w:szCs w:val="24"/>
                <w:lang w:val="lv-LV"/>
              </w:rPr>
              <w:t>.</w:t>
            </w:r>
          </w:p>
          <w:p w14:paraId="4E5309CD" w14:textId="77777777" w:rsidR="00844176" w:rsidRPr="004232A9" w:rsidRDefault="00844176" w:rsidP="00A459E6">
            <w:pPr>
              <w:spacing w:before="120"/>
              <w:ind w:left="201" w:right="346"/>
              <w:jc w:val="both"/>
              <w:rPr>
                <w:sz w:val="24"/>
                <w:szCs w:val="24"/>
                <w:lang w:val="lv-LV"/>
              </w:rPr>
            </w:pPr>
            <w:r w:rsidRPr="004232A9">
              <w:rPr>
                <w:sz w:val="24"/>
                <w:szCs w:val="24"/>
                <w:lang w:val="lv-LV"/>
              </w:rPr>
              <w:t xml:space="preserve">Tā kā šobrīd notiek atmaksas 2.4.1.aktivitātē, tad par atmaksu publiskā finansējuma daļu, kas tiek plānota līdz 600 000 </w:t>
            </w:r>
            <w:r w:rsidRPr="004232A9">
              <w:rPr>
                <w:i/>
                <w:sz w:val="24"/>
                <w:szCs w:val="24"/>
                <w:lang w:val="lv-LV"/>
              </w:rPr>
              <w:t>euro</w:t>
            </w:r>
            <w:r w:rsidRPr="004232A9">
              <w:rPr>
                <w:sz w:val="24"/>
                <w:szCs w:val="24"/>
                <w:lang w:val="lv-LV"/>
              </w:rPr>
              <w:t xml:space="preserve"> apmērā, turpmāk ar MK noteikumu grozījumiem paredzēts palielināt pieejamo finansējumu paralēlo aizdevumu izsniegšanai lielajiem komersantiem.</w:t>
            </w:r>
          </w:p>
          <w:p w14:paraId="62ABE552" w14:textId="77777777" w:rsidR="00844176" w:rsidRPr="004232A9" w:rsidRDefault="00844176" w:rsidP="00A459E6">
            <w:pPr>
              <w:spacing w:before="120"/>
              <w:ind w:left="201" w:right="346"/>
              <w:jc w:val="both"/>
              <w:rPr>
                <w:sz w:val="24"/>
                <w:szCs w:val="24"/>
                <w:lang w:val="lv-LV"/>
              </w:rPr>
            </w:pPr>
            <w:r w:rsidRPr="004232A9">
              <w:rPr>
                <w:sz w:val="24"/>
                <w:szCs w:val="24"/>
                <w:lang w:val="lv-LV" w:eastAsia="lv-LV"/>
              </w:rPr>
              <w:t>Šī finansējuma izmantošana ir atbilstoša Padomes 1999.gada 21.jūnija Nolikuma (EK) Nr.1260/1999, kas nosaka vispārīgus noteikumus par struktūrfondiem 28.panta 3.punkta nosacījumiem.</w:t>
            </w:r>
          </w:p>
          <w:p w14:paraId="7789718C" w14:textId="6EB2ABE6" w:rsidR="00844176" w:rsidRPr="004232A9" w:rsidRDefault="00844176" w:rsidP="00A459E6">
            <w:pPr>
              <w:spacing w:before="120"/>
              <w:ind w:left="201" w:right="346"/>
              <w:jc w:val="both"/>
              <w:rPr>
                <w:sz w:val="24"/>
                <w:szCs w:val="24"/>
                <w:lang w:val="lv-LV"/>
              </w:rPr>
            </w:pPr>
            <w:r w:rsidRPr="004232A9">
              <w:rPr>
                <w:sz w:val="24"/>
                <w:szCs w:val="24"/>
                <w:lang w:val="lv-LV"/>
              </w:rPr>
              <w:t>Tādejādi kopējais novirzītais finansējums paralēlajiem aizdevumiem lielajiem saimnieciskās darbības veicējiem būs 5 </w:t>
            </w:r>
            <w:r w:rsidR="008F2317">
              <w:rPr>
                <w:sz w:val="24"/>
                <w:szCs w:val="24"/>
                <w:lang w:val="lv-LV"/>
              </w:rPr>
              <w:t>980 000</w:t>
            </w:r>
            <w:r w:rsidRPr="004232A9">
              <w:rPr>
                <w:sz w:val="24"/>
                <w:szCs w:val="24"/>
                <w:lang w:val="lv-LV"/>
              </w:rPr>
              <w:t xml:space="preserve"> </w:t>
            </w:r>
            <w:r w:rsidRPr="004232A9">
              <w:rPr>
                <w:i/>
                <w:sz w:val="24"/>
                <w:szCs w:val="24"/>
                <w:lang w:val="lv-LV"/>
              </w:rPr>
              <w:t xml:space="preserve">euro </w:t>
            </w:r>
            <w:r w:rsidRPr="004232A9">
              <w:rPr>
                <w:sz w:val="24"/>
                <w:szCs w:val="24"/>
                <w:lang w:val="lv-LV"/>
              </w:rPr>
              <w:t xml:space="preserve">(t.sk. sabiedrības Altum finansējums 5 000 000 </w:t>
            </w:r>
            <w:r w:rsidRPr="004232A9">
              <w:rPr>
                <w:i/>
                <w:sz w:val="24"/>
                <w:szCs w:val="24"/>
                <w:lang w:val="lv-LV"/>
              </w:rPr>
              <w:t>euro</w:t>
            </w:r>
            <w:r w:rsidRPr="004232A9">
              <w:rPr>
                <w:sz w:val="24"/>
                <w:szCs w:val="24"/>
                <w:lang w:val="lv-LV"/>
              </w:rPr>
              <w:t xml:space="preserve">). </w:t>
            </w:r>
          </w:p>
          <w:p w14:paraId="4F4E2D00" w14:textId="7C1EEF18" w:rsidR="00D165F4" w:rsidRPr="004232A9" w:rsidRDefault="00844176" w:rsidP="00A9174A">
            <w:pPr>
              <w:spacing w:before="120"/>
              <w:ind w:left="201" w:right="346"/>
              <w:jc w:val="both"/>
              <w:rPr>
                <w:sz w:val="24"/>
                <w:szCs w:val="24"/>
                <w:lang w:val="lv-LV"/>
              </w:rPr>
            </w:pPr>
            <w:r w:rsidRPr="004232A9">
              <w:rPr>
                <w:sz w:val="24"/>
                <w:szCs w:val="24"/>
                <w:lang w:val="lv-LV"/>
              </w:rPr>
              <w:t xml:space="preserve">Ņemot vērā mazo paralēlo aizdevumu skaitu lielajiem saimnieciskās darbības veicējiem, kas varētu atbilst ESIF garantijām, MK noteikumu Nr. 469 grozījumi paredz piemērot ESIF garantijas arī MK noteikumu Nr. 469 8.4. punktā minētajiem aizdevumiem. </w:t>
            </w:r>
          </w:p>
          <w:p w14:paraId="49C7549E" w14:textId="40526D8A" w:rsidR="00765825" w:rsidRPr="004232A9" w:rsidRDefault="00765825" w:rsidP="00A9174A">
            <w:pPr>
              <w:spacing w:before="120"/>
              <w:ind w:left="201" w:right="346"/>
              <w:jc w:val="both"/>
              <w:rPr>
                <w:sz w:val="24"/>
                <w:szCs w:val="24"/>
                <w:lang w:val="lv-LV"/>
              </w:rPr>
            </w:pPr>
            <w:r w:rsidRPr="004232A9">
              <w:rPr>
                <w:sz w:val="24"/>
                <w:szCs w:val="24"/>
                <w:lang w:val="lv-LV"/>
              </w:rPr>
              <w:t>EIF mājas lapā pieejamā informācija liecina, ka ESIF garantijas var saņemt saimnieciskās darbības veicēji ar darbinieku skaitu līdz 500. Pamatojoties uz sabiedrības Altum realizētās mezanīna un garantiju programmas rezultātiem, no 4 lielajiem mezanīna aizdevumu saņēmējiem 2 saimnieciskās darbības veicējiem darbinieku skaits uzņēmumu grupā bija vairāk kā 500. Līdz ar to secināms, ka tikai puse no plānotajiem 12-15 apstiprinātajiem projektiem varētu atbilst ESIF garantiju prasībām.</w:t>
            </w:r>
          </w:p>
          <w:p w14:paraId="3D16846A" w14:textId="228F1C78" w:rsidR="00D165F4" w:rsidRPr="004232A9" w:rsidRDefault="00D165F4" w:rsidP="00A9174A">
            <w:pPr>
              <w:spacing w:before="120"/>
              <w:ind w:left="201" w:right="346"/>
              <w:jc w:val="both"/>
              <w:rPr>
                <w:sz w:val="24"/>
                <w:szCs w:val="24"/>
                <w:lang w:val="lv-LV"/>
              </w:rPr>
            </w:pPr>
            <w:r w:rsidRPr="004232A9">
              <w:rPr>
                <w:sz w:val="24"/>
                <w:szCs w:val="24"/>
                <w:lang w:val="lv-LV"/>
              </w:rPr>
              <w:t xml:space="preserve">Atbilstoši anotācijā norādītajam, pašreiz ESIF garantijas lielajiem saimnieciskās darbības veicējiem nav pieejamas, jo Eiropas Investīciju Fonds (turpmāk – EIF) nav izstrādājis šādu produktu. Sabiedrība Altum ir vairākas reizes sazinājusies ar EIF (pēdējā reize – 2017. gada sākumā), un pēdējā informācija no EIF </w:t>
            </w:r>
            <w:r w:rsidR="00D9193B">
              <w:rPr>
                <w:sz w:val="24"/>
                <w:szCs w:val="24"/>
                <w:lang w:val="lv-LV"/>
              </w:rPr>
              <w:t>liecina</w:t>
            </w:r>
            <w:r w:rsidRPr="004232A9">
              <w:rPr>
                <w:sz w:val="24"/>
                <w:szCs w:val="24"/>
                <w:lang w:val="lv-LV"/>
              </w:rPr>
              <w:t xml:space="preserve">, ka </w:t>
            </w:r>
            <w:r w:rsidR="00D9193B">
              <w:rPr>
                <w:sz w:val="24"/>
                <w:szCs w:val="24"/>
                <w:lang w:val="lv-LV"/>
              </w:rPr>
              <w:t>šobrīd notiek</w:t>
            </w:r>
            <w:r w:rsidRPr="004232A9">
              <w:rPr>
                <w:sz w:val="24"/>
                <w:szCs w:val="24"/>
                <w:lang w:val="lv-LV"/>
              </w:rPr>
              <w:t xml:space="preserve"> programmas </w:t>
            </w:r>
            <w:r w:rsidR="00D9193B">
              <w:rPr>
                <w:sz w:val="24"/>
                <w:szCs w:val="24"/>
                <w:lang w:val="lv-LV"/>
              </w:rPr>
              <w:t>izstrāde</w:t>
            </w:r>
            <w:r w:rsidRPr="004232A9">
              <w:rPr>
                <w:sz w:val="24"/>
                <w:szCs w:val="24"/>
                <w:lang w:val="lv-LV"/>
              </w:rPr>
              <w:t xml:space="preserve"> un </w:t>
            </w:r>
            <w:r w:rsidR="00D9193B">
              <w:rPr>
                <w:sz w:val="24"/>
                <w:szCs w:val="24"/>
                <w:lang w:val="lv-LV"/>
              </w:rPr>
              <w:t xml:space="preserve">tiek </w:t>
            </w:r>
            <w:r w:rsidRPr="004232A9">
              <w:rPr>
                <w:sz w:val="24"/>
                <w:szCs w:val="24"/>
                <w:lang w:val="lv-LV"/>
              </w:rPr>
              <w:t>prognozē</w:t>
            </w:r>
            <w:r w:rsidR="00D9193B">
              <w:rPr>
                <w:sz w:val="24"/>
                <w:szCs w:val="24"/>
                <w:lang w:val="lv-LV"/>
              </w:rPr>
              <w:t>ts</w:t>
            </w:r>
            <w:r w:rsidRPr="004232A9">
              <w:rPr>
                <w:sz w:val="24"/>
                <w:szCs w:val="24"/>
                <w:lang w:val="lv-LV"/>
              </w:rPr>
              <w:t xml:space="preserve">, ka </w:t>
            </w:r>
            <w:r w:rsidR="00D9193B">
              <w:rPr>
                <w:sz w:val="24"/>
                <w:szCs w:val="24"/>
                <w:lang w:val="lv-LV"/>
              </w:rPr>
              <w:t xml:space="preserve">2017.gada </w:t>
            </w:r>
            <w:r w:rsidRPr="004232A9">
              <w:rPr>
                <w:sz w:val="24"/>
                <w:szCs w:val="24"/>
                <w:lang w:val="lv-LV"/>
              </w:rPr>
              <w:t xml:space="preserve">2. ceturksnī varētu būt zināma vispārīga informācija par jauno EIF produktu un attiecīgajiem nosacījumiem. Ja nosacījumi būs atbilstoši, tad sabiedrība Altum sagatavos pieteikumu, kuru EIF izvērtēs un pozitīva lēmuma gadījumā varēs parakstīt līgumu. Pēc sabiedrības  Altum pieredzes pie ESIF garantiju piesaistes kredītgarantijām (atbilstoši 2010.gada 26.oktobra noteikumiem Nr.997„Noteikumi par garantijām komersantu un atbilstošu lauksaimniecības pakalpojumu kooperatīvo sabiedrību konkurētspējas uzlabošanai”) , ir jārēķinās ar vismaz 6 mēnešiem, lai tiktu parakstīts līgums ar EIF. Tādejādi var prognozēt, ka saimnieciskās darbības veicējiem ESIF garantijas būs pieejamas ne ātrāk kā 2018. gada sākumā, ja EIF vispār izstrādās šādu instrumentu. </w:t>
            </w:r>
          </w:p>
          <w:p w14:paraId="30E634D2" w14:textId="4D45A512" w:rsidR="00D165F4" w:rsidRPr="004232A9" w:rsidRDefault="00D165F4" w:rsidP="00A9174A">
            <w:pPr>
              <w:spacing w:before="120"/>
              <w:ind w:left="201" w:right="346"/>
              <w:jc w:val="both"/>
              <w:rPr>
                <w:sz w:val="24"/>
                <w:szCs w:val="24"/>
                <w:lang w:val="lv-LV"/>
              </w:rPr>
            </w:pPr>
            <w:r w:rsidRPr="004232A9">
              <w:rPr>
                <w:sz w:val="24"/>
                <w:szCs w:val="24"/>
                <w:lang w:val="lv-LV"/>
              </w:rPr>
              <w:t xml:space="preserve">ESIF garantijas bija paredzēts izmantot lielajiem saimnieciskās darbības veicējiem, lai to realizēto projektu neizdošanās gadījumā samazinātu sabiedrības Altum zaudējumus konkrētajā projektā. MK noteikumu nr. 469 grozījumos ir paredzēts izmantot Mikrokreditēšanas programmas un 2.4.1. aktivitātes atmaksu publisko finansējumu paralēlo aizdevumu sniegšanā lielajiem saimnieciskās darbības veicējiem un atbilstoši Attīstības finanšu institūcijas likuma 12.panta trešās daļas risku novērtējumam šis finansējums tiks izmantots pirmo zaudējumu segšanai līdz apjomam, kas noteikts procentuāli no kopējās izsniegto aizdevumu summas. Ņemot vērā, ka Eiropas Stratēģisko investīciju fonda garantiju piesaistei nav nepieciešams MK noteikumu regulējums (piemēram, garantiju programmās ir līgumi Cosme un Innovfin ietvaros), </w:t>
            </w:r>
            <w:r w:rsidR="00AD64FB">
              <w:rPr>
                <w:sz w:val="24"/>
                <w:szCs w:val="24"/>
                <w:lang w:val="lv-LV"/>
              </w:rPr>
              <w:t>ņemot vērā, ka</w:t>
            </w:r>
            <w:r w:rsidRPr="004232A9">
              <w:rPr>
                <w:sz w:val="24"/>
                <w:szCs w:val="24"/>
                <w:lang w:val="lv-LV"/>
              </w:rPr>
              <w:t xml:space="preserve"> lēmumu par garantijām pieņem Eiropas Investīciju fonds, EM </w:t>
            </w:r>
            <w:r w:rsidR="00AD64FB">
              <w:rPr>
                <w:sz w:val="24"/>
                <w:szCs w:val="24"/>
                <w:lang w:val="lv-LV"/>
              </w:rPr>
              <w:t xml:space="preserve">izsaka </w:t>
            </w:r>
            <w:r w:rsidRPr="004232A9">
              <w:rPr>
                <w:sz w:val="24"/>
                <w:szCs w:val="24"/>
                <w:lang w:val="lv-LV"/>
              </w:rPr>
              <w:t>priekšlikum dzēst MK noteikumu 13. punktu. Kad EIF būs izstrādājis garantijas subordinētajiem aizdevumiem, sabiedrība Altum, izvērtējot visus nosacījumus, varēs piesaistīt ESIF garantijas paralēlo aizdevumu kredītrisku samazināšanai, tostarp MK noteikumu nr. 469 8.3. un 8.4. punktos minētajiem saimnieciskās darbības veicējiem.</w:t>
            </w:r>
          </w:p>
          <w:p w14:paraId="3C994E76" w14:textId="12B538A3" w:rsidR="00A9174A" w:rsidRPr="004232A9" w:rsidRDefault="00D165F4" w:rsidP="00A9174A">
            <w:pPr>
              <w:spacing w:before="120"/>
              <w:ind w:left="201" w:right="346"/>
              <w:jc w:val="both"/>
              <w:rPr>
                <w:sz w:val="24"/>
                <w:szCs w:val="24"/>
                <w:lang w:val="lv-LV"/>
              </w:rPr>
            </w:pPr>
            <w:r w:rsidRPr="004232A9">
              <w:rPr>
                <w:sz w:val="24"/>
                <w:szCs w:val="24"/>
                <w:lang w:val="lv-LV"/>
              </w:rPr>
              <w:t>Eiropas Savienības struktūrfondu 2014. - 2020. gada plānošanas perioda DP “Izaugsme un nodarbinātība” 3. prioritārā virziena mērķa grupas finansējums ir paredzēts maziem un vidējiem saimnieciskās darbības veicējiem, kuriem ir pieejams ļoti plašs atbalsts tiešo un netiešo finanšu instrumentu veidā (skatīt 1.tabulu).</w:t>
            </w:r>
          </w:p>
          <w:p w14:paraId="4D4A78FD" w14:textId="61FF4A8F" w:rsidR="00A9174A" w:rsidRPr="004232A9" w:rsidRDefault="00A9174A" w:rsidP="00A9174A">
            <w:pPr>
              <w:spacing w:before="120"/>
              <w:ind w:left="201" w:right="346"/>
              <w:jc w:val="right"/>
              <w:rPr>
                <w:sz w:val="24"/>
                <w:szCs w:val="24"/>
                <w:lang w:val="lv-LV"/>
              </w:rPr>
            </w:pPr>
            <w:r w:rsidRPr="004232A9">
              <w:rPr>
                <w:sz w:val="24"/>
                <w:szCs w:val="24"/>
                <w:lang w:val="lv-LV"/>
              </w:rPr>
              <w:t>1.tabula</w:t>
            </w:r>
          </w:p>
          <w:tbl>
            <w:tblPr>
              <w:tblW w:w="7161" w:type="dxa"/>
              <w:tblInd w:w="93" w:type="dxa"/>
              <w:tblLook w:val="04A0" w:firstRow="1" w:lastRow="0" w:firstColumn="1" w:lastColumn="0" w:noHBand="0" w:noVBand="1"/>
            </w:tblPr>
            <w:tblGrid>
              <w:gridCol w:w="1700"/>
              <w:gridCol w:w="2201"/>
              <w:gridCol w:w="1701"/>
              <w:gridCol w:w="1559"/>
            </w:tblGrid>
            <w:tr w:rsidR="00A9174A" w:rsidRPr="00FB4A8C" w14:paraId="0FEFED4F" w14:textId="77777777" w:rsidTr="00D0207F">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8C8F1C5"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Finansējuma pieejamība MVU un lielajiem saimnieciskās darbības veicējiem</w:t>
                  </w:r>
                </w:p>
              </w:tc>
            </w:tr>
            <w:tr w:rsidR="00A9174A" w:rsidRPr="004232A9" w14:paraId="4F03CC9C" w14:textId="77777777" w:rsidTr="00D0207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FA1E8"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14:paraId="0FA2E939"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Garantijas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7D9DC10"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Aizdevumi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DC5708"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Paralēlie aizdevumi</w:t>
                  </w:r>
                </w:p>
              </w:tc>
            </w:tr>
            <w:tr w:rsidR="00A9174A" w:rsidRPr="004232A9" w14:paraId="60E9F22A" w14:textId="77777777" w:rsidTr="00D0207F">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FCD5C81"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Lielie komersanti</w:t>
                  </w:r>
                </w:p>
              </w:tc>
              <w:tc>
                <w:tcPr>
                  <w:tcW w:w="2201" w:type="dxa"/>
                  <w:tcBorders>
                    <w:top w:val="nil"/>
                    <w:left w:val="nil"/>
                    <w:bottom w:val="single" w:sz="4" w:space="0" w:color="auto"/>
                    <w:right w:val="single" w:sz="4" w:space="0" w:color="auto"/>
                  </w:tcBorders>
                  <w:shd w:val="clear" w:color="auto" w:fill="auto"/>
                  <w:vAlign w:val="center"/>
                  <w:hideMark/>
                </w:tcPr>
                <w:p w14:paraId="6462A6EA" w14:textId="25AFBDB3" w:rsidR="00A9174A" w:rsidRPr="004232A9" w:rsidRDefault="00A9174A" w:rsidP="00A9174A">
                  <w:pPr>
                    <w:jc w:val="both"/>
                    <w:rPr>
                      <w:color w:val="000000"/>
                      <w:sz w:val="24"/>
                      <w:szCs w:val="24"/>
                      <w:lang w:val="lv-LV" w:eastAsia="lv-LV"/>
                    </w:rPr>
                  </w:pPr>
                  <w:r w:rsidRPr="004232A9">
                    <w:rPr>
                      <w:color w:val="000000"/>
                      <w:sz w:val="24"/>
                      <w:szCs w:val="24"/>
                      <w:lang w:val="lv-LV" w:eastAsia="lv-LV"/>
                    </w:rPr>
                    <w:t>MK</w:t>
                  </w:r>
                  <w:r w:rsidR="00D0207F" w:rsidRPr="004232A9">
                    <w:rPr>
                      <w:color w:val="000000"/>
                      <w:sz w:val="24"/>
                      <w:szCs w:val="24"/>
                      <w:lang w:val="lv-LV" w:eastAsia="lv-LV"/>
                    </w:rPr>
                    <w:t xml:space="preserve"> not. </w:t>
                  </w:r>
                  <w:r w:rsidRPr="004232A9">
                    <w:rPr>
                      <w:color w:val="000000"/>
                      <w:sz w:val="24"/>
                      <w:szCs w:val="24"/>
                      <w:lang w:val="lv-LV" w:eastAsia="lv-LV"/>
                    </w:rPr>
                    <w:t>997: 0,675+0,48m EUR</w:t>
                  </w:r>
                </w:p>
              </w:tc>
              <w:tc>
                <w:tcPr>
                  <w:tcW w:w="1701" w:type="dxa"/>
                  <w:tcBorders>
                    <w:top w:val="nil"/>
                    <w:left w:val="nil"/>
                    <w:bottom w:val="single" w:sz="4" w:space="0" w:color="auto"/>
                    <w:right w:val="single" w:sz="4" w:space="0" w:color="auto"/>
                  </w:tcBorders>
                  <w:shd w:val="clear" w:color="auto" w:fill="auto"/>
                  <w:noWrap/>
                  <w:vAlign w:val="center"/>
                  <w:hideMark/>
                </w:tcPr>
                <w:p w14:paraId="37AA47FC"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Komercbankas</w:t>
                  </w:r>
                </w:p>
              </w:tc>
              <w:tc>
                <w:tcPr>
                  <w:tcW w:w="1559" w:type="dxa"/>
                  <w:tcBorders>
                    <w:top w:val="nil"/>
                    <w:left w:val="nil"/>
                    <w:bottom w:val="single" w:sz="4" w:space="0" w:color="auto"/>
                    <w:right w:val="single" w:sz="4" w:space="0" w:color="auto"/>
                  </w:tcBorders>
                  <w:shd w:val="clear" w:color="000000" w:fill="A6A6A6"/>
                  <w:vAlign w:val="center"/>
                  <w:hideMark/>
                </w:tcPr>
                <w:p w14:paraId="1A985462"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Nav pieejams finansējums</w:t>
                  </w:r>
                </w:p>
              </w:tc>
            </w:tr>
            <w:tr w:rsidR="00A9174A" w:rsidRPr="00FB4A8C" w14:paraId="5A5040AC" w14:textId="77777777" w:rsidTr="00D0207F">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9FC28CD"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Mazie un vidējie komersanti</w:t>
                  </w:r>
                </w:p>
              </w:tc>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14:paraId="29B5F766" w14:textId="6A096E4C" w:rsidR="00A9174A" w:rsidRPr="004232A9" w:rsidRDefault="00A9174A" w:rsidP="00A9174A">
                  <w:pPr>
                    <w:jc w:val="both"/>
                    <w:rPr>
                      <w:color w:val="000000"/>
                      <w:sz w:val="24"/>
                      <w:szCs w:val="24"/>
                      <w:lang w:val="lv-LV" w:eastAsia="lv-LV"/>
                    </w:rPr>
                  </w:pPr>
                  <w:r w:rsidRPr="004232A9">
                    <w:rPr>
                      <w:color w:val="000000"/>
                      <w:sz w:val="24"/>
                      <w:szCs w:val="24"/>
                      <w:lang w:val="lv-LV" w:eastAsia="lv-LV"/>
                    </w:rPr>
                    <w:t xml:space="preserve">MK </w:t>
                  </w:r>
                  <w:r w:rsidR="00D0207F" w:rsidRPr="004232A9">
                    <w:rPr>
                      <w:color w:val="000000"/>
                      <w:sz w:val="24"/>
                      <w:szCs w:val="24"/>
                      <w:lang w:val="lv-LV" w:eastAsia="lv-LV"/>
                    </w:rPr>
                    <w:t>not. 997 15m+ 7m portfeļgarantijas (procesā)</w:t>
                  </w:r>
                </w:p>
              </w:tc>
              <w:tc>
                <w:tcPr>
                  <w:tcW w:w="1701" w:type="dxa"/>
                  <w:tcBorders>
                    <w:top w:val="nil"/>
                    <w:left w:val="nil"/>
                    <w:bottom w:val="single" w:sz="4" w:space="0" w:color="auto"/>
                    <w:right w:val="single" w:sz="4" w:space="0" w:color="auto"/>
                  </w:tcBorders>
                  <w:shd w:val="clear" w:color="auto" w:fill="auto"/>
                  <w:noWrap/>
                  <w:vAlign w:val="center"/>
                  <w:hideMark/>
                </w:tcPr>
                <w:p w14:paraId="44E0BD00"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200m izaugsmes aizdevumi</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CBF84A2" w14:textId="22FDDAFD" w:rsidR="00A9174A" w:rsidRPr="004232A9" w:rsidRDefault="00A9174A" w:rsidP="00A9174A">
                  <w:pPr>
                    <w:jc w:val="both"/>
                    <w:rPr>
                      <w:color w:val="000000"/>
                      <w:sz w:val="24"/>
                      <w:szCs w:val="24"/>
                      <w:lang w:val="lv-LV" w:eastAsia="lv-LV"/>
                    </w:rPr>
                  </w:pPr>
                  <w:r w:rsidRPr="004232A9">
                    <w:rPr>
                      <w:color w:val="000000"/>
                      <w:sz w:val="24"/>
                      <w:szCs w:val="24"/>
                      <w:lang w:val="lv-LV" w:eastAsia="lv-LV"/>
                    </w:rPr>
                    <w:t>MK</w:t>
                  </w:r>
                  <w:r w:rsidR="00D0207F" w:rsidRPr="004232A9">
                    <w:rPr>
                      <w:color w:val="000000"/>
                      <w:sz w:val="24"/>
                      <w:szCs w:val="24"/>
                      <w:lang w:val="lv-LV" w:eastAsia="lv-LV"/>
                    </w:rPr>
                    <w:t xml:space="preserve"> not.</w:t>
                  </w:r>
                  <w:r w:rsidRPr="004232A9">
                    <w:rPr>
                      <w:color w:val="000000"/>
                      <w:sz w:val="24"/>
                      <w:szCs w:val="24"/>
                      <w:lang w:val="lv-LV" w:eastAsia="lv-LV"/>
                    </w:rPr>
                    <w:t xml:space="preserve"> 469 27m</w:t>
                  </w:r>
                </w:p>
              </w:tc>
            </w:tr>
            <w:tr w:rsidR="00A9174A" w:rsidRPr="00FB4A8C" w14:paraId="59BC31AF" w14:textId="77777777" w:rsidTr="00D0207F">
              <w:trPr>
                <w:trHeight w:val="300"/>
              </w:trPr>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CDF035" w14:textId="77777777" w:rsidR="00A9174A" w:rsidRPr="004232A9" w:rsidRDefault="00A9174A" w:rsidP="00A9174A">
                  <w:pPr>
                    <w:jc w:val="both"/>
                    <w:rPr>
                      <w:bCs/>
                      <w:color w:val="000000"/>
                      <w:sz w:val="24"/>
                      <w:szCs w:val="24"/>
                      <w:lang w:val="lv-LV" w:eastAsia="lv-LV"/>
                    </w:rPr>
                  </w:pPr>
                  <w:r w:rsidRPr="004232A9">
                    <w:rPr>
                      <w:bCs/>
                      <w:color w:val="000000"/>
                      <w:sz w:val="24"/>
                      <w:szCs w:val="24"/>
                      <w:lang w:val="lv-LV" w:eastAsia="lv-LV"/>
                    </w:rPr>
                    <w:t>Sīkie (mikro) komersanti</w:t>
                  </w:r>
                </w:p>
              </w:tc>
              <w:tc>
                <w:tcPr>
                  <w:tcW w:w="2201" w:type="dxa"/>
                  <w:vMerge/>
                  <w:tcBorders>
                    <w:top w:val="nil"/>
                    <w:left w:val="single" w:sz="4" w:space="0" w:color="auto"/>
                    <w:bottom w:val="single" w:sz="4" w:space="0" w:color="auto"/>
                    <w:right w:val="single" w:sz="4" w:space="0" w:color="auto"/>
                  </w:tcBorders>
                  <w:vAlign w:val="center"/>
                  <w:hideMark/>
                </w:tcPr>
                <w:p w14:paraId="1E850669" w14:textId="77777777" w:rsidR="00A9174A" w:rsidRPr="004232A9" w:rsidRDefault="00A9174A" w:rsidP="00A9174A">
                  <w:pPr>
                    <w:jc w:val="both"/>
                    <w:rPr>
                      <w:color w:val="000000"/>
                      <w:sz w:val="24"/>
                      <w:szCs w:val="24"/>
                      <w:lang w:val="lv-LV" w:eastAsia="lv-LV"/>
                    </w:rPr>
                  </w:pPr>
                </w:p>
              </w:tc>
              <w:tc>
                <w:tcPr>
                  <w:tcW w:w="1701" w:type="dxa"/>
                  <w:tcBorders>
                    <w:top w:val="nil"/>
                    <w:left w:val="nil"/>
                    <w:bottom w:val="single" w:sz="4" w:space="0" w:color="auto"/>
                    <w:right w:val="single" w:sz="4" w:space="0" w:color="auto"/>
                  </w:tcBorders>
                  <w:shd w:val="clear" w:color="auto" w:fill="auto"/>
                  <w:noWrap/>
                  <w:vAlign w:val="center"/>
                  <w:hideMark/>
                </w:tcPr>
                <w:p w14:paraId="7053A5DC"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Starta20m</w:t>
                  </w:r>
                </w:p>
              </w:tc>
              <w:tc>
                <w:tcPr>
                  <w:tcW w:w="1559" w:type="dxa"/>
                  <w:vMerge/>
                  <w:tcBorders>
                    <w:top w:val="nil"/>
                    <w:left w:val="single" w:sz="4" w:space="0" w:color="auto"/>
                    <w:bottom w:val="single" w:sz="4" w:space="0" w:color="auto"/>
                    <w:right w:val="single" w:sz="4" w:space="0" w:color="auto"/>
                  </w:tcBorders>
                  <w:vAlign w:val="center"/>
                  <w:hideMark/>
                </w:tcPr>
                <w:p w14:paraId="540EE035" w14:textId="77777777" w:rsidR="00A9174A" w:rsidRPr="004232A9" w:rsidRDefault="00A9174A" w:rsidP="00A9174A">
                  <w:pPr>
                    <w:jc w:val="both"/>
                    <w:rPr>
                      <w:color w:val="000000"/>
                      <w:sz w:val="24"/>
                      <w:szCs w:val="24"/>
                      <w:lang w:val="lv-LV" w:eastAsia="lv-LV"/>
                    </w:rPr>
                  </w:pPr>
                </w:p>
              </w:tc>
            </w:tr>
            <w:tr w:rsidR="00A9174A" w:rsidRPr="00FB4A8C" w14:paraId="65AC79FD" w14:textId="77777777" w:rsidTr="00D0207F">
              <w:trPr>
                <w:trHeight w:val="300"/>
              </w:trPr>
              <w:tc>
                <w:tcPr>
                  <w:tcW w:w="1700" w:type="dxa"/>
                  <w:vMerge/>
                  <w:tcBorders>
                    <w:top w:val="nil"/>
                    <w:left w:val="single" w:sz="4" w:space="0" w:color="auto"/>
                    <w:bottom w:val="single" w:sz="4" w:space="0" w:color="000000"/>
                    <w:right w:val="single" w:sz="4" w:space="0" w:color="auto"/>
                  </w:tcBorders>
                  <w:vAlign w:val="center"/>
                  <w:hideMark/>
                </w:tcPr>
                <w:p w14:paraId="23CAFE03" w14:textId="77777777" w:rsidR="00A9174A" w:rsidRPr="004232A9" w:rsidRDefault="00A9174A" w:rsidP="00A9174A">
                  <w:pPr>
                    <w:jc w:val="both"/>
                    <w:rPr>
                      <w:bCs/>
                      <w:color w:val="000000"/>
                      <w:sz w:val="24"/>
                      <w:szCs w:val="24"/>
                      <w:lang w:val="lv-LV" w:eastAsia="lv-LV"/>
                    </w:rPr>
                  </w:pPr>
                </w:p>
              </w:tc>
              <w:tc>
                <w:tcPr>
                  <w:tcW w:w="2201" w:type="dxa"/>
                  <w:vMerge/>
                  <w:tcBorders>
                    <w:top w:val="nil"/>
                    <w:left w:val="single" w:sz="4" w:space="0" w:color="auto"/>
                    <w:bottom w:val="single" w:sz="4" w:space="0" w:color="auto"/>
                    <w:right w:val="single" w:sz="4" w:space="0" w:color="auto"/>
                  </w:tcBorders>
                  <w:vAlign w:val="center"/>
                  <w:hideMark/>
                </w:tcPr>
                <w:p w14:paraId="3D7F8119" w14:textId="77777777" w:rsidR="00A9174A" w:rsidRPr="004232A9" w:rsidRDefault="00A9174A" w:rsidP="00A9174A">
                  <w:pPr>
                    <w:jc w:val="both"/>
                    <w:rPr>
                      <w:color w:val="000000"/>
                      <w:sz w:val="24"/>
                      <w:szCs w:val="24"/>
                      <w:lang w:val="lv-LV" w:eastAsia="lv-LV"/>
                    </w:rPr>
                  </w:pPr>
                </w:p>
              </w:tc>
              <w:tc>
                <w:tcPr>
                  <w:tcW w:w="1701" w:type="dxa"/>
                  <w:tcBorders>
                    <w:top w:val="nil"/>
                    <w:left w:val="nil"/>
                    <w:bottom w:val="single" w:sz="4" w:space="0" w:color="auto"/>
                    <w:right w:val="single" w:sz="4" w:space="0" w:color="auto"/>
                  </w:tcBorders>
                  <w:shd w:val="clear" w:color="auto" w:fill="auto"/>
                  <w:noWrap/>
                  <w:vAlign w:val="center"/>
                  <w:hideMark/>
                </w:tcPr>
                <w:p w14:paraId="5F8864E9" w14:textId="77777777" w:rsidR="00A9174A" w:rsidRPr="004232A9" w:rsidRDefault="00A9174A" w:rsidP="00A9174A">
                  <w:pPr>
                    <w:jc w:val="both"/>
                    <w:rPr>
                      <w:color w:val="000000"/>
                      <w:sz w:val="24"/>
                      <w:szCs w:val="24"/>
                      <w:lang w:val="lv-LV" w:eastAsia="lv-LV"/>
                    </w:rPr>
                  </w:pPr>
                  <w:r w:rsidRPr="004232A9">
                    <w:rPr>
                      <w:color w:val="000000"/>
                      <w:sz w:val="24"/>
                      <w:szCs w:val="24"/>
                      <w:lang w:val="lv-LV" w:eastAsia="lv-LV"/>
                    </w:rPr>
                    <w:t>Mikro 10m</w:t>
                  </w:r>
                </w:p>
              </w:tc>
              <w:tc>
                <w:tcPr>
                  <w:tcW w:w="1559" w:type="dxa"/>
                  <w:vMerge/>
                  <w:tcBorders>
                    <w:top w:val="nil"/>
                    <w:left w:val="single" w:sz="4" w:space="0" w:color="auto"/>
                    <w:bottom w:val="single" w:sz="4" w:space="0" w:color="auto"/>
                    <w:right w:val="single" w:sz="4" w:space="0" w:color="auto"/>
                  </w:tcBorders>
                  <w:vAlign w:val="center"/>
                  <w:hideMark/>
                </w:tcPr>
                <w:p w14:paraId="0E942DC4" w14:textId="77777777" w:rsidR="00A9174A" w:rsidRPr="004232A9" w:rsidRDefault="00A9174A" w:rsidP="00A9174A">
                  <w:pPr>
                    <w:jc w:val="both"/>
                    <w:rPr>
                      <w:color w:val="000000"/>
                      <w:sz w:val="24"/>
                      <w:szCs w:val="24"/>
                      <w:lang w:val="lv-LV" w:eastAsia="lv-LV"/>
                    </w:rPr>
                  </w:pPr>
                </w:p>
              </w:tc>
            </w:tr>
          </w:tbl>
          <w:p w14:paraId="1DFC8BAC" w14:textId="77777777" w:rsidR="00A9174A" w:rsidRPr="004232A9" w:rsidRDefault="00D165F4" w:rsidP="00A9174A">
            <w:pPr>
              <w:spacing w:before="120"/>
              <w:ind w:left="201" w:right="346"/>
              <w:jc w:val="both"/>
              <w:rPr>
                <w:sz w:val="24"/>
                <w:szCs w:val="24"/>
                <w:lang w:val="lv-LV"/>
              </w:rPr>
            </w:pPr>
            <w:r w:rsidRPr="004232A9">
              <w:rPr>
                <w:sz w:val="24"/>
                <w:szCs w:val="24"/>
                <w:lang w:val="lv-LV"/>
              </w:rPr>
              <w:t>Pašreiz lielajiem saimnieciskās darbības veicējiem finansējumu nodrošina komercbankas, kā arī ir pieejamas garantijas atbilstoši 2010.gada 26.oktobra noteikumiem Nr.997„Noteikumi par garantijām komersantu un atbilstošu lauksaimniecības pakalpojumu kooperatīvo sabiedrību konkurētspējas uzlabošanai”.</w:t>
            </w:r>
          </w:p>
          <w:p w14:paraId="2FEF64B0" w14:textId="5AA59578" w:rsidR="00D165F4" w:rsidRPr="004232A9" w:rsidRDefault="00D165F4" w:rsidP="00A9174A">
            <w:pPr>
              <w:spacing w:before="120"/>
              <w:ind w:left="201" w:right="346"/>
              <w:jc w:val="both"/>
              <w:rPr>
                <w:sz w:val="24"/>
                <w:szCs w:val="24"/>
                <w:lang w:val="lv-LV"/>
              </w:rPr>
            </w:pPr>
            <w:r w:rsidRPr="004232A9">
              <w:rPr>
                <w:sz w:val="24"/>
                <w:szCs w:val="24"/>
                <w:lang w:val="lv-LV"/>
              </w:rPr>
              <w:t xml:space="preserve">EM sadarbībā ar sabiedrību </w:t>
            </w:r>
            <w:r w:rsidR="00D0207F" w:rsidRPr="004232A9">
              <w:rPr>
                <w:sz w:val="24"/>
                <w:szCs w:val="24"/>
                <w:lang w:val="lv-LV"/>
              </w:rPr>
              <w:t>Altum</w:t>
            </w:r>
            <w:r w:rsidRPr="004232A9">
              <w:rPr>
                <w:sz w:val="24"/>
                <w:szCs w:val="24"/>
                <w:lang w:val="lv-LV"/>
              </w:rPr>
              <w:t xml:space="preserve"> ir izvērtējusi situāciju ar finansējuma pieejamību lielajiem saimnieciskās darbības veicējiem, kā arī saņemtā informācija no komercbankām liecina, ka arī lielajiem saimnieciskās darbības veicējiem ir jāsastopas ar finansējuma nepieejamību dažādu investīciju projektu realizācijai. Tāpat, ņemot vērā sabiedrības Altum realizētās mezanīnu aizdevumu programmas pieredzi (atbalstīti 5 projekti lielajiem saimnieciskās darbības veicējiem 3 milj. eiro apmērā), var secināt, ka ir pieprasījums pēc šāda veida aizdevumiem. Tāpēc EM priekšlikums ir novirzīt Mikrokreditēšanas programmas un 2.4.1. aktivitātes atmaksu publisko finansējumu lielajiem saimnieciskās darbības veicējiem, kas būtu finansējums līdz EFSI līguma noslēgšanai orientējoši 2018.gadā.</w:t>
            </w:r>
          </w:p>
          <w:p w14:paraId="236D8615" w14:textId="77777777"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Precizēts MK noteikumu Nr. 469 4.punkts, nosakot, ar kādām kredītiestādēm Altum sniedz kopā paralēlos aizdevumus saimnieciskās darbības veicējiem. Šie grozījumi nepieciešami, lai vienādotu kredītiestādes definīciju paralēlo aizdevumu un garantiju (atbilstoši 26.10.2010 MK noteikumiem Nr. 997 “Noteikumi par garantijām komersantu un atbilstošu lauksaimniecības pakalpojumu kooperatīvo sabiedrību konkurētspējas uzlabošanai”) programmās. </w:t>
            </w:r>
          </w:p>
          <w:p w14:paraId="3BBD9917" w14:textId="381BF878" w:rsidR="00844176" w:rsidRPr="004232A9" w:rsidRDefault="00844176" w:rsidP="00A459E6">
            <w:pPr>
              <w:spacing w:before="120"/>
              <w:ind w:left="201" w:right="346"/>
              <w:jc w:val="both"/>
              <w:rPr>
                <w:sz w:val="24"/>
                <w:szCs w:val="24"/>
                <w:lang w:val="lv-LV"/>
              </w:rPr>
            </w:pPr>
            <w:r w:rsidRPr="004232A9">
              <w:rPr>
                <w:sz w:val="24"/>
                <w:szCs w:val="24"/>
                <w:lang w:val="lv-LV"/>
              </w:rPr>
              <w:t>MK noteikumu Nr.469 grozījumi paredz arī precizēt 17.1</w:t>
            </w:r>
            <w:r w:rsidR="004666F3" w:rsidRPr="004232A9">
              <w:rPr>
                <w:sz w:val="24"/>
                <w:szCs w:val="24"/>
                <w:lang w:val="lv-LV"/>
              </w:rPr>
              <w:t>.apakš</w:t>
            </w:r>
            <w:r w:rsidRPr="004232A9">
              <w:rPr>
                <w:sz w:val="24"/>
                <w:szCs w:val="24"/>
                <w:lang w:val="lv-LV"/>
              </w:rPr>
              <w:t>punktu, papildinot, ka arī publisko līdzekļu Latvijas mazo un vidējo komersantu mikrokreditēšanas programmas ietvaros (</w:t>
            </w:r>
            <w:r w:rsidR="000430AC" w:rsidRPr="004232A9">
              <w:rPr>
                <w:sz w:val="24"/>
                <w:szCs w:val="24"/>
                <w:lang w:val="lv-LV"/>
              </w:rPr>
              <w:t>MK</w:t>
            </w:r>
            <w:r w:rsidRPr="004232A9">
              <w:rPr>
                <w:sz w:val="24"/>
                <w:szCs w:val="24"/>
                <w:lang w:val="lv-LV"/>
              </w:rPr>
              <w:t xml:space="preserve"> rīkojums Nr.752) un 2004.–2006. gada Eiropas Savienības fondu plānošanas perioda 2.4.1. nacionālās programmas "Aizdevumi (t. sk. mikrokredīti) komercdarbības uzsākšanai" atmaksu publiskā finansējuma daļa tiek izmantotas pirmo zaudējumu segšanai, līdz apjomam, kas noteikts procentuāli no kopējās izsniegto aizdevumu summas, balstoties uz sagaidāmo zaudējumu riska novērtējumu atbilstoši Attīstības finanšu institūcijas likuma 12.panta trešajai daļai.</w:t>
            </w:r>
          </w:p>
          <w:p w14:paraId="3616BA78" w14:textId="77777777" w:rsidR="00D4323D" w:rsidRPr="004232A9" w:rsidRDefault="00844176" w:rsidP="00EC4F17">
            <w:pPr>
              <w:spacing w:before="120"/>
              <w:ind w:left="201" w:right="346"/>
              <w:jc w:val="both"/>
              <w:rPr>
                <w:sz w:val="24"/>
                <w:szCs w:val="24"/>
                <w:lang w:val="lv-LV"/>
              </w:rPr>
            </w:pPr>
            <w:r w:rsidRPr="004232A9">
              <w:rPr>
                <w:sz w:val="24"/>
                <w:szCs w:val="24"/>
                <w:lang w:val="lv-LV"/>
              </w:rPr>
              <w:t>Pašreiz spēkā esošo MK noteikumu Nr.469 20.5.</w:t>
            </w:r>
            <w:r w:rsidR="00D31BE1" w:rsidRPr="004232A9">
              <w:rPr>
                <w:sz w:val="24"/>
                <w:szCs w:val="24"/>
                <w:lang w:val="lv-LV"/>
              </w:rPr>
              <w:t>apakš</w:t>
            </w:r>
            <w:r w:rsidRPr="004232A9">
              <w:rPr>
                <w:sz w:val="24"/>
                <w:szCs w:val="24"/>
                <w:lang w:val="lv-LV"/>
              </w:rPr>
              <w:t>punkts norāda ierobežotās nozares (45.nodaļa "Automobiļu un motociklu vairumtirdzniecība, mazumtirdzniecība un remonts" un 46. nodaļa "Vairumtirdzniecība, izņemot automobiļus un motociklus"), taču punkta ievadā neprecīzi norādīts, ka ierobežotā nozare ir arī mazumtirdzniecība, lai gan atbilstoši NACE tā nav norādīta kā neatbalstāmā nozare (NACE 47.nodaļas “</w:t>
            </w:r>
            <w:r w:rsidRPr="004232A9">
              <w:rPr>
                <w:bCs/>
                <w:color w:val="000000"/>
                <w:sz w:val="24"/>
                <w:szCs w:val="24"/>
                <w:shd w:val="clear" w:color="auto" w:fill="FFFFFF"/>
                <w:lang w:val="lv-LV"/>
              </w:rPr>
              <w:t>Mazumtirdzniecība, izņemot automobiļus un motociklus” nozares ir atbalstāmās)</w:t>
            </w:r>
            <w:r w:rsidRPr="004232A9">
              <w:rPr>
                <w:sz w:val="24"/>
                <w:szCs w:val="24"/>
                <w:lang w:val="lv-LV"/>
              </w:rPr>
              <w:t>. Līdz ar to nepieciešams MK noteikumu Nr.469 20.5.</w:t>
            </w:r>
            <w:r w:rsidR="00E56469" w:rsidRPr="004232A9">
              <w:rPr>
                <w:sz w:val="24"/>
                <w:szCs w:val="24"/>
                <w:lang w:val="lv-LV"/>
              </w:rPr>
              <w:t>apakš</w:t>
            </w:r>
            <w:r w:rsidRPr="004232A9">
              <w:rPr>
                <w:sz w:val="24"/>
                <w:szCs w:val="24"/>
                <w:lang w:val="lv-LV"/>
              </w:rPr>
              <w:t>punktu precizēt, skaidri nosakot neatbalstāmo nozari - vairumtirdzniecība.</w:t>
            </w:r>
            <w:r w:rsidR="001E1B0F" w:rsidRPr="004232A9">
              <w:rPr>
                <w:sz w:val="24"/>
                <w:szCs w:val="24"/>
                <w:lang w:val="lv-LV"/>
              </w:rPr>
              <w:t xml:space="preserve"> Vienlaikus svītrota arī MK noteikumu Nr.469 20.5.punkta beigu daļa (“izņemot gadījumu, ja paralēlais aizdevums tiek piešķirts saimnieciskās darbības veicējam, kura pamatdarbība ir apstrādes nozare (NACE 2. red. C sadaļa "Apstrādes rūpniecība"’), jo mazumtirdzniecība ir atļauta un vairs nav nepieciešama atruna, ka var piešķirt paralēlo aizdevumu vairumtirdzniecībai, ja uzņēmumam pamat</w:t>
            </w:r>
            <w:r w:rsidR="00EC4F17" w:rsidRPr="004232A9">
              <w:rPr>
                <w:sz w:val="24"/>
                <w:szCs w:val="24"/>
                <w:lang w:val="lv-LV"/>
              </w:rPr>
              <w:t>darbība ir apstrādes rūpniecība.</w:t>
            </w:r>
          </w:p>
          <w:p w14:paraId="34A60F2C" w14:textId="7DA17793" w:rsidR="007E107E" w:rsidRDefault="00D4323D" w:rsidP="00EC4F17">
            <w:pPr>
              <w:spacing w:before="120"/>
              <w:ind w:left="201" w:right="346"/>
              <w:jc w:val="both"/>
              <w:rPr>
                <w:sz w:val="24"/>
                <w:szCs w:val="24"/>
                <w:lang w:val="lv-LV"/>
              </w:rPr>
            </w:pPr>
            <w:r w:rsidRPr="004232A9">
              <w:rPr>
                <w:sz w:val="24"/>
                <w:szCs w:val="24"/>
                <w:lang w:val="lv-LV"/>
              </w:rPr>
              <w:t xml:space="preserve">MK noteikumu Nr. 469 grozījumi paredz precizēt neatbalstāmo nozaru sarakstu, turpmāk atļaujot paralēlos aizdevumus saņemt saimnieciskās darbības veicējiem, kuri darbojas nozarē 77.3 "Pārējo darba mašīnu, iekārtu un materiālo līdzekļu iznomāšana un ekspluatācijas līzings". Šādus precizējumus ir nepieciešams veikt, </w:t>
            </w:r>
            <w:r w:rsidR="002F5700">
              <w:rPr>
                <w:sz w:val="24"/>
                <w:szCs w:val="24"/>
                <w:lang w:val="lv-LV"/>
              </w:rPr>
              <w:t xml:space="preserve">tā kā </w:t>
            </w:r>
            <w:r w:rsidRPr="004232A9">
              <w:rPr>
                <w:sz w:val="24"/>
                <w:szCs w:val="24"/>
                <w:lang w:val="lv-LV"/>
              </w:rPr>
              <w:t xml:space="preserve">tuvākajos gados palielināsies aktivitāte būvniecības sektorā, attiecīgi palielināsies pieprasījums pēc specializētu mašīnu, iekārtu, aprīkojuma nomas. Tāpat arī citās nozarēs strādājošiem noteiktos gadījumos ir izdevīgāk nomāt nepieciešamo aprīkojumu, nevis iegādāties savā īpašumā. </w:t>
            </w:r>
            <w:r w:rsidR="00B11FB8">
              <w:rPr>
                <w:sz w:val="24"/>
                <w:szCs w:val="24"/>
                <w:lang w:val="lv-LV"/>
              </w:rPr>
              <w:t xml:space="preserve">Papildus tiek svītrots arī MK noteikumu Nr.469 20.15.apakšpunkts, turpmāk atļaujot paralēlos aizdevumus saņemt </w:t>
            </w:r>
            <w:r w:rsidR="00B11FB8" w:rsidRPr="00B11FB8">
              <w:rPr>
                <w:sz w:val="24"/>
                <w:szCs w:val="24"/>
                <w:lang w:val="lv-LV"/>
              </w:rPr>
              <w:t>saimnieciskās darbības veicējiem, kuri darbojas nozarēs "individuālās lietošanas priekšmetu un mājsaimniecības piederumu remonts, pārējo individuālo pakalpojumu sniegšana" (NACE 2.red. grupa 95.2 "Individuālās lietošanas priekšmetu un mājsaimniecības piederumu remonts" un 96. nodaļa "Pārējo individuālo pakalpojumu sniegšana")</w:t>
            </w:r>
            <w:r w:rsidR="00B11FB8">
              <w:rPr>
                <w:sz w:val="24"/>
                <w:szCs w:val="24"/>
                <w:lang w:val="lv-LV"/>
              </w:rPr>
              <w:t>, jo ir palielinājusies interese par finanšu instrumentiem no minētās nozares komersantiem.</w:t>
            </w:r>
          </w:p>
          <w:p w14:paraId="24728193" w14:textId="1313621F" w:rsidR="009244A6" w:rsidRPr="004232A9" w:rsidRDefault="00381905" w:rsidP="003406E7">
            <w:pPr>
              <w:spacing w:before="120"/>
              <w:ind w:left="201" w:right="346"/>
              <w:jc w:val="both"/>
              <w:rPr>
                <w:sz w:val="24"/>
                <w:szCs w:val="24"/>
                <w:lang w:val="lv-LV"/>
              </w:rPr>
            </w:pPr>
            <w:r>
              <w:rPr>
                <w:sz w:val="24"/>
                <w:szCs w:val="24"/>
                <w:lang w:val="lv-LV"/>
              </w:rPr>
              <w:t>L</w:t>
            </w:r>
            <w:r w:rsidR="009244A6" w:rsidRPr="00EE573A">
              <w:rPr>
                <w:sz w:val="24"/>
                <w:szCs w:val="24"/>
                <w:lang w:val="lv-LV"/>
              </w:rPr>
              <w:t>ai sabiedrība Altum nenonāktu situācijā, kad pamatsummas</w:t>
            </w:r>
            <w:r w:rsidR="009244A6" w:rsidRPr="004232A9">
              <w:rPr>
                <w:sz w:val="24"/>
                <w:szCs w:val="24"/>
                <w:lang w:val="lv-LV"/>
              </w:rPr>
              <w:t xml:space="preserve"> maksājums tiek atlikts uz termiņa beigām un finansējuma saņēmējam rodas problēmas ar finanšu līdzekļiem, lai samaksātu visu noteikto pamatsummas maksājumu, kurā palielinātos sagaidāmos zaudējumi no programmas īstenošanas</w:t>
            </w:r>
            <w:r w:rsidR="003406E7" w:rsidRPr="004232A9">
              <w:rPr>
                <w:sz w:val="24"/>
                <w:szCs w:val="24"/>
                <w:lang w:val="lv-LV"/>
              </w:rPr>
              <w:t>,</w:t>
            </w:r>
            <w:r w:rsidR="009244A6" w:rsidRPr="004232A9">
              <w:rPr>
                <w:sz w:val="24"/>
                <w:szCs w:val="24"/>
                <w:lang w:val="lv-LV"/>
              </w:rPr>
              <w:t xml:space="preserve"> </w:t>
            </w:r>
            <w:r w:rsidR="003406E7" w:rsidRPr="004232A9">
              <w:rPr>
                <w:sz w:val="24"/>
                <w:szCs w:val="24"/>
                <w:lang w:val="lv-LV"/>
              </w:rPr>
              <w:t xml:space="preserve">nepieciešams </w:t>
            </w:r>
            <w:r w:rsidR="009244A6" w:rsidRPr="004232A9">
              <w:rPr>
                <w:sz w:val="24"/>
                <w:szCs w:val="24"/>
                <w:lang w:val="lv-LV"/>
              </w:rPr>
              <w:t xml:space="preserve">pamatsummas atmaksu daļēji ierobežot, nosakot, kā tā jāsāk atmaksāt 3 vai 5 gadus </w:t>
            </w:r>
            <w:r w:rsidR="003406E7" w:rsidRPr="004232A9">
              <w:rPr>
                <w:sz w:val="24"/>
                <w:szCs w:val="24"/>
                <w:lang w:val="lv-LV"/>
              </w:rPr>
              <w:t xml:space="preserve">(atkarībā no aizdevuma atmaksas termiņa) </w:t>
            </w:r>
            <w:r w:rsidR="009244A6" w:rsidRPr="004232A9">
              <w:rPr>
                <w:sz w:val="24"/>
                <w:szCs w:val="24"/>
                <w:lang w:val="lv-LV"/>
              </w:rPr>
              <w:t>līdz ai</w:t>
            </w:r>
            <w:r w:rsidR="003406E7" w:rsidRPr="004232A9">
              <w:rPr>
                <w:sz w:val="24"/>
                <w:szCs w:val="24"/>
                <w:lang w:val="lv-LV"/>
              </w:rPr>
              <w:t>zdevuma atmaksas termiņa beigām:</w:t>
            </w:r>
            <w:r w:rsidR="009244A6" w:rsidRPr="004232A9">
              <w:rPr>
                <w:sz w:val="24"/>
                <w:szCs w:val="24"/>
                <w:lang w:val="lv-LV"/>
              </w:rPr>
              <w:t xml:space="preserve"> </w:t>
            </w:r>
          </w:p>
          <w:p w14:paraId="14481F3D" w14:textId="2573616E" w:rsidR="003406E7" w:rsidRPr="004232A9" w:rsidRDefault="003406E7" w:rsidP="003406E7">
            <w:pPr>
              <w:spacing w:before="120"/>
              <w:ind w:left="201" w:right="346"/>
              <w:jc w:val="both"/>
              <w:rPr>
                <w:sz w:val="24"/>
                <w:szCs w:val="24"/>
                <w:lang w:val="lv-LV"/>
              </w:rPr>
            </w:pPr>
            <w:r w:rsidRPr="004232A9">
              <w:rPr>
                <w:sz w:val="24"/>
                <w:szCs w:val="24"/>
                <w:lang w:val="lv-LV"/>
              </w:rPr>
              <w:t>“31.</w:t>
            </w:r>
            <w:r w:rsidRPr="004232A9">
              <w:rPr>
                <w:sz w:val="24"/>
                <w:szCs w:val="24"/>
                <w:vertAlign w:val="superscript"/>
                <w:lang w:val="lv-LV"/>
              </w:rPr>
              <w:t>1</w:t>
            </w:r>
            <w:r w:rsidRPr="004232A9">
              <w:rPr>
                <w:sz w:val="24"/>
                <w:szCs w:val="24"/>
                <w:lang w:val="lv-LV"/>
              </w:rPr>
              <w:t xml:space="preserve"> Paralēlajiem aizdevumiem, kuri paredzēti nekustamā īpašuma iegādei, būvniecībai vai rekonstrukcijai, un kuru pamatsummas atmaksas atliktais termiņš: </w:t>
            </w:r>
          </w:p>
          <w:p w14:paraId="2DE31EAF" w14:textId="77777777" w:rsidR="003406E7" w:rsidRPr="004232A9" w:rsidRDefault="003406E7" w:rsidP="003406E7">
            <w:pPr>
              <w:spacing w:before="120"/>
              <w:ind w:left="201" w:right="346"/>
              <w:jc w:val="both"/>
              <w:rPr>
                <w:sz w:val="24"/>
                <w:szCs w:val="24"/>
                <w:lang w:val="lv-LV"/>
              </w:rPr>
            </w:pPr>
            <w:r w:rsidRPr="004232A9">
              <w:rPr>
                <w:sz w:val="24"/>
                <w:szCs w:val="24"/>
                <w:lang w:val="lv-LV"/>
              </w:rPr>
              <w:t>31.</w:t>
            </w:r>
            <w:r w:rsidRPr="004232A9">
              <w:rPr>
                <w:sz w:val="24"/>
                <w:szCs w:val="24"/>
                <w:vertAlign w:val="superscript"/>
                <w:lang w:val="lv-LV"/>
              </w:rPr>
              <w:t>1</w:t>
            </w:r>
            <w:r w:rsidRPr="004232A9">
              <w:rPr>
                <w:sz w:val="24"/>
                <w:szCs w:val="24"/>
                <w:lang w:val="lv-LV"/>
              </w:rPr>
              <w:t xml:space="preserve">1. nepārsniedz 10 gadus, pamatsummas atmaksas ir jāuzsāk ne vēlāk kā 3 gadus pirms aizdevuma atmaksas termiņa beigām. </w:t>
            </w:r>
          </w:p>
          <w:p w14:paraId="746B6B3C" w14:textId="7B38FAFD" w:rsidR="003406E7" w:rsidRPr="004232A9" w:rsidRDefault="003406E7" w:rsidP="003406E7">
            <w:pPr>
              <w:spacing w:before="120"/>
              <w:ind w:left="201" w:right="346"/>
              <w:jc w:val="both"/>
              <w:rPr>
                <w:sz w:val="24"/>
                <w:szCs w:val="24"/>
                <w:lang w:val="lv-LV"/>
              </w:rPr>
            </w:pPr>
            <w:r w:rsidRPr="004232A9">
              <w:rPr>
                <w:sz w:val="24"/>
                <w:szCs w:val="24"/>
                <w:lang w:val="lv-LV"/>
              </w:rPr>
              <w:t>31.</w:t>
            </w:r>
            <w:r w:rsidRPr="004232A9">
              <w:rPr>
                <w:sz w:val="24"/>
                <w:szCs w:val="24"/>
                <w:vertAlign w:val="superscript"/>
                <w:lang w:val="lv-LV"/>
              </w:rPr>
              <w:t>1</w:t>
            </w:r>
            <w:r w:rsidRPr="004232A9">
              <w:rPr>
                <w:sz w:val="24"/>
                <w:szCs w:val="24"/>
                <w:lang w:val="lv-LV"/>
              </w:rPr>
              <w:t>2. nepārsniedz 15 gadus, pamatsummas atmaksas ir jāuzsāk ne vēlāk kā 5 gadus pirms aizdevuma atmaksas termiņa beigām.”</w:t>
            </w:r>
          </w:p>
          <w:p w14:paraId="5401C8ED" w14:textId="6AF5C04A" w:rsidR="003406E7" w:rsidRPr="004232A9" w:rsidRDefault="003406E7" w:rsidP="00A459E6">
            <w:pPr>
              <w:spacing w:before="120"/>
              <w:ind w:left="201" w:right="346"/>
              <w:jc w:val="both"/>
              <w:rPr>
                <w:sz w:val="24"/>
                <w:szCs w:val="24"/>
                <w:lang w:val="lv-LV"/>
              </w:rPr>
            </w:pPr>
            <w:r w:rsidRPr="004232A9">
              <w:rPr>
                <w:sz w:val="24"/>
                <w:szCs w:val="24"/>
                <w:lang w:val="lv-LV"/>
              </w:rPr>
              <w:t xml:space="preserve">Šāda pieejam ļautu komercbankām paralēlos aizdevumus uzskatīt par </w:t>
            </w:r>
            <w:r w:rsidR="004E322D" w:rsidRPr="004232A9">
              <w:rPr>
                <w:sz w:val="24"/>
                <w:szCs w:val="24"/>
                <w:lang w:val="lv-LV"/>
              </w:rPr>
              <w:t>līdzvērtīgu pašu kapitāla finansējumam.</w:t>
            </w:r>
          </w:p>
          <w:p w14:paraId="5EE7A902" w14:textId="178CF82B" w:rsidR="00670249" w:rsidRPr="004232A9" w:rsidRDefault="00670249" w:rsidP="00A459E6">
            <w:pPr>
              <w:spacing w:before="120"/>
              <w:ind w:left="201" w:right="346"/>
              <w:jc w:val="both"/>
              <w:rPr>
                <w:sz w:val="24"/>
                <w:szCs w:val="24"/>
                <w:lang w:val="lv-LV"/>
              </w:rPr>
            </w:pPr>
          </w:p>
          <w:p w14:paraId="206EC71E" w14:textId="69CAA60B"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Ņemot vērā Ministru kabineta 2016.gada 29.novembra sēdes protokollēmuma (prot. </w:t>
            </w:r>
            <w:r w:rsidR="00D3493F">
              <w:rPr>
                <w:sz w:val="24"/>
                <w:szCs w:val="24"/>
                <w:lang w:val="lv-LV"/>
              </w:rPr>
              <w:t>N</w:t>
            </w:r>
            <w:r w:rsidRPr="004232A9">
              <w:rPr>
                <w:sz w:val="24"/>
                <w:szCs w:val="24"/>
                <w:lang w:val="lv-LV"/>
              </w:rPr>
              <w:t xml:space="preserve">r.65, 22§) 2.punktu: Ekonomikas ministrijai sadarbībā ar akciju sabiedrību "Attīstības finanšu institūcija Altum" līdz 2017.gada 1.martam izstrādāt: 2.2. priekšlikumus par Aizdevumu fonda vadības izmaksu atbilstību proporcionāli administrējamo aizdevumu apjomam, EM sadarbībā ar sabiedrību Altum ir izvērtējusi vadības izmaksu segšanas iespējas un informē, ka </w:t>
            </w:r>
            <w:r w:rsidR="004666F3" w:rsidRPr="004232A9">
              <w:rPr>
                <w:sz w:val="24"/>
                <w:szCs w:val="24"/>
                <w:lang w:val="lv-LV"/>
              </w:rPr>
              <w:t>Mikrokreditēšanas programmas ietvaros</w:t>
            </w:r>
            <w:r w:rsidRPr="004232A9">
              <w:rPr>
                <w:sz w:val="24"/>
                <w:szCs w:val="24"/>
                <w:lang w:val="lv-LV"/>
              </w:rPr>
              <w:t xml:space="preserve"> uzkrātie</w:t>
            </w:r>
            <w:r w:rsidR="004666F3" w:rsidRPr="004232A9">
              <w:rPr>
                <w:sz w:val="24"/>
                <w:szCs w:val="24"/>
                <w:lang w:val="lv-LV"/>
              </w:rPr>
              <w:t xml:space="preserve"> publiskie</w:t>
            </w:r>
            <w:r w:rsidRPr="004232A9">
              <w:rPr>
                <w:sz w:val="24"/>
                <w:szCs w:val="24"/>
                <w:lang w:val="lv-LV"/>
              </w:rPr>
              <w:t xml:space="preserve"> līdzekļi netiks izmantoti vadības izmaksu segšanai</w:t>
            </w:r>
            <w:r w:rsidR="002A2E61">
              <w:rPr>
                <w:sz w:val="24"/>
                <w:szCs w:val="24"/>
                <w:lang w:val="lv-LV"/>
              </w:rPr>
              <w:t>.</w:t>
            </w:r>
            <w:r w:rsidR="00F52F0B">
              <w:rPr>
                <w:color w:val="FF0000"/>
                <w:sz w:val="24"/>
                <w:szCs w:val="24"/>
                <w:lang w:val="lv-LV"/>
              </w:rPr>
              <w:t xml:space="preserve"> </w:t>
            </w:r>
            <w:r w:rsidRPr="004232A9">
              <w:rPr>
                <w:sz w:val="24"/>
                <w:szCs w:val="24"/>
                <w:lang w:val="lv-LV"/>
              </w:rPr>
              <w:t>Saskaņā ar iepriekš minēto, tiek nodrošināta vadības izmaksu atbilstība proporcionāli administrējamo aizdevumu apjomam.</w:t>
            </w:r>
          </w:p>
          <w:p w14:paraId="54D98B4F" w14:textId="77777777"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Vadības izmaksas aprēķina atbilstoši Ekonomikas ministrijas un Finanšu ministrijas saskaņotajai "Programmu pārvaldības izmaksu attiecināšanas metodika" (saskaņota 22.06.2016). Metodika nodrošina, ka uz katru Altum realizēto programmu attiecina tiešās un netiešās izmaksas. Tiešās izmaksas ir tieši saistītas ar programmas ieviešanu, piemēram, darbinieku algas, kas tieši strādā ar programmu, izvērtējumi, konsultācijas. Uz katru programmu proporcionāli attiecina arī Altum netiešās izmaksas – atbalsta funkcijas, IT, telpas u.c. izmaksas, kas nav tieši attiecināmas uz programmu, jo visu Altum īstenoto programmu ienākumiem (procentu likmes un vadības izmaksas) jānosedz visas Altum izmaksas. </w:t>
            </w:r>
          </w:p>
          <w:p w14:paraId="2EB1267D" w14:textId="77777777" w:rsidR="00844176" w:rsidRPr="004232A9" w:rsidRDefault="00844176" w:rsidP="00A459E6">
            <w:pPr>
              <w:autoSpaceDE w:val="0"/>
              <w:autoSpaceDN w:val="0"/>
              <w:adjustRightInd w:val="0"/>
              <w:spacing w:before="120"/>
              <w:ind w:left="142" w:right="346"/>
              <w:jc w:val="both"/>
              <w:rPr>
                <w:sz w:val="24"/>
                <w:szCs w:val="24"/>
                <w:lang w:val="lv-LV"/>
              </w:rPr>
            </w:pPr>
            <w:r w:rsidRPr="004232A9">
              <w:rPr>
                <w:sz w:val="24"/>
                <w:szCs w:val="24"/>
                <w:lang w:val="lv-LV"/>
              </w:rPr>
              <w:t xml:space="preserve">Izstrādājot Attīstības finanšu institūcijas likuma 12.panta 3.daļā minēto novērtējumu, nosaka uz programmu attiecināmās izmaksas, no kā izriet procentu likme aizdevumiem, kas nosedz visas izmaksas. </w:t>
            </w:r>
            <w:r w:rsidR="004C2CD6" w:rsidRPr="004232A9">
              <w:rPr>
                <w:sz w:val="24"/>
                <w:szCs w:val="24"/>
                <w:lang w:val="lv-LV"/>
              </w:rPr>
              <w:t>Altum novērtējumu apstiprinās, kad būs zināmi visi MK noteikumu nosacījumi, kas var ietekmēt novērtējumu.</w:t>
            </w:r>
          </w:p>
          <w:p w14:paraId="38C2457E" w14:textId="100BC5D5" w:rsidR="004C2CD6" w:rsidRPr="004232A9" w:rsidRDefault="004C2CD6" w:rsidP="00A459E6">
            <w:pPr>
              <w:autoSpaceDE w:val="0"/>
              <w:autoSpaceDN w:val="0"/>
              <w:adjustRightInd w:val="0"/>
              <w:spacing w:before="120"/>
              <w:ind w:left="142" w:right="346"/>
              <w:jc w:val="both"/>
              <w:rPr>
                <w:sz w:val="24"/>
                <w:szCs w:val="24"/>
                <w:lang w:val="lv-LV"/>
              </w:rPr>
            </w:pPr>
          </w:p>
        </w:tc>
      </w:tr>
      <w:tr w:rsidR="00844176" w:rsidRPr="004232A9" w14:paraId="3AE1E35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23F1F431"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3.</w:t>
            </w:r>
          </w:p>
        </w:tc>
        <w:tc>
          <w:tcPr>
            <w:tcW w:w="1482" w:type="dxa"/>
            <w:tcBorders>
              <w:top w:val="outset" w:sz="6" w:space="0" w:color="414142"/>
              <w:left w:val="outset" w:sz="6" w:space="0" w:color="414142"/>
              <w:bottom w:val="outset" w:sz="6" w:space="0" w:color="414142"/>
              <w:right w:val="outset" w:sz="6" w:space="0" w:color="414142"/>
            </w:tcBorders>
            <w:hideMark/>
          </w:tcPr>
          <w:p w14:paraId="1431C4B6"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Projekta izstrādē iesaistītās institūcijas</w:t>
            </w:r>
          </w:p>
        </w:tc>
        <w:tc>
          <w:tcPr>
            <w:tcW w:w="7547" w:type="dxa"/>
            <w:tcBorders>
              <w:top w:val="outset" w:sz="6" w:space="0" w:color="414142"/>
              <w:left w:val="outset" w:sz="6" w:space="0" w:color="414142"/>
              <w:bottom w:val="outset" w:sz="6" w:space="0" w:color="414142"/>
              <w:right w:val="outset" w:sz="6" w:space="0" w:color="414142"/>
            </w:tcBorders>
            <w:hideMark/>
          </w:tcPr>
          <w:p w14:paraId="5454237A" w14:textId="77777777" w:rsidR="00844176" w:rsidRPr="004232A9" w:rsidRDefault="00844176" w:rsidP="00A459E6">
            <w:pPr>
              <w:spacing w:before="100" w:beforeAutospacing="1" w:after="100" w:afterAutospacing="1"/>
              <w:ind w:left="60"/>
              <w:rPr>
                <w:rFonts w:eastAsia="Times New Roman"/>
                <w:sz w:val="24"/>
                <w:szCs w:val="24"/>
                <w:lang w:val="lv-LV" w:eastAsia="lv-LV"/>
              </w:rPr>
            </w:pPr>
            <w:r w:rsidRPr="004232A9">
              <w:rPr>
                <w:sz w:val="24"/>
                <w:szCs w:val="24"/>
                <w:lang w:val="lv-LV"/>
              </w:rPr>
              <w:t>Sabiedrība Altum</w:t>
            </w:r>
          </w:p>
        </w:tc>
      </w:tr>
      <w:tr w:rsidR="00844176" w:rsidRPr="004232A9" w14:paraId="2828825B" w14:textId="77777777" w:rsidTr="000472EA">
        <w:tc>
          <w:tcPr>
            <w:tcW w:w="323" w:type="dxa"/>
            <w:tcBorders>
              <w:top w:val="outset" w:sz="6" w:space="0" w:color="414142"/>
              <w:left w:val="outset" w:sz="6" w:space="0" w:color="414142"/>
              <w:bottom w:val="outset" w:sz="6" w:space="0" w:color="414142"/>
              <w:right w:val="outset" w:sz="6" w:space="0" w:color="414142"/>
            </w:tcBorders>
            <w:hideMark/>
          </w:tcPr>
          <w:p w14:paraId="06DBB9FB"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4.</w:t>
            </w:r>
          </w:p>
        </w:tc>
        <w:tc>
          <w:tcPr>
            <w:tcW w:w="1482" w:type="dxa"/>
            <w:tcBorders>
              <w:top w:val="outset" w:sz="6" w:space="0" w:color="414142"/>
              <w:left w:val="outset" w:sz="6" w:space="0" w:color="414142"/>
              <w:bottom w:val="outset" w:sz="6" w:space="0" w:color="414142"/>
              <w:right w:val="outset" w:sz="6" w:space="0" w:color="414142"/>
            </w:tcBorders>
            <w:hideMark/>
          </w:tcPr>
          <w:p w14:paraId="367A9432"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Cita informācija</w:t>
            </w:r>
          </w:p>
        </w:tc>
        <w:tc>
          <w:tcPr>
            <w:tcW w:w="7547" w:type="dxa"/>
            <w:tcBorders>
              <w:top w:val="outset" w:sz="6" w:space="0" w:color="414142"/>
              <w:left w:val="outset" w:sz="6" w:space="0" w:color="414142"/>
              <w:bottom w:val="outset" w:sz="6" w:space="0" w:color="414142"/>
              <w:right w:val="outset" w:sz="6" w:space="0" w:color="414142"/>
            </w:tcBorders>
            <w:hideMark/>
          </w:tcPr>
          <w:p w14:paraId="17941CFB"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 xml:space="preserve">Nav. </w:t>
            </w:r>
          </w:p>
        </w:tc>
      </w:tr>
      <w:tr w:rsidR="00844176" w:rsidRPr="004232A9" w14:paraId="4DA5A241" w14:textId="77777777" w:rsidTr="000472EA">
        <w:trPr>
          <w:trHeight w:val="128"/>
        </w:trPr>
        <w:tc>
          <w:tcPr>
            <w:tcW w:w="9352" w:type="dxa"/>
            <w:gridSpan w:val="3"/>
            <w:tcBorders>
              <w:top w:val="outset" w:sz="6" w:space="0" w:color="414142"/>
              <w:left w:val="nil"/>
              <w:bottom w:val="outset" w:sz="6" w:space="0" w:color="414142"/>
              <w:right w:val="nil"/>
            </w:tcBorders>
            <w:hideMark/>
          </w:tcPr>
          <w:p w14:paraId="351DA73D" w14:textId="77777777" w:rsidR="00844176" w:rsidRPr="004232A9" w:rsidRDefault="00844176" w:rsidP="00A459E6">
            <w:pPr>
              <w:tabs>
                <w:tab w:val="left" w:pos="990"/>
              </w:tabs>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ab/>
            </w:r>
          </w:p>
        </w:tc>
      </w:tr>
    </w:tbl>
    <w:p w14:paraId="664E824F" w14:textId="77777777" w:rsidR="00844176" w:rsidRPr="004232A9" w:rsidRDefault="00844176" w:rsidP="00844176">
      <w:pPr>
        <w:rPr>
          <w:rFonts w:eastAsia="Times New Roman"/>
          <w:vanish/>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134"/>
        <w:gridCol w:w="6727"/>
      </w:tblGrid>
      <w:tr w:rsidR="00844176" w:rsidRPr="00FB4A8C" w14:paraId="689D5659" w14:textId="77777777" w:rsidTr="00A459E6">
        <w:trPr>
          <w:trHeight w:val="555"/>
        </w:trPr>
        <w:tc>
          <w:tcPr>
            <w:tcW w:w="9129" w:type="dxa"/>
            <w:gridSpan w:val="3"/>
            <w:tcBorders>
              <w:top w:val="nil"/>
              <w:left w:val="outset" w:sz="6" w:space="0" w:color="414142"/>
              <w:bottom w:val="outset" w:sz="6" w:space="0" w:color="414142"/>
              <w:right w:val="outset" w:sz="6" w:space="0" w:color="414142"/>
            </w:tcBorders>
            <w:hideMark/>
          </w:tcPr>
          <w:p w14:paraId="6CEA03B6" w14:textId="77777777" w:rsidR="00844176" w:rsidRPr="004232A9" w:rsidRDefault="00844176" w:rsidP="00A459E6">
            <w:pPr>
              <w:spacing w:before="100" w:beforeAutospacing="1" w:after="100" w:afterAutospacing="1"/>
              <w:ind w:firstLine="300"/>
              <w:jc w:val="center"/>
              <w:rPr>
                <w:rFonts w:eastAsia="Times New Roman"/>
                <w:sz w:val="24"/>
                <w:szCs w:val="24"/>
                <w:lang w:val="lv-LV" w:eastAsia="lv-LV"/>
              </w:rPr>
            </w:pPr>
            <w:r w:rsidRPr="004232A9">
              <w:rPr>
                <w:rFonts w:eastAsia="Times New Roman"/>
                <w:b/>
                <w:bCs/>
                <w:color w:val="000000"/>
                <w:sz w:val="24"/>
                <w:szCs w:val="24"/>
                <w:lang w:val="lv-LV" w:eastAsia="lv-LV"/>
              </w:rPr>
              <w:t>II. Tiesību akta projekta ietekme uz sabiedrību, tautsaimniecības attīstību un administratīvo slogu</w:t>
            </w:r>
          </w:p>
        </w:tc>
      </w:tr>
      <w:tr w:rsidR="00844176" w:rsidRPr="00FB4A8C" w14:paraId="7AC99F78" w14:textId="77777777" w:rsidTr="00A459E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770690A3"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51E7A42A"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Sabiedrības mērķgrupas, kuras tiesiskais regulējums ietekmē vai varētu ietekmēt</w:t>
            </w:r>
          </w:p>
        </w:tc>
        <w:tc>
          <w:tcPr>
            <w:tcW w:w="6727" w:type="dxa"/>
            <w:tcBorders>
              <w:top w:val="outset" w:sz="6" w:space="0" w:color="414142"/>
              <w:left w:val="outset" w:sz="6" w:space="0" w:color="414142"/>
              <w:bottom w:val="outset" w:sz="6" w:space="0" w:color="414142"/>
              <w:right w:val="outset" w:sz="6" w:space="0" w:color="414142"/>
            </w:tcBorders>
            <w:hideMark/>
          </w:tcPr>
          <w:p w14:paraId="3E91CF47" w14:textId="77777777" w:rsidR="00844176" w:rsidRPr="004232A9" w:rsidRDefault="00844176" w:rsidP="00A459E6">
            <w:pPr>
              <w:ind w:left="223" w:right="201"/>
              <w:jc w:val="both"/>
              <w:rPr>
                <w:sz w:val="24"/>
                <w:szCs w:val="24"/>
                <w:lang w:val="lv-LV"/>
              </w:rPr>
            </w:pPr>
            <w:r w:rsidRPr="004232A9">
              <w:rPr>
                <w:sz w:val="24"/>
                <w:szCs w:val="24"/>
                <w:lang w:val="lv-LV"/>
              </w:rPr>
              <w:t>Latvijā reģistrēti saimnieciskās darbības veicēji, sabiedrība Altum.</w:t>
            </w:r>
          </w:p>
        </w:tc>
      </w:tr>
      <w:tr w:rsidR="00844176" w:rsidRPr="00FB4A8C" w14:paraId="17B9E99D" w14:textId="77777777" w:rsidTr="00A459E6">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23F7C624"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73791D2E"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Tiesiskā regulējuma ietekme uz tautsaimniecību un administratīvo slogu</w:t>
            </w:r>
          </w:p>
        </w:tc>
        <w:tc>
          <w:tcPr>
            <w:tcW w:w="6727" w:type="dxa"/>
            <w:tcBorders>
              <w:top w:val="outset" w:sz="6" w:space="0" w:color="414142"/>
              <w:left w:val="outset" w:sz="6" w:space="0" w:color="414142"/>
              <w:bottom w:val="outset" w:sz="6" w:space="0" w:color="414142"/>
              <w:right w:val="outset" w:sz="6" w:space="0" w:color="414142"/>
            </w:tcBorders>
            <w:hideMark/>
          </w:tcPr>
          <w:p w14:paraId="08616035" w14:textId="77777777" w:rsidR="00844176" w:rsidRPr="004232A9" w:rsidRDefault="00844176" w:rsidP="00A459E6">
            <w:pPr>
              <w:pStyle w:val="BodyText"/>
              <w:ind w:left="223" w:right="201"/>
              <w:rPr>
                <w:rFonts w:eastAsia="Calibri"/>
                <w:sz w:val="24"/>
                <w:szCs w:val="24"/>
                <w:lang w:eastAsia="en-US"/>
              </w:rPr>
            </w:pPr>
            <w:r w:rsidRPr="004232A9">
              <w:rPr>
                <w:rFonts w:eastAsia="Calibri"/>
                <w:sz w:val="24"/>
                <w:szCs w:val="24"/>
                <w:lang w:eastAsia="en-US"/>
              </w:rPr>
              <w:t>Noteikumu projekts neparedz ietekmi uz administratīvo slogu.</w:t>
            </w:r>
          </w:p>
          <w:p w14:paraId="1AB47359" w14:textId="77777777" w:rsidR="00844176" w:rsidRPr="004232A9" w:rsidRDefault="00844176" w:rsidP="00A459E6">
            <w:pPr>
              <w:pStyle w:val="BodyText"/>
              <w:ind w:left="223" w:right="201"/>
              <w:rPr>
                <w:rFonts w:eastAsia="Calibri"/>
                <w:sz w:val="24"/>
                <w:szCs w:val="24"/>
                <w:lang w:eastAsia="en-US"/>
              </w:rPr>
            </w:pPr>
            <w:r w:rsidRPr="004232A9">
              <w:rPr>
                <w:rFonts w:eastAsia="Calibri"/>
                <w:sz w:val="24"/>
                <w:szCs w:val="24"/>
                <w:lang w:eastAsia="en-US"/>
              </w:rPr>
              <w:t xml:space="preserve">Noteikumu projekts ietekmē tautsaimniecību, jo paredz pieejamā finansējuma </w:t>
            </w:r>
            <w:r w:rsidRPr="004232A9">
              <w:rPr>
                <w:sz w:val="24"/>
                <w:szCs w:val="24"/>
              </w:rPr>
              <w:t>paralēlajiem aizdevumiem lielajiem saimnieciskās darbības veicējiem palielināšanu.</w:t>
            </w:r>
          </w:p>
        </w:tc>
      </w:tr>
      <w:tr w:rsidR="00844176" w:rsidRPr="004232A9" w14:paraId="3D6187D5" w14:textId="77777777" w:rsidTr="00A459E6">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5243DC10"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05E3C37"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Administratīvo izmaksu monetārs novērtējums</w:t>
            </w:r>
          </w:p>
        </w:tc>
        <w:tc>
          <w:tcPr>
            <w:tcW w:w="6727" w:type="dxa"/>
            <w:tcBorders>
              <w:top w:val="outset" w:sz="6" w:space="0" w:color="414142"/>
              <w:left w:val="outset" w:sz="6" w:space="0" w:color="414142"/>
              <w:bottom w:val="outset" w:sz="6" w:space="0" w:color="414142"/>
              <w:right w:val="outset" w:sz="6" w:space="0" w:color="414142"/>
            </w:tcBorders>
            <w:hideMark/>
          </w:tcPr>
          <w:p w14:paraId="0A38BAC3" w14:textId="77777777" w:rsidR="00844176" w:rsidRPr="004232A9" w:rsidRDefault="00844176" w:rsidP="00A459E6">
            <w:pPr>
              <w:pStyle w:val="BodyText"/>
              <w:ind w:left="223" w:right="201"/>
              <w:rPr>
                <w:rFonts w:eastAsia="Calibri"/>
                <w:sz w:val="24"/>
                <w:szCs w:val="24"/>
                <w:lang w:eastAsia="en-US"/>
              </w:rPr>
            </w:pPr>
            <w:r w:rsidRPr="004232A9">
              <w:rPr>
                <w:rFonts w:eastAsia="Calibri"/>
                <w:sz w:val="24"/>
                <w:szCs w:val="24"/>
                <w:lang w:eastAsia="en-US"/>
              </w:rPr>
              <w:t>Projekts šo jomu neskar.</w:t>
            </w:r>
          </w:p>
        </w:tc>
      </w:tr>
      <w:tr w:rsidR="00844176" w:rsidRPr="004232A9" w14:paraId="4B29DDB0" w14:textId="77777777" w:rsidTr="00A459E6">
        <w:trPr>
          <w:trHeight w:val="345"/>
        </w:trPr>
        <w:tc>
          <w:tcPr>
            <w:tcW w:w="268" w:type="dxa"/>
            <w:tcBorders>
              <w:top w:val="outset" w:sz="6" w:space="0" w:color="414142"/>
              <w:left w:val="outset" w:sz="6" w:space="0" w:color="414142"/>
              <w:bottom w:val="outset" w:sz="6" w:space="0" w:color="414142"/>
              <w:right w:val="outset" w:sz="6" w:space="0" w:color="414142"/>
            </w:tcBorders>
            <w:hideMark/>
          </w:tcPr>
          <w:p w14:paraId="61A4CAAC"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0A000F97"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3F62C4EF" w14:textId="77777777" w:rsidR="00844176" w:rsidRPr="004232A9" w:rsidRDefault="00844176" w:rsidP="00A459E6">
            <w:pPr>
              <w:ind w:left="223" w:right="201"/>
              <w:jc w:val="both"/>
              <w:rPr>
                <w:sz w:val="24"/>
                <w:szCs w:val="24"/>
                <w:lang w:val="lv-LV"/>
              </w:rPr>
            </w:pPr>
            <w:r w:rsidRPr="004232A9">
              <w:rPr>
                <w:sz w:val="24"/>
                <w:szCs w:val="24"/>
                <w:lang w:val="lv-LV"/>
              </w:rPr>
              <w:t>Nav</w:t>
            </w:r>
          </w:p>
        </w:tc>
      </w:tr>
    </w:tbl>
    <w:p w14:paraId="49A1920B" w14:textId="6D4AA52B" w:rsidR="00844176" w:rsidRPr="004232A9" w:rsidRDefault="00844176" w:rsidP="00844176">
      <w:pPr>
        <w:rPr>
          <w:rFonts w:eastAsia="Times New Roman"/>
          <w:sz w:val="24"/>
          <w:szCs w:val="24"/>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3"/>
        <w:gridCol w:w="1911"/>
        <w:gridCol w:w="6894"/>
      </w:tblGrid>
      <w:tr w:rsidR="00844176" w:rsidRPr="00FB4A8C" w14:paraId="1AC5E160" w14:textId="77777777" w:rsidTr="0084417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66C7B5F" w14:textId="77777777" w:rsidR="00844176" w:rsidRPr="004232A9" w:rsidRDefault="00844176" w:rsidP="00A459E6">
            <w:pPr>
              <w:ind w:firstLine="300"/>
              <w:jc w:val="center"/>
              <w:rPr>
                <w:rFonts w:eastAsia="Times New Roman"/>
                <w:b/>
                <w:bCs/>
                <w:sz w:val="24"/>
                <w:szCs w:val="24"/>
                <w:lang w:val="lv-LV" w:eastAsia="lv-LV"/>
              </w:rPr>
            </w:pPr>
            <w:r w:rsidRPr="004232A9">
              <w:rPr>
                <w:rFonts w:eastAsia="Times New Roman"/>
                <w:b/>
                <w:bCs/>
                <w:sz w:val="24"/>
                <w:szCs w:val="24"/>
                <w:lang w:val="lv-LV" w:eastAsia="lv-LV"/>
              </w:rPr>
              <w:t>IV. Tiesību akta projekta ietekme uz spēkā esošo tiesību normu sistēmu</w:t>
            </w:r>
          </w:p>
        </w:tc>
      </w:tr>
      <w:tr w:rsidR="00844176" w:rsidRPr="00FB4A8C" w14:paraId="056C4755"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3463EF00"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78D4A5A5"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10E39232" w14:textId="3E34D27A" w:rsidR="00844176" w:rsidRPr="004232A9" w:rsidRDefault="000430AC" w:rsidP="00A459E6">
            <w:pPr>
              <w:pStyle w:val="BodyText"/>
              <w:ind w:left="223" w:right="142"/>
              <w:rPr>
                <w:rFonts w:eastAsia="Calibri"/>
                <w:sz w:val="24"/>
                <w:szCs w:val="24"/>
                <w:lang w:eastAsia="en-US"/>
              </w:rPr>
            </w:pPr>
            <w:r w:rsidRPr="004232A9">
              <w:rPr>
                <w:sz w:val="24"/>
                <w:szCs w:val="24"/>
              </w:rPr>
              <w:t>MK</w:t>
            </w:r>
            <w:r w:rsidR="00844176" w:rsidRPr="004232A9">
              <w:rPr>
                <w:sz w:val="24"/>
                <w:szCs w:val="24"/>
              </w:rPr>
              <w:t xml:space="preserve"> rīkojums Nr. 752</w:t>
            </w:r>
            <w:r w:rsidR="00EE573A">
              <w:rPr>
                <w:sz w:val="24"/>
                <w:szCs w:val="24"/>
              </w:rPr>
              <w:t xml:space="preserve"> </w:t>
            </w:r>
            <w:r w:rsidR="00844176" w:rsidRPr="004232A9">
              <w:rPr>
                <w:sz w:val="24"/>
                <w:szCs w:val="24"/>
              </w:rPr>
              <w:t>zaudē spēku pēc noteikumu projekta apstiprināšanas, jo noteikumu projekta apstiprināšanas brīdī nebūs spēkā esošu līgumu, kas noslēgti programmas ietvaros.</w:t>
            </w:r>
          </w:p>
        </w:tc>
      </w:tr>
      <w:tr w:rsidR="00844176" w:rsidRPr="004232A9" w14:paraId="4A333927"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25F94014"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661BFB95"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5A8F656F" w14:textId="77777777" w:rsidR="00844176" w:rsidRPr="004232A9" w:rsidRDefault="00844176" w:rsidP="00A459E6">
            <w:pPr>
              <w:pStyle w:val="BodyText"/>
              <w:ind w:right="142"/>
              <w:rPr>
                <w:rFonts w:eastAsia="Calibri"/>
                <w:sz w:val="24"/>
                <w:szCs w:val="24"/>
                <w:lang w:eastAsia="en-US"/>
              </w:rPr>
            </w:pPr>
            <w:r w:rsidRPr="004232A9">
              <w:rPr>
                <w:rFonts w:eastAsia="Calibri"/>
                <w:sz w:val="24"/>
                <w:szCs w:val="24"/>
                <w:lang w:eastAsia="en-US"/>
              </w:rPr>
              <w:t>EM</w:t>
            </w:r>
          </w:p>
        </w:tc>
      </w:tr>
      <w:tr w:rsidR="00844176" w:rsidRPr="004232A9" w14:paraId="1A0EAF07" w14:textId="77777777" w:rsidTr="00844176">
        <w:tc>
          <w:tcPr>
            <w:tcW w:w="250" w:type="pct"/>
            <w:tcBorders>
              <w:top w:val="outset" w:sz="6" w:space="0" w:color="414142"/>
              <w:left w:val="outset" w:sz="6" w:space="0" w:color="414142"/>
              <w:bottom w:val="outset" w:sz="6" w:space="0" w:color="414142"/>
              <w:right w:val="outset" w:sz="6" w:space="0" w:color="414142"/>
            </w:tcBorders>
            <w:hideMark/>
          </w:tcPr>
          <w:p w14:paraId="2A24613D"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50B3335B"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05C60DDE" w14:textId="77777777" w:rsidR="00844176" w:rsidRPr="004232A9" w:rsidRDefault="00844176" w:rsidP="00A459E6">
            <w:pPr>
              <w:jc w:val="both"/>
              <w:rPr>
                <w:sz w:val="24"/>
                <w:szCs w:val="24"/>
                <w:lang w:val="lv-LV"/>
              </w:rPr>
            </w:pPr>
            <w:r w:rsidRPr="004232A9">
              <w:rPr>
                <w:sz w:val="24"/>
                <w:szCs w:val="24"/>
                <w:lang w:val="lv-LV"/>
              </w:rPr>
              <w:t>-</w:t>
            </w:r>
          </w:p>
        </w:tc>
      </w:tr>
    </w:tbl>
    <w:p w14:paraId="405D6DEB" w14:textId="77777777" w:rsidR="00844176" w:rsidRPr="004232A9" w:rsidRDefault="00844176" w:rsidP="00844176">
      <w:pPr>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66"/>
        <w:gridCol w:w="22"/>
      </w:tblGrid>
      <w:tr w:rsidR="00844176" w:rsidRPr="00FB4A8C" w14:paraId="73DEEB8B" w14:textId="77777777" w:rsidTr="00A459E6">
        <w:trPr>
          <w:gridAfter w:val="1"/>
          <w:wAfter w:w="12" w:type="pct"/>
        </w:trPr>
        <w:tc>
          <w:tcPr>
            <w:tcW w:w="0" w:type="auto"/>
            <w:gridSpan w:val="3"/>
            <w:tcBorders>
              <w:top w:val="outset" w:sz="6" w:space="0" w:color="414142"/>
              <w:left w:val="outset" w:sz="6" w:space="0" w:color="414142"/>
              <w:bottom w:val="outset" w:sz="6" w:space="0" w:color="414142"/>
              <w:right w:val="outset" w:sz="6" w:space="0" w:color="414142"/>
            </w:tcBorders>
            <w:hideMark/>
          </w:tcPr>
          <w:p w14:paraId="5B4EAA0F" w14:textId="77777777" w:rsidR="00844176" w:rsidRPr="004232A9" w:rsidRDefault="00844176" w:rsidP="00A459E6">
            <w:pPr>
              <w:spacing w:before="100" w:beforeAutospacing="1" w:after="100" w:afterAutospacing="1"/>
              <w:ind w:firstLine="300"/>
              <w:jc w:val="center"/>
              <w:rPr>
                <w:rFonts w:eastAsia="Times New Roman"/>
                <w:sz w:val="24"/>
                <w:szCs w:val="24"/>
                <w:lang w:val="lv-LV" w:eastAsia="lv-LV"/>
              </w:rPr>
            </w:pPr>
            <w:r w:rsidRPr="004232A9">
              <w:rPr>
                <w:rFonts w:eastAsia="Times New Roman"/>
                <w:b/>
                <w:bCs/>
                <w:color w:val="000000"/>
                <w:sz w:val="24"/>
                <w:szCs w:val="24"/>
                <w:lang w:val="lv-LV" w:eastAsia="lv-LV"/>
              </w:rPr>
              <w:t>V. Tiesību akta projekta atbilstība Latvijas Republikas starptautiskajām saistībām</w:t>
            </w:r>
          </w:p>
        </w:tc>
      </w:tr>
      <w:tr w:rsidR="00844176" w:rsidRPr="00FB4A8C" w14:paraId="6E5D1512" w14:textId="77777777" w:rsidTr="00A459E6">
        <w:tc>
          <w:tcPr>
            <w:tcW w:w="227" w:type="pct"/>
            <w:tcBorders>
              <w:top w:val="outset" w:sz="6" w:space="0" w:color="414142"/>
              <w:left w:val="outset" w:sz="6" w:space="0" w:color="414142"/>
              <w:bottom w:val="outset" w:sz="6" w:space="0" w:color="414142"/>
              <w:right w:val="outset" w:sz="6" w:space="0" w:color="414142"/>
            </w:tcBorders>
            <w:hideMark/>
          </w:tcPr>
          <w:p w14:paraId="49FF3B7E"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5F9A1E53" w14:textId="77777777" w:rsidR="00844176" w:rsidRPr="004232A9" w:rsidRDefault="00844176" w:rsidP="00A459E6">
            <w:pPr>
              <w:jc w:val="both"/>
              <w:rPr>
                <w:rFonts w:eastAsia="Times New Roman"/>
                <w:sz w:val="24"/>
                <w:szCs w:val="24"/>
                <w:lang w:val="lv-LV" w:eastAsia="lv-LV"/>
              </w:rPr>
            </w:pPr>
            <w:r w:rsidRPr="004232A9">
              <w:rPr>
                <w:rFonts w:eastAsia="Times New Roman"/>
                <w:sz w:val="24"/>
                <w:szCs w:val="24"/>
                <w:lang w:val="lv-LV" w:eastAsia="lv-LV"/>
              </w:rPr>
              <w:t>Saistības pret Eiropas Savienību</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368A2FEB" w14:textId="69DE2880" w:rsidR="00844176" w:rsidRPr="004232A9" w:rsidRDefault="001C2832" w:rsidP="00A459E6">
            <w:pPr>
              <w:ind w:left="177" w:right="92"/>
              <w:jc w:val="both"/>
              <w:rPr>
                <w:sz w:val="24"/>
                <w:szCs w:val="24"/>
                <w:lang w:val="lv-LV"/>
              </w:rPr>
            </w:pPr>
            <w:r w:rsidRPr="004232A9">
              <w:rPr>
                <w:sz w:val="24"/>
                <w:szCs w:val="24"/>
                <w:lang w:val="lv-LV"/>
              </w:rPr>
              <w:t>Padomes 1999. gada 21. jūnija Nolikuma (EK) Nr.1260/1999, kas nosaka vispārīgus noteikumus par struktūrfondiem, 28. panta 3. punkts.</w:t>
            </w:r>
          </w:p>
        </w:tc>
      </w:tr>
      <w:tr w:rsidR="00844176" w:rsidRPr="004232A9" w14:paraId="2AC6A840" w14:textId="77777777" w:rsidTr="00A459E6">
        <w:tc>
          <w:tcPr>
            <w:tcW w:w="227" w:type="pct"/>
            <w:tcBorders>
              <w:top w:val="outset" w:sz="6" w:space="0" w:color="414142"/>
              <w:left w:val="outset" w:sz="6" w:space="0" w:color="414142"/>
              <w:bottom w:val="outset" w:sz="6" w:space="0" w:color="414142"/>
              <w:right w:val="outset" w:sz="6" w:space="0" w:color="414142"/>
            </w:tcBorders>
            <w:hideMark/>
          </w:tcPr>
          <w:p w14:paraId="03FE576B"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4F6C4B5C" w14:textId="77777777" w:rsidR="00844176" w:rsidRPr="004232A9" w:rsidRDefault="00844176" w:rsidP="00A459E6">
            <w:pPr>
              <w:jc w:val="both"/>
              <w:rPr>
                <w:rFonts w:eastAsia="Times New Roman"/>
                <w:sz w:val="24"/>
                <w:szCs w:val="24"/>
                <w:lang w:val="lv-LV" w:eastAsia="lv-LV"/>
              </w:rPr>
            </w:pPr>
            <w:r w:rsidRPr="004232A9">
              <w:rPr>
                <w:rFonts w:eastAsia="Times New Roman"/>
                <w:sz w:val="24"/>
                <w:szCs w:val="24"/>
                <w:lang w:val="lv-LV" w:eastAsia="lv-LV"/>
              </w:rPr>
              <w:t>Citas starptautiskās saistības</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0893D7B3" w14:textId="77777777" w:rsidR="00844176" w:rsidRPr="004232A9" w:rsidRDefault="00844176" w:rsidP="00A459E6">
            <w:pPr>
              <w:ind w:left="177" w:right="92"/>
              <w:jc w:val="both"/>
              <w:rPr>
                <w:rFonts w:eastAsia="Times New Roman"/>
                <w:sz w:val="24"/>
                <w:szCs w:val="24"/>
                <w:lang w:val="lv-LV" w:eastAsia="lv-LV"/>
              </w:rPr>
            </w:pPr>
            <w:r w:rsidRPr="004232A9">
              <w:rPr>
                <w:rFonts w:eastAsia="Times New Roman"/>
                <w:sz w:val="24"/>
                <w:szCs w:val="24"/>
                <w:lang w:val="lv-LV" w:eastAsia="lv-LV"/>
              </w:rPr>
              <w:t>Projekts šo jomu neskar.</w:t>
            </w:r>
          </w:p>
        </w:tc>
      </w:tr>
      <w:tr w:rsidR="00844176" w:rsidRPr="004232A9" w14:paraId="54A4C739" w14:textId="77777777" w:rsidTr="00A459E6">
        <w:tc>
          <w:tcPr>
            <w:tcW w:w="227" w:type="pct"/>
            <w:tcBorders>
              <w:top w:val="outset" w:sz="6" w:space="0" w:color="414142"/>
              <w:left w:val="outset" w:sz="6" w:space="0" w:color="414142"/>
              <w:bottom w:val="outset" w:sz="6" w:space="0" w:color="414142"/>
              <w:right w:val="outset" w:sz="6" w:space="0" w:color="414142"/>
            </w:tcBorders>
            <w:hideMark/>
          </w:tcPr>
          <w:p w14:paraId="223157E6" w14:textId="77777777" w:rsidR="00844176" w:rsidRPr="004232A9" w:rsidRDefault="00844176" w:rsidP="00A459E6">
            <w:pPr>
              <w:rPr>
                <w:rFonts w:eastAsia="Times New Roman"/>
                <w:sz w:val="24"/>
                <w:szCs w:val="24"/>
                <w:lang w:val="lv-LV" w:eastAsia="lv-LV"/>
              </w:rPr>
            </w:pPr>
            <w:r w:rsidRPr="004232A9">
              <w:rPr>
                <w:rFonts w:eastAsia="Times New Roman"/>
                <w:sz w:val="24"/>
                <w:szCs w:val="24"/>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5A05D251" w14:textId="77777777" w:rsidR="00844176" w:rsidRPr="004232A9" w:rsidRDefault="00844176" w:rsidP="00A459E6">
            <w:pPr>
              <w:jc w:val="both"/>
              <w:rPr>
                <w:rFonts w:eastAsia="Times New Roman"/>
                <w:sz w:val="24"/>
                <w:szCs w:val="24"/>
                <w:lang w:val="lv-LV" w:eastAsia="lv-LV"/>
              </w:rPr>
            </w:pPr>
            <w:r w:rsidRPr="004232A9">
              <w:rPr>
                <w:rFonts w:eastAsia="Times New Roman"/>
                <w:sz w:val="24"/>
                <w:szCs w:val="24"/>
                <w:lang w:val="lv-LV" w:eastAsia="lv-LV"/>
              </w:rPr>
              <w:t>Cita informācija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2C625D5F" w14:textId="77777777" w:rsidR="00844176" w:rsidRPr="004232A9" w:rsidRDefault="00844176" w:rsidP="00A459E6">
            <w:pPr>
              <w:ind w:left="177" w:right="92"/>
              <w:jc w:val="both"/>
              <w:rPr>
                <w:rFonts w:eastAsia="Times New Roman"/>
                <w:sz w:val="24"/>
                <w:szCs w:val="24"/>
                <w:lang w:val="lv-LV" w:eastAsia="lv-LV"/>
              </w:rPr>
            </w:pPr>
            <w:r w:rsidRPr="004232A9">
              <w:rPr>
                <w:rFonts w:eastAsia="Times New Roman"/>
                <w:sz w:val="24"/>
                <w:szCs w:val="24"/>
                <w:lang w:val="lv-LV" w:eastAsia="lv-LV"/>
              </w:rPr>
              <w:t>Nav</w:t>
            </w:r>
          </w:p>
        </w:tc>
      </w:tr>
    </w:tbl>
    <w:p w14:paraId="0BF9B90C" w14:textId="77777777" w:rsidR="00A849DF" w:rsidRDefault="00844176" w:rsidP="00844176">
      <w:pPr>
        <w:rPr>
          <w:rFonts w:eastAsia="Times New Roman"/>
          <w:color w:val="000000"/>
          <w:sz w:val="24"/>
          <w:szCs w:val="24"/>
          <w:lang w:val="lv-LV" w:eastAsia="lv-LV"/>
        </w:rPr>
      </w:pPr>
      <w:r w:rsidRPr="004232A9">
        <w:rPr>
          <w:rFonts w:eastAsia="Times New Roman"/>
          <w:color w:val="000000"/>
          <w:sz w:val="24"/>
          <w:szCs w:val="24"/>
          <w:lang w:val="lv-LV" w:eastAsia="lv-LV"/>
        </w:rPr>
        <w:t> </w:t>
      </w:r>
    </w:p>
    <w:p w14:paraId="326C5F97" w14:textId="77777777" w:rsidR="00A849DF" w:rsidRPr="004232A9" w:rsidRDefault="00A849DF" w:rsidP="00844176">
      <w:pPr>
        <w:rPr>
          <w:rFonts w:eastAsia="Times New Roman"/>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45"/>
        <w:gridCol w:w="6916"/>
      </w:tblGrid>
      <w:tr w:rsidR="00844176" w:rsidRPr="00FB4A8C" w14:paraId="75150710" w14:textId="77777777" w:rsidTr="00A459E6">
        <w:trPr>
          <w:trHeight w:val="420"/>
        </w:trPr>
        <w:tc>
          <w:tcPr>
            <w:tcW w:w="9129" w:type="dxa"/>
            <w:gridSpan w:val="3"/>
            <w:tcBorders>
              <w:top w:val="outset" w:sz="6" w:space="0" w:color="414142"/>
              <w:left w:val="outset" w:sz="6" w:space="0" w:color="414142"/>
              <w:bottom w:val="outset" w:sz="6" w:space="0" w:color="414142"/>
              <w:right w:val="outset" w:sz="6" w:space="0" w:color="414142"/>
            </w:tcBorders>
            <w:hideMark/>
          </w:tcPr>
          <w:p w14:paraId="35C22BBF" w14:textId="77777777" w:rsidR="00844176" w:rsidRPr="004232A9" w:rsidRDefault="00844176" w:rsidP="00A459E6">
            <w:pPr>
              <w:spacing w:before="100" w:beforeAutospacing="1" w:after="100" w:afterAutospacing="1"/>
              <w:ind w:firstLine="300"/>
              <w:jc w:val="center"/>
              <w:rPr>
                <w:rFonts w:eastAsia="Times New Roman"/>
                <w:sz w:val="24"/>
                <w:szCs w:val="24"/>
                <w:lang w:val="lv-LV" w:eastAsia="lv-LV"/>
              </w:rPr>
            </w:pPr>
            <w:r w:rsidRPr="004232A9">
              <w:rPr>
                <w:rFonts w:eastAsia="Times New Roman"/>
                <w:b/>
                <w:bCs/>
                <w:color w:val="000000"/>
                <w:sz w:val="24"/>
                <w:szCs w:val="24"/>
                <w:lang w:val="lv-LV" w:eastAsia="lv-LV"/>
              </w:rPr>
              <w:t>VI. Sabiedrības līdzdalība un komunikācijas aktivitātes</w:t>
            </w:r>
          </w:p>
        </w:tc>
      </w:tr>
      <w:tr w:rsidR="00844176" w:rsidRPr="00FB4A8C" w14:paraId="47F22E71" w14:textId="77777777" w:rsidTr="00A459E6">
        <w:trPr>
          <w:trHeight w:val="540"/>
        </w:trPr>
        <w:tc>
          <w:tcPr>
            <w:tcW w:w="268" w:type="dxa"/>
            <w:tcBorders>
              <w:top w:val="outset" w:sz="6" w:space="0" w:color="414142"/>
              <w:left w:val="outset" w:sz="6" w:space="0" w:color="414142"/>
              <w:bottom w:val="outset" w:sz="6" w:space="0" w:color="414142"/>
              <w:right w:val="outset" w:sz="6" w:space="0" w:color="414142"/>
            </w:tcBorders>
            <w:hideMark/>
          </w:tcPr>
          <w:p w14:paraId="42BCF85C"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1.</w:t>
            </w:r>
          </w:p>
        </w:tc>
        <w:tc>
          <w:tcPr>
            <w:tcW w:w="1945" w:type="dxa"/>
            <w:tcBorders>
              <w:top w:val="outset" w:sz="6" w:space="0" w:color="414142"/>
              <w:left w:val="outset" w:sz="6" w:space="0" w:color="414142"/>
              <w:bottom w:val="outset" w:sz="6" w:space="0" w:color="414142"/>
              <w:right w:val="outset" w:sz="6" w:space="0" w:color="414142"/>
            </w:tcBorders>
            <w:hideMark/>
          </w:tcPr>
          <w:p w14:paraId="6690AB86" w14:textId="77777777" w:rsidR="00844176" w:rsidRPr="004232A9" w:rsidRDefault="00844176" w:rsidP="00A459E6">
            <w:pPr>
              <w:rPr>
                <w:sz w:val="24"/>
                <w:szCs w:val="24"/>
                <w:lang w:val="lv-LV"/>
              </w:rPr>
            </w:pPr>
            <w:r w:rsidRPr="004232A9">
              <w:rPr>
                <w:sz w:val="24"/>
                <w:szCs w:val="24"/>
                <w:lang w:val="lv-LV"/>
              </w:rPr>
              <w:t>Plānotās sabiedrības līdzdalības un komunikācijas aktivitātes saistībā ar projektu</w:t>
            </w:r>
          </w:p>
        </w:tc>
        <w:tc>
          <w:tcPr>
            <w:tcW w:w="6916" w:type="dxa"/>
            <w:tcBorders>
              <w:top w:val="outset" w:sz="6" w:space="0" w:color="414142"/>
              <w:left w:val="outset" w:sz="6" w:space="0" w:color="414142"/>
              <w:bottom w:val="outset" w:sz="6" w:space="0" w:color="414142"/>
              <w:right w:val="outset" w:sz="6" w:space="0" w:color="414142"/>
            </w:tcBorders>
            <w:hideMark/>
          </w:tcPr>
          <w:p w14:paraId="5711262B" w14:textId="77777777" w:rsidR="00844176" w:rsidRPr="004232A9" w:rsidRDefault="00844176" w:rsidP="00A459E6">
            <w:pPr>
              <w:ind w:left="301"/>
              <w:jc w:val="both"/>
              <w:rPr>
                <w:sz w:val="24"/>
                <w:szCs w:val="24"/>
                <w:lang w:val="lv-LV"/>
              </w:rPr>
            </w:pPr>
            <w:r w:rsidRPr="004232A9">
              <w:rPr>
                <w:sz w:val="24"/>
                <w:szCs w:val="24"/>
                <w:lang w:val="lv-LV"/>
              </w:rPr>
              <w:t>Sabiedrības līdzdalības un komunikācijas aktivitātes nav paredzētas.</w:t>
            </w:r>
          </w:p>
        </w:tc>
      </w:tr>
      <w:tr w:rsidR="00844176" w:rsidRPr="00FB4A8C" w14:paraId="373D5D0D" w14:textId="77777777" w:rsidTr="00A459E6">
        <w:trPr>
          <w:trHeight w:val="330"/>
        </w:trPr>
        <w:tc>
          <w:tcPr>
            <w:tcW w:w="268" w:type="dxa"/>
            <w:tcBorders>
              <w:top w:val="outset" w:sz="6" w:space="0" w:color="414142"/>
              <w:left w:val="outset" w:sz="6" w:space="0" w:color="414142"/>
              <w:bottom w:val="outset" w:sz="6" w:space="0" w:color="414142"/>
              <w:right w:val="outset" w:sz="6" w:space="0" w:color="414142"/>
            </w:tcBorders>
            <w:hideMark/>
          </w:tcPr>
          <w:p w14:paraId="30EC7154"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2.</w:t>
            </w:r>
          </w:p>
        </w:tc>
        <w:tc>
          <w:tcPr>
            <w:tcW w:w="1945" w:type="dxa"/>
            <w:tcBorders>
              <w:top w:val="outset" w:sz="6" w:space="0" w:color="414142"/>
              <w:left w:val="outset" w:sz="6" w:space="0" w:color="414142"/>
              <w:bottom w:val="outset" w:sz="6" w:space="0" w:color="414142"/>
              <w:right w:val="outset" w:sz="6" w:space="0" w:color="414142"/>
            </w:tcBorders>
            <w:hideMark/>
          </w:tcPr>
          <w:p w14:paraId="79C479E8" w14:textId="77777777" w:rsidR="00844176" w:rsidRPr="004232A9" w:rsidRDefault="00844176" w:rsidP="00A459E6">
            <w:pPr>
              <w:jc w:val="both"/>
              <w:rPr>
                <w:sz w:val="24"/>
                <w:szCs w:val="24"/>
                <w:lang w:val="lv-LV"/>
              </w:rPr>
            </w:pPr>
            <w:r w:rsidRPr="004232A9">
              <w:rPr>
                <w:sz w:val="24"/>
                <w:szCs w:val="24"/>
                <w:lang w:val="lv-LV"/>
              </w:rPr>
              <w:t>Sabiedrības līdzdalība projekta izstrādē</w:t>
            </w:r>
          </w:p>
        </w:tc>
        <w:tc>
          <w:tcPr>
            <w:tcW w:w="6916" w:type="dxa"/>
            <w:tcBorders>
              <w:top w:val="outset" w:sz="6" w:space="0" w:color="414142"/>
              <w:left w:val="outset" w:sz="6" w:space="0" w:color="414142"/>
              <w:bottom w:val="outset" w:sz="6" w:space="0" w:color="414142"/>
              <w:right w:val="outset" w:sz="6" w:space="0" w:color="414142"/>
            </w:tcBorders>
            <w:hideMark/>
          </w:tcPr>
          <w:p w14:paraId="0185A3AF" w14:textId="77777777" w:rsidR="00844176" w:rsidRPr="004232A9" w:rsidRDefault="00844176" w:rsidP="00A459E6">
            <w:pPr>
              <w:ind w:left="301"/>
              <w:jc w:val="both"/>
              <w:rPr>
                <w:sz w:val="24"/>
                <w:szCs w:val="24"/>
                <w:lang w:val="lv-LV"/>
              </w:rPr>
            </w:pPr>
            <w:r w:rsidRPr="004232A9">
              <w:rPr>
                <w:sz w:val="24"/>
                <w:szCs w:val="24"/>
                <w:lang w:val="lv-LV"/>
              </w:rPr>
              <w:t>Sabiedrības līdzdalība noteikumu projekta izstrādē netika paredzēta.</w:t>
            </w:r>
          </w:p>
          <w:p w14:paraId="7EE52159" w14:textId="77777777" w:rsidR="00844176" w:rsidRPr="004232A9" w:rsidRDefault="00844176" w:rsidP="00A459E6">
            <w:pPr>
              <w:ind w:left="301"/>
              <w:jc w:val="both"/>
              <w:rPr>
                <w:sz w:val="24"/>
                <w:szCs w:val="24"/>
                <w:lang w:val="lv-LV"/>
              </w:rPr>
            </w:pPr>
          </w:p>
        </w:tc>
      </w:tr>
      <w:tr w:rsidR="00844176" w:rsidRPr="004232A9" w14:paraId="3954B7A2" w14:textId="77777777" w:rsidTr="00A459E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48279B8E"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3.</w:t>
            </w:r>
          </w:p>
        </w:tc>
        <w:tc>
          <w:tcPr>
            <w:tcW w:w="1945" w:type="dxa"/>
            <w:tcBorders>
              <w:top w:val="outset" w:sz="6" w:space="0" w:color="414142"/>
              <w:left w:val="outset" w:sz="6" w:space="0" w:color="414142"/>
              <w:bottom w:val="outset" w:sz="6" w:space="0" w:color="414142"/>
              <w:right w:val="outset" w:sz="6" w:space="0" w:color="414142"/>
            </w:tcBorders>
            <w:hideMark/>
          </w:tcPr>
          <w:p w14:paraId="32877CA4" w14:textId="77777777" w:rsidR="00844176" w:rsidRPr="004232A9" w:rsidRDefault="00844176" w:rsidP="00A459E6">
            <w:pPr>
              <w:jc w:val="both"/>
              <w:rPr>
                <w:sz w:val="24"/>
                <w:szCs w:val="24"/>
                <w:lang w:val="lv-LV"/>
              </w:rPr>
            </w:pPr>
            <w:r w:rsidRPr="004232A9">
              <w:rPr>
                <w:sz w:val="24"/>
                <w:szCs w:val="24"/>
                <w:lang w:val="lv-LV"/>
              </w:rPr>
              <w:t>Sabiedrības līdzdalības rezultāti</w:t>
            </w:r>
          </w:p>
        </w:tc>
        <w:tc>
          <w:tcPr>
            <w:tcW w:w="6916" w:type="dxa"/>
            <w:tcBorders>
              <w:top w:val="outset" w:sz="6" w:space="0" w:color="414142"/>
              <w:left w:val="outset" w:sz="6" w:space="0" w:color="414142"/>
              <w:bottom w:val="outset" w:sz="6" w:space="0" w:color="414142"/>
              <w:right w:val="outset" w:sz="6" w:space="0" w:color="414142"/>
            </w:tcBorders>
            <w:hideMark/>
          </w:tcPr>
          <w:p w14:paraId="12C56231" w14:textId="77777777" w:rsidR="00844176" w:rsidRPr="004232A9" w:rsidRDefault="00844176" w:rsidP="00A459E6">
            <w:pPr>
              <w:ind w:firstLine="247"/>
              <w:jc w:val="both"/>
              <w:rPr>
                <w:sz w:val="24"/>
                <w:szCs w:val="24"/>
                <w:lang w:val="lv-LV"/>
              </w:rPr>
            </w:pPr>
            <w:r w:rsidRPr="004232A9">
              <w:rPr>
                <w:sz w:val="24"/>
                <w:szCs w:val="24"/>
                <w:lang w:val="lv-LV"/>
              </w:rPr>
              <w:t>Projekts šo jomu neskar.</w:t>
            </w:r>
          </w:p>
        </w:tc>
      </w:tr>
      <w:tr w:rsidR="00844176" w:rsidRPr="004232A9" w14:paraId="493D0312" w14:textId="77777777" w:rsidTr="00A459E6">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0215A6C9"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4.</w:t>
            </w:r>
          </w:p>
        </w:tc>
        <w:tc>
          <w:tcPr>
            <w:tcW w:w="1945" w:type="dxa"/>
            <w:tcBorders>
              <w:top w:val="outset" w:sz="6" w:space="0" w:color="414142"/>
              <w:left w:val="outset" w:sz="6" w:space="0" w:color="414142"/>
              <w:bottom w:val="outset" w:sz="6" w:space="0" w:color="414142"/>
              <w:right w:val="outset" w:sz="6" w:space="0" w:color="414142"/>
            </w:tcBorders>
            <w:hideMark/>
          </w:tcPr>
          <w:p w14:paraId="13AC13D6" w14:textId="77777777" w:rsidR="00844176" w:rsidRPr="004232A9" w:rsidRDefault="00844176" w:rsidP="00A459E6">
            <w:pPr>
              <w:rPr>
                <w:sz w:val="24"/>
                <w:szCs w:val="24"/>
                <w:lang w:val="lv-LV"/>
              </w:rPr>
            </w:pPr>
            <w:r w:rsidRPr="004232A9">
              <w:rPr>
                <w:sz w:val="24"/>
                <w:szCs w:val="24"/>
                <w:lang w:val="lv-LV"/>
              </w:rPr>
              <w:t>Cita informācija</w:t>
            </w:r>
          </w:p>
        </w:tc>
        <w:tc>
          <w:tcPr>
            <w:tcW w:w="6916" w:type="dxa"/>
            <w:tcBorders>
              <w:top w:val="outset" w:sz="6" w:space="0" w:color="414142"/>
              <w:left w:val="outset" w:sz="6" w:space="0" w:color="414142"/>
              <w:bottom w:val="outset" w:sz="6" w:space="0" w:color="414142"/>
              <w:right w:val="outset" w:sz="6" w:space="0" w:color="414142"/>
            </w:tcBorders>
            <w:hideMark/>
          </w:tcPr>
          <w:p w14:paraId="4B81AFAB" w14:textId="77777777" w:rsidR="00844176" w:rsidRPr="004232A9" w:rsidRDefault="00844176" w:rsidP="00A459E6">
            <w:pPr>
              <w:ind w:firstLine="284"/>
              <w:jc w:val="both"/>
              <w:rPr>
                <w:sz w:val="24"/>
                <w:szCs w:val="24"/>
                <w:lang w:val="lv-LV"/>
              </w:rPr>
            </w:pPr>
            <w:r w:rsidRPr="004232A9">
              <w:rPr>
                <w:sz w:val="24"/>
                <w:szCs w:val="24"/>
                <w:lang w:val="lv-LV"/>
              </w:rPr>
              <w:t>Nav</w:t>
            </w:r>
          </w:p>
        </w:tc>
      </w:tr>
    </w:tbl>
    <w:p w14:paraId="44AB9C1C" w14:textId="77777777" w:rsidR="00844176" w:rsidRPr="004232A9" w:rsidRDefault="00844176" w:rsidP="00844176">
      <w:pPr>
        <w:rPr>
          <w:rFonts w:eastAsia="Times New Roman"/>
          <w:sz w:val="24"/>
          <w:szCs w:val="24"/>
          <w:lang w:val="lv-LV" w:eastAsia="lv-LV"/>
        </w:rPr>
      </w:pPr>
      <w:r w:rsidRPr="004232A9">
        <w:rPr>
          <w:rFonts w:eastAsia="Times New Roman"/>
          <w:color w:val="000000"/>
          <w:sz w:val="24"/>
          <w:szCs w:val="24"/>
          <w:lang w:val="lv-LV"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FB4A8C" w14:paraId="79E751A3" w14:textId="77777777" w:rsidTr="00A459E6">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0690BE75" w14:textId="77777777" w:rsidR="00844176" w:rsidRPr="004232A9" w:rsidRDefault="00844176" w:rsidP="00A459E6">
            <w:pPr>
              <w:spacing w:before="100" w:beforeAutospacing="1" w:after="100" w:afterAutospacing="1"/>
              <w:ind w:firstLine="300"/>
              <w:jc w:val="center"/>
              <w:rPr>
                <w:rFonts w:eastAsia="Times New Roman"/>
                <w:sz w:val="24"/>
                <w:szCs w:val="24"/>
                <w:lang w:val="lv-LV" w:eastAsia="lv-LV"/>
              </w:rPr>
            </w:pPr>
            <w:r w:rsidRPr="004232A9">
              <w:rPr>
                <w:rFonts w:eastAsia="Times New Roman"/>
                <w:b/>
                <w:bCs/>
                <w:color w:val="000000"/>
                <w:sz w:val="24"/>
                <w:szCs w:val="24"/>
                <w:lang w:val="lv-LV" w:eastAsia="lv-LV"/>
              </w:rPr>
              <w:t>VII. Tiesību akta projekta izpildes nodrošināšana un tās ietekme uz institūcijām</w:t>
            </w:r>
          </w:p>
        </w:tc>
      </w:tr>
      <w:tr w:rsidR="00844176" w:rsidRPr="00FB4A8C" w14:paraId="4E2367C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A33D0D4"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70DF1D2B" w14:textId="77777777" w:rsidR="00844176" w:rsidRPr="004232A9" w:rsidRDefault="00844176" w:rsidP="00A459E6">
            <w:pPr>
              <w:ind w:right="112"/>
              <w:jc w:val="both"/>
              <w:rPr>
                <w:sz w:val="24"/>
                <w:szCs w:val="24"/>
                <w:lang w:val="lv-LV"/>
              </w:rPr>
            </w:pPr>
            <w:r w:rsidRPr="004232A9">
              <w:rPr>
                <w:sz w:val="24"/>
                <w:szCs w:val="24"/>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3A6EF7C1" w14:textId="77777777" w:rsidR="00844176" w:rsidRPr="004232A9" w:rsidRDefault="00844176" w:rsidP="00A459E6">
            <w:pPr>
              <w:ind w:left="82" w:right="161"/>
              <w:jc w:val="both"/>
              <w:rPr>
                <w:sz w:val="24"/>
                <w:szCs w:val="24"/>
                <w:lang w:val="lv-LV"/>
              </w:rPr>
            </w:pPr>
            <w:r w:rsidRPr="004232A9">
              <w:rPr>
                <w:sz w:val="24"/>
                <w:szCs w:val="24"/>
                <w:lang w:val="lv-LV"/>
              </w:rPr>
              <w:t>Ministru kabineta noteikumu projekta izpildi nodrošinās EM un sabiedrība Altum.</w:t>
            </w:r>
          </w:p>
        </w:tc>
      </w:tr>
      <w:tr w:rsidR="00844176" w:rsidRPr="00FB4A8C" w14:paraId="5A8DB668"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3F510DC4"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2389F531" w14:textId="77777777" w:rsidR="00844176" w:rsidRPr="004232A9" w:rsidRDefault="00844176" w:rsidP="00A459E6">
            <w:pPr>
              <w:ind w:right="112"/>
              <w:jc w:val="both"/>
              <w:rPr>
                <w:sz w:val="24"/>
                <w:szCs w:val="24"/>
                <w:lang w:val="lv-LV"/>
              </w:rPr>
            </w:pPr>
            <w:r w:rsidRPr="004232A9">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7E901C3C" w14:textId="77777777" w:rsidR="00844176" w:rsidRPr="004232A9" w:rsidRDefault="00844176" w:rsidP="00A459E6">
            <w:pPr>
              <w:ind w:left="82" w:right="161"/>
              <w:jc w:val="both"/>
              <w:rPr>
                <w:sz w:val="24"/>
                <w:szCs w:val="24"/>
                <w:lang w:val="lv-LV"/>
              </w:rPr>
            </w:pPr>
            <w:r w:rsidRPr="004232A9">
              <w:rPr>
                <w:sz w:val="24"/>
                <w:szCs w:val="24"/>
                <w:lang w:val="lv-LV"/>
              </w:rPr>
              <w:t>Ministru kabineta noteikumu projekta izpilde tiks nodrošināta EM un sabiedrības Altum esošo funkciju ietvaros.</w:t>
            </w:r>
          </w:p>
          <w:p w14:paraId="799815EA" w14:textId="77777777" w:rsidR="00844176" w:rsidRPr="004232A9" w:rsidRDefault="00844176" w:rsidP="00A459E6">
            <w:pPr>
              <w:ind w:left="82" w:right="161" w:firstLine="720"/>
              <w:jc w:val="both"/>
              <w:rPr>
                <w:sz w:val="24"/>
                <w:szCs w:val="24"/>
                <w:lang w:val="lv-LV"/>
              </w:rPr>
            </w:pPr>
          </w:p>
        </w:tc>
      </w:tr>
      <w:tr w:rsidR="00844176" w:rsidRPr="004232A9" w14:paraId="78F1F3A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099B8C20" w14:textId="77777777" w:rsidR="00844176" w:rsidRPr="004232A9" w:rsidRDefault="00844176" w:rsidP="00A459E6">
            <w:pPr>
              <w:spacing w:before="100" w:beforeAutospacing="1" w:after="100" w:afterAutospacing="1"/>
              <w:rPr>
                <w:rFonts w:eastAsia="Times New Roman"/>
                <w:sz w:val="24"/>
                <w:szCs w:val="24"/>
                <w:lang w:val="lv-LV" w:eastAsia="lv-LV"/>
              </w:rPr>
            </w:pPr>
            <w:r w:rsidRPr="004232A9">
              <w:rPr>
                <w:rFonts w:eastAsia="Times New Roman"/>
                <w:color w:val="000000"/>
                <w:sz w:val="24"/>
                <w:szCs w:val="24"/>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2F5B6105" w14:textId="77777777" w:rsidR="00844176" w:rsidRPr="004232A9" w:rsidRDefault="00844176" w:rsidP="00A459E6">
            <w:pPr>
              <w:jc w:val="both"/>
              <w:rPr>
                <w:rFonts w:eastAsia="Times New Roman"/>
                <w:sz w:val="24"/>
                <w:szCs w:val="24"/>
                <w:lang w:val="lv-LV" w:eastAsia="lv-LV"/>
              </w:rPr>
            </w:pPr>
            <w:r w:rsidRPr="004232A9">
              <w:rPr>
                <w:rFonts w:eastAsia="Times New Roman"/>
                <w:sz w:val="24"/>
                <w:szCs w:val="24"/>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FA5DBE6" w14:textId="77777777" w:rsidR="00844176" w:rsidRPr="004232A9" w:rsidRDefault="00844176" w:rsidP="00A459E6">
            <w:pPr>
              <w:ind w:firstLine="720"/>
              <w:jc w:val="both"/>
              <w:rPr>
                <w:rFonts w:eastAsia="Times New Roman"/>
                <w:sz w:val="24"/>
                <w:szCs w:val="24"/>
                <w:lang w:val="lv-LV" w:eastAsia="lv-LV"/>
              </w:rPr>
            </w:pPr>
            <w:r w:rsidRPr="004232A9">
              <w:rPr>
                <w:rFonts w:eastAsia="Times New Roman"/>
                <w:sz w:val="24"/>
                <w:szCs w:val="24"/>
                <w:lang w:val="lv-LV" w:eastAsia="lv-LV"/>
              </w:rPr>
              <w:t>Nav</w:t>
            </w:r>
          </w:p>
        </w:tc>
      </w:tr>
    </w:tbl>
    <w:p w14:paraId="34A12F6A" w14:textId="77777777" w:rsidR="004E6C7D" w:rsidRPr="004232A9" w:rsidRDefault="004E6C7D" w:rsidP="00EA6CD3">
      <w:pPr>
        <w:tabs>
          <w:tab w:val="right" w:pos="9072"/>
        </w:tabs>
        <w:rPr>
          <w:sz w:val="24"/>
          <w:szCs w:val="24"/>
          <w:lang w:val="lv-LV"/>
        </w:rPr>
      </w:pPr>
    </w:p>
    <w:p w14:paraId="32F9ADDE" w14:textId="17CC22AD" w:rsidR="001650AC" w:rsidRPr="004232A9" w:rsidRDefault="001650AC" w:rsidP="001650AC">
      <w:pPr>
        <w:tabs>
          <w:tab w:val="left" w:pos="7655"/>
        </w:tabs>
        <w:jc w:val="both"/>
        <w:rPr>
          <w:sz w:val="24"/>
          <w:szCs w:val="24"/>
          <w:lang w:val="lv-LV"/>
        </w:rPr>
      </w:pPr>
      <w:r w:rsidRPr="004232A9">
        <w:rPr>
          <w:sz w:val="24"/>
          <w:szCs w:val="24"/>
          <w:lang w:val="lv-LV"/>
        </w:rPr>
        <w:t>Anotācijas III. sadaļa</w:t>
      </w:r>
      <w:r w:rsidR="00381382" w:rsidRPr="004232A9">
        <w:rPr>
          <w:sz w:val="24"/>
          <w:szCs w:val="24"/>
          <w:lang w:val="lv-LV"/>
        </w:rPr>
        <w:t xml:space="preserve"> un VI sadaļa</w:t>
      </w:r>
      <w:r w:rsidRPr="004232A9">
        <w:rPr>
          <w:sz w:val="24"/>
          <w:szCs w:val="24"/>
          <w:lang w:val="lv-LV"/>
        </w:rPr>
        <w:t xml:space="preserve"> – noteikumu projekts šo jomu neskar.</w:t>
      </w:r>
    </w:p>
    <w:p w14:paraId="77A8F9C3" w14:textId="77777777" w:rsidR="000A0059" w:rsidRPr="004232A9" w:rsidRDefault="000A0059" w:rsidP="00EA6CD3">
      <w:pPr>
        <w:tabs>
          <w:tab w:val="right" w:pos="9072"/>
        </w:tabs>
        <w:rPr>
          <w:sz w:val="24"/>
          <w:szCs w:val="24"/>
          <w:lang w:val="lv-LV"/>
        </w:rPr>
      </w:pPr>
    </w:p>
    <w:p w14:paraId="5233A7A9" w14:textId="77777777" w:rsidR="00EB184B" w:rsidRPr="004232A9" w:rsidRDefault="00EB184B" w:rsidP="00EB184B">
      <w:pPr>
        <w:jc w:val="both"/>
        <w:rPr>
          <w:sz w:val="24"/>
          <w:szCs w:val="24"/>
          <w:lang w:val="lv-LV"/>
        </w:rPr>
      </w:pPr>
      <w:r w:rsidRPr="004232A9">
        <w:rPr>
          <w:sz w:val="24"/>
          <w:szCs w:val="24"/>
          <w:lang w:val="lv-LV"/>
        </w:rPr>
        <w:t>Ministru prezidenta biedrs,</w:t>
      </w:r>
    </w:p>
    <w:p w14:paraId="22B3D324" w14:textId="7C296542" w:rsidR="00EB184B" w:rsidRPr="004232A9" w:rsidRDefault="00EB184B" w:rsidP="00EB184B">
      <w:pPr>
        <w:jc w:val="both"/>
        <w:rPr>
          <w:sz w:val="24"/>
          <w:szCs w:val="24"/>
          <w:lang w:val="lv-LV"/>
        </w:rPr>
      </w:pPr>
      <w:r w:rsidRPr="004232A9">
        <w:rPr>
          <w:sz w:val="24"/>
          <w:szCs w:val="24"/>
          <w:lang w:val="lv-LV"/>
        </w:rPr>
        <w:t>ekonomikas ministrs</w:t>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006C20C5" w:rsidRPr="004232A9">
        <w:rPr>
          <w:sz w:val="24"/>
          <w:szCs w:val="24"/>
          <w:lang w:val="lv-LV"/>
        </w:rPr>
        <w:tab/>
      </w:r>
      <w:r w:rsidRPr="004232A9">
        <w:rPr>
          <w:sz w:val="24"/>
          <w:szCs w:val="24"/>
          <w:lang w:val="lv-LV"/>
        </w:rPr>
        <w:t>A. Ašeradens</w:t>
      </w:r>
    </w:p>
    <w:p w14:paraId="67B7D043" w14:textId="77777777" w:rsidR="00EB184B" w:rsidRPr="004232A9" w:rsidRDefault="00EB184B" w:rsidP="00EB184B">
      <w:pPr>
        <w:jc w:val="both"/>
        <w:rPr>
          <w:sz w:val="24"/>
          <w:szCs w:val="24"/>
          <w:lang w:val="lv-LV"/>
        </w:rPr>
      </w:pPr>
    </w:p>
    <w:p w14:paraId="68588B83" w14:textId="77777777" w:rsidR="000A0059" w:rsidRPr="004232A9" w:rsidRDefault="00EB184B" w:rsidP="00EB184B">
      <w:pPr>
        <w:jc w:val="both"/>
        <w:rPr>
          <w:sz w:val="24"/>
          <w:szCs w:val="24"/>
          <w:lang w:val="lv-LV"/>
        </w:rPr>
      </w:pPr>
      <w:r w:rsidRPr="004232A9">
        <w:rPr>
          <w:sz w:val="24"/>
          <w:szCs w:val="24"/>
          <w:lang w:val="lv-LV"/>
        </w:rPr>
        <w:t>Vīz</w:t>
      </w:r>
      <w:bookmarkStart w:id="6" w:name="_GoBack"/>
      <w:bookmarkEnd w:id="6"/>
      <w:r w:rsidRPr="004232A9">
        <w:rPr>
          <w:sz w:val="24"/>
          <w:szCs w:val="24"/>
          <w:lang w:val="lv-LV"/>
        </w:rPr>
        <w:t>a:</w:t>
      </w:r>
    </w:p>
    <w:p w14:paraId="27B204C3" w14:textId="77777777" w:rsidR="00FB4A8C" w:rsidRPr="00FB4A8C" w:rsidRDefault="00FB4A8C" w:rsidP="00FB4A8C">
      <w:pPr>
        <w:pStyle w:val="Signature"/>
        <w:widowControl/>
        <w:spacing w:before="0"/>
        <w:ind w:firstLine="0"/>
        <w:rPr>
          <w:sz w:val="24"/>
          <w:szCs w:val="24"/>
        </w:rPr>
      </w:pPr>
      <w:r w:rsidRPr="00FB4A8C">
        <w:rPr>
          <w:sz w:val="24"/>
          <w:szCs w:val="24"/>
        </w:rPr>
        <w:t>Valsts sekretāra pienākumu izpildītāja,</w:t>
      </w:r>
    </w:p>
    <w:p w14:paraId="736D7FEF" w14:textId="3A55AE48" w:rsidR="00FB4A8C" w:rsidRPr="00FB4A8C" w:rsidRDefault="00FB4A8C" w:rsidP="00FB4A8C">
      <w:pPr>
        <w:pStyle w:val="Signature"/>
        <w:widowControl/>
        <w:spacing w:before="0"/>
        <w:ind w:firstLine="0"/>
        <w:rPr>
          <w:sz w:val="24"/>
          <w:szCs w:val="24"/>
        </w:rPr>
      </w:pPr>
      <w:r w:rsidRPr="00FB4A8C">
        <w:rPr>
          <w:sz w:val="24"/>
          <w:szCs w:val="24"/>
        </w:rPr>
        <w:t xml:space="preserve">Administrācijas vadītāja                                                                        </w:t>
      </w:r>
      <w:r>
        <w:rPr>
          <w:sz w:val="24"/>
          <w:szCs w:val="24"/>
        </w:rPr>
        <w:t xml:space="preserve">          </w:t>
      </w:r>
      <w:r w:rsidRPr="00FB4A8C">
        <w:rPr>
          <w:sz w:val="24"/>
          <w:szCs w:val="24"/>
        </w:rPr>
        <w:t xml:space="preserve">  </w:t>
      </w:r>
      <w:r w:rsidRPr="00FB4A8C">
        <w:rPr>
          <w:sz w:val="24"/>
          <w:szCs w:val="24"/>
        </w:rPr>
        <w:t>I.Jaunzeme</w:t>
      </w:r>
    </w:p>
    <w:p w14:paraId="0A456EEB" w14:textId="77777777" w:rsidR="00EB184B" w:rsidRPr="004232A9" w:rsidRDefault="00EB184B" w:rsidP="00EB184B">
      <w:pPr>
        <w:jc w:val="both"/>
        <w:rPr>
          <w:sz w:val="24"/>
          <w:szCs w:val="24"/>
          <w:lang w:val="lv-LV"/>
        </w:rPr>
      </w:pPr>
    </w:p>
    <w:p w14:paraId="33C3D8EF" w14:textId="2D54141E" w:rsidR="002A2E61" w:rsidRDefault="0001286B" w:rsidP="00EE573A">
      <w:pPr>
        <w:spacing w:after="60"/>
        <w:jc w:val="both"/>
        <w:rPr>
          <w:lang w:val="lv-LV"/>
        </w:rPr>
      </w:pPr>
      <w:r>
        <w:rPr>
          <w:lang w:val="lv-LV"/>
        </w:rPr>
        <w:fldChar w:fldCharType="begin"/>
      </w:r>
      <w:r>
        <w:rPr>
          <w:lang w:val="lv-LV"/>
        </w:rPr>
        <w:instrText xml:space="preserve"> NUMWORDS   \* MERGEFORMAT </w:instrText>
      </w:r>
      <w:r>
        <w:rPr>
          <w:lang w:val="lv-LV"/>
        </w:rPr>
        <w:fldChar w:fldCharType="separate"/>
      </w:r>
      <w:r w:rsidR="000472EA">
        <w:rPr>
          <w:noProof/>
          <w:lang w:val="lv-LV"/>
        </w:rPr>
        <w:t>2557</w:t>
      </w:r>
      <w:r>
        <w:rPr>
          <w:lang w:val="lv-LV"/>
        </w:rPr>
        <w:fldChar w:fldCharType="end"/>
      </w:r>
    </w:p>
    <w:p w14:paraId="77EA9A20" w14:textId="30754761" w:rsidR="0001286B" w:rsidRDefault="002A2E61" w:rsidP="00EE573A">
      <w:pPr>
        <w:spacing w:after="60"/>
        <w:jc w:val="both"/>
        <w:rPr>
          <w:lang w:val="lv-LV"/>
        </w:rPr>
      </w:pPr>
      <w:r>
        <w:rPr>
          <w:lang w:val="lv-LV"/>
        </w:rPr>
        <w:t>67013298</w:t>
      </w:r>
      <w:r w:rsidR="00E17864" w:rsidRPr="004232A9">
        <w:rPr>
          <w:lang w:val="lv-LV"/>
        </w:rPr>
        <w:t xml:space="preserve">, </w:t>
      </w:r>
      <w:r w:rsidR="0001286B">
        <w:rPr>
          <w:lang w:val="lv-LV"/>
        </w:rPr>
        <w:fldChar w:fldCharType="begin"/>
      </w:r>
      <w:r w:rsidR="0001286B">
        <w:rPr>
          <w:lang w:val="lv-LV"/>
        </w:rPr>
        <w:instrText xml:space="preserve"> USERNAME   \* MERGEFORMAT </w:instrText>
      </w:r>
      <w:r w:rsidR="0001286B">
        <w:rPr>
          <w:lang w:val="lv-LV"/>
        </w:rPr>
        <w:fldChar w:fldCharType="separate"/>
      </w:r>
      <w:r>
        <w:rPr>
          <w:noProof/>
          <w:lang w:val="lv-LV"/>
        </w:rPr>
        <w:t>Signe Tuklere</w:t>
      </w:r>
      <w:r w:rsidR="0001286B">
        <w:rPr>
          <w:lang w:val="lv-LV"/>
        </w:rPr>
        <w:fldChar w:fldCharType="end"/>
      </w:r>
    </w:p>
    <w:p w14:paraId="46C3419F" w14:textId="709CFC35" w:rsidR="00E57209" w:rsidRPr="00EE573A" w:rsidRDefault="0001286B" w:rsidP="00EE573A">
      <w:pPr>
        <w:spacing w:after="60"/>
        <w:jc w:val="both"/>
        <w:rPr>
          <w:lang w:val="lv-LV"/>
        </w:rPr>
      </w:pPr>
      <w:r>
        <w:fldChar w:fldCharType="begin"/>
      </w:r>
      <w:r>
        <w:instrText xml:space="preserve"> USERADDRESS   \* MERGEFORMAT </w:instrText>
      </w:r>
      <w:r>
        <w:fldChar w:fldCharType="end"/>
      </w:r>
      <w:r>
        <w:t>Signe.Tuklere@em.gov.lv</w:t>
      </w:r>
    </w:p>
    <w:sectPr w:rsidR="00E57209" w:rsidRPr="00EE573A" w:rsidSect="000472EA">
      <w:headerReference w:type="default" r:id="rId10"/>
      <w:footerReference w:type="default" r:id="rId11"/>
      <w:footerReference w:type="first" r:id="rId12"/>
      <w:endnotePr>
        <w:numFmt w:val="decimal"/>
      </w:endnotePr>
      <w:type w:val="continuous"/>
      <w:pgSz w:w="11906" w:h="16838"/>
      <w:pgMar w:top="1411" w:right="1008" w:bottom="1138"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C9863" w14:textId="77777777" w:rsidR="00A459E6" w:rsidRDefault="00A459E6" w:rsidP="006B2FEF">
      <w:r>
        <w:separator/>
      </w:r>
    </w:p>
  </w:endnote>
  <w:endnote w:type="continuationSeparator" w:id="0">
    <w:p w14:paraId="18B62880" w14:textId="77777777" w:rsidR="00A459E6" w:rsidRDefault="00A459E6"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2588" w14:textId="554DD258" w:rsidR="00E37F50" w:rsidRDefault="005A5AE7" w:rsidP="00E37F50">
    <w:pPr>
      <w:pStyle w:val="Footer"/>
      <w:jc w:val="both"/>
    </w:pPr>
    <w:r>
      <w:rPr>
        <w:lang w:val="lv-LV"/>
      </w:rPr>
      <w:fldChar w:fldCharType="begin"/>
    </w:r>
    <w:r>
      <w:rPr>
        <w:lang w:val="lv-LV"/>
      </w:rPr>
      <w:instrText xml:space="preserve"> FILENAME   \* MERGEFORMAT </w:instrText>
    </w:r>
    <w:r>
      <w:rPr>
        <w:lang w:val="lv-LV"/>
      </w:rPr>
      <w:fldChar w:fldCharType="separate"/>
    </w:r>
    <w:r w:rsidR="00685E59">
      <w:rPr>
        <w:noProof/>
        <w:lang w:val="lv-LV"/>
      </w:rPr>
      <w:t>EMAnot_10</w:t>
    </w:r>
    <w:r w:rsidR="00AB7503">
      <w:rPr>
        <w:noProof/>
        <w:lang w:val="lv-LV"/>
      </w:rPr>
      <w:t>0717_groz469.docx</w:t>
    </w:r>
    <w:r>
      <w:rPr>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70E9" w14:textId="6AE6F27F" w:rsidR="003B7B62" w:rsidRDefault="00D642DE" w:rsidP="003B7B62">
    <w:pPr>
      <w:pStyle w:val="Footer"/>
      <w:jc w:val="both"/>
    </w:pPr>
    <w:r>
      <w:fldChar w:fldCharType="begin"/>
    </w:r>
    <w:r>
      <w:instrText xml:space="preserve"> FILENAME   \* MERGEFORMAT </w:instrText>
    </w:r>
    <w:r>
      <w:fldChar w:fldCharType="separate"/>
    </w:r>
    <w:r w:rsidR="00685E59">
      <w:rPr>
        <w:noProof/>
      </w:rPr>
      <w:t>EMAnot_10</w:t>
    </w:r>
    <w:r w:rsidR="00AB7503">
      <w:rPr>
        <w:noProof/>
      </w:rPr>
      <w:t>0717_groz469.docx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F156" w14:textId="77777777" w:rsidR="00A459E6" w:rsidRDefault="00A459E6" w:rsidP="006B2FEF">
      <w:r>
        <w:separator/>
      </w:r>
    </w:p>
  </w:footnote>
  <w:footnote w:type="continuationSeparator" w:id="0">
    <w:p w14:paraId="11991667" w14:textId="77777777" w:rsidR="00A459E6" w:rsidRDefault="00A459E6"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5B9CF147" w14:textId="05ADDD39"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D642DE">
          <w:rPr>
            <w:noProof/>
            <w:sz w:val="24"/>
            <w:szCs w:val="24"/>
          </w:rPr>
          <w:t>8</w:t>
        </w:r>
        <w:r w:rsidRPr="00B014C2">
          <w:rPr>
            <w:sz w:val="24"/>
            <w:szCs w:val="24"/>
          </w:rPr>
          <w:fldChar w:fldCharType="end"/>
        </w:r>
      </w:p>
    </w:sdtContent>
  </w:sdt>
  <w:p w14:paraId="2EE12AED" w14:textId="77777777" w:rsidR="00C2517F" w:rsidRDefault="00C2517F">
    <w:pPr>
      <w:pStyle w:val="Header"/>
    </w:pPr>
  </w:p>
  <w:p w14:paraId="598329DB" w14:textId="77777777" w:rsidR="00290EE2" w:rsidRDefault="00290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61A"/>
    <w:multiLevelType w:val="hybridMultilevel"/>
    <w:tmpl w:val="E90AB3D0"/>
    <w:lvl w:ilvl="0" w:tplc="69484720">
      <w:start w:val="5"/>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3"/>
  </w:num>
  <w:num w:numId="3">
    <w:abstractNumId w:val="9"/>
  </w:num>
  <w:num w:numId="4">
    <w:abstractNumId w:val="4"/>
  </w:num>
  <w:num w:numId="5">
    <w:abstractNumId w:val="6"/>
  </w:num>
  <w:num w:numId="6">
    <w:abstractNumId w:val="3"/>
  </w:num>
  <w:num w:numId="7">
    <w:abstractNumId w:val="8"/>
  </w:num>
  <w:num w:numId="8">
    <w:abstractNumId w:val="14"/>
  </w:num>
  <w:num w:numId="9">
    <w:abstractNumId w:val="10"/>
  </w:num>
  <w:num w:numId="10">
    <w:abstractNumId w:val="0"/>
  </w:num>
  <w:num w:numId="11">
    <w:abstractNumId w:val="1"/>
  </w:num>
  <w:num w:numId="12">
    <w:abstractNumId w:val="7"/>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removePersonalInformation/>
  <w:removeDateAndTime/>
  <w:hideSpellingErrors/>
  <w:hideGrammaticalErrors/>
  <w:revisionView w:markup="0"/>
  <w:defaultTabStop w:val="720"/>
  <w:doNotShadeFormData/>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8A9"/>
    <w:rsid w:val="000058AA"/>
    <w:rsid w:val="0001048C"/>
    <w:rsid w:val="0001286B"/>
    <w:rsid w:val="00013B61"/>
    <w:rsid w:val="0002003C"/>
    <w:rsid w:val="0002596F"/>
    <w:rsid w:val="00026F18"/>
    <w:rsid w:val="0003245D"/>
    <w:rsid w:val="0003265E"/>
    <w:rsid w:val="000430AC"/>
    <w:rsid w:val="00044743"/>
    <w:rsid w:val="00047095"/>
    <w:rsid w:val="000472EA"/>
    <w:rsid w:val="000527A4"/>
    <w:rsid w:val="000678CD"/>
    <w:rsid w:val="00070F56"/>
    <w:rsid w:val="00071082"/>
    <w:rsid w:val="00072B02"/>
    <w:rsid w:val="0007330D"/>
    <w:rsid w:val="00074090"/>
    <w:rsid w:val="000773A5"/>
    <w:rsid w:val="0008002B"/>
    <w:rsid w:val="00080352"/>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492B"/>
    <w:rsid w:val="000C33C1"/>
    <w:rsid w:val="000C4418"/>
    <w:rsid w:val="000C7FCE"/>
    <w:rsid w:val="000D3D56"/>
    <w:rsid w:val="000D43D9"/>
    <w:rsid w:val="000D74B9"/>
    <w:rsid w:val="000E257B"/>
    <w:rsid w:val="000E2AD8"/>
    <w:rsid w:val="000E53C3"/>
    <w:rsid w:val="000E5DD2"/>
    <w:rsid w:val="000E68EC"/>
    <w:rsid w:val="000F0A62"/>
    <w:rsid w:val="000F4230"/>
    <w:rsid w:val="00102922"/>
    <w:rsid w:val="00102B1D"/>
    <w:rsid w:val="0011154E"/>
    <w:rsid w:val="0011606F"/>
    <w:rsid w:val="0012624C"/>
    <w:rsid w:val="00135F4C"/>
    <w:rsid w:val="00137388"/>
    <w:rsid w:val="00143BB6"/>
    <w:rsid w:val="00145366"/>
    <w:rsid w:val="00146697"/>
    <w:rsid w:val="00151BBD"/>
    <w:rsid w:val="00152387"/>
    <w:rsid w:val="00161BA7"/>
    <w:rsid w:val="001650AC"/>
    <w:rsid w:val="001655DD"/>
    <w:rsid w:val="00165747"/>
    <w:rsid w:val="0016668A"/>
    <w:rsid w:val="00166A8B"/>
    <w:rsid w:val="00172082"/>
    <w:rsid w:val="00177882"/>
    <w:rsid w:val="00177C69"/>
    <w:rsid w:val="00180E2B"/>
    <w:rsid w:val="00183B65"/>
    <w:rsid w:val="00186A4D"/>
    <w:rsid w:val="00187140"/>
    <w:rsid w:val="001935C8"/>
    <w:rsid w:val="001946C8"/>
    <w:rsid w:val="00195D43"/>
    <w:rsid w:val="001A1368"/>
    <w:rsid w:val="001A3ED2"/>
    <w:rsid w:val="001A7C3A"/>
    <w:rsid w:val="001B7454"/>
    <w:rsid w:val="001C0801"/>
    <w:rsid w:val="001C1B72"/>
    <w:rsid w:val="001C2832"/>
    <w:rsid w:val="001C4ED0"/>
    <w:rsid w:val="001C5ED6"/>
    <w:rsid w:val="001C6208"/>
    <w:rsid w:val="001C68A2"/>
    <w:rsid w:val="001D0800"/>
    <w:rsid w:val="001D2C0E"/>
    <w:rsid w:val="001D3167"/>
    <w:rsid w:val="001D7397"/>
    <w:rsid w:val="001D7DC1"/>
    <w:rsid w:val="001E1B0F"/>
    <w:rsid w:val="001E3588"/>
    <w:rsid w:val="001E4C2F"/>
    <w:rsid w:val="001E5FBC"/>
    <w:rsid w:val="001F0219"/>
    <w:rsid w:val="001F2BA2"/>
    <w:rsid w:val="001F469B"/>
    <w:rsid w:val="001F7086"/>
    <w:rsid w:val="001F7AAD"/>
    <w:rsid w:val="00200E7D"/>
    <w:rsid w:val="0020468C"/>
    <w:rsid w:val="002107BF"/>
    <w:rsid w:val="00211315"/>
    <w:rsid w:val="00215C6A"/>
    <w:rsid w:val="00217F5B"/>
    <w:rsid w:val="00220185"/>
    <w:rsid w:val="00224E84"/>
    <w:rsid w:val="002267E7"/>
    <w:rsid w:val="00237878"/>
    <w:rsid w:val="002438ED"/>
    <w:rsid w:val="00244A9E"/>
    <w:rsid w:val="00250127"/>
    <w:rsid w:val="0025023B"/>
    <w:rsid w:val="002525BF"/>
    <w:rsid w:val="00254901"/>
    <w:rsid w:val="00255BAC"/>
    <w:rsid w:val="002601C7"/>
    <w:rsid w:val="00261B97"/>
    <w:rsid w:val="00263FD2"/>
    <w:rsid w:val="002651EA"/>
    <w:rsid w:val="0027369F"/>
    <w:rsid w:val="00273700"/>
    <w:rsid w:val="00273B21"/>
    <w:rsid w:val="00290EE2"/>
    <w:rsid w:val="00292062"/>
    <w:rsid w:val="002957B7"/>
    <w:rsid w:val="002A0435"/>
    <w:rsid w:val="002A0BC1"/>
    <w:rsid w:val="002A166A"/>
    <w:rsid w:val="002A2E61"/>
    <w:rsid w:val="002A3EC2"/>
    <w:rsid w:val="002A6400"/>
    <w:rsid w:val="002B3EAE"/>
    <w:rsid w:val="002B407B"/>
    <w:rsid w:val="002B4900"/>
    <w:rsid w:val="002B6364"/>
    <w:rsid w:val="002B7F82"/>
    <w:rsid w:val="002C15A0"/>
    <w:rsid w:val="002C22CF"/>
    <w:rsid w:val="002C3E51"/>
    <w:rsid w:val="002C504B"/>
    <w:rsid w:val="002D6A10"/>
    <w:rsid w:val="002D6BDB"/>
    <w:rsid w:val="002E024D"/>
    <w:rsid w:val="002E1075"/>
    <w:rsid w:val="002E678E"/>
    <w:rsid w:val="002E708A"/>
    <w:rsid w:val="002E7A48"/>
    <w:rsid w:val="002F06CE"/>
    <w:rsid w:val="002F5587"/>
    <w:rsid w:val="002F5700"/>
    <w:rsid w:val="002F741D"/>
    <w:rsid w:val="00300B84"/>
    <w:rsid w:val="00301A6D"/>
    <w:rsid w:val="0030247A"/>
    <w:rsid w:val="00303955"/>
    <w:rsid w:val="00304810"/>
    <w:rsid w:val="003061FB"/>
    <w:rsid w:val="00306270"/>
    <w:rsid w:val="0031259B"/>
    <w:rsid w:val="003176D3"/>
    <w:rsid w:val="003228DE"/>
    <w:rsid w:val="00326096"/>
    <w:rsid w:val="003334FB"/>
    <w:rsid w:val="0033779C"/>
    <w:rsid w:val="00337AC6"/>
    <w:rsid w:val="003406E7"/>
    <w:rsid w:val="0034476B"/>
    <w:rsid w:val="00346CE0"/>
    <w:rsid w:val="00354ABE"/>
    <w:rsid w:val="00366AFE"/>
    <w:rsid w:val="00367B98"/>
    <w:rsid w:val="00374F73"/>
    <w:rsid w:val="00375F30"/>
    <w:rsid w:val="00376F09"/>
    <w:rsid w:val="00380AC5"/>
    <w:rsid w:val="00381382"/>
    <w:rsid w:val="003814A5"/>
    <w:rsid w:val="00381905"/>
    <w:rsid w:val="00381B26"/>
    <w:rsid w:val="00385772"/>
    <w:rsid w:val="00387734"/>
    <w:rsid w:val="0039139B"/>
    <w:rsid w:val="003913FB"/>
    <w:rsid w:val="00392998"/>
    <w:rsid w:val="00395460"/>
    <w:rsid w:val="00396152"/>
    <w:rsid w:val="00397D0E"/>
    <w:rsid w:val="003A1D77"/>
    <w:rsid w:val="003A24AD"/>
    <w:rsid w:val="003A40AD"/>
    <w:rsid w:val="003A6A32"/>
    <w:rsid w:val="003A6D12"/>
    <w:rsid w:val="003B1693"/>
    <w:rsid w:val="003B32EC"/>
    <w:rsid w:val="003B5E55"/>
    <w:rsid w:val="003B5F6A"/>
    <w:rsid w:val="003B63BE"/>
    <w:rsid w:val="003B7B62"/>
    <w:rsid w:val="003C072B"/>
    <w:rsid w:val="003C3D3D"/>
    <w:rsid w:val="003D1A86"/>
    <w:rsid w:val="003D7F0B"/>
    <w:rsid w:val="003E171B"/>
    <w:rsid w:val="003E4132"/>
    <w:rsid w:val="003E58C7"/>
    <w:rsid w:val="003E5A6D"/>
    <w:rsid w:val="003E5D7B"/>
    <w:rsid w:val="003E637A"/>
    <w:rsid w:val="003F2B20"/>
    <w:rsid w:val="003F2C34"/>
    <w:rsid w:val="003F30FC"/>
    <w:rsid w:val="003F45CD"/>
    <w:rsid w:val="003F7C94"/>
    <w:rsid w:val="0040104F"/>
    <w:rsid w:val="00401397"/>
    <w:rsid w:val="004038BC"/>
    <w:rsid w:val="00406AE2"/>
    <w:rsid w:val="0041036A"/>
    <w:rsid w:val="004118CF"/>
    <w:rsid w:val="0041316A"/>
    <w:rsid w:val="004158F6"/>
    <w:rsid w:val="00415A66"/>
    <w:rsid w:val="00416A31"/>
    <w:rsid w:val="00417136"/>
    <w:rsid w:val="004232A9"/>
    <w:rsid w:val="00423B46"/>
    <w:rsid w:val="00425AA9"/>
    <w:rsid w:val="00426250"/>
    <w:rsid w:val="00426A69"/>
    <w:rsid w:val="00426B77"/>
    <w:rsid w:val="00431019"/>
    <w:rsid w:val="00433EC2"/>
    <w:rsid w:val="004352F7"/>
    <w:rsid w:val="0043554A"/>
    <w:rsid w:val="004362D3"/>
    <w:rsid w:val="00442A8B"/>
    <w:rsid w:val="00442D1E"/>
    <w:rsid w:val="00443016"/>
    <w:rsid w:val="00443194"/>
    <w:rsid w:val="00445945"/>
    <w:rsid w:val="00450D9C"/>
    <w:rsid w:val="00452140"/>
    <w:rsid w:val="00453BB3"/>
    <w:rsid w:val="004619FE"/>
    <w:rsid w:val="00463574"/>
    <w:rsid w:val="004666F3"/>
    <w:rsid w:val="00467343"/>
    <w:rsid w:val="0047031A"/>
    <w:rsid w:val="00481C20"/>
    <w:rsid w:val="00483B86"/>
    <w:rsid w:val="00485293"/>
    <w:rsid w:val="00485E47"/>
    <w:rsid w:val="00490499"/>
    <w:rsid w:val="00497AB8"/>
    <w:rsid w:val="004A5EEF"/>
    <w:rsid w:val="004B0B1D"/>
    <w:rsid w:val="004C0738"/>
    <w:rsid w:val="004C0FE6"/>
    <w:rsid w:val="004C20F1"/>
    <w:rsid w:val="004C253C"/>
    <w:rsid w:val="004C2CD6"/>
    <w:rsid w:val="004C2FC4"/>
    <w:rsid w:val="004D232B"/>
    <w:rsid w:val="004D3ABB"/>
    <w:rsid w:val="004E322D"/>
    <w:rsid w:val="004E5D38"/>
    <w:rsid w:val="004E603B"/>
    <w:rsid w:val="004E6C7D"/>
    <w:rsid w:val="0050230D"/>
    <w:rsid w:val="0050364D"/>
    <w:rsid w:val="005116FB"/>
    <w:rsid w:val="00515D44"/>
    <w:rsid w:val="00531AFF"/>
    <w:rsid w:val="00534305"/>
    <w:rsid w:val="00537FF8"/>
    <w:rsid w:val="005464E6"/>
    <w:rsid w:val="00546938"/>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90033"/>
    <w:rsid w:val="00591838"/>
    <w:rsid w:val="00592809"/>
    <w:rsid w:val="00593343"/>
    <w:rsid w:val="00594A83"/>
    <w:rsid w:val="005A4807"/>
    <w:rsid w:val="005A5A80"/>
    <w:rsid w:val="005A5AE7"/>
    <w:rsid w:val="005B29EF"/>
    <w:rsid w:val="005B2DA5"/>
    <w:rsid w:val="005B476F"/>
    <w:rsid w:val="005B6095"/>
    <w:rsid w:val="005B65B8"/>
    <w:rsid w:val="005B6A0D"/>
    <w:rsid w:val="005C04E5"/>
    <w:rsid w:val="005C3D03"/>
    <w:rsid w:val="005C51FA"/>
    <w:rsid w:val="005C5413"/>
    <w:rsid w:val="005C63C7"/>
    <w:rsid w:val="005C6B2C"/>
    <w:rsid w:val="005D06E8"/>
    <w:rsid w:val="005D1195"/>
    <w:rsid w:val="005D688E"/>
    <w:rsid w:val="005E1192"/>
    <w:rsid w:val="005E4164"/>
    <w:rsid w:val="005F3FC6"/>
    <w:rsid w:val="005F75C4"/>
    <w:rsid w:val="0060393A"/>
    <w:rsid w:val="00611ADA"/>
    <w:rsid w:val="00611E18"/>
    <w:rsid w:val="00611FC0"/>
    <w:rsid w:val="00613A4A"/>
    <w:rsid w:val="00614157"/>
    <w:rsid w:val="006146CA"/>
    <w:rsid w:val="00614ECD"/>
    <w:rsid w:val="006231D7"/>
    <w:rsid w:val="00626031"/>
    <w:rsid w:val="00630C6C"/>
    <w:rsid w:val="00630ED2"/>
    <w:rsid w:val="00631935"/>
    <w:rsid w:val="00636B91"/>
    <w:rsid w:val="006373FF"/>
    <w:rsid w:val="00640665"/>
    <w:rsid w:val="00646A6F"/>
    <w:rsid w:val="006529FC"/>
    <w:rsid w:val="00653397"/>
    <w:rsid w:val="0065438E"/>
    <w:rsid w:val="006553CD"/>
    <w:rsid w:val="006559F5"/>
    <w:rsid w:val="00661782"/>
    <w:rsid w:val="00662C11"/>
    <w:rsid w:val="00666A01"/>
    <w:rsid w:val="00670249"/>
    <w:rsid w:val="00672822"/>
    <w:rsid w:val="006729D2"/>
    <w:rsid w:val="00673BC6"/>
    <w:rsid w:val="006775B3"/>
    <w:rsid w:val="00684808"/>
    <w:rsid w:val="00685E59"/>
    <w:rsid w:val="006876CB"/>
    <w:rsid w:val="006B2D92"/>
    <w:rsid w:val="006B2FEF"/>
    <w:rsid w:val="006B6581"/>
    <w:rsid w:val="006B6D6C"/>
    <w:rsid w:val="006C20C5"/>
    <w:rsid w:val="006C5ECD"/>
    <w:rsid w:val="006D1520"/>
    <w:rsid w:val="006D2482"/>
    <w:rsid w:val="006D2F0C"/>
    <w:rsid w:val="006D3604"/>
    <w:rsid w:val="006E2082"/>
    <w:rsid w:val="006E67BA"/>
    <w:rsid w:val="006F2362"/>
    <w:rsid w:val="006F47EB"/>
    <w:rsid w:val="006F4DE9"/>
    <w:rsid w:val="006F61D4"/>
    <w:rsid w:val="006F71C2"/>
    <w:rsid w:val="00700AC3"/>
    <w:rsid w:val="00700E68"/>
    <w:rsid w:val="00701065"/>
    <w:rsid w:val="0070175E"/>
    <w:rsid w:val="00703DC5"/>
    <w:rsid w:val="007040F2"/>
    <w:rsid w:val="007153C5"/>
    <w:rsid w:val="007161D3"/>
    <w:rsid w:val="00722D55"/>
    <w:rsid w:val="00723991"/>
    <w:rsid w:val="007262F0"/>
    <w:rsid w:val="00731BE9"/>
    <w:rsid w:val="00731E2B"/>
    <w:rsid w:val="007420D7"/>
    <w:rsid w:val="00752DBC"/>
    <w:rsid w:val="00753FF4"/>
    <w:rsid w:val="0075411D"/>
    <w:rsid w:val="00756F8A"/>
    <w:rsid w:val="00757367"/>
    <w:rsid w:val="00760295"/>
    <w:rsid w:val="00762675"/>
    <w:rsid w:val="00762FC8"/>
    <w:rsid w:val="00765825"/>
    <w:rsid w:val="007700D3"/>
    <w:rsid w:val="0077131C"/>
    <w:rsid w:val="0077138B"/>
    <w:rsid w:val="0077534E"/>
    <w:rsid w:val="0078045E"/>
    <w:rsid w:val="00780B70"/>
    <w:rsid w:val="00782847"/>
    <w:rsid w:val="00783777"/>
    <w:rsid w:val="00783D20"/>
    <w:rsid w:val="007862D0"/>
    <w:rsid w:val="0079247D"/>
    <w:rsid w:val="00794F2D"/>
    <w:rsid w:val="0079516D"/>
    <w:rsid w:val="007954D3"/>
    <w:rsid w:val="0079636E"/>
    <w:rsid w:val="00797AAD"/>
    <w:rsid w:val="007A2F02"/>
    <w:rsid w:val="007A5127"/>
    <w:rsid w:val="007A5C51"/>
    <w:rsid w:val="007B41D7"/>
    <w:rsid w:val="007C1A7D"/>
    <w:rsid w:val="007C4094"/>
    <w:rsid w:val="007D50AE"/>
    <w:rsid w:val="007E107E"/>
    <w:rsid w:val="007E1EA6"/>
    <w:rsid w:val="007E2FDE"/>
    <w:rsid w:val="007E4C1F"/>
    <w:rsid w:val="007E6943"/>
    <w:rsid w:val="007F0204"/>
    <w:rsid w:val="007F5C3C"/>
    <w:rsid w:val="007F5C58"/>
    <w:rsid w:val="00807142"/>
    <w:rsid w:val="008074E3"/>
    <w:rsid w:val="00807802"/>
    <w:rsid w:val="0080799C"/>
    <w:rsid w:val="00810C18"/>
    <w:rsid w:val="00814421"/>
    <w:rsid w:val="00814AFC"/>
    <w:rsid w:val="0082350A"/>
    <w:rsid w:val="00831A5D"/>
    <w:rsid w:val="00831DB4"/>
    <w:rsid w:val="008365EC"/>
    <w:rsid w:val="00837390"/>
    <w:rsid w:val="00844176"/>
    <w:rsid w:val="008503CA"/>
    <w:rsid w:val="0085318D"/>
    <w:rsid w:val="008565FB"/>
    <w:rsid w:val="00871516"/>
    <w:rsid w:val="008764DD"/>
    <w:rsid w:val="00877499"/>
    <w:rsid w:val="008841EB"/>
    <w:rsid w:val="0088562C"/>
    <w:rsid w:val="00891C00"/>
    <w:rsid w:val="00895E41"/>
    <w:rsid w:val="0089734D"/>
    <w:rsid w:val="008A0A32"/>
    <w:rsid w:val="008A7CC5"/>
    <w:rsid w:val="008B206C"/>
    <w:rsid w:val="008B56DF"/>
    <w:rsid w:val="008B5EFB"/>
    <w:rsid w:val="008C7959"/>
    <w:rsid w:val="008D4F09"/>
    <w:rsid w:val="008D51A3"/>
    <w:rsid w:val="008D65D5"/>
    <w:rsid w:val="008D75EB"/>
    <w:rsid w:val="008D7F23"/>
    <w:rsid w:val="008E1F57"/>
    <w:rsid w:val="008E751B"/>
    <w:rsid w:val="008F2317"/>
    <w:rsid w:val="00900C33"/>
    <w:rsid w:val="009034C7"/>
    <w:rsid w:val="00904C91"/>
    <w:rsid w:val="009165D6"/>
    <w:rsid w:val="00917D6F"/>
    <w:rsid w:val="00921504"/>
    <w:rsid w:val="00922352"/>
    <w:rsid w:val="009244A6"/>
    <w:rsid w:val="0092710C"/>
    <w:rsid w:val="0093112B"/>
    <w:rsid w:val="00942D63"/>
    <w:rsid w:val="009455DB"/>
    <w:rsid w:val="0094734C"/>
    <w:rsid w:val="00954428"/>
    <w:rsid w:val="00954541"/>
    <w:rsid w:val="00954C0F"/>
    <w:rsid w:val="00955548"/>
    <w:rsid w:val="00956218"/>
    <w:rsid w:val="00956C4B"/>
    <w:rsid w:val="00957122"/>
    <w:rsid w:val="00957E64"/>
    <w:rsid w:val="00961605"/>
    <w:rsid w:val="00963C88"/>
    <w:rsid w:val="00966814"/>
    <w:rsid w:val="00970D58"/>
    <w:rsid w:val="009A692C"/>
    <w:rsid w:val="009A7E10"/>
    <w:rsid w:val="009B1CEB"/>
    <w:rsid w:val="009B2576"/>
    <w:rsid w:val="009B3AE3"/>
    <w:rsid w:val="009B584C"/>
    <w:rsid w:val="009B6613"/>
    <w:rsid w:val="009B7000"/>
    <w:rsid w:val="009B75D4"/>
    <w:rsid w:val="009C061A"/>
    <w:rsid w:val="009C108E"/>
    <w:rsid w:val="009C228A"/>
    <w:rsid w:val="009C2E2D"/>
    <w:rsid w:val="009C7F6E"/>
    <w:rsid w:val="009D0A96"/>
    <w:rsid w:val="009D26B6"/>
    <w:rsid w:val="009D43B2"/>
    <w:rsid w:val="009E5C84"/>
    <w:rsid w:val="009F0FC9"/>
    <w:rsid w:val="009F1A7E"/>
    <w:rsid w:val="00A03E32"/>
    <w:rsid w:val="00A13FC8"/>
    <w:rsid w:val="00A14369"/>
    <w:rsid w:val="00A2067E"/>
    <w:rsid w:val="00A229AC"/>
    <w:rsid w:val="00A23E8B"/>
    <w:rsid w:val="00A25225"/>
    <w:rsid w:val="00A26676"/>
    <w:rsid w:val="00A267B2"/>
    <w:rsid w:val="00A27A02"/>
    <w:rsid w:val="00A30DAB"/>
    <w:rsid w:val="00A32A3F"/>
    <w:rsid w:val="00A337C5"/>
    <w:rsid w:val="00A33B10"/>
    <w:rsid w:val="00A34EAB"/>
    <w:rsid w:val="00A37CD5"/>
    <w:rsid w:val="00A459E6"/>
    <w:rsid w:val="00A468F1"/>
    <w:rsid w:val="00A562DC"/>
    <w:rsid w:val="00A56E9B"/>
    <w:rsid w:val="00A66F1F"/>
    <w:rsid w:val="00A73448"/>
    <w:rsid w:val="00A849DF"/>
    <w:rsid w:val="00A86F1C"/>
    <w:rsid w:val="00A9174A"/>
    <w:rsid w:val="00A969CC"/>
    <w:rsid w:val="00A96C8D"/>
    <w:rsid w:val="00A9708B"/>
    <w:rsid w:val="00AB3EB4"/>
    <w:rsid w:val="00AB6AE8"/>
    <w:rsid w:val="00AB7503"/>
    <w:rsid w:val="00AC24BD"/>
    <w:rsid w:val="00AD5C75"/>
    <w:rsid w:val="00AD64FB"/>
    <w:rsid w:val="00AD6AEF"/>
    <w:rsid w:val="00AE0055"/>
    <w:rsid w:val="00AE091D"/>
    <w:rsid w:val="00AE5675"/>
    <w:rsid w:val="00AE57EC"/>
    <w:rsid w:val="00AF254A"/>
    <w:rsid w:val="00AF36C9"/>
    <w:rsid w:val="00AF5DF5"/>
    <w:rsid w:val="00B10B94"/>
    <w:rsid w:val="00B111A5"/>
    <w:rsid w:val="00B11FB8"/>
    <w:rsid w:val="00B13379"/>
    <w:rsid w:val="00B13C6F"/>
    <w:rsid w:val="00B14D75"/>
    <w:rsid w:val="00B15DBA"/>
    <w:rsid w:val="00B2297A"/>
    <w:rsid w:val="00B230F6"/>
    <w:rsid w:val="00B300C7"/>
    <w:rsid w:val="00B32793"/>
    <w:rsid w:val="00B4164D"/>
    <w:rsid w:val="00B450C4"/>
    <w:rsid w:val="00B457C4"/>
    <w:rsid w:val="00B462F7"/>
    <w:rsid w:val="00B4697F"/>
    <w:rsid w:val="00B46A16"/>
    <w:rsid w:val="00B51427"/>
    <w:rsid w:val="00B5564B"/>
    <w:rsid w:val="00B55A30"/>
    <w:rsid w:val="00B618A9"/>
    <w:rsid w:val="00B652FE"/>
    <w:rsid w:val="00B65CF6"/>
    <w:rsid w:val="00B700CC"/>
    <w:rsid w:val="00B74B38"/>
    <w:rsid w:val="00B77E56"/>
    <w:rsid w:val="00B80371"/>
    <w:rsid w:val="00B837AE"/>
    <w:rsid w:val="00B868AD"/>
    <w:rsid w:val="00B9742D"/>
    <w:rsid w:val="00BB0BAA"/>
    <w:rsid w:val="00BB1EA2"/>
    <w:rsid w:val="00BB4E62"/>
    <w:rsid w:val="00BC608E"/>
    <w:rsid w:val="00BC69DC"/>
    <w:rsid w:val="00BC7045"/>
    <w:rsid w:val="00BD20AE"/>
    <w:rsid w:val="00BD2AD6"/>
    <w:rsid w:val="00BD7AE1"/>
    <w:rsid w:val="00BE1471"/>
    <w:rsid w:val="00BE15E4"/>
    <w:rsid w:val="00BF15B9"/>
    <w:rsid w:val="00BF7D60"/>
    <w:rsid w:val="00C0447C"/>
    <w:rsid w:val="00C04CAF"/>
    <w:rsid w:val="00C050AF"/>
    <w:rsid w:val="00C05EF2"/>
    <w:rsid w:val="00C12263"/>
    <w:rsid w:val="00C12CF8"/>
    <w:rsid w:val="00C220E6"/>
    <w:rsid w:val="00C23427"/>
    <w:rsid w:val="00C23F73"/>
    <w:rsid w:val="00C25016"/>
    <w:rsid w:val="00C2517F"/>
    <w:rsid w:val="00C26333"/>
    <w:rsid w:val="00C264E6"/>
    <w:rsid w:val="00C26E37"/>
    <w:rsid w:val="00C32C97"/>
    <w:rsid w:val="00C35A54"/>
    <w:rsid w:val="00C416DB"/>
    <w:rsid w:val="00C423B7"/>
    <w:rsid w:val="00C42887"/>
    <w:rsid w:val="00C42ACD"/>
    <w:rsid w:val="00C446A5"/>
    <w:rsid w:val="00C52004"/>
    <w:rsid w:val="00C65AAE"/>
    <w:rsid w:val="00C66A4D"/>
    <w:rsid w:val="00C7141D"/>
    <w:rsid w:val="00C72945"/>
    <w:rsid w:val="00C77C68"/>
    <w:rsid w:val="00C85115"/>
    <w:rsid w:val="00C86896"/>
    <w:rsid w:val="00C86AE5"/>
    <w:rsid w:val="00C95656"/>
    <w:rsid w:val="00CA082C"/>
    <w:rsid w:val="00CA0BCB"/>
    <w:rsid w:val="00CA373F"/>
    <w:rsid w:val="00CB2A80"/>
    <w:rsid w:val="00CB5A26"/>
    <w:rsid w:val="00CB6AC4"/>
    <w:rsid w:val="00CD1C12"/>
    <w:rsid w:val="00CE1DD6"/>
    <w:rsid w:val="00CE35E1"/>
    <w:rsid w:val="00CE5541"/>
    <w:rsid w:val="00CE6A30"/>
    <w:rsid w:val="00CF4607"/>
    <w:rsid w:val="00CF747C"/>
    <w:rsid w:val="00D00576"/>
    <w:rsid w:val="00D0207F"/>
    <w:rsid w:val="00D04299"/>
    <w:rsid w:val="00D05A7A"/>
    <w:rsid w:val="00D12B80"/>
    <w:rsid w:val="00D13BD0"/>
    <w:rsid w:val="00D13D6F"/>
    <w:rsid w:val="00D15E1F"/>
    <w:rsid w:val="00D165F4"/>
    <w:rsid w:val="00D20CC5"/>
    <w:rsid w:val="00D217AC"/>
    <w:rsid w:val="00D31BE1"/>
    <w:rsid w:val="00D3493F"/>
    <w:rsid w:val="00D37973"/>
    <w:rsid w:val="00D41F46"/>
    <w:rsid w:val="00D42754"/>
    <w:rsid w:val="00D4323D"/>
    <w:rsid w:val="00D455A4"/>
    <w:rsid w:val="00D5265D"/>
    <w:rsid w:val="00D62E09"/>
    <w:rsid w:val="00D64101"/>
    <w:rsid w:val="00D642DE"/>
    <w:rsid w:val="00D64FFD"/>
    <w:rsid w:val="00D70AAA"/>
    <w:rsid w:val="00D71684"/>
    <w:rsid w:val="00D767E6"/>
    <w:rsid w:val="00D76D7C"/>
    <w:rsid w:val="00D77A0C"/>
    <w:rsid w:val="00D8131B"/>
    <w:rsid w:val="00D81D94"/>
    <w:rsid w:val="00D8420C"/>
    <w:rsid w:val="00D84DE0"/>
    <w:rsid w:val="00D9193B"/>
    <w:rsid w:val="00D96FBA"/>
    <w:rsid w:val="00DA239C"/>
    <w:rsid w:val="00DB3228"/>
    <w:rsid w:val="00DB3721"/>
    <w:rsid w:val="00DB3D04"/>
    <w:rsid w:val="00DC72F1"/>
    <w:rsid w:val="00DD00BE"/>
    <w:rsid w:val="00DD02D4"/>
    <w:rsid w:val="00DD0953"/>
    <w:rsid w:val="00DD1CB9"/>
    <w:rsid w:val="00DD1F77"/>
    <w:rsid w:val="00DD2637"/>
    <w:rsid w:val="00DE644A"/>
    <w:rsid w:val="00DF47DC"/>
    <w:rsid w:val="00DF6884"/>
    <w:rsid w:val="00DF6E16"/>
    <w:rsid w:val="00DF703D"/>
    <w:rsid w:val="00E00218"/>
    <w:rsid w:val="00E018E1"/>
    <w:rsid w:val="00E024C1"/>
    <w:rsid w:val="00E0484E"/>
    <w:rsid w:val="00E07AC4"/>
    <w:rsid w:val="00E10305"/>
    <w:rsid w:val="00E1136D"/>
    <w:rsid w:val="00E116BA"/>
    <w:rsid w:val="00E11D29"/>
    <w:rsid w:val="00E15447"/>
    <w:rsid w:val="00E15B7B"/>
    <w:rsid w:val="00E17864"/>
    <w:rsid w:val="00E20773"/>
    <w:rsid w:val="00E2107F"/>
    <w:rsid w:val="00E23059"/>
    <w:rsid w:val="00E33146"/>
    <w:rsid w:val="00E37F50"/>
    <w:rsid w:val="00E40942"/>
    <w:rsid w:val="00E50E6F"/>
    <w:rsid w:val="00E539B3"/>
    <w:rsid w:val="00E55EC8"/>
    <w:rsid w:val="00E56469"/>
    <w:rsid w:val="00E57209"/>
    <w:rsid w:val="00E5727D"/>
    <w:rsid w:val="00E67CE0"/>
    <w:rsid w:val="00E713A7"/>
    <w:rsid w:val="00E72404"/>
    <w:rsid w:val="00E74A15"/>
    <w:rsid w:val="00E7567F"/>
    <w:rsid w:val="00E773D7"/>
    <w:rsid w:val="00E821B6"/>
    <w:rsid w:val="00E85807"/>
    <w:rsid w:val="00E900E0"/>
    <w:rsid w:val="00E9122B"/>
    <w:rsid w:val="00E93CFE"/>
    <w:rsid w:val="00E953B9"/>
    <w:rsid w:val="00EA0EBB"/>
    <w:rsid w:val="00EA1619"/>
    <w:rsid w:val="00EA49CE"/>
    <w:rsid w:val="00EA6CD3"/>
    <w:rsid w:val="00EB184B"/>
    <w:rsid w:val="00EC03E6"/>
    <w:rsid w:val="00EC218F"/>
    <w:rsid w:val="00EC4F17"/>
    <w:rsid w:val="00ED053C"/>
    <w:rsid w:val="00ED0A46"/>
    <w:rsid w:val="00ED18C9"/>
    <w:rsid w:val="00ED377A"/>
    <w:rsid w:val="00ED4255"/>
    <w:rsid w:val="00ED5CF7"/>
    <w:rsid w:val="00ED603E"/>
    <w:rsid w:val="00EE44FE"/>
    <w:rsid w:val="00EE4A54"/>
    <w:rsid w:val="00EE4C51"/>
    <w:rsid w:val="00EE573A"/>
    <w:rsid w:val="00EE61BD"/>
    <w:rsid w:val="00EE7BA0"/>
    <w:rsid w:val="00EF2696"/>
    <w:rsid w:val="00EF55B6"/>
    <w:rsid w:val="00F019FA"/>
    <w:rsid w:val="00F02EB7"/>
    <w:rsid w:val="00F0662E"/>
    <w:rsid w:val="00F066C5"/>
    <w:rsid w:val="00F149F8"/>
    <w:rsid w:val="00F15773"/>
    <w:rsid w:val="00F30608"/>
    <w:rsid w:val="00F32822"/>
    <w:rsid w:val="00F352DD"/>
    <w:rsid w:val="00F40762"/>
    <w:rsid w:val="00F40F20"/>
    <w:rsid w:val="00F418C2"/>
    <w:rsid w:val="00F449A8"/>
    <w:rsid w:val="00F44B3E"/>
    <w:rsid w:val="00F51164"/>
    <w:rsid w:val="00F52F0B"/>
    <w:rsid w:val="00F53217"/>
    <w:rsid w:val="00F542FA"/>
    <w:rsid w:val="00F652EB"/>
    <w:rsid w:val="00F70443"/>
    <w:rsid w:val="00F7097D"/>
    <w:rsid w:val="00F716EF"/>
    <w:rsid w:val="00F77D50"/>
    <w:rsid w:val="00F81A0A"/>
    <w:rsid w:val="00F9016C"/>
    <w:rsid w:val="00F929ED"/>
    <w:rsid w:val="00F9305D"/>
    <w:rsid w:val="00F948CA"/>
    <w:rsid w:val="00F9522F"/>
    <w:rsid w:val="00FA3AB1"/>
    <w:rsid w:val="00FA4EC5"/>
    <w:rsid w:val="00FA5EE1"/>
    <w:rsid w:val="00FB0CA1"/>
    <w:rsid w:val="00FB1472"/>
    <w:rsid w:val="00FB4A8C"/>
    <w:rsid w:val="00FC3C7A"/>
    <w:rsid w:val="00FC6839"/>
    <w:rsid w:val="00FD061B"/>
    <w:rsid w:val="00FD5F34"/>
    <w:rsid w:val="00FD5FEF"/>
    <w:rsid w:val="00FE2D33"/>
    <w:rsid w:val="00FE6FC3"/>
    <w:rsid w:val="00FE76D2"/>
    <w:rsid w:val="00FE7A91"/>
    <w:rsid w:val="00FF22AC"/>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42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Signature">
    <w:name w:val="Signature"/>
    <w:basedOn w:val="Normal"/>
    <w:next w:val="EnvelopeReturn"/>
    <w:link w:val="SignatureChar"/>
    <w:semiHidden/>
    <w:unhideWhenUsed/>
    <w:rsid w:val="00FB4A8C"/>
    <w:pPr>
      <w:keepNext/>
      <w:keepLines/>
      <w:widowControl w:val="0"/>
      <w:tabs>
        <w:tab w:val="right" w:pos="9072"/>
      </w:tabs>
      <w:suppressAutoHyphens/>
      <w:spacing w:before="600"/>
      <w:ind w:firstLine="720"/>
    </w:pPr>
    <w:rPr>
      <w:rFonts w:eastAsia="Times New Roman"/>
      <w:sz w:val="26"/>
      <w:lang w:val="lv-LV"/>
    </w:rPr>
  </w:style>
  <w:style w:type="character" w:customStyle="1" w:styleId="SignatureChar">
    <w:name w:val="Signature Char"/>
    <w:basedOn w:val="DefaultParagraphFont"/>
    <w:link w:val="Signature"/>
    <w:semiHidden/>
    <w:rsid w:val="00FB4A8C"/>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FB4A8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73505203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2092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78A-F0D5-4F3E-B476-75836F87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18537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2017-07-11T11:51:00Z</dcterms:created>
  <dcterms:modified xsi:type="dcterms:W3CDTF">2017-07-11T11:51:00Z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