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2B" w:rsidRDefault="004764FB" w:rsidP="007571C4">
      <w:pPr>
        <w:jc w:val="center"/>
        <w:rPr>
          <w:b/>
          <w:bCs/>
        </w:rPr>
      </w:pPr>
      <w:bookmarkStart w:id="0" w:name="OLE_LINK1"/>
      <w:bookmarkStart w:id="1" w:name="OLE_LINK2"/>
      <w:bookmarkStart w:id="2" w:name="OLE_LINK10"/>
      <w:bookmarkStart w:id="3" w:name="OLE_LINK11"/>
      <w:r w:rsidRPr="004764FB">
        <w:rPr>
          <w:b/>
          <w:color w:val="000000"/>
        </w:rPr>
        <w:t xml:space="preserve">Ministru kabineta noteikumu </w:t>
      </w:r>
      <w:bookmarkEnd w:id="0"/>
      <w:bookmarkEnd w:id="1"/>
      <w:r w:rsidRPr="004764FB">
        <w:rPr>
          <w:b/>
          <w:color w:val="000000"/>
        </w:rPr>
        <w:t xml:space="preserve">projekta </w:t>
      </w:r>
      <w:r w:rsidRPr="004764FB">
        <w:rPr>
          <w:b/>
        </w:rPr>
        <w:t>“</w:t>
      </w:r>
      <w:r w:rsidRPr="004764FB">
        <w:rPr>
          <w:b/>
          <w:bCs/>
        </w:rPr>
        <w:t xml:space="preserve">Aizsargātā lietotāja </w:t>
      </w:r>
      <w:proofErr w:type="spellStart"/>
      <w:r w:rsidRPr="004764FB">
        <w:rPr>
          <w:b/>
          <w:bCs/>
        </w:rPr>
        <w:t>pieslēguma</w:t>
      </w:r>
      <w:proofErr w:type="spellEnd"/>
      <w:r w:rsidRPr="004764FB">
        <w:rPr>
          <w:b/>
          <w:bCs/>
        </w:rPr>
        <w:t xml:space="preserve"> ierīkošanas finansēšanas kārtība</w:t>
      </w:r>
      <w:r w:rsidRPr="004764FB">
        <w:rPr>
          <w:b/>
        </w:rPr>
        <w:t>”</w:t>
      </w:r>
      <w:r w:rsidRPr="004764FB">
        <w:rPr>
          <w:b/>
          <w:bCs/>
        </w:rPr>
        <w:t xml:space="preserve"> sākotnējās ietekmes novērtējuma </w:t>
      </w:r>
      <w:smartTag w:uri="schemas-tilde-lv/tildestengine" w:element="veidnes">
        <w:smartTagPr>
          <w:attr w:name="id" w:val="-1"/>
          <w:attr w:name="baseform" w:val="ziņojums"/>
          <w:attr w:name="text" w:val="ziņojums"/>
        </w:smartTagPr>
        <w:r w:rsidRPr="004764FB">
          <w:rPr>
            <w:b/>
            <w:bCs/>
          </w:rPr>
          <w:t>ziņojums</w:t>
        </w:r>
      </w:smartTag>
      <w:r w:rsidRPr="004764FB">
        <w:rPr>
          <w:b/>
          <w:bCs/>
        </w:rPr>
        <w:t xml:space="preserve"> (anotācija)</w:t>
      </w:r>
      <w:r w:rsidRPr="004764FB">
        <w:rPr>
          <w:b/>
          <w:bCs/>
        </w:rPr>
        <w:tab/>
      </w:r>
    </w:p>
    <w:p w:rsidR="00E0102B" w:rsidRDefault="00E0102B" w:rsidP="007571C4"/>
    <w:p w:rsidR="007571C4" w:rsidRDefault="007571C4" w:rsidP="007571C4"/>
    <w:p w:rsidR="007571C4" w:rsidRPr="007571C4" w:rsidRDefault="007571C4" w:rsidP="007571C4"/>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2571"/>
        <w:gridCol w:w="6604"/>
      </w:tblGrid>
      <w:tr w:rsidR="004764FB" w:rsidRPr="004764FB" w:rsidTr="00AF7144">
        <w:tc>
          <w:tcPr>
            <w:tcW w:w="9444" w:type="dxa"/>
            <w:gridSpan w:val="3"/>
            <w:vAlign w:val="center"/>
          </w:tcPr>
          <w:bookmarkEnd w:id="2"/>
          <w:bookmarkEnd w:id="3"/>
          <w:p w:rsidR="004764FB" w:rsidRPr="004764FB" w:rsidRDefault="004764FB" w:rsidP="00AF7144">
            <w:pPr>
              <w:pStyle w:val="naisnod"/>
              <w:spacing w:before="0" w:beforeAutospacing="0" w:after="0" w:afterAutospacing="0"/>
              <w:jc w:val="center"/>
              <w:rPr>
                <w:b/>
                <w:color w:val="000000" w:themeColor="text1"/>
              </w:rPr>
            </w:pPr>
            <w:r w:rsidRPr="004764FB">
              <w:rPr>
                <w:b/>
                <w:color w:val="000000" w:themeColor="text1"/>
              </w:rPr>
              <w:t>I. Tiesību akta projekta izstrādes nepieciešamība</w:t>
            </w:r>
          </w:p>
        </w:tc>
      </w:tr>
      <w:tr w:rsidR="004764FB" w:rsidRPr="004764FB" w:rsidTr="00AF7144">
        <w:trPr>
          <w:trHeight w:val="630"/>
        </w:trPr>
        <w:tc>
          <w:tcPr>
            <w:tcW w:w="269" w:type="dxa"/>
          </w:tcPr>
          <w:p w:rsidR="004764FB" w:rsidRPr="004764FB" w:rsidRDefault="004764FB" w:rsidP="00AF7144">
            <w:pPr>
              <w:pStyle w:val="naiskr"/>
              <w:spacing w:before="0" w:beforeAutospacing="0" w:after="0" w:afterAutospacing="0"/>
              <w:jc w:val="center"/>
              <w:rPr>
                <w:color w:val="000000" w:themeColor="text1"/>
              </w:rPr>
            </w:pPr>
            <w:r w:rsidRPr="004764FB">
              <w:rPr>
                <w:color w:val="000000" w:themeColor="text1"/>
              </w:rPr>
              <w:t>1.</w:t>
            </w:r>
          </w:p>
        </w:tc>
        <w:tc>
          <w:tcPr>
            <w:tcW w:w="2571" w:type="dxa"/>
          </w:tcPr>
          <w:p w:rsidR="004764FB" w:rsidRPr="004764FB" w:rsidRDefault="004764FB" w:rsidP="00AF7144">
            <w:pPr>
              <w:pStyle w:val="naiskr"/>
              <w:spacing w:before="0" w:beforeAutospacing="0" w:after="0" w:afterAutospacing="0"/>
              <w:ind w:hanging="10"/>
              <w:rPr>
                <w:color w:val="000000" w:themeColor="text1"/>
              </w:rPr>
            </w:pPr>
            <w:r w:rsidRPr="004764FB">
              <w:rPr>
                <w:color w:val="000000" w:themeColor="text1"/>
              </w:rPr>
              <w:t>Pamatojums</w:t>
            </w:r>
          </w:p>
          <w:p w:rsidR="004764FB" w:rsidRPr="004764FB" w:rsidRDefault="004764FB" w:rsidP="00AF7144"/>
        </w:tc>
        <w:tc>
          <w:tcPr>
            <w:tcW w:w="6604" w:type="dxa"/>
          </w:tcPr>
          <w:p w:rsidR="004764FB" w:rsidRPr="004764FB" w:rsidRDefault="004764FB" w:rsidP="00AF7144">
            <w:pPr>
              <w:pStyle w:val="naislab"/>
              <w:spacing w:before="0" w:beforeAutospacing="0" w:after="0" w:afterAutospacing="0"/>
              <w:ind w:right="91"/>
              <w:jc w:val="both"/>
            </w:pPr>
            <w:r w:rsidRPr="004764FB">
              <w:rPr>
                <w:color w:val="000000" w:themeColor="text1"/>
              </w:rPr>
              <w:t>Elektroenerģijas tirgus likuma 9.panta 2</w:t>
            </w:r>
            <w:r w:rsidRPr="004764FB">
              <w:rPr>
                <w:color w:val="000000" w:themeColor="text1"/>
                <w:vertAlign w:val="superscript"/>
              </w:rPr>
              <w:t>3</w:t>
            </w:r>
            <w:r w:rsidRPr="004764FB">
              <w:rPr>
                <w:color w:val="000000" w:themeColor="text1"/>
              </w:rPr>
              <w:t xml:space="preserve"> daļa nosaka kārtību, kādā finansē </w:t>
            </w:r>
            <w:proofErr w:type="spellStart"/>
            <w:r w:rsidRPr="004764FB">
              <w:rPr>
                <w:color w:val="000000" w:themeColor="text1"/>
              </w:rPr>
              <w:t>pieslēguma</w:t>
            </w:r>
            <w:proofErr w:type="spellEnd"/>
            <w:r w:rsidRPr="004764FB">
              <w:rPr>
                <w:color w:val="000000" w:themeColor="text1"/>
              </w:rPr>
              <w:t xml:space="preserve"> ierīkošanu aizsargātiem lietotājiem.</w:t>
            </w:r>
          </w:p>
        </w:tc>
      </w:tr>
      <w:tr w:rsidR="004764FB" w:rsidRPr="004764FB" w:rsidTr="00AF7144">
        <w:trPr>
          <w:trHeight w:val="50"/>
        </w:trPr>
        <w:tc>
          <w:tcPr>
            <w:tcW w:w="269" w:type="dxa"/>
          </w:tcPr>
          <w:p w:rsidR="004764FB" w:rsidRPr="004764FB" w:rsidRDefault="004764FB" w:rsidP="00AF7144">
            <w:pPr>
              <w:pStyle w:val="naiskr"/>
              <w:spacing w:before="0" w:beforeAutospacing="0" w:after="0" w:afterAutospacing="0"/>
              <w:jc w:val="center"/>
              <w:rPr>
                <w:color w:val="000000" w:themeColor="text1"/>
              </w:rPr>
            </w:pPr>
            <w:r w:rsidRPr="004764FB">
              <w:rPr>
                <w:color w:val="000000" w:themeColor="text1"/>
              </w:rPr>
              <w:t>2.</w:t>
            </w:r>
          </w:p>
        </w:tc>
        <w:tc>
          <w:tcPr>
            <w:tcW w:w="2571" w:type="dxa"/>
          </w:tcPr>
          <w:p w:rsidR="004764FB" w:rsidRPr="004764FB" w:rsidRDefault="004764FB" w:rsidP="00AF7144">
            <w:pPr>
              <w:pStyle w:val="naiskr"/>
              <w:tabs>
                <w:tab w:val="left" w:pos="152"/>
              </w:tabs>
              <w:spacing w:before="0" w:beforeAutospacing="0" w:after="0" w:afterAutospacing="0"/>
              <w:ind w:right="151"/>
              <w:rPr>
                <w:color w:val="000000" w:themeColor="text1"/>
              </w:rPr>
            </w:pPr>
            <w:r w:rsidRPr="004764FB">
              <w:rPr>
                <w:color w:val="000000" w:themeColor="text1"/>
              </w:rPr>
              <w:t>Pašreizējā situācija un problēmas, kuru risināšanai tiesību akta projekts izstrādāts, tiesiskā regulējuma mērķis un būtība</w:t>
            </w:r>
          </w:p>
          <w:p w:rsidR="004764FB" w:rsidRPr="004764FB" w:rsidRDefault="004764FB" w:rsidP="00AF7144"/>
        </w:tc>
        <w:tc>
          <w:tcPr>
            <w:tcW w:w="6604" w:type="dxa"/>
          </w:tcPr>
          <w:p w:rsidR="004764FB" w:rsidRPr="004764FB" w:rsidRDefault="004764FB" w:rsidP="00AF7144">
            <w:pPr>
              <w:ind w:right="93"/>
              <w:jc w:val="both"/>
              <w:rPr>
                <w:color w:val="000000" w:themeColor="text1"/>
              </w:rPr>
            </w:pPr>
            <w:r w:rsidRPr="004764FB">
              <w:rPr>
                <w:color w:val="000000" w:themeColor="text1"/>
              </w:rPr>
              <w:t xml:space="preserve">Ministru kabineta noteikumu projekta “Aizsargātā lietotāja </w:t>
            </w:r>
            <w:proofErr w:type="spellStart"/>
            <w:r w:rsidRPr="004764FB">
              <w:rPr>
                <w:color w:val="000000" w:themeColor="text1"/>
              </w:rPr>
              <w:t>pieslēguma</w:t>
            </w:r>
            <w:proofErr w:type="spellEnd"/>
            <w:r w:rsidRPr="004764FB">
              <w:rPr>
                <w:color w:val="000000" w:themeColor="text1"/>
              </w:rPr>
              <w:t xml:space="preserve"> ierīkošanas finansēšanas kārtība” (turpmāk – Ministru kabineta noteikumu projekts) mērķis ir izpildīt Elektroenerģijas tirgus likumā</w:t>
            </w:r>
            <w:r w:rsidR="00E173A9">
              <w:rPr>
                <w:color w:val="000000" w:themeColor="text1"/>
              </w:rPr>
              <w:t xml:space="preserve"> (turpmāk – ETL)</w:t>
            </w:r>
            <w:r w:rsidRPr="004764FB">
              <w:rPr>
                <w:color w:val="000000" w:themeColor="text1"/>
              </w:rPr>
              <w:t xml:space="preserve"> doto deleģējumu un nodrošināt jauna </w:t>
            </w:r>
            <w:proofErr w:type="spellStart"/>
            <w:r w:rsidRPr="004764FB">
              <w:rPr>
                <w:color w:val="000000" w:themeColor="text1"/>
              </w:rPr>
              <w:t>pieslēguma</w:t>
            </w:r>
            <w:proofErr w:type="spellEnd"/>
            <w:r w:rsidRPr="004764FB">
              <w:rPr>
                <w:color w:val="000000" w:themeColor="text1"/>
              </w:rPr>
              <w:t xml:space="preserve"> ierīkošanu un finansēšanas kārtību aizsargātiem lietotājiem.</w:t>
            </w:r>
          </w:p>
          <w:p w:rsidR="004764FB" w:rsidRPr="004764FB" w:rsidRDefault="004764FB" w:rsidP="00AF7144">
            <w:pPr>
              <w:ind w:right="93"/>
              <w:jc w:val="both"/>
            </w:pPr>
            <w:r w:rsidRPr="004764FB">
              <w:rPr>
                <w:color w:val="000000" w:themeColor="text1"/>
              </w:rPr>
              <w:t xml:space="preserve">Saskaņā ar </w:t>
            </w:r>
            <w:r w:rsidR="00E63600">
              <w:rPr>
                <w:color w:val="000000" w:themeColor="text1"/>
              </w:rPr>
              <w:t>ETL</w:t>
            </w:r>
            <w:r w:rsidRPr="004764FB">
              <w:rPr>
                <w:color w:val="000000" w:themeColor="text1"/>
              </w:rPr>
              <w:t xml:space="preserve">1.pantu aizsargātais lietotājs ir trūcīga vai maznodrošināta ģimene (persona), </w:t>
            </w:r>
            <w:proofErr w:type="spellStart"/>
            <w:r w:rsidRPr="004764FB">
              <w:rPr>
                <w:color w:val="000000" w:themeColor="text1"/>
              </w:rPr>
              <w:t>daudzbērnu</w:t>
            </w:r>
            <w:proofErr w:type="spellEnd"/>
            <w:r w:rsidRPr="004764FB">
              <w:rPr>
                <w:color w:val="000000" w:themeColor="text1"/>
              </w:rPr>
              <w:t xml:space="preserve"> ģimene vai ģimene (persona), kuras aprūpē ir bērns ar invaliditāti, persona ar I invaliditātes grupu, kura izlieto elektroenerģiju savā mājsaimniecībā pašas vajadzībām (</w:t>
            </w:r>
            <w:proofErr w:type="spellStart"/>
            <w:r w:rsidRPr="004764FB">
              <w:rPr>
                <w:color w:val="000000" w:themeColor="text1"/>
              </w:rPr>
              <w:t>galapatēriņam</w:t>
            </w:r>
            <w:proofErr w:type="spellEnd"/>
            <w:r w:rsidRPr="004764FB">
              <w:rPr>
                <w:color w:val="000000" w:themeColor="text1"/>
              </w:rPr>
              <w:t xml:space="preserve">). </w:t>
            </w:r>
          </w:p>
          <w:p w:rsidR="004764FB" w:rsidRPr="004764FB" w:rsidRDefault="00E173A9" w:rsidP="00AF7144">
            <w:pPr>
              <w:ind w:right="93"/>
              <w:jc w:val="both"/>
            </w:pPr>
            <w:r>
              <w:t xml:space="preserve">ETL dotais deleģējums ir jāskata kopā ar šī deleģējošā likuma mērķi. </w:t>
            </w:r>
            <w:r w:rsidR="002D4A53">
              <w:t>V</w:t>
            </w:r>
            <w:r w:rsidR="00686D29">
              <w:t xml:space="preserve">iens no </w:t>
            </w:r>
            <w:r>
              <w:t>ETL</w:t>
            </w:r>
            <w:r w:rsidR="00686D29">
              <w:t xml:space="preserve"> mērķiem, kurš noteikts 2.panta 1) punktā, ir izveidot priekšnoteikumus efektīvi funkcionējoša e</w:t>
            </w:r>
            <w:r w:rsidR="00B04D17">
              <w:t xml:space="preserve">lektroenerģijas tirgus darbībai, </w:t>
            </w:r>
            <w:r w:rsidR="002D4A53">
              <w:t xml:space="preserve">vienlaikus ETL tiek ietverti risinājumi, kas nodrošina sociāli </w:t>
            </w:r>
            <w:r w:rsidR="005E3CCF">
              <w:t>neaizsargātajam</w:t>
            </w:r>
            <w:r w:rsidR="002D4A53">
              <w:t xml:space="preserve"> personām atbalstu</w:t>
            </w:r>
            <w:r w:rsidR="00D5000E">
              <w:t xml:space="preserve"> sakarā ar elektroenerģijas izmaksu pieaugumu, kas tieši var atstāt ietekmi uz šo personu maksātspēju, kā arī ietekmēt viņu vispārējo sociālo stāvokli</w:t>
            </w:r>
            <w:r w:rsidR="002D4A53">
              <w:t xml:space="preserve">. </w:t>
            </w:r>
            <w:r w:rsidR="00D5000E">
              <w:t>Ministru kabineta noteikumu projekts nodrošina</w:t>
            </w:r>
            <w:r w:rsidR="004764FB" w:rsidRPr="004764FB">
              <w:t xml:space="preserve">, ka atbalsts aizsargātājiem lietotājiem – lietotāja daļas apmaksa no valsts budžeta līdzekļiem </w:t>
            </w:r>
            <w:proofErr w:type="spellStart"/>
            <w:r w:rsidR="004764FB" w:rsidRPr="004764FB">
              <w:t>pieslēguma</w:t>
            </w:r>
            <w:proofErr w:type="spellEnd"/>
            <w:r w:rsidR="004764FB" w:rsidRPr="004764FB">
              <w:t xml:space="preserve"> ierīkošanai – sasniegtu patieso mērķauditoriju un vienlaikus tiktu minimizēti riski, ka valsts budžeta līdzekļi tiek izlietoti nelietderīgi vai pat ar </w:t>
            </w:r>
            <w:proofErr w:type="spellStart"/>
            <w:r w:rsidR="004764FB" w:rsidRPr="004764FB">
              <w:t>krāpniecības</w:t>
            </w:r>
            <w:proofErr w:type="spellEnd"/>
            <w:r w:rsidR="004764FB" w:rsidRPr="004764FB">
              <w:t xml:space="preserve"> un ļaunprātības pazīmēm, kas būtu klajš Publiskas personas finanšu līdzekļu un mantas izšķērdēšanas novēršanas likuma normu pārkāpums</w:t>
            </w:r>
            <w:r w:rsidR="00D5000E">
              <w:t>.</w:t>
            </w:r>
            <w:r w:rsidR="004764FB" w:rsidRPr="004764FB">
              <w:t xml:space="preserve"> Ministru kabineta noteikumu projektā ir paredzēti noteikti kritēriji, kuriem jāatbilst pieslēdzamajam objektam:</w:t>
            </w:r>
          </w:p>
          <w:p w:rsidR="004764FB" w:rsidRPr="004764FB" w:rsidRDefault="004764FB" w:rsidP="004764FB">
            <w:pPr>
              <w:pStyle w:val="ListParagraph"/>
              <w:numPr>
                <w:ilvl w:val="0"/>
                <w:numId w:val="2"/>
              </w:numPr>
              <w:spacing w:after="0" w:line="240" w:lineRule="auto"/>
              <w:ind w:left="714" w:right="93" w:hanging="357"/>
              <w:jc w:val="both"/>
            </w:pPr>
            <w:r w:rsidRPr="004764FB">
              <w:rPr>
                <w:sz w:val="24"/>
                <w:szCs w:val="24"/>
              </w:rPr>
              <w:t>Pieslēdzamais objekts ir mājoklis un vienīgais aizsargātā lietotāja nekustamais īpašums un tas tiek apdzīvots pastāvīgi (vismaz 9 mēnešus gadā). Mājoklis ir istaba vai vairākas istabas un to palīgtelpas (piemēram, vestibili un gaiteņi) pastāvīgā ēkā vai tās strukturāli nodalītā daļā, kas pēc sava būvniecības vai pārbūves veida ir paredzēta vienas mājsaimniecības dzīvošanai visā gada garumā (piemēram, māja vai dzīvoklis). Tajā nav noteikti jābūt atsevišķai vannas istabai un tualetei, kas būtu pieejama tikai tā iemītniekiem. Mājoklim parasti ir noteikta adrese.</w:t>
            </w:r>
            <w:r w:rsidRPr="004764FB">
              <w:rPr>
                <w:rFonts w:ascii="Arial" w:hAnsi="Arial" w:cs="Arial"/>
                <w:color w:val="444444"/>
                <w:sz w:val="18"/>
                <w:szCs w:val="18"/>
                <w:shd w:val="clear" w:color="auto" w:fill="FFFFFF"/>
              </w:rPr>
              <w:t xml:space="preserve"> </w:t>
            </w:r>
            <w:r w:rsidRPr="004764FB">
              <w:rPr>
                <w:sz w:val="24"/>
                <w:szCs w:val="24"/>
              </w:rPr>
              <w:t xml:space="preserve"> Līdz ar to, tiks nodrošināts, ka valsts budžeta līdzekļi netiks nelietderīgi izmantoti sezonālas vai īslaicīgas lietošanas būvju – vasarnīca, garāža, laivas novietne, atpūtas objekts u.tml. elektrifikācijai un mazināts risks, ka par valsts budžeta līdzekļiem tiek izbūvēti t.s. “tukšie </w:t>
            </w:r>
            <w:proofErr w:type="spellStart"/>
            <w:r w:rsidRPr="004764FB">
              <w:rPr>
                <w:sz w:val="24"/>
                <w:szCs w:val="24"/>
              </w:rPr>
              <w:t>pieslēgumi</w:t>
            </w:r>
            <w:proofErr w:type="spellEnd"/>
            <w:r w:rsidRPr="004764FB">
              <w:rPr>
                <w:sz w:val="24"/>
                <w:szCs w:val="24"/>
              </w:rPr>
              <w:t xml:space="preserve">”. Par šādiem riskiem uzskatāmi liecina 2004. gadā jau īstenotās </w:t>
            </w:r>
            <w:r w:rsidRPr="004764FB">
              <w:rPr>
                <w:color w:val="000000"/>
                <w:sz w:val="24"/>
                <w:szCs w:val="24"/>
              </w:rPr>
              <w:t xml:space="preserve">vēsturiski </w:t>
            </w:r>
            <w:r w:rsidRPr="004764FB">
              <w:rPr>
                <w:color w:val="000000"/>
                <w:sz w:val="24"/>
                <w:szCs w:val="24"/>
              </w:rPr>
              <w:lastRenderedPageBreak/>
              <w:t xml:space="preserve">neelektrificēto māju elektrifikācijas programmas rezultāti. Pēc AS “Sadales tīkls” datiem pašlaik tikai aptuveni viena trešā daļa no programmas ietvaros elektrificētajām mājām patērē elektroenerģiju virs 100 </w:t>
            </w:r>
            <w:proofErr w:type="spellStart"/>
            <w:r w:rsidRPr="004764FB">
              <w:rPr>
                <w:color w:val="000000"/>
                <w:sz w:val="24"/>
                <w:szCs w:val="24"/>
              </w:rPr>
              <w:t>kWh</w:t>
            </w:r>
            <w:proofErr w:type="spellEnd"/>
            <w:r w:rsidRPr="004764FB">
              <w:rPr>
                <w:color w:val="000000"/>
                <w:sz w:val="24"/>
                <w:szCs w:val="24"/>
              </w:rPr>
              <w:t>/mēnesī, savukārt 26% no ēkām vidēji 3 gadu laikā patēriņš praktiski vispār nav bijis.</w:t>
            </w:r>
          </w:p>
          <w:p w:rsidR="004764FB" w:rsidRPr="004764FB" w:rsidRDefault="004764FB" w:rsidP="004764FB">
            <w:pPr>
              <w:pStyle w:val="ListParagraph"/>
              <w:numPr>
                <w:ilvl w:val="0"/>
                <w:numId w:val="2"/>
              </w:numPr>
              <w:spacing w:after="0" w:line="240" w:lineRule="auto"/>
              <w:ind w:left="714" w:right="93" w:hanging="357"/>
              <w:jc w:val="both"/>
            </w:pPr>
            <w:r w:rsidRPr="004764FB">
              <w:rPr>
                <w:sz w:val="24"/>
                <w:szCs w:val="24"/>
              </w:rPr>
              <w:t xml:space="preserve">Pieslēdzamais objekts ir nodots ekspluatācijā vismaz 10 gadus pirms noteikumu stāšanās spēkā, tas ir aizsargātā lietotāja īpašumā vismaz 10 gadus un tam nekad iepriekš nav bijis </w:t>
            </w:r>
            <w:proofErr w:type="spellStart"/>
            <w:r w:rsidRPr="004764FB">
              <w:rPr>
                <w:sz w:val="24"/>
                <w:szCs w:val="24"/>
              </w:rPr>
              <w:t>pieslēguma</w:t>
            </w:r>
            <w:proofErr w:type="spellEnd"/>
            <w:r w:rsidRPr="004764FB">
              <w:rPr>
                <w:sz w:val="24"/>
                <w:szCs w:val="24"/>
              </w:rPr>
              <w:t xml:space="preserve">.  Ar šiem kritērijiem tiek mazināts risks, ka programmas ietvaros tiek ļaunprātīgi iekļautas nesen uzbūvētas ēkas vai jaunbūves, vai par patērētās elektroenerģijas ilgstošu neapmaksāšanu atslēgti objekti, kas uz laiku tiek reģistrētas kā aizsargājamā lietotāja statusam atbilstošas personas īpašums. Par šāda riska iespējamību liecina plaši izplatīta līdzīga rakstura </w:t>
            </w:r>
            <w:proofErr w:type="spellStart"/>
            <w:r w:rsidRPr="004764FB">
              <w:rPr>
                <w:sz w:val="24"/>
                <w:szCs w:val="24"/>
              </w:rPr>
              <w:t>krāpniecība</w:t>
            </w:r>
            <w:proofErr w:type="spellEnd"/>
            <w:r w:rsidRPr="004764FB">
              <w:rPr>
                <w:sz w:val="24"/>
                <w:szCs w:val="24"/>
              </w:rPr>
              <w:t xml:space="preserve"> fiktīvās uzņēmējdarbības, izvairīšanās no nodokļiem un PVN atmaksas izkrāpšanas jomās.</w:t>
            </w:r>
          </w:p>
          <w:p w:rsidR="004764FB" w:rsidRPr="004764FB" w:rsidRDefault="004764FB" w:rsidP="00AF7144">
            <w:pPr>
              <w:ind w:right="93"/>
              <w:jc w:val="both"/>
            </w:pPr>
            <w:r w:rsidRPr="004764FB">
              <w:t xml:space="preserve">AS “Sadales tīkls” ir apkopojis informāciju par objektiem, kuriem ilgstoši nav ierīkots </w:t>
            </w:r>
            <w:proofErr w:type="spellStart"/>
            <w:r w:rsidRPr="004764FB">
              <w:t>pieslēgums</w:t>
            </w:r>
            <w:proofErr w:type="spellEnd"/>
            <w:r w:rsidRPr="004764FB">
              <w:t xml:space="preserve"> elektroenerģijas tīklam, jo lietotāji atsakās vai nevar apmaksāt uz lietotāju attiecināmo </w:t>
            </w:r>
            <w:proofErr w:type="spellStart"/>
            <w:r w:rsidRPr="004764FB">
              <w:t>pieslēguma</w:t>
            </w:r>
            <w:proofErr w:type="spellEnd"/>
            <w:r w:rsidRPr="004764FB">
              <w:t xml:space="preserve"> ierīkošanas izmaksu daļu. Šajā apkopojumā </w:t>
            </w:r>
            <w:proofErr w:type="spellStart"/>
            <w:r w:rsidRPr="004764FB">
              <w:t>pieslēguma</w:t>
            </w:r>
            <w:proofErr w:type="spellEnd"/>
            <w:r w:rsidRPr="004764FB">
              <w:t xml:space="preserve"> izmaksas ir robežās no 0,5 līdz 64,24 tūkstoši </w:t>
            </w:r>
            <w:proofErr w:type="spellStart"/>
            <w:r w:rsidRPr="004764FB">
              <w:rPr>
                <w:i/>
              </w:rPr>
              <w:t>euro</w:t>
            </w:r>
            <w:proofErr w:type="spellEnd"/>
            <w:r w:rsidRPr="004764FB">
              <w:t>.</w:t>
            </w:r>
          </w:p>
          <w:p w:rsidR="004764FB" w:rsidRPr="004764FB" w:rsidRDefault="004764FB" w:rsidP="00AF7144">
            <w:pPr>
              <w:jc w:val="both"/>
            </w:pPr>
            <w:r w:rsidRPr="004764FB">
              <w:t xml:space="preserve">Ministru kabineta noteikumu projektā arī paredzēts, ka līdzfinansējums no valsts budžeta attiecināms uz </w:t>
            </w:r>
            <w:proofErr w:type="spellStart"/>
            <w:r w:rsidRPr="004764FB">
              <w:t>pieslēguma</w:t>
            </w:r>
            <w:proofErr w:type="spellEnd"/>
            <w:r w:rsidRPr="004764FB">
              <w:t xml:space="preserve"> ierīkošanas izmaksām, ieskaitot būvprojekta izmaksas, kas nepārsniedz 15 tūkst. </w:t>
            </w:r>
            <w:proofErr w:type="spellStart"/>
            <w:r w:rsidRPr="004764FB">
              <w:rPr>
                <w:i/>
              </w:rPr>
              <w:t>euro</w:t>
            </w:r>
            <w:proofErr w:type="spellEnd"/>
            <w:r w:rsidRPr="004764FB">
              <w:t xml:space="preserve">, kuros nav iekļauts PVN. Šāds regulējums samazina risku, ka ar sabiedrības līdzekļiem tiek nesamērīgi pārmaksāts par atsevišķu indivīdu izvēlēto specifisko dzīves veidu un vietu. </w:t>
            </w:r>
            <w:proofErr w:type="spellStart"/>
            <w:r w:rsidRPr="004764FB">
              <w:t>Pieslēguma</w:t>
            </w:r>
            <w:proofErr w:type="spellEnd"/>
            <w:r w:rsidRPr="004764FB">
              <w:t xml:space="preserve"> izmaksu  “griestu” lielums izvēlēts no apsvēruma, ka nekustamā īpašuma tirgū daudzos Latvijas novados ir pieejami pietiekoši daudz nekustamo īpašumu (gan dzīvokļu, gan privātmāju) par cenām līdz 15 </w:t>
            </w:r>
            <w:proofErr w:type="spellStart"/>
            <w:r w:rsidRPr="004764FB">
              <w:t>tūkst.</w:t>
            </w:r>
            <w:r w:rsidRPr="004764FB">
              <w:rPr>
                <w:i/>
              </w:rPr>
              <w:t>euro</w:t>
            </w:r>
            <w:proofErr w:type="spellEnd"/>
            <w:r w:rsidRPr="004764FB">
              <w:t xml:space="preserve"> ar jau esošiem elektroenerģijas </w:t>
            </w:r>
            <w:proofErr w:type="spellStart"/>
            <w:r w:rsidRPr="004764FB">
              <w:t>pieslēgumiem</w:t>
            </w:r>
            <w:proofErr w:type="spellEnd"/>
            <w:r w:rsidRPr="004764FB">
              <w:t xml:space="preserve">. Tas nozīmē, ka no sabiedrības un atsevišķu indivīdu interešu līdzsvarošanas viedokļa, šādos gadījumos samērīgāk būtu attiecīgās personas sociālas problēmas risināt ar, piemērām, pašvaldību sniegto atbalstu. Taču, ja persona tikai sev zināmu konkrētu apsvērumu (piemērām, klusums, ainaviskums utt.) dēļ ir izvēlējusies dzīves vietu tālu no jebkādas infrastruktūras, tad apmaksāt šo dzīves veidu nevar būt pārējās sabiedrības pienākums. Informāciju par aizsargātam lietotājam piederošo nekustamo īpašumu sadales sistēmas operators iegūs no zemesgrāmatas. PVN  neiekļaušana </w:t>
            </w:r>
            <w:proofErr w:type="spellStart"/>
            <w:r w:rsidRPr="004764FB">
              <w:t>pieslēguma</w:t>
            </w:r>
            <w:proofErr w:type="spellEnd"/>
            <w:r w:rsidRPr="004764FB">
              <w:t xml:space="preserve"> ierīkošanas izmaksu “griestos” neietekmē aizsargātā lietotāja pienākumu finansēt </w:t>
            </w:r>
            <w:proofErr w:type="spellStart"/>
            <w:r w:rsidRPr="004764FB">
              <w:t>pieslēguma</w:t>
            </w:r>
            <w:proofErr w:type="spellEnd"/>
            <w:r w:rsidRPr="004764FB">
              <w:t xml:space="preserve"> ierīkošanu. Proti, ja </w:t>
            </w:r>
            <w:proofErr w:type="spellStart"/>
            <w:r w:rsidRPr="004764FB">
              <w:t>pieslēguma</w:t>
            </w:r>
            <w:proofErr w:type="spellEnd"/>
            <w:r w:rsidRPr="004764FB">
              <w:t xml:space="preserve"> ierīkošanas izmaksas nepārsniedz 15 000 </w:t>
            </w:r>
            <w:proofErr w:type="spellStart"/>
            <w:r w:rsidRPr="004764FB">
              <w:rPr>
                <w:i/>
              </w:rPr>
              <w:t>euro</w:t>
            </w:r>
            <w:proofErr w:type="spellEnd"/>
            <w:r w:rsidRPr="004764FB">
              <w:t>, šajā gadījumā PVN nav uzskatāms par izmaksām, kas būs jāfinansē aizsargātajam lietotājam pašam.</w:t>
            </w:r>
          </w:p>
        </w:tc>
      </w:tr>
      <w:tr w:rsidR="004764FB" w:rsidRPr="004764FB" w:rsidTr="00AF7144">
        <w:trPr>
          <w:trHeight w:val="132"/>
        </w:trPr>
        <w:tc>
          <w:tcPr>
            <w:tcW w:w="269" w:type="dxa"/>
          </w:tcPr>
          <w:p w:rsidR="004764FB" w:rsidRPr="004764FB" w:rsidRDefault="004764FB" w:rsidP="00AF7144">
            <w:pPr>
              <w:pStyle w:val="naiskr"/>
              <w:spacing w:before="0" w:beforeAutospacing="0" w:after="0" w:afterAutospacing="0"/>
              <w:jc w:val="center"/>
              <w:rPr>
                <w:color w:val="000000" w:themeColor="text1"/>
              </w:rPr>
            </w:pPr>
            <w:r w:rsidRPr="004764FB">
              <w:rPr>
                <w:color w:val="000000" w:themeColor="text1"/>
              </w:rPr>
              <w:t>3.</w:t>
            </w:r>
          </w:p>
        </w:tc>
        <w:tc>
          <w:tcPr>
            <w:tcW w:w="2571" w:type="dxa"/>
          </w:tcPr>
          <w:p w:rsidR="004764FB" w:rsidRPr="004764FB" w:rsidRDefault="004764FB" w:rsidP="00AF7144">
            <w:pPr>
              <w:ind w:right="151"/>
              <w:jc w:val="both"/>
              <w:rPr>
                <w:color w:val="000000" w:themeColor="text1"/>
              </w:rPr>
            </w:pPr>
            <w:r w:rsidRPr="004764FB">
              <w:rPr>
                <w:color w:val="000000" w:themeColor="text1"/>
              </w:rPr>
              <w:t>Projekta izstrādē iesaistītās institūcijas</w:t>
            </w:r>
          </w:p>
        </w:tc>
        <w:tc>
          <w:tcPr>
            <w:tcW w:w="6604" w:type="dxa"/>
          </w:tcPr>
          <w:p w:rsidR="004764FB" w:rsidRPr="004764FB" w:rsidRDefault="004764FB" w:rsidP="00AF7144">
            <w:pPr>
              <w:jc w:val="both"/>
              <w:rPr>
                <w:color w:val="000000" w:themeColor="text1"/>
              </w:rPr>
            </w:pPr>
            <w:r w:rsidRPr="004764FB">
              <w:t>Nav.</w:t>
            </w:r>
          </w:p>
        </w:tc>
      </w:tr>
      <w:tr w:rsidR="004764FB" w:rsidRPr="004764FB" w:rsidTr="00AF7144">
        <w:tc>
          <w:tcPr>
            <w:tcW w:w="269" w:type="dxa"/>
          </w:tcPr>
          <w:p w:rsidR="004764FB" w:rsidRPr="004764FB" w:rsidRDefault="004764FB" w:rsidP="00AF7144">
            <w:pPr>
              <w:pStyle w:val="naiskr"/>
              <w:spacing w:before="0" w:beforeAutospacing="0" w:after="0" w:afterAutospacing="0"/>
              <w:jc w:val="center"/>
              <w:rPr>
                <w:color w:val="000000" w:themeColor="text1"/>
              </w:rPr>
            </w:pPr>
            <w:r w:rsidRPr="004764FB">
              <w:rPr>
                <w:color w:val="000000" w:themeColor="text1"/>
              </w:rPr>
              <w:t>4.</w:t>
            </w:r>
          </w:p>
        </w:tc>
        <w:tc>
          <w:tcPr>
            <w:tcW w:w="2571"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Cita informācija</w:t>
            </w:r>
          </w:p>
        </w:tc>
        <w:tc>
          <w:tcPr>
            <w:tcW w:w="6604" w:type="dxa"/>
          </w:tcPr>
          <w:p w:rsidR="004764FB" w:rsidRPr="004764FB" w:rsidRDefault="004764FB" w:rsidP="00AF7144">
            <w:pPr>
              <w:pStyle w:val="naiskr"/>
              <w:spacing w:before="0" w:beforeAutospacing="0" w:after="0" w:afterAutospacing="0"/>
              <w:jc w:val="both"/>
              <w:rPr>
                <w:color w:val="000000" w:themeColor="text1"/>
              </w:rPr>
            </w:pPr>
            <w:r w:rsidRPr="004764FB">
              <w:rPr>
                <w:color w:val="000000" w:themeColor="text1"/>
              </w:rPr>
              <w:t>Nav.</w:t>
            </w:r>
          </w:p>
        </w:tc>
      </w:tr>
    </w:tbl>
    <w:p w:rsidR="004764FB" w:rsidRPr="004764FB" w:rsidRDefault="004764FB" w:rsidP="004764FB">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521"/>
      </w:tblGrid>
      <w:tr w:rsidR="004764FB" w:rsidRPr="004764FB" w:rsidTr="00AF7144">
        <w:tc>
          <w:tcPr>
            <w:tcW w:w="9503" w:type="dxa"/>
            <w:gridSpan w:val="3"/>
          </w:tcPr>
          <w:p w:rsidR="004764FB" w:rsidRPr="004764FB" w:rsidRDefault="004764FB" w:rsidP="00AF7144">
            <w:pPr>
              <w:pStyle w:val="naisnod"/>
              <w:spacing w:before="0" w:beforeAutospacing="0" w:after="0" w:afterAutospacing="0"/>
              <w:jc w:val="center"/>
              <w:rPr>
                <w:b/>
                <w:color w:val="000000" w:themeColor="text1"/>
              </w:rPr>
            </w:pPr>
            <w:r w:rsidRPr="004764FB">
              <w:rPr>
                <w:b/>
                <w:color w:val="000000" w:themeColor="text1"/>
              </w:rPr>
              <w:lastRenderedPageBreak/>
              <w:t>II.  Tiesību akta projekta ietekme uz sabiedrību, tautsaimniecības attīstību un administratīvo slogu</w:t>
            </w:r>
          </w:p>
        </w:tc>
      </w:tr>
      <w:tr w:rsidR="004764FB" w:rsidRPr="004764FB" w:rsidTr="00AF7144">
        <w:trPr>
          <w:trHeight w:val="281"/>
        </w:trPr>
        <w:tc>
          <w:tcPr>
            <w:tcW w:w="289" w:type="dxa"/>
          </w:tcPr>
          <w:p w:rsidR="004764FB" w:rsidRPr="004764FB" w:rsidRDefault="004764FB" w:rsidP="00AF7144">
            <w:pPr>
              <w:pStyle w:val="naiskr"/>
              <w:spacing w:before="0" w:beforeAutospacing="0" w:after="0" w:afterAutospacing="0"/>
              <w:ind w:hanging="10"/>
              <w:jc w:val="both"/>
              <w:rPr>
                <w:color w:val="000000" w:themeColor="text1"/>
              </w:rPr>
            </w:pPr>
            <w:r w:rsidRPr="004764FB">
              <w:rPr>
                <w:color w:val="000000" w:themeColor="text1"/>
              </w:rPr>
              <w:t>1.</w:t>
            </w:r>
          </w:p>
        </w:tc>
        <w:tc>
          <w:tcPr>
            <w:tcW w:w="2693" w:type="dxa"/>
          </w:tcPr>
          <w:p w:rsidR="004764FB" w:rsidRPr="004764FB" w:rsidRDefault="004764FB" w:rsidP="00AF7144">
            <w:pPr>
              <w:pStyle w:val="naiskr"/>
              <w:spacing w:before="0" w:beforeAutospacing="0" w:after="0" w:afterAutospacing="0"/>
              <w:ind w:right="152" w:hanging="10"/>
              <w:jc w:val="both"/>
              <w:rPr>
                <w:color w:val="000000" w:themeColor="text1"/>
              </w:rPr>
            </w:pPr>
            <w:r w:rsidRPr="004764FB">
              <w:rPr>
                <w:color w:val="000000" w:themeColor="text1"/>
              </w:rPr>
              <w:t xml:space="preserve">Sabiedrības </w:t>
            </w:r>
            <w:proofErr w:type="spellStart"/>
            <w:r w:rsidRPr="004764FB">
              <w:rPr>
                <w:color w:val="000000" w:themeColor="text1"/>
              </w:rPr>
              <w:t>mērķgrupas</w:t>
            </w:r>
            <w:proofErr w:type="spellEnd"/>
            <w:r w:rsidRPr="004764FB">
              <w:rPr>
                <w:color w:val="000000" w:themeColor="text1"/>
              </w:rPr>
              <w:t xml:space="preserve">, kuras tiesiskais regulējums ietekmē </w:t>
            </w:r>
            <w:bookmarkStart w:id="4" w:name="_GoBack"/>
            <w:bookmarkEnd w:id="4"/>
            <w:r w:rsidRPr="004764FB">
              <w:rPr>
                <w:color w:val="000000" w:themeColor="text1"/>
              </w:rPr>
              <w:t>vai varētu ietekmēt</w:t>
            </w:r>
          </w:p>
        </w:tc>
        <w:tc>
          <w:tcPr>
            <w:tcW w:w="6521" w:type="dxa"/>
          </w:tcPr>
          <w:p w:rsidR="004764FB" w:rsidRPr="004764FB" w:rsidRDefault="004764FB" w:rsidP="00AF7144">
            <w:pPr>
              <w:pStyle w:val="Default"/>
              <w:ind w:right="152"/>
              <w:jc w:val="both"/>
              <w:rPr>
                <w:rFonts w:ascii="Times New Roman" w:hAnsi="Times New Roman" w:cs="Times New Roman"/>
                <w:color w:val="000000" w:themeColor="text1"/>
              </w:rPr>
            </w:pPr>
            <w:r w:rsidRPr="004764FB">
              <w:rPr>
                <w:rFonts w:ascii="Times New Roman" w:hAnsi="Times New Roman" w:cs="Times New Roman"/>
                <w:color w:val="000000" w:themeColor="text1"/>
              </w:rPr>
              <w:t xml:space="preserve">Pēc Ministru kabineta noteikumu projektā definētajiem kritērijiem, aizsargātie lietotāji varētu būt vairāk kā 40 neelektrificētās ēkas, kuru īpašnieki nākotnē varētu pieteikties uz </w:t>
            </w:r>
            <w:proofErr w:type="spellStart"/>
            <w:r w:rsidRPr="004764FB">
              <w:rPr>
                <w:rFonts w:ascii="Times New Roman" w:hAnsi="Times New Roman" w:cs="Times New Roman"/>
                <w:color w:val="000000" w:themeColor="text1"/>
              </w:rPr>
              <w:t>pieslēguma</w:t>
            </w:r>
            <w:proofErr w:type="spellEnd"/>
            <w:r w:rsidRPr="004764FB">
              <w:rPr>
                <w:rFonts w:ascii="Times New Roman" w:hAnsi="Times New Roman" w:cs="Times New Roman"/>
                <w:color w:val="000000" w:themeColor="text1"/>
              </w:rPr>
              <w:t xml:space="preserve"> ierīkošanu.</w:t>
            </w:r>
          </w:p>
        </w:tc>
      </w:tr>
      <w:tr w:rsidR="004764FB" w:rsidRPr="004764FB" w:rsidTr="00AF7144">
        <w:trPr>
          <w:trHeight w:val="472"/>
        </w:trPr>
        <w:tc>
          <w:tcPr>
            <w:tcW w:w="289" w:type="dxa"/>
          </w:tcPr>
          <w:p w:rsidR="004764FB" w:rsidRPr="004764FB" w:rsidRDefault="004764FB" w:rsidP="00AF7144">
            <w:pPr>
              <w:jc w:val="both"/>
              <w:rPr>
                <w:color w:val="000000" w:themeColor="text1"/>
              </w:rPr>
            </w:pPr>
            <w:r w:rsidRPr="004764FB">
              <w:rPr>
                <w:color w:val="000000" w:themeColor="text1"/>
              </w:rPr>
              <w:t>2.</w:t>
            </w:r>
          </w:p>
        </w:tc>
        <w:tc>
          <w:tcPr>
            <w:tcW w:w="2693" w:type="dxa"/>
          </w:tcPr>
          <w:p w:rsidR="004764FB" w:rsidRPr="004764FB" w:rsidRDefault="004764FB" w:rsidP="00AF7144">
            <w:pPr>
              <w:ind w:right="152"/>
              <w:jc w:val="both"/>
              <w:rPr>
                <w:color w:val="000000" w:themeColor="text1"/>
              </w:rPr>
            </w:pPr>
            <w:r w:rsidRPr="004764FB">
              <w:rPr>
                <w:color w:val="000000" w:themeColor="text1"/>
              </w:rPr>
              <w:t>Tiesiskā regulējuma ietekme uz tautsaimniecību un administratīvo slogu</w:t>
            </w:r>
          </w:p>
        </w:tc>
        <w:tc>
          <w:tcPr>
            <w:tcW w:w="6521" w:type="dxa"/>
          </w:tcPr>
          <w:p w:rsidR="004764FB" w:rsidRPr="004764FB" w:rsidRDefault="004764FB" w:rsidP="00AF7144">
            <w:pPr>
              <w:ind w:left="132" w:right="152"/>
              <w:jc w:val="both"/>
              <w:rPr>
                <w:color w:val="000000"/>
              </w:rPr>
            </w:pPr>
            <w:r w:rsidRPr="004764FB">
              <w:rPr>
                <w:color w:val="000000"/>
              </w:rPr>
              <w:t>Papildus administratīvais slogs veidosies:</w:t>
            </w:r>
          </w:p>
          <w:p w:rsidR="004764FB" w:rsidRPr="004764FB" w:rsidRDefault="004764FB" w:rsidP="004764FB">
            <w:pPr>
              <w:pStyle w:val="ListParagraph"/>
              <w:numPr>
                <w:ilvl w:val="0"/>
                <w:numId w:val="1"/>
              </w:numPr>
              <w:spacing w:after="0" w:line="240" w:lineRule="auto"/>
              <w:ind w:left="557" w:right="153" w:hanging="357"/>
              <w:jc w:val="both"/>
              <w:rPr>
                <w:color w:val="000000"/>
                <w:sz w:val="24"/>
                <w:szCs w:val="24"/>
              </w:rPr>
            </w:pPr>
            <w:r w:rsidRPr="004764FB">
              <w:rPr>
                <w:color w:val="000000"/>
                <w:sz w:val="24"/>
                <w:szCs w:val="24"/>
              </w:rPr>
              <w:t xml:space="preserve">Ekonomikas ministrijai saistībā ar aizsargātā lietotāja </w:t>
            </w:r>
            <w:proofErr w:type="spellStart"/>
            <w:r w:rsidRPr="004764FB">
              <w:rPr>
                <w:color w:val="000000"/>
                <w:sz w:val="24"/>
                <w:szCs w:val="24"/>
              </w:rPr>
              <w:t>pieslēguma</w:t>
            </w:r>
            <w:proofErr w:type="spellEnd"/>
            <w:r w:rsidRPr="004764FB">
              <w:rPr>
                <w:color w:val="000000"/>
                <w:sz w:val="24"/>
                <w:szCs w:val="24"/>
              </w:rPr>
              <w:t xml:space="preserve"> nodrošināšanas uzraudzību;</w:t>
            </w:r>
          </w:p>
          <w:p w:rsidR="004764FB" w:rsidRPr="004764FB" w:rsidRDefault="004764FB" w:rsidP="004764FB">
            <w:pPr>
              <w:pStyle w:val="ListParagraph"/>
              <w:numPr>
                <w:ilvl w:val="0"/>
                <w:numId w:val="1"/>
              </w:numPr>
              <w:spacing w:after="0" w:line="240" w:lineRule="auto"/>
              <w:ind w:left="557" w:right="153" w:hanging="357"/>
              <w:jc w:val="both"/>
              <w:rPr>
                <w:color w:val="000000"/>
                <w:sz w:val="24"/>
                <w:szCs w:val="24"/>
              </w:rPr>
            </w:pPr>
            <w:r w:rsidRPr="004764FB">
              <w:rPr>
                <w:rFonts w:eastAsiaTheme="minorEastAsia"/>
                <w:sz w:val="24"/>
                <w:szCs w:val="24"/>
                <w:shd w:val="clear" w:color="auto" w:fill="FFFFFF"/>
              </w:rPr>
              <w:t xml:space="preserve">sadales sistēmas operatoram pieprasīto datu apstrādes procesā un attiecīgo </w:t>
            </w:r>
            <w:proofErr w:type="spellStart"/>
            <w:r w:rsidRPr="004764FB">
              <w:rPr>
                <w:rFonts w:eastAsiaTheme="minorEastAsia"/>
                <w:sz w:val="24"/>
                <w:szCs w:val="24"/>
                <w:shd w:val="clear" w:color="auto" w:fill="FFFFFF"/>
              </w:rPr>
              <w:t>pieslēgumu</w:t>
            </w:r>
            <w:proofErr w:type="spellEnd"/>
            <w:r w:rsidRPr="004764FB">
              <w:rPr>
                <w:rFonts w:eastAsiaTheme="minorEastAsia"/>
                <w:sz w:val="24"/>
                <w:szCs w:val="24"/>
                <w:shd w:val="clear" w:color="auto" w:fill="FFFFFF"/>
              </w:rPr>
              <w:t xml:space="preserve"> ierīkošanas procesā.</w:t>
            </w:r>
          </w:p>
        </w:tc>
      </w:tr>
      <w:tr w:rsidR="004764FB" w:rsidRPr="004764FB" w:rsidTr="00AF7144">
        <w:trPr>
          <w:trHeight w:val="50"/>
        </w:trPr>
        <w:tc>
          <w:tcPr>
            <w:tcW w:w="289" w:type="dxa"/>
          </w:tcPr>
          <w:p w:rsidR="004764FB" w:rsidRPr="004764FB" w:rsidRDefault="004764FB" w:rsidP="00AF7144">
            <w:pPr>
              <w:jc w:val="both"/>
              <w:rPr>
                <w:color w:val="000000" w:themeColor="text1"/>
              </w:rPr>
            </w:pPr>
            <w:r w:rsidRPr="004764FB">
              <w:rPr>
                <w:color w:val="000000" w:themeColor="text1"/>
              </w:rPr>
              <w:t>3.</w:t>
            </w:r>
          </w:p>
        </w:tc>
        <w:tc>
          <w:tcPr>
            <w:tcW w:w="2693" w:type="dxa"/>
          </w:tcPr>
          <w:p w:rsidR="004764FB" w:rsidRPr="004764FB" w:rsidRDefault="004764FB" w:rsidP="00AF7144">
            <w:pPr>
              <w:jc w:val="both"/>
              <w:rPr>
                <w:color w:val="000000" w:themeColor="text1"/>
              </w:rPr>
            </w:pPr>
            <w:r w:rsidRPr="004764FB">
              <w:rPr>
                <w:color w:val="000000" w:themeColor="text1"/>
              </w:rPr>
              <w:t>Administratīvo izmaksu monetārs novērtējums</w:t>
            </w:r>
          </w:p>
        </w:tc>
        <w:tc>
          <w:tcPr>
            <w:tcW w:w="6521" w:type="dxa"/>
          </w:tcPr>
          <w:p w:rsidR="004764FB" w:rsidRPr="004764FB" w:rsidRDefault="004764FB" w:rsidP="00AF7144">
            <w:pPr>
              <w:ind w:left="132" w:right="152"/>
              <w:jc w:val="both"/>
            </w:pPr>
            <w:r w:rsidRPr="004764FB">
              <w:t xml:space="preserve">Administratīvo izmaksu pieaugumu  sadales sistēmas operatoram </w:t>
            </w:r>
            <w:r w:rsidRPr="004764FB">
              <w:rPr>
                <w:color w:val="000000"/>
              </w:rPr>
              <w:t>šobrīd nav iespējams noteikt, jo tas atkarīgs no darba organizācijas, un papildus funkcijas tiks nodrošinātas  esošā finansējuma ietvaros</w:t>
            </w:r>
            <w:r w:rsidRPr="004764FB" w:rsidDel="00322D6D">
              <w:rPr>
                <w:color w:val="000000"/>
              </w:rPr>
              <w:t xml:space="preserve"> </w:t>
            </w:r>
            <w:r w:rsidRPr="004764FB">
              <w:rPr>
                <w:color w:val="000000"/>
              </w:rPr>
              <w:t>.</w:t>
            </w:r>
            <w:r w:rsidRPr="004764FB">
              <w:t xml:space="preserve"> </w:t>
            </w:r>
          </w:p>
        </w:tc>
      </w:tr>
      <w:tr w:rsidR="004764FB" w:rsidRPr="004764FB" w:rsidTr="00AF7144">
        <w:trPr>
          <w:trHeight w:val="274"/>
        </w:trPr>
        <w:tc>
          <w:tcPr>
            <w:tcW w:w="289" w:type="dxa"/>
          </w:tcPr>
          <w:p w:rsidR="004764FB" w:rsidRPr="004764FB" w:rsidRDefault="004764FB" w:rsidP="00AF7144">
            <w:pPr>
              <w:jc w:val="both"/>
              <w:rPr>
                <w:color w:val="000000" w:themeColor="text1"/>
              </w:rPr>
            </w:pPr>
            <w:r w:rsidRPr="004764FB">
              <w:rPr>
                <w:color w:val="000000" w:themeColor="text1"/>
              </w:rPr>
              <w:t>4.</w:t>
            </w:r>
          </w:p>
        </w:tc>
        <w:tc>
          <w:tcPr>
            <w:tcW w:w="2693" w:type="dxa"/>
          </w:tcPr>
          <w:p w:rsidR="004764FB" w:rsidRPr="004764FB" w:rsidRDefault="004764FB" w:rsidP="00AF7144">
            <w:pPr>
              <w:jc w:val="both"/>
              <w:rPr>
                <w:color w:val="000000" w:themeColor="text1"/>
              </w:rPr>
            </w:pPr>
            <w:r w:rsidRPr="004764FB">
              <w:rPr>
                <w:color w:val="000000" w:themeColor="text1"/>
              </w:rPr>
              <w:t>Cita informācija</w:t>
            </w:r>
          </w:p>
        </w:tc>
        <w:tc>
          <w:tcPr>
            <w:tcW w:w="6521" w:type="dxa"/>
          </w:tcPr>
          <w:p w:rsidR="004764FB" w:rsidRPr="004764FB" w:rsidRDefault="004764FB" w:rsidP="00AF7144">
            <w:pPr>
              <w:rPr>
                <w:color w:val="000000" w:themeColor="text1"/>
              </w:rPr>
            </w:pPr>
            <w:r w:rsidRPr="004764FB">
              <w:t>Noteikumu projekts tiks īstenots Ekonomikas ministrijas apakšprogrammā 29.02.00 “Elektroenerģijas lietotāju atbalsts” piešķirto valsts budžeta līdzekļu ietvaros.</w:t>
            </w:r>
          </w:p>
        </w:tc>
      </w:tr>
    </w:tbl>
    <w:p w:rsidR="004764FB" w:rsidRPr="004764FB" w:rsidRDefault="004764FB" w:rsidP="004764FB">
      <w:pPr>
        <w:pStyle w:val="naisf"/>
        <w:tabs>
          <w:tab w:val="left" w:pos="5760"/>
        </w:tabs>
        <w:spacing w:before="0" w:beforeAutospacing="0" w:after="0" w:afterAutospacing="0"/>
        <w:rPr>
          <w:color w:val="000000" w:themeColor="text1"/>
        </w:rPr>
      </w:pPr>
    </w:p>
    <w:p w:rsidR="004764FB" w:rsidRPr="004764FB" w:rsidRDefault="004764FB" w:rsidP="004764FB">
      <w:pPr>
        <w:pStyle w:val="naisf"/>
        <w:tabs>
          <w:tab w:val="left" w:pos="5760"/>
        </w:tabs>
        <w:spacing w:before="0" w:beforeAutospacing="0" w:after="0" w:afterAutospacing="0"/>
        <w:rPr>
          <w:color w:val="000000" w:themeColor="text1"/>
        </w:rPr>
      </w:pPr>
    </w:p>
    <w:tbl>
      <w:tblPr>
        <w:tblpPr w:leftFromText="180" w:rightFromText="180" w:vertAnchor="text" w:horzAnchor="margin" w:tblpX="-157" w:tblpY="2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572"/>
        <w:gridCol w:w="6354"/>
      </w:tblGrid>
      <w:tr w:rsidR="004764FB" w:rsidRPr="004764FB" w:rsidTr="00AF7144">
        <w:tc>
          <w:tcPr>
            <w:tcW w:w="9493" w:type="dxa"/>
            <w:gridSpan w:val="3"/>
            <w:vAlign w:val="center"/>
          </w:tcPr>
          <w:p w:rsidR="004764FB" w:rsidRPr="004764FB" w:rsidRDefault="004764FB" w:rsidP="00AF7144">
            <w:pPr>
              <w:pStyle w:val="naisnod"/>
              <w:spacing w:before="0" w:beforeAutospacing="0" w:after="0" w:afterAutospacing="0"/>
              <w:jc w:val="center"/>
              <w:rPr>
                <w:b/>
                <w:color w:val="000000" w:themeColor="text1"/>
              </w:rPr>
            </w:pPr>
            <w:r w:rsidRPr="004764FB">
              <w:rPr>
                <w:b/>
                <w:color w:val="000000" w:themeColor="text1"/>
              </w:rPr>
              <w:t>VI. Sabiedrības līdzdalība un komunikācijas aktivitātes</w:t>
            </w:r>
          </w:p>
        </w:tc>
      </w:tr>
      <w:tr w:rsidR="004764FB" w:rsidRPr="004764FB" w:rsidTr="00AF7144">
        <w:trPr>
          <w:trHeight w:val="630"/>
        </w:trPr>
        <w:tc>
          <w:tcPr>
            <w:tcW w:w="567"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1.</w:t>
            </w:r>
          </w:p>
        </w:tc>
        <w:tc>
          <w:tcPr>
            <w:tcW w:w="2572" w:type="dxa"/>
          </w:tcPr>
          <w:p w:rsidR="004764FB" w:rsidRPr="004764FB" w:rsidRDefault="004764FB" w:rsidP="00AF7144">
            <w:pPr>
              <w:rPr>
                <w:color w:val="000000" w:themeColor="text1"/>
              </w:rPr>
            </w:pPr>
            <w:r w:rsidRPr="004764FB">
              <w:rPr>
                <w:color w:val="000000" w:themeColor="text1"/>
              </w:rPr>
              <w:t>Plānotās sabiedrības līdzdalības un komunikācijas aktivitātes saistībā ar projektu</w:t>
            </w:r>
          </w:p>
        </w:tc>
        <w:tc>
          <w:tcPr>
            <w:tcW w:w="6354" w:type="dxa"/>
          </w:tcPr>
          <w:p w:rsidR="004764FB" w:rsidRPr="004764FB" w:rsidRDefault="004764FB" w:rsidP="00AF7144">
            <w:pPr>
              <w:ind w:right="142"/>
              <w:jc w:val="both"/>
              <w:rPr>
                <w:color w:val="000000" w:themeColor="text1"/>
              </w:rPr>
            </w:pPr>
            <w:r w:rsidRPr="004764FB">
              <w:rPr>
                <w:color w:val="000000" w:themeColor="text1"/>
              </w:rPr>
              <w:t>Noteikumu projekts ievietots publiskai apspriešanai Ekonomikas ministrijas tīmekļa vietnē.</w:t>
            </w:r>
          </w:p>
        </w:tc>
      </w:tr>
      <w:tr w:rsidR="004764FB" w:rsidRPr="004764FB" w:rsidTr="00AF7144">
        <w:trPr>
          <w:trHeight w:val="472"/>
        </w:trPr>
        <w:tc>
          <w:tcPr>
            <w:tcW w:w="567"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2.</w:t>
            </w:r>
          </w:p>
        </w:tc>
        <w:tc>
          <w:tcPr>
            <w:tcW w:w="2572" w:type="dxa"/>
          </w:tcPr>
          <w:p w:rsidR="004764FB" w:rsidRPr="004764FB" w:rsidRDefault="004764FB" w:rsidP="00AF7144">
            <w:pPr>
              <w:rPr>
                <w:color w:val="000000" w:themeColor="text1"/>
              </w:rPr>
            </w:pPr>
            <w:r w:rsidRPr="004764FB">
              <w:rPr>
                <w:color w:val="000000" w:themeColor="text1"/>
              </w:rPr>
              <w:t>Sabiedrības līdzdalība projekta izstrādē</w:t>
            </w:r>
          </w:p>
        </w:tc>
        <w:tc>
          <w:tcPr>
            <w:tcW w:w="6354" w:type="dxa"/>
          </w:tcPr>
          <w:p w:rsidR="004764FB" w:rsidRPr="004764FB" w:rsidRDefault="004764FB" w:rsidP="00AF7144">
            <w:pPr>
              <w:jc w:val="both"/>
              <w:rPr>
                <w:color w:val="000000" w:themeColor="text1"/>
              </w:rPr>
            </w:pPr>
            <w:r w:rsidRPr="004764FB">
              <w:t xml:space="preserve">Nav. </w:t>
            </w:r>
          </w:p>
        </w:tc>
      </w:tr>
      <w:tr w:rsidR="004764FB" w:rsidRPr="004764FB" w:rsidTr="00AF7144">
        <w:trPr>
          <w:trHeight w:val="211"/>
        </w:trPr>
        <w:tc>
          <w:tcPr>
            <w:tcW w:w="567"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3.</w:t>
            </w:r>
          </w:p>
        </w:tc>
        <w:tc>
          <w:tcPr>
            <w:tcW w:w="2572" w:type="dxa"/>
          </w:tcPr>
          <w:p w:rsidR="004764FB" w:rsidRPr="004764FB" w:rsidRDefault="004764FB" w:rsidP="00AF7144">
            <w:pPr>
              <w:rPr>
                <w:color w:val="000000" w:themeColor="text1"/>
              </w:rPr>
            </w:pPr>
            <w:r w:rsidRPr="004764FB">
              <w:rPr>
                <w:color w:val="000000" w:themeColor="text1"/>
              </w:rPr>
              <w:t>Sabiedrības līdzdalības rezultāti</w:t>
            </w:r>
          </w:p>
        </w:tc>
        <w:tc>
          <w:tcPr>
            <w:tcW w:w="6354" w:type="dxa"/>
          </w:tcPr>
          <w:p w:rsidR="004764FB" w:rsidRPr="004764FB" w:rsidRDefault="004764FB" w:rsidP="00AF7144">
            <w:pPr>
              <w:jc w:val="both"/>
              <w:rPr>
                <w:color w:val="000000" w:themeColor="text1"/>
              </w:rPr>
            </w:pPr>
            <w:r w:rsidRPr="004764FB">
              <w:rPr>
                <w:color w:val="000000" w:themeColor="text1"/>
              </w:rPr>
              <w:t>Projekts šo jomu neskar.</w:t>
            </w:r>
          </w:p>
        </w:tc>
      </w:tr>
      <w:tr w:rsidR="004764FB" w:rsidRPr="004764FB" w:rsidTr="00AF7144">
        <w:trPr>
          <w:trHeight w:val="384"/>
        </w:trPr>
        <w:tc>
          <w:tcPr>
            <w:tcW w:w="567"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4.</w:t>
            </w:r>
          </w:p>
        </w:tc>
        <w:tc>
          <w:tcPr>
            <w:tcW w:w="2572" w:type="dxa"/>
          </w:tcPr>
          <w:p w:rsidR="004764FB" w:rsidRPr="004764FB" w:rsidRDefault="004764FB" w:rsidP="00AF7144">
            <w:pPr>
              <w:rPr>
                <w:color w:val="000000" w:themeColor="text1"/>
              </w:rPr>
            </w:pPr>
            <w:r w:rsidRPr="004764FB">
              <w:rPr>
                <w:color w:val="000000" w:themeColor="text1"/>
              </w:rPr>
              <w:t>Cita informācija</w:t>
            </w:r>
          </w:p>
        </w:tc>
        <w:tc>
          <w:tcPr>
            <w:tcW w:w="6354" w:type="dxa"/>
          </w:tcPr>
          <w:p w:rsidR="004764FB" w:rsidRPr="004764FB" w:rsidRDefault="004764FB" w:rsidP="00AF7144">
            <w:pPr>
              <w:rPr>
                <w:color w:val="000000" w:themeColor="text1"/>
              </w:rPr>
            </w:pPr>
            <w:r w:rsidRPr="004764FB">
              <w:rPr>
                <w:color w:val="000000" w:themeColor="text1"/>
              </w:rPr>
              <w:t>Nav.</w:t>
            </w:r>
          </w:p>
        </w:tc>
      </w:tr>
    </w:tbl>
    <w:p w:rsidR="004764FB" w:rsidRDefault="004764FB" w:rsidP="004764FB">
      <w:pPr>
        <w:rPr>
          <w:color w:val="000000" w:themeColor="text1"/>
        </w:rPr>
      </w:pPr>
    </w:p>
    <w:p w:rsidR="007571C4" w:rsidRDefault="007571C4" w:rsidP="004764FB">
      <w:pPr>
        <w:rPr>
          <w:color w:val="000000" w:themeColor="text1"/>
        </w:rPr>
      </w:pPr>
    </w:p>
    <w:p w:rsidR="007571C4" w:rsidRPr="004764FB" w:rsidRDefault="007571C4" w:rsidP="004764FB">
      <w:pPr>
        <w:rPr>
          <w:color w:val="000000" w:themeColor="text1"/>
        </w:rPr>
      </w:pPr>
    </w:p>
    <w:tbl>
      <w:tblPr>
        <w:tblpPr w:leftFromText="180" w:rightFromText="180" w:vertAnchor="text" w:horzAnchor="margin" w:tblpX="-189" w:tblpY="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96"/>
        <w:gridCol w:w="6435"/>
      </w:tblGrid>
      <w:tr w:rsidR="004764FB" w:rsidRPr="004764FB" w:rsidTr="00AF7144">
        <w:tc>
          <w:tcPr>
            <w:tcW w:w="9493" w:type="dxa"/>
            <w:gridSpan w:val="3"/>
            <w:vAlign w:val="center"/>
          </w:tcPr>
          <w:p w:rsidR="004764FB" w:rsidRPr="004764FB" w:rsidRDefault="004764FB" w:rsidP="00AF7144">
            <w:pPr>
              <w:pStyle w:val="naisnod"/>
              <w:spacing w:before="0" w:beforeAutospacing="0" w:after="0" w:afterAutospacing="0"/>
              <w:jc w:val="center"/>
              <w:rPr>
                <w:b/>
                <w:color w:val="000000" w:themeColor="text1"/>
              </w:rPr>
            </w:pPr>
            <w:r w:rsidRPr="004764FB">
              <w:rPr>
                <w:b/>
                <w:color w:val="000000" w:themeColor="text1"/>
              </w:rPr>
              <w:t>VII. Tiesību akta projekta izpildes nodrošināšana un tās ietekme uz institūcijām</w:t>
            </w:r>
          </w:p>
        </w:tc>
      </w:tr>
      <w:tr w:rsidR="004764FB" w:rsidRPr="004764FB" w:rsidTr="00AF7144">
        <w:trPr>
          <w:trHeight w:val="128"/>
        </w:trPr>
        <w:tc>
          <w:tcPr>
            <w:tcW w:w="562"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1.</w:t>
            </w:r>
          </w:p>
        </w:tc>
        <w:tc>
          <w:tcPr>
            <w:tcW w:w="2496" w:type="dxa"/>
          </w:tcPr>
          <w:p w:rsidR="004764FB" w:rsidRPr="004764FB" w:rsidRDefault="004764FB" w:rsidP="00AF7144">
            <w:pPr>
              <w:rPr>
                <w:color w:val="000000" w:themeColor="text1"/>
              </w:rPr>
            </w:pPr>
            <w:r w:rsidRPr="004764FB">
              <w:rPr>
                <w:color w:val="000000" w:themeColor="text1"/>
              </w:rPr>
              <w:t>Projekta izpildē iesaistītās institūcijas</w:t>
            </w:r>
          </w:p>
        </w:tc>
        <w:tc>
          <w:tcPr>
            <w:tcW w:w="6435" w:type="dxa"/>
          </w:tcPr>
          <w:p w:rsidR="004764FB" w:rsidRPr="004764FB" w:rsidRDefault="004764FB" w:rsidP="00AF7144">
            <w:pPr>
              <w:jc w:val="both"/>
              <w:rPr>
                <w:b/>
                <w:color w:val="000000" w:themeColor="text1"/>
              </w:rPr>
            </w:pPr>
            <w:r w:rsidRPr="004764FB">
              <w:t>Ekonomikas ministrija,  pašvaldības, Pilsonības un migrācijas lietu pārvalde, Veselības un darbspēju ekspertīzes ārstu valsts komisija,   sadales sistēmas operators.</w:t>
            </w:r>
          </w:p>
        </w:tc>
      </w:tr>
      <w:tr w:rsidR="004764FB" w:rsidRPr="004764FB" w:rsidTr="00AF7144">
        <w:trPr>
          <w:trHeight w:val="472"/>
        </w:trPr>
        <w:tc>
          <w:tcPr>
            <w:tcW w:w="562"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2.</w:t>
            </w:r>
          </w:p>
        </w:tc>
        <w:tc>
          <w:tcPr>
            <w:tcW w:w="2496" w:type="dxa"/>
          </w:tcPr>
          <w:p w:rsidR="004764FB" w:rsidRPr="004764FB" w:rsidRDefault="004764FB" w:rsidP="00AF7144">
            <w:pPr>
              <w:rPr>
                <w:color w:val="000000" w:themeColor="text1"/>
              </w:rPr>
            </w:pPr>
            <w:r w:rsidRPr="004764FB">
              <w:rPr>
                <w:color w:val="000000" w:themeColor="text1"/>
              </w:rPr>
              <w:t xml:space="preserve">Projekta izpildes ietekme uz pārvaldes funkcijām un institucionālo struktūru. </w:t>
            </w:r>
          </w:p>
          <w:p w:rsidR="004764FB" w:rsidRPr="004764FB" w:rsidRDefault="004764FB" w:rsidP="00AF7144">
            <w:pPr>
              <w:rPr>
                <w:color w:val="000000" w:themeColor="text1"/>
              </w:rPr>
            </w:pPr>
            <w:r w:rsidRPr="004764FB">
              <w:rPr>
                <w:color w:val="000000" w:themeColor="text1"/>
              </w:rPr>
              <w:t>Jaunu institūciju izveide, esošu institūciju likvidācija vai reorganizācija, to ietekme uz institūcijas cilvēkresursiem</w:t>
            </w:r>
          </w:p>
        </w:tc>
        <w:tc>
          <w:tcPr>
            <w:tcW w:w="6435" w:type="dxa"/>
          </w:tcPr>
          <w:p w:rsidR="004764FB" w:rsidRPr="004764FB" w:rsidRDefault="004764FB" w:rsidP="00AF7144">
            <w:pPr>
              <w:pStyle w:val="naisnod"/>
              <w:spacing w:before="0" w:beforeAutospacing="0" w:after="0" w:afterAutospacing="0"/>
              <w:ind w:left="57" w:right="57"/>
              <w:jc w:val="both"/>
              <w:rPr>
                <w:b/>
                <w:color w:val="000000" w:themeColor="text1"/>
              </w:rPr>
            </w:pPr>
            <w:r w:rsidRPr="004764FB">
              <w:rPr>
                <w:color w:val="000000" w:themeColor="text1"/>
              </w:rPr>
              <w:t xml:space="preserve">Normatīvā akta izpilde tiks nodrošināta esošo valsts institūciju funkciju ietvaros un tas </w:t>
            </w:r>
            <w:r w:rsidRPr="004764FB">
              <w:t xml:space="preserve"> neietekmēs institūcijām pieejamos cilvēkresursus.</w:t>
            </w:r>
          </w:p>
        </w:tc>
      </w:tr>
      <w:tr w:rsidR="004764FB" w:rsidRPr="004764FB" w:rsidTr="00AF7144">
        <w:trPr>
          <w:trHeight w:val="156"/>
        </w:trPr>
        <w:tc>
          <w:tcPr>
            <w:tcW w:w="562"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3.</w:t>
            </w:r>
          </w:p>
        </w:tc>
        <w:tc>
          <w:tcPr>
            <w:tcW w:w="2496" w:type="dxa"/>
          </w:tcPr>
          <w:p w:rsidR="004764FB" w:rsidRPr="004764FB" w:rsidRDefault="004764FB" w:rsidP="00AF7144">
            <w:pPr>
              <w:rPr>
                <w:color w:val="000000" w:themeColor="text1"/>
              </w:rPr>
            </w:pPr>
            <w:r w:rsidRPr="004764FB">
              <w:rPr>
                <w:color w:val="000000" w:themeColor="text1"/>
              </w:rPr>
              <w:t>Cita informācija</w:t>
            </w:r>
          </w:p>
        </w:tc>
        <w:tc>
          <w:tcPr>
            <w:tcW w:w="6435" w:type="dxa"/>
          </w:tcPr>
          <w:p w:rsidR="004764FB" w:rsidRPr="004764FB" w:rsidRDefault="004764FB" w:rsidP="00AF7144">
            <w:pPr>
              <w:pStyle w:val="naisnod"/>
              <w:spacing w:before="0" w:beforeAutospacing="0" w:after="0" w:afterAutospacing="0"/>
              <w:ind w:left="57" w:right="57"/>
              <w:jc w:val="both"/>
              <w:rPr>
                <w:b/>
                <w:color w:val="000000" w:themeColor="text1"/>
              </w:rPr>
            </w:pPr>
            <w:r w:rsidRPr="004764FB">
              <w:rPr>
                <w:color w:val="000000" w:themeColor="text1"/>
              </w:rPr>
              <w:t>Nav.</w:t>
            </w:r>
          </w:p>
        </w:tc>
      </w:tr>
    </w:tbl>
    <w:p w:rsidR="007571C4" w:rsidRDefault="004764FB" w:rsidP="007571C4">
      <w:pPr>
        <w:pStyle w:val="naisc"/>
        <w:spacing w:before="0" w:after="0"/>
        <w:ind w:firstLine="426"/>
        <w:jc w:val="both"/>
        <w:rPr>
          <w:bCs/>
          <w:i/>
        </w:rPr>
      </w:pPr>
      <w:r w:rsidRPr="004764FB">
        <w:rPr>
          <w:bCs/>
          <w:i/>
        </w:rPr>
        <w:t>Anotācijas III, IV, V sadaļa – projekts šīs jomas neskar.</w:t>
      </w:r>
    </w:p>
    <w:p w:rsidR="004764FB" w:rsidRPr="007571C4" w:rsidRDefault="004764FB" w:rsidP="007571C4">
      <w:pPr>
        <w:pStyle w:val="naisc"/>
        <w:spacing w:before="0" w:after="0"/>
        <w:jc w:val="both"/>
        <w:rPr>
          <w:bCs/>
          <w:i/>
        </w:rPr>
      </w:pPr>
      <w:r w:rsidRPr="004764FB">
        <w:lastRenderedPageBreak/>
        <w:t>Ministru prezidenta biedrs,</w:t>
      </w:r>
    </w:p>
    <w:p w:rsidR="004764FB" w:rsidRPr="004764FB" w:rsidRDefault="004764FB" w:rsidP="004764FB">
      <w:pPr>
        <w:tabs>
          <w:tab w:val="right" w:pos="8931"/>
        </w:tabs>
        <w:ind w:right="140"/>
      </w:pPr>
      <w:r w:rsidRPr="004764FB">
        <w:t xml:space="preserve">ekonomikas ministrs                                                               </w:t>
      </w:r>
      <w:r>
        <w:tab/>
        <w:t xml:space="preserve"> </w:t>
      </w:r>
      <w:proofErr w:type="spellStart"/>
      <w:r w:rsidRPr="004764FB">
        <w:t>A.Ašeradens</w:t>
      </w:r>
      <w:proofErr w:type="spellEnd"/>
    </w:p>
    <w:p w:rsidR="004764FB" w:rsidRDefault="004764FB" w:rsidP="004764FB">
      <w:pPr>
        <w:ind w:left="567"/>
      </w:pPr>
    </w:p>
    <w:p w:rsidR="007571C4" w:rsidRPr="004764FB" w:rsidRDefault="007571C4" w:rsidP="004764FB">
      <w:pPr>
        <w:ind w:left="567"/>
      </w:pPr>
    </w:p>
    <w:p w:rsidR="004764FB" w:rsidRDefault="004764FB" w:rsidP="004764FB">
      <w:r w:rsidRPr="004764FB">
        <w:t>Vīza: Valsts sekretār</w:t>
      </w:r>
      <w:r>
        <w:t>a pienākumu izpildītāja,</w:t>
      </w:r>
    </w:p>
    <w:p w:rsidR="004764FB" w:rsidRPr="004764FB" w:rsidRDefault="004764FB" w:rsidP="004764FB">
      <w:pPr>
        <w:tabs>
          <w:tab w:val="right" w:pos="8931"/>
        </w:tabs>
      </w:pPr>
      <w:r>
        <w:t>Administrācijas vadītāja</w:t>
      </w:r>
      <w:r w:rsidRPr="004764FB">
        <w:t xml:space="preserve">                                                             </w:t>
      </w:r>
      <w:r>
        <w:tab/>
      </w:r>
      <w:proofErr w:type="spellStart"/>
      <w:r>
        <w:t>I.Jaunzeme</w:t>
      </w:r>
      <w:proofErr w:type="spellEnd"/>
      <w:r w:rsidRPr="004764FB">
        <w:t xml:space="preserve"> </w:t>
      </w:r>
    </w:p>
    <w:p w:rsidR="004764FB" w:rsidRPr="004764FB" w:rsidRDefault="004764FB" w:rsidP="004764FB">
      <w:pPr>
        <w:rPr>
          <w:sz w:val="28"/>
          <w:szCs w:val="28"/>
        </w:rPr>
      </w:pPr>
    </w:p>
    <w:p w:rsidR="004764FB" w:rsidRPr="004764FB" w:rsidRDefault="007571C4" w:rsidP="004764FB">
      <w:pPr>
        <w:pStyle w:val="Header"/>
        <w:tabs>
          <w:tab w:val="clear" w:pos="4153"/>
          <w:tab w:val="clear" w:pos="8306"/>
        </w:tabs>
        <w:rPr>
          <w:sz w:val="20"/>
          <w:szCs w:val="20"/>
        </w:rPr>
      </w:pPr>
      <w:r>
        <w:rPr>
          <w:sz w:val="20"/>
          <w:szCs w:val="20"/>
        </w:rPr>
        <w:t>13.07.2017</w:t>
      </w:r>
      <w:r w:rsidR="004764FB" w:rsidRPr="004764FB">
        <w:rPr>
          <w:sz w:val="20"/>
          <w:szCs w:val="20"/>
        </w:rPr>
        <w:fldChar w:fldCharType="begin"/>
      </w:r>
      <w:r w:rsidR="004764FB" w:rsidRPr="004764FB">
        <w:rPr>
          <w:sz w:val="20"/>
          <w:szCs w:val="20"/>
        </w:rPr>
        <w:instrText xml:space="preserve"> DATE   \* MERGEFORMAT </w:instrText>
      </w:r>
      <w:r w:rsidR="004764FB" w:rsidRPr="004764FB">
        <w:rPr>
          <w:sz w:val="20"/>
          <w:szCs w:val="20"/>
        </w:rPr>
        <w:fldChar w:fldCharType="end"/>
      </w:r>
      <w:r w:rsidR="004764FB" w:rsidRPr="004764FB">
        <w:rPr>
          <w:sz w:val="20"/>
          <w:szCs w:val="20"/>
        </w:rPr>
        <w:t>. 09:48</w:t>
      </w:r>
    </w:p>
    <w:p w:rsidR="004764FB" w:rsidRPr="004764FB" w:rsidRDefault="004764FB" w:rsidP="004764FB">
      <w:pPr>
        <w:pStyle w:val="Header"/>
        <w:tabs>
          <w:tab w:val="clear" w:pos="4153"/>
          <w:tab w:val="clear" w:pos="8306"/>
        </w:tabs>
        <w:rPr>
          <w:sz w:val="20"/>
          <w:szCs w:val="20"/>
        </w:rPr>
      </w:pPr>
      <w:r w:rsidRPr="004764FB">
        <w:rPr>
          <w:sz w:val="20"/>
          <w:szCs w:val="20"/>
        </w:rPr>
        <w:fldChar w:fldCharType="begin"/>
      </w:r>
      <w:r w:rsidRPr="004764FB">
        <w:rPr>
          <w:sz w:val="20"/>
          <w:szCs w:val="20"/>
        </w:rPr>
        <w:instrText xml:space="preserve"> NUMWORDS   \* MERGEFORMAT </w:instrText>
      </w:r>
      <w:r w:rsidRPr="004764FB">
        <w:rPr>
          <w:sz w:val="20"/>
          <w:szCs w:val="20"/>
        </w:rPr>
        <w:fldChar w:fldCharType="separate"/>
      </w:r>
      <w:r w:rsidR="007571C4">
        <w:rPr>
          <w:noProof/>
          <w:sz w:val="20"/>
          <w:szCs w:val="20"/>
        </w:rPr>
        <w:t>1012</w:t>
      </w:r>
      <w:r w:rsidRPr="004764FB">
        <w:rPr>
          <w:sz w:val="20"/>
          <w:szCs w:val="20"/>
        </w:rPr>
        <w:fldChar w:fldCharType="end"/>
      </w:r>
    </w:p>
    <w:p w:rsidR="004764FB" w:rsidRPr="004764FB" w:rsidRDefault="004764FB" w:rsidP="004764FB">
      <w:pPr>
        <w:pStyle w:val="Header"/>
        <w:tabs>
          <w:tab w:val="clear" w:pos="4153"/>
          <w:tab w:val="clear" w:pos="8306"/>
        </w:tabs>
        <w:rPr>
          <w:sz w:val="20"/>
          <w:szCs w:val="20"/>
        </w:rPr>
      </w:pPr>
      <w:proofErr w:type="spellStart"/>
      <w:r w:rsidRPr="004764FB">
        <w:rPr>
          <w:sz w:val="20"/>
          <w:szCs w:val="20"/>
        </w:rPr>
        <w:t>M.Zjurikova</w:t>
      </w:r>
      <w:proofErr w:type="spellEnd"/>
    </w:p>
    <w:p w:rsidR="004764FB" w:rsidRPr="004764FB" w:rsidRDefault="004764FB" w:rsidP="004764FB">
      <w:pPr>
        <w:pStyle w:val="Header"/>
        <w:tabs>
          <w:tab w:val="clear" w:pos="4153"/>
          <w:tab w:val="clear" w:pos="8306"/>
        </w:tabs>
        <w:rPr>
          <w:sz w:val="20"/>
        </w:rPr>
      </w:pPr>
      <w:r w:rsidRPr="004764FB">
        <w:rPr>
          <w:sz w:val="20"/>
          <w:szCs w:val="20"/>
        </w:rPr>
        <w:t xml:space="preserve">670132248, </w:t>
      </w:r>
      <w:hyperlink r:id="rId7" w:history="1">
        <w:r w:rsidRPr="004764FB">
          <w:rPr>
            <w:rStyle w:val="Hyperlink"/>
            <w:sz w:val="20"/>
            <w:szCs w:val="20"/>
          </w:rPr>
          <w:t>marija.zjurikova@em.gov.lv</w:t>
        </w:r>
      </w:hyperlink>
    </w:p>
    <w:p w:rsidR="00FD5DEA" w:rsidRPr="004764FB" w:rsidRDefault="00FD5DEA"/>
    <w:sectPr w:rsidR="00FD5DEA" w:rsidRPr="004764FB" w:rsidSect="004764FB">
      <w:headerReference w:type="default" r:id="rId8"/>
      <w:footerReference w:type="default" r:id="rId9"/>
      <w:footerReference w:type="first" r:id="rId10"/>
      <w:pgSz w:w="11906" w:h="16838"/>
      <w:pgMar w:top="851" w:right="1134" w:bottom="1276"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4C" w:rsidRDefault="00C6794C" w:rsidP="004764FB">
      <w:r>
        <w:separator/>
      </w:r>
    </w:p>
  </w:endnote>
  <w:endnote w:type="continuationSeparator" w:id="0">
    <w:p w:rsidR="00C6794C" w:rsidRDefault="00C6794C" w:rsidP="0047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2B" w:rsidRPr="004764FB" w:rsidRDefault="00F74DD7" w:rsidP="002C28F3">
    <w:pPr>
      <w:jc w:val="both"/>
      <w:rPr>
        <w:sz w:val="20"/>
        <w:szCs w:val="20"/>
      </w:rPr>
    </w:pPr>
    <w:r w:rsidRPr="00D02B56">
      <w:rPr>
        <w:sz w:val="20"/>
        <w:szCs w:val="20"/>
      </w:rPr>
      <w:t>EMAnot_</w:t>
    </w:r>
    <w:r w:rsidR="00E0102B">
      <w:rPr>
        <w:sz w:val="20"/>
        <w:szCs w:val="20"/>
      </w:rPr>
      <w:t>1</w:t>
    </w:r>
    <w:r w:rsidR="007571C4">
      <w:rPr>
        <w:sz w:val="20"/>
        <w:szCs w:val="20"/>
      </w:rPr>
      <w:t>3</w:t>
    </w:r>
    <w:r w:rsidR="00E0102B">
      <w:rPr>
        <w:sz w:val="20"/>
        <w:szCs w:val="20"/>
      </w:rPr>
      <w:t>0717</w:t>
    </w:r>
    <w:r w:rsidRPr="00D02B56">
      <w:rPr>
        <w:sz w:val="20"/>
        <w:szCs w:val="20"/>
      </w:rPr>
      <w:t>_</w:t>
    </w:r>
    <w:r>
      <w:rPr>
        <w:sz w:val="20"/>
        <w:szCs w:val="20"/>
      </w:rPr>
      <w:t>VSS-985</w:t>
    </w:r>
    <w:r w:rsidRPr="00D02B56">
      <w:rPr>
        <w:sz w:val="20"/>
        <w:szCs w:val="20"/>
      </w:rPr>
      <w:t>; Ministru kabineta noteikuma projekt</w:t>
    </w:r>
    <w:r>
      <w:rPr>
        <w:sz w:val="20"/>
        <w:szCs w:val="20"/>
      </w:rPr>
      <w:t>a</w:t>
    </w:r>
    <w:r w:rsidRPr="00D02B56">
      <w:rPr>
        <w:sz w:val="20"/>
        <w:szCs w:val="20"/>
      </w:rPr>
      <w:t xml:space="preserve"> “</w:t>
    </w:r>
    <w:r w:rsidRPr="00D02B56">
      <w:rPr>
        <w:bCs/>
        <w:sz w:val="20"/>
        <w:szCs w:val="20"/>
      </w:rPr>
      <w:t xml:space="preserve">Aizsargātā lietotāja </w:t>
    </w:r>
    <w:proofErr w:type="spellStart"/>
    <w:r w:rsidRPr="00D02B56">
      <w:rPr>
        <w:bCs/>
        <w:sz w:val="20"/>
        <w:szCs w:val="20"/>
      </w:rPr>
      <w:t>pieslēguma</w:t>
    </w:r>
    <w:proofErr w:type="spellEnd"/>
    <w:r w:rsidRPr="00D02B56">
      <w:rPr>
        <w:bCs/>
        <w:sz w:val="20"/>
        <w:szCs w:val="20"/>
      </w:rPr>
      <w:t xml:space="preserve"> ierīkošanas finansēšanas kārtība</w:t>
    </w:r>
    <w:r w:rsidRPr="00D02B56">
      <w:rPr>
        <w:sz w:val="20"/>
        <w:szCs w:val="20"/>
      </w:rPr>
      <w:t xml:space="preserve">” </w:t>
    </w:r>
    <w:r w:rsidRPr="00D9060E">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D9060E">
        <w:rPr>
          <w:bCs/>
          <w:sz w:val="20"/>
          <w:szCs w:val="20"/>
        </w:rPr>
        <w:t>ziņojums</w:t>
      </w:r>
    </w:smartTag>
    <w:r w:rsidRPr="00D9060E">
      <w:rPr>
        <w:bCs/>
        <w:sz w:val="20"/>
        <w:szCs w:val="20"/>
      </w:rPr>
      <w:t xml:space="preserve"> (anotācija)</w:t>
    </w:r>
    <w:r>
      <w:rPr>
        <w:bCs/>
        <w:sz w:val="20"/>
        <w:szCs w:val="20"/>
      </w:rPr>
      <w:t xml:space="preserve"> (VSS-985)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10" w:rsidRPr="00D9060E" w:rsidRDefault="00F74DD7" w:rsidP="004B4410">
    <w:pPr>
      <w:jc w:val="both"/>
    </w:pPr>
    <w:r w:rsidRPr="00D02B56">
      <w:rPr>
        <w:sz w:val="20"/>
        <w:szCs w:val="20"/>
      </w:rPr>
      <w:t>EMAnot_</w:t>
    </w:r>
    <w:r w:rsidR="007571C4">
      <w:rPr>
        <w:sz w:val="20"/>
        <w:szCs w:val="20"/>
      </w:rPr>
      <w:t>13</w:t>
    </w:r>
    <w:r w:rsidR="00E0102B">
      <w:rPr>
        <w:sz w:val="20"/>
        <w:szCs w:val="20"/>
      </w:rPr>
      <w:t>0717</w:t>
    </w:r>
    <w:r w:rsidRPr="00D02B56">
      <w:rPr>
        <w:sz w:val="20"/>
        <w:szCs w:val="20"/>
      </w:rPr>
      <w:t>_</w:t>
    </w:r>
    <w:r>
      <w:rPr>
        <w:sz w:val="20"/>
        <w:szCs w:val="20"/>
      </w:rPr>
      <w:t>VSS-985</w:t>
    </w:r>
    <w:r w:rsidRPr="00D02B56">
      <w:rPr>
        <w:sz w:val="20"/>
        <w:szCs w:val="20"/>
      </w:rPr>
      <w:t>; Ministru kabineta noteikuma projekt</w:t>
    </w:r>
    <w:r>
      <w:rPr>
        <w:sz w:val="20"/>
        <w:szCs w:val="20"/>
      </w:rPr>
      <w:t>a</w:t>
    </w:r>
    <w:r w:rsidRPr="00D02B56">
      <w:rPr>
        <w:sz w:val="20"/>
        <w:szCs w:val="20"/>
      </w:rPr>
      <w:t xml:space="preserve"> “</w:t>
    </w:r>
    <w:r w:rsidRPr="00D02B56">
      <w:rPr>
        <w:bCs/>
        <w:sz w:val="20"/>
        <w:szCs w:val="20"/>
      </w:rPr>
      <w:t xml:space="preserve">Aizsargātā lietotāja </w:t>
    </w:r>
    <w:proofErr w:type="spellStart"/>
    <w:r w:rsidRPr="00D02B56">
      <w:rPr>
        <w:bCs/>
        <w:sz w:val="20"/>
        <w:szCs w:val="20"/>
      </w:rPr>
      <w:t>pieslēguma</w:t>
    </w:r>
    <w:proofErr w:type="spellEnd"/>
    <w:r w:rsidRPr="00D02B56">
      <w:rPr>
        <w:bCs/>
        <w:sz w:val="20"/>
        <w:szCs w:val="20"/>
      </w:rPr>
      <w:t xml:space="preserve"> ierīkošanas finansēšanas kārtība</w:t>
    </w:r>
    <w:r w:rsidRPr="00D02B56">
      <w:rPr>
        <w:sz w:val="20"/>
        <w:szCs w:val="20"/>
      </w:rPr>
      <w:t xml:space="preserve">” </w:t>
    </w:r>
    <w:r w:rsidRPr="00D9060E">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D9060E">
        <w:rPr>
          <w:bCs/>
          <w:sz w:val="20"/>
          <w:szCs w:val="20"/>
        </w:rPr>
        <w:t>ziņojums</w:t>
      </w:r>
    </w:smartTag>
    <w:r w:rsidRPr="00D9060E">
      <w:rPr>
        <w:bCs/>
        <w:sz w:val="20"/>
        <w:szCs w:val="20"/>
      </w:rPr>
      <w:t xml:space="preserve"> (anotācija)</w:t>
    </w:r>
    <w:r>
      <w:rPr>
        <w:bCs/>
        <w:sz w:val="20"/>
        <w:szCs w:val="20"/>
      </w:rPr>
      <w:t xml:space="preserve"> (VSS-985) </w:t>
    </w:r>
  </w:p>
  <w:p w:rsidR="00E3452B" w:rsidRPr="00D9060E" w:rsidRDefault="00C6794C" w:rsidP="00D02B5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4C" w:rsidRDefault="00C6794C" w:rsidP="004764FB">
      <w:r>
        <w:separator/>
      </w:r>
    </w:p>
  </w:footnote>
  <w:footnote w:type="continuationSeparator" w:id="0">
    <w:p w:rsidR="00C6794C" w:rsidRDefault="00C6794C" w:rsidP="0047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12104"/>
      <w:docPartObj>
        <w:docPartGallery w:val="Page Numbers (Top of Page)"/>
        <w:docPartUnique/>
      </w:docPartObj>
    </w:sdtPr>
    <w:sdtEndPr/>
    <w:sdtContent>
      <w:p w:rsidR="00E3452B" w:rsidRDefault="00F74DD7">
        <w:pPr>
          <w:pStyle w:val="Header"/>
          <w:jc w:val="center"/>
        </w:pPr>
        <w:r>
          <w:fldChar w:fldCharType="begin"/>
        </w:r>
        <w:r>
          <w:instrText xml:space="preserve"> PAGE   \* MERGEFORMAT </w:instrText>
        </w:r>
        <w:r>
          <w:fldChar w:fldCharType="separate"/>
        </w:r>
        <w:r w:rsidR="007571C4">
          <w:rPr>
            <w:noProof/>
          </w:rPr>
          <w:t>2</w:t>
        </w:r>
        <w:r>
          <w:rPr>
            <w:noProof/>
          </w:rPr>
          <w:fldChar w:fldCharType="end"/>
        </w:r>
      </w:p>
    </w:sdtContent>
  </w:sdt>
  <w:p w:rsidR="00E3452B" w:rsidRDefault="00C6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2F17"/>
    <w:multiLevelType w:val="hybridMultilevel"/>
    <w:tmpl w:val="956A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DF02B1"/>
    <w:multiLevelType w:val="hybridMultilevel"/>
    <w:tmpl w:val="D0F830EA"/>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FB"/>
    <w:rsid w:val="002D4A53"/>
    <w:rsid w:val="004764FB"/>
    <w:rsid w:val="005E3CCF"/>
    <w:rsid w:val="00686D29"/>
    <w:rsid w:val="007571C4"/>
    <w:rsid w:val="008E135E"/>
    <w:rsid w:val="00987A38"/>
    <w:rsid w:val="00B04D17"/>
    <w:rsid w:val="00B9069A"/>
    <w:rsid w:val="00C6794C"/>
    <w:rsid w:val="00C86CDC"/>
    <w:rsid w:val="00D5000E"/>
    <w:rsid w:val="00E0102B"/>
    <w:rsid w:val="00E173A9"/>
    <w:rsid w:val="00E63600"/>
    <w:rsid w:val="00F74DD7"/>
    <w:rsid w:val="00FD5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5277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64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4764FB"/>
    <w:pPr>
      <w:spacing w:before="100" w:beforeAutospacing="1" w:after="100" w:afterAutospacing="1"/>
    </w:pPr>
  </w:style>
  <w:style w:type="paragraph" w:customStyle="1" w:styleId="naisc">
    <w:name w:val="naisc"/>
    <w:basedOn w:val="Normal"/>
    <w:rsid w:val="004764FB"/>
    <w:pPr>
      <w:spacing w:before="100" w:beforeAutospacing="1" w:after="100" w:afterAutospacing="1"/>
    </w:pPr>
  </w:style>
  <w:style w:type="paragraph" w:customStyle="1" w:styleId="naiskr">
    <w:name w:val="naiskr"/>
    <w:basedOn w:val="Normal"/>
    <w:rsid w:val="004764FB"/>
    <w:pPr>
      <w:spacing w:before="100" w:beforeAutospacing="1" w:after="100" w:afterAutospacing="1"/>
    </w:pPr>
  </w:style>
  <w:style w:type="paragraph" w:customStyle="1" w:styleId="naislab">
    <w:name w:val="naislab"/>
    <w:basedOn w:val="Normal"/>
    <w:rsid w:val="004764FB"/>
    <w:pPr>
      <w:spacing w:before="100" w:beforeAutospacing="1" w:after="100" w:afterAutospacing="1"/>
    </w:pPr>
  </w:style>
  <w:style w:type="paragraph" w:customStyle="1" w:styleId="naisf">
    <w:name w:val="naisf"/>
    <w:basedOn w:val="Normal"/>
    <w:link w:val="naisfChar"/>
    <w:rsid w:val="004764FB"/>
    <w:pPr>
      <w:spacing w:before="100" w:beforeAutospacing="1" w:after="100" w:afterAutospacing="1"/>
    </w:pPr>
  </w:style>
  <w:style w:type="paragraph" w:styleId="Header">
    <w:name w:val="header"/>
    <w:basedOn w:val="Normal"/>
    <w:link w:val="HeaderChar"/>
    <w:uiPriority w:val="99"/>
    <w:rsid w:val="004764FB"/>
    <w:pPr>
      <w:tabs>
        <w:tab w:val="center" w:pos="4153"/>
        <w:tab w:val="right" w:pos="8306"/>
      </w:tabs>
    </w:pPr>
  </w:style>
  <w:style w:type="character" w:customStyle="1" w:styleId="HeaderChar">
    <w:name w:val="Header Char"/>
    <w:basedOn w:val="DefaultParagraphFont"/>
    <w:link w:val="Header"/>
    <w:uiPriority w:val="99"/>
    <w:rsid w:val="004764FB"/>
    <w:rPr>
      <w:rFonts w:ascii="Times New Roman" w:eastAsia="Times New Roman" w:hAnsi="Times New Roman" w:cs="Times New Roman"/>
      <w:sz w:val="24"/>
      <w:szCs w:val="24"/>
      <w:lang w:eastAsia="lv-LV"/>
    </w:rPr>
  </w:style>
  <w:style w:type="character" w:styleId="Hyperlink">
    <w:name w:val="Hyperlink"/>
    <w:basedOn w:val="DefaultParagraphFont"/>
    <w:rsid w:val="004764FB"/>
    <w:rPr>
      <w:rFonts w:cs="Times New Roman"/>
      <w:color w:val="0000FF"/>
      <w:u w:val="single"/>
    </w:rPr>
  </w:style>
  <w:style w:type="paragraph" w:styleId="BodyTextIndent">
    <w:name w:val="Body Text Indent"/>
    <w:basedOn w:val="Normal"/>
    <w:link w:val="BodyTextIndentChar"/>
    <w:rsid w:val="004764FB"/>
    <w:pPr>
      <w:spacing w:after="120"/>
      <w:ind w:left="283"/>
    </w:pPr>
  </w:style>
  <w:style w:type="character" w:customStyle="1" w:styleId="BodyTextIndentChar">
    <w:name w:val="Body Text Indent Char"/>
    <w:basedOn w:val="DefaultParagraphFont"/>
    <w:link w:val="BodyTextIndent"/>
    <w:rsid w:val="004764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764FB"/>
    <w:pPr>
      <w:spacing w:after="200" w:line="276" w:lineRule="auto"/>
      <w:ind w:left="720"/>
    </w:pPr>
    <w:rPr>
      <w:sz w:val="28"/>
      <w:szCs w:val="28"/>
    </w:rPr>
  </w:style>
  <w:style w:type="character" w:customStyle="1" w:styleId="naisfChar">
    <w:name w:val="naisf Char"/>
    <w:link w:val="naisf"/>
    <w:locked/>
    <w:rsid w:val="004764FB"/>
    <w:rPr>
      <w:rFonts w:ascii="Times New Roman" w:eastAsia="Times New Roman" w:hAnsi="Times New Roman" w:cs="Times New Roman"/>
      <w:sz w:val="24"/>
      <w:szCs w:val="24"/>
      <w:lang w:eastAsia="lv-LV"/>
    </w:rPr>
  </w:style>
  <w:style w:type="paragraph" w:customStyle="1" w:styleId="Default">
    <w:name w:val="Default"/>
    <w:rsid w:val="004764FB"/>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Footer">
    <w:name w:val="footer"/>
    <w:basedOn w:val="Normal"/>
    <w:link w:val="FooterChar"/>
    <w:uiPriority w:val="99"/>
    <w:unhideWhenUsed/>
    <w:rsid w:val="004764FB"/>
    <w:pPr>
      <w:tabs>
        <w:tab w:val="center" w:pos="4153"/>
        <w:tab w:val="right" w:pos="8306"/>
      </w:tabs>
    </w:pPr>
  </w:style>
  <w:style w:type="character" w:customStyle="1" w:styleId="FooterChar">
    <w:name w:val="Footer Char"/>
    <w:basedOn w:val="DefaultParagraphFont"/>
    <w:link w:val="Footer"/>
    <w:uiPriority w:val="99"/>
    <w:rsid w:val="004764F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04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1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ja.zjurikov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7538</Characters>
  <Application>Microsoft Office Word</Application>
  <DocSecurity>0</DocSecurity>
  <Lines>221</Lines>
  <Paragraphs>79</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2017-07-10T09:43:00Z</dcterms:created>
  <dcterms:modified xsi:type="dcterms:W3CDTF">2017-07-13T07:35:00Z</dcterms:modified>
  <cp:contentStatus/>
</cp:coreProperties>
</file>