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80977B" w14:textId="77777777" w:rsidR="00D327A9" w:rsidRPr="00DD1874" w:rsidRDefault="00D327A9" w:rsidP="0079021D">
      <w:pPr>
        <w:spacing w:before="0" w:after="0"/>
        <w:jc w:val="right"/>
        <w:rPr>
          <w:rFonts w:ascii="Times New Roman" w:eastAsia="Times New Roman" w:hAnsi="Times New Roman" w:cs="Times New Roman"/>
          <w:sz w:val="28"/>
          <w:szCs w:val="28"/>
          <w:lang w:eastAsia="lv-LV"/>
        </w:rPr>
      </w:pPr>
      <w:r w:rsidRPr="00DD1874">
        <w:rPr>
          <w:rFonts w:ascii="Times New Roman" w:eastAsia="Times New Roman" w:hAnsi="Times New Roman" w:cs="Times New Roman"/>
          <w:sz w:val="28"/>
          <w:szCs w:val="28"/>
          <w:lang w:eastAsia="lv-LV"/>
        </w:rPr>
        <w:t xml:space="preserve">Pielikums </w:t>
      </w:r>
    </w:p>
    <w:p w14:paraId="16400C13" w14:textId="77777777" w:rsidR="00D327A9" w:rsidRPr="00DD1874" w:rsidRDefault="00D327A9" w:rsidP="0079021D">
      <w:pPr>
        <w:spacing w:before="0" w:after="0"/>
        <w:jc w:val="right"/>
        <w:rPr>
          <w:rFonts w:ascii="Times New Roman" w:eastAsia="Times New Roman" w:hAnsi="Times New Roman" w:cs="Times New Roman"/>
          <w:sz w:val="28"/>
          <w:szCs w:val="28"/>
          <w:lang w:eastAsia="lv-LV"/>
        </w:rPr>
      </w:pPr>
      <w:r w:rsidRPr="00DD1874">
        <w:rPr>
          <w:rFonts w:ascii="Times New Roman" w:eastAsia="Times New Roman" w:hAnsi="Times New Roman" w:cs="Times New Roman"/>
          <w:sz w:val="28"/>
          <w:szCs w:val="28"/>
          <w:lang w:eastAsia="lv-LV"/>
        </w:rPr>
        <w:t>Ministru kabineta</w:t>
      </w:r>
    </w:p>
    <w:p w14:paraId="321BE5D5" w14:textId="77777777" w:rsidR="00D327A9" w:rsidRPr="00DD1874" w:rsidRDefault="00D327A9" w:rsidP="0079021D">
      <w:pPr>
        <w:spacing w:before="0" w:after="0"/>
        <w:jc w:val="right"/>
        <w:rPr>
          <w:rFonts w:ascii="Times New Roman" w:eastAsia="Times New Roman" w:hAnsi="Times New Roman" w:cs="Times New Roman"/>
          <w:sz w:val="28"/>
          <w:szCs w:val="28"/>
          <w:lang w:eastAsia="lv-LV"/>
        </w:rPr>
      </w:pPr>
      <w:r w:rsidRPr="00DD1874">
        <w:rPr>
          <w:rFonts w:ascii="Times New Roman" w:eastAsia="Times New Roman" w:hAnsi="Times New Roman" w:cs="Times New Roman"/>
          <w:sz w:val="28"/>
          <w:szCs w:val="28"/>
          <w:lang w:eastAsia="lv-LV"/>
        </w:rPr>
        <w:t xml:space="preserve"> 2017. gada   _______ rīkojumam Nr.  ____   </w:t>
      </w:r>
    </w:p>
    <w:p w14:paraId="734CE74E" w14:textId="77777777" w:rsidR="00AA14BE" w:rsidRPr="00DD1874" w:rsidRDefault="0000042E" w:rsidP="0079021D">
      <w:pPr>
        <w:spacing w:before="0" w:after="0"/>
        <w:rPr>
          <w:rFonts w:ascii="Times New Roman" w:hAnsi="Times New Roman" w:cs="Times New Roman"/>
          <w:sz w:val="28"/>
          <w:szCs w:val="28"/>
        </w:rPr>
      </w:pPr>
    </w:p>
    <w:p w14:paraId="68528DC0" w14:textId="77777777" w:rsidR="00D327A9" w:rsidRPr="00DD1874" w:rsidRDefault="00D327A9" w:rsidP="0079021D">
      <w:pPr>
        <w:spacing w:before="0" w:after="0"/>
        <w:jc w:val="center"/>
        <w:rPr>
          <w:rFonts w:ascii="Times New Roman" w:hAnsi="Times New Roman" w:cs="Times New Roman"/>
          <w:b/>
          <w:sz w:val="28"/>
          <w:szCs w:val="28"/>
        </w:rPr>
      </w:pPr>
      <w:r w:rsidRPr="00DD1874">
        <w:rPr>
          <w:rFonts w:ascii="Times New Roman" w:hAnsi="Times New Roman" w:cs="Times New Roman"/>
          <w:b/>
          <w:sz w:val="28"/>
          <w:szCs w:val="28"/>
        </w:rPr>
        <w:t>Vienotas darba vides izveide visā Ekonomikas ministrijas resorā</w:t>
      </w:r>
    </w:p>
    <w:p w14:paraId="4214E6AD" w14:textId="77777777" w:rsidR="00F320D3" w:rsidRPr="00DD1874" w:rsidRDefault="00F320D3" w:rsidP="0079021D">
      <w:pPr>
        <w:spacing w:before="0" w:after="0"/>
        <w:jc w:val="center"/>
        <w:rPr>
          <w:rFonts w:ascii="Times New Roman" w:hAnsi="Times New Roman" w:cs="Times New Roman"/>
          <w:b/>
          <w:sz w:val="28"/>
          <w:szCs w:val="28"/>
        </w:rPr>
      </w:pPr>
      <w:r w:rsidRPr="00DD1874">
        <w:rPr>
          <w:rFonts w:ascii="Times New Roman" w:hAnsi="Times New Roman" w:cs="Times New Roman"/>
          <w:b/>
          <w:sz w:val="28"/>
          <w:szCs w:val="28"/>
        </w:rPr>
        <w:t>Projekta apraksts</w:t>
      </w:r>
      <w:r w:rsidR="00FD01B4" w:rsidRPr="00DD1874">
        <w:rPr>
          <w:rFonts w:ascii="Times New Roman" w:hAnsi="Times New Roman" w:cs="Times New Roman"/>
          <w:b/>
          <w:sz w:val="28"/>
          <w:szCs w:val="28"/>
        </w:rPr>
        <w:t xml:space="preserve"> (kopsavilkums)</w:t>
      </w:r>
    </w:p>
    <w:p w14:paraId="36E25237" w14:textId="77777777" w:rsidR="00ED1045" w:rsidRPr="00DD1874" w:rsidRDefault="00ED1045" w:rsidP="0079021D">
      <w:pPr>
        <w:spacing w:before="0" w:after="0"/>
        <w:jc w:val="both"/>
        <w:rPr>
          <w:rFonts w:ascii="Times New Roman" w:hAnsi="Times New Roman" w:cs="Times New Roman"/>
          <w:b/>
          <w:sz w:val="28"/>
          <w:szCs w:val="28"/>
        </w:rPr>
      </w:pPr>
    </w:p>
    <w:p w14:paraId="2378D9E1" w14:textId="1EB93D60" w:rsidR="00ED1045" w:rsidRPr="00DD1874" w:rsidRDefault="00ED1045" w:rsidP="0079021D">
      <w:pPr>
        <w:spacing w:before="0" w:after="0"/>
        <w:ind w:firstLine="851"/>
        <w:jc w:val="both"/>
        <w:rPr>
          <w:rFonts w:ascii="Times New Roman" w:hAnsi="Times New Roman" w:cs="Times New Roman"/>
          <w:sz w:val="28"/>
          <w:szCs w:val="28"/>
        </w:rPr>
      </w:pPr>
      <w:r w:rsidRPr="00DD1874">
        <w:rPr>
          <w:rFonts w:ascii="Times New Roman" w:hAnsi="Times New Roman" w:cs="Times New Roman"/>
          <w:sz w:val="28"/>
          <w:szCs w:val="28"/>
        </w:rPr>
        <w:t xml:space="preserve">Ekonomikas ministrijas </w:t>
      </w:r>
      <w:r w:rsidR="000C49C3" w:rsidRPr="00DD1874">
        <w:rPr>
          <w:rFonts w:ascii="Times New Roman" w:hAnsi="Times New Roman" w:cs="Times New Roman"/>
          <w:sz w:val="28"/>
          <w:szCs w:val="28"/>
        </w:rPr>
        <w:t xml:space="preserve">(turpmāk – EM) </w:t>
      </w:r>
      <w:r w:rsidRPr="00DD1874">
        <w:rPr>
          <w:rFonts w:ascii="Times New Roman" w:hAnsi="Times New Roman" w:cs="Times New Roman"/>
          <w:sz w:val="28"/>
          <w:szCs w:val="28"/>
        </w:rPr>
        <w:t xml:space="preserve">Eiropas Reģionālā attīstības fonda projekts </w:t>
      </w:r>
      <w:r w:rsidR="000C49C3" w:rsidRPr="00DD1874">
        <w:rPr>
          <w:rFonts w:ascii="Times New Roman" w:hAnsi="Times New Roman" w:cs="Times New Roman"/>
          <w:sz w:val="28"/>
          <w:szCs w:val="28"/>
        </w:rPr>
        <w:t xml:space="preserve">“Vienotas darba vides izveide visā </w:t>
      </w:r>
      <w:r w:rsidR="00FD01B4" w:rsidRPr="00DD1874">
        <w:rPr>
          <w:rFonts w:ascii="Times New Roman" w:hAnsi="Times New Roman" w:cs="Times New Roman"/>
          <w:sz w:val="28"/>
          <w:szCs w:val="28"/>
        </w:rPr>
        <w:t xml:space="preserve">Ekonomikas ministrijas </w:t>
      </w:r>
      <w:r w:rsidR="000C49C3" w:rsidRPr="00DD1874">
        <w:rPr>
          <w:rFonts w:ascii="Times New Roman" w:hAnsi="Times New Roman" w:cs="Times New Roman"/>
          <w:sz w:val="28"/>
          <w:szCs w:val="28"/>
        </w:rPr>
        <w:t xml:space="preserve">resorā” (turpmāk – </w:t>
      </w:r>
      <w:r w:rsidR="00F320D3" w:rsidRPr="00DD1874">
        <w:rPr>
          <w:rFonts w:ascii="Times New Roman" w:hAnsi="Times New Roman" w:cs="Times New Roman"/>
          <w:sz w:val="28"/>
          <w:szCs w:val="28"/>
        </w:rPr>
        <w:t>p</w:t>
      </w:r>
      <w:r w:rsidR="000C49C3" w:rsidRPr="00DD1874">
        <w:rPr>
          <w:rFonts w:ascii="Times New Roman" w:hAnsi="Times New Roman" w:cs="Times New Roman"/>
          <w:sz w:val="28"/>
          <w:szCs w:val="28"/>
        </w:rPr>
        <w:t>rojekts) paredz nodrošināt centralizētu, uz modernām tehnoloģijām balstītu informācijas un komunikāciju tehnoloģiju pakalpojumu sniegšanu EM resorā</w:t>
      </w:r>
      <w:r w:rsidR="001F4725" w:rsidRPr="00DD1874">
        <w:rPr>
          <w:rFonts w:ascii="Times New Roman" w:hAnsi="Times New Roman" w:cs="Times New Roman"/>
          <w:sz w:val="28"/>
          <w:szCs w:val="28"/>
        </w:rPr>
        <w:t xml:space="preserve"> </w:t>
      </w:r>
      <w:r w:rsidR="00074D11" w:rsidRPr="00DD1874">
        <w:rPr>
          <w:rFonts w:ascii="Times New Roman" w:hAnsi="Times New Roman" w:cs="Times New Roman"/>
          <w:sz w:val="28"/>
          <w:szCs w:val="28"/>
        </w:rPr>
        <w:t>- Ekonomikas ministrijā, Būvniecības valsts kontroles birojā, Konkurences padomē, Patērētāju tiesību aizsardzība</w:t>
      </w:r>
      <w:r w:rsidR="0037506C">
        <w:rPr>
          <w:rFonts w:ascii="Times New Roman" w:hAnsi="Times New Roman" w:cs="Times New Roman"/>
          <w:sz w:val="28"/>
          <w:szCs w:val="28"/>
        </w:rPr>
        <w:t>s centrā un Latvijas Investīciju</w:t>
      </w:r>
      <w:r w:rsidR="00074D11" w:rsidRPr="00DD1874">
        <w:rPr>
          <w:rFonts w:ascii="Times New Roman" w:hAnsi="Times New Roman" w:cs="Times New Roman"/>
          <w:sz w:val="28"/>
          <w:szCs w:val="28"/>
        </w:rPr>
        <w:t xml:space="preserve"> un attīstības aģentūrā</w:t>
      </w:r>
      <w:r w:rsidR="000C49C3" w:rsidRPr="00DD1874">
        <w:rPr>
          <w:rFonts w:ascii="Times New Roman" w:hAnsi="Times New Roman" w:cs="Times New Roman"/>
          <w:sz w:val="28"/>
          <w:szCs w:val="28"/>
        </w:rPr>
        <w:t>, vienlaikus uzlabojot pamatdarbības procesu elektronizācijas līmeni, samazinot administratīvo slogu EM resorā un komersantiem</w:t>
      </w:r>
      <w:r w:rsidR="00AC43A0" w:rsidRPr="00DD1874">
        <w:rPr>
          <w:rFonts w:ascii="Times New Roman" w:hAnsi="Times New Roman" w:cs="Times New Roman"/>
          <w:sz w:val="28"/>
          <w:szCs w:val="28"/>
        </w:rPr>
        <w:t>.</w:t>
      </w:r>
    </w:p>
    <w:p w14:paraId="6E4B54AB" w14:textId="77777777" w:rsidR="00ED1045" w:rsidRPr="00DD1874" w:rsidRDefault="00ED1045" w:rsidP="0079021D">
      <w:pPr>
        <w:spacing w:before="0" w:after="0"/>
        <w:jc w:val="both"/>
        <w:rPr>
          <w:rFonts w:ascii="Times New Roman" w:hAnsi="Times New Roman" w:cs="Times New Roman"/>
          <w:b/>
          <w:sz w:val="28"/>
          <w:szCs w:val="28"/>
        </w:rPr>
      </w:pPr>
    </w:p>
    <w:p w14:paraId="5AFC0C58" w14:textId="77777777" w:rsidR="00BA44B7" w:rsidRPr="00DD1874" w:rsidRDefault="00BA44B7" w:rsidP="0079021D">
      <w:pPr>
        <w:overflowPunct w:val="0"/>
        <w:autoSpaceDE w:val="0"/>
        <w:autoSpaceDN w:val="0"/>
        <w:spacing w:before="0" w:after="0"/>
        <w:ind w:firstLine="851"/>
        <w:textAlignment w:val="baseline"/>
        <w:rPr>
          <w:rFonts w:ascii="Times New Roman" w:eastAsia="Times New Roman" w:hAnsi="Times New Roman" w:cs="Times New Roman"/>
          <w:b/>
          <w:sz w:val="28"/>
          <w:szCs w:val="28"/>
          <w:lang w:eastAsia="lv-LV"/>
        </w:rPr>
      </w:pPr>
      <w:r w:rsidRPr="00DD1874">
        <w:rPr>
          <w:rFonts w:ascii="Times New Roman" w:eastAsia="Times New Roman" w:hAnsi="Times New Roman" w:cs="Times New Roman"/>
          <w:b/>
          <w:sz w:val="28"/>
          <w:szCs w:val="28"/>
          <w:lang w:eastAsia="lv-LV"/>
        </w:rPr>
        <w:t>Projekta mērķi:</w:t>
      </w:r>
    </w:p>
    <w:p w14:paraId="12727F49" w14:textId="77777777" w:rsidR="006430CC" w:rsidRPr="00DD1874" w:rsidRDefault="00FD01B4" w:rsidP="00285347">
      <w:pPr>
        <w:overflowPunct w:val="0"/>
        <w:autoSpaceDE w:val="0"/>
        <w:autoSpaceDN w:val="0"/>
        <w:spacing w:before="120" w:after="0"/>
        <w:ind w:firstLine="851"/>
        <w:jc w:val="both"/>
        <w:textAlignment w:val="baseline"/>
        <w:rPr>
          <w:rFonts w:ascii="Times New Roman" w:hAnsi="Times New Roman" w:cs="Times New Roman"/>
          <w:sz w:val="28"/>
          <w:szCs w:val="28"/>
        </w:rPr>
      </w:pPr>
      <w:r w:rsidRPr="00DD1874">
        <w:rPr>
          <w:rFonts w:ascii="Times New Roman" w:hAnsi="Times New Roman" w:cs="Times New Roman"/>
          <w:sz w:val="28"/>
          <w:szCs w:val="28"/>
        </w:rPr>
        <w:t>1. </w:t>
      </w:r>
      <w:r w:rsidR="006430CC" w:rsidRPr="00DD1874">
        <w:rPr>
          <w:rFonts w:ascii="Times New Roman" w:hAnsi="Times New Roman" w:cs="Times New Roman"/>
          <w:sz w:val="28"/>
          <w:szCs w:val="28"/>
        </w:rPr>
        <w:t xml:space="preserve">Nodrošināt centralizētu, uz modernām tehnoloģijām balstītu informācijas un komunikāciju tehnoloģiju pakalpojumu sniegšanu </w:t>
      </w:r>
      <w:r w:rsidR="000C49C3" w:rsidRPr="00DD1874">
        <w:rPr>
          <w:rFonts w:ascii="Times New Roman" w:hAnsi="Times New Roman" w:cs="Times New Roman"/>
          <w:sz w:val="28"/>
          <w:szCs w:val="28"/>
        </w:rPr>
        <w:t>EM</w:t>
      </w:r>
      <w:r w:rsidR="006430CC" w:rsidRPr="00DD1874">
        <w:rPr>
          <w:rFonts w:ascii="Times New Roman" w:hAnsi="Times New Roman" w:cs="Times New Roman"/>
          <w:sz w:val="28"/>
          <w:szCs w:val="28"/>
        </w:rPr>
        <w:t xml:space="preserve"> resorā.</w:t>
      </w:r>
    </w:p>
    <w:p w14:paraId="4D89DBE6" w14:textId="23C6B3B2" w:rsidR="006430CC" w:rsidRPr="00DD1874" w:rsidRDefault="00FD01B4" w:rsidP="0079021D">
      <w:pPr>
        <w:overflowPunct w:val="0"/>
        <w:autoSpaceDE w:val="0"/>
        <w:autoSpaceDN w:val="0"/>
        <w:spacing w:before="0" w:after="0"/>
        <w:ind w:firstLine="851"/>
        <w:jc w:val="both"/>
        <w:textAlignment w:val="baseline"/>
        <w:rPr>
          <w:rFonts w:ascii="Times New Roman" w:hAnsi="Times New Roman" w:cs="Times New Roman"/>
          <w:sz w:val="28"/>
          <w:szCs w:val="28"/>
        </w:rPr>
      </w:pPr>
      <w:r w:rsidRPr="00DD1874">
        <w:rPr>
          <w:rFonts w:ascii="Times New Roman" w:hAnsi="Times New Roman" w:cs="Times New Roman"/>
          <w:sz w:val="28"/>
          <w:szCs w:val="28"/>
        </w:rPr>
        <w:t>2. </w:t>
      </w:r>
      <w:r w:rsidR="006430CC" w:rsidRPr="00DD1874">
        <w:rPr>
          <w:rFonts w:ascii="Times New Roman" w:hAnsi="Times New Roman" w:cs="Times New Roman"/>
          <w:sz w:val="28"/>
          <w:szCs w:val="28"/>
        </w:rPr>
        <w:t xml:space="preserve">Uzlabot darbības procesu elektronizācijas līmeni, samazinot administratīvo slogu </w:t>
      </w:r>
      <w:r w:rsidR="000C49C3" w:rsidRPr="00DD1874">
        <w:rPr>
          <w:rFonts w:ascii="Times New Roman" w:hAnsi="Times New Roman" w:cs="Times New Roman"/>
          <w:sz w:val="28"/>
          <w:szCs w:val="28"/>
        </w:rPr>
        <w:t>EM</w:t>
      </w:r>
      <w:r w:rsidR="006430CC" w:rsidRPr="00DD1874">
        <w:rPr>
          <w:rFonts w:ascii="Times New Roman" w:hAnsi="Times New Roman" w:cs="Times New Roman"/>
          <w:sz w:val="28"/>
          <w:szCs w:val="28"/>
        </w:rPr>
        <w:t xml:space="preserve"> resorā un komersantiem, kuri veic datu iesniegšanu.</w:t>
      </w:r>
    </w:p>
    <w:p w14:paraId="18E875FA" w14:textId="77777777" w:rsidR="00285347" w:rsidRPr="00DD1874" w:rsidRDefault="00285347" w:rsidP="0079021D">
      <w:pPr>
        <w:overflowPunct w:val="0"/>
        <w:autoSpaceDE w:val="0"/>
        <w:autoSpaceDN w:val="0"/>
        <w:spacing w:before="0" w:after="0"/>
        <w:ind w:firstLine="851"/>
        <w:jc w:val="both"/>
        <w:textAlignment w:val="baseline"/>
        <w:rPr>
          <w:rFonts w:ascii="Times New Roman" w:hAnsi="Times New Roman" w:cs="Times New Roman"/>
          <w:sz w:val="28"/>
          <w:szCs w:val="28"/>
        </w:rPr>
      </w:pPr>
    </w:p>
    <w:p w14:paraId="3CC5F23A" w14:textId="77777777" w:rsidR="00BA44B7" w:rsidRPr="00DD1874" w:rsidRDefault="00BA44B7" w:rsidP="0079021D">
      <w:pPr>
        <w:overflowPunct w:val="0"/>
        <w:autoSpaceDE w:val="0"/>
        <w:autoSpaceDN w:val="0"/>
        <w:spacing w:before="0" w:after="0"/>
        <w:ind w:firstLine="851"/>
        <w:textAlignment w:val="baseline"/>
        <w:rPr>
          <w:rFonts w:ascii="Times New Roman" w:eastAsia="Times New Roman" w:hAnsi="Times New Roman" w:cs="Times New Roman"/>
          <w:b/>
          <w:sz w:val="28"/>
          <w:szCs w:val="28"/>
          <w:lang w:eastAsia="lv-LV"/>
        </w:rPr>
      </w:pPr>
      <w:r w:rsidRPr="00DD1874">
        <w:rPr>
          <w:rFonts w:ascii="Times New Roman" w:eastAsia="Times New Roman" w:hAnsi="Times New Roman" w:cs="Times New Roman"/>
          <w:b/>
          <w:sz w:val="28"/>
          <w:szCs w:val="28"/>
          <w:lang w:eastAsia="lv-LV"/>
        </w:rPr>
        <w:t>Darbības</w:t>
      </w:r>
      <w:r w:rsidRPr="00DD1874">
        <w:rPr>
          <w:rFonts w:ascii="Times New Roman" w:hAnsi="Times New Roman" w:cs="Times New Roman"/>
          <w:b/>
          <w:sz w:val="28"/>
          <w:szCs w:val="28"/>
        </w:rPr>
        <w:t xml:space="preserve"> </w:t>
      </w:r>
      <w:r w:rsidR="00F320D3" w:rsidRPr="00DD1874">
        <w:rPr>
          <w:rFonts w:ascii="Times New Roman" w:hAnsi="Times New Roman" w:cs="Times New Roman"/>
          <w:b/>
          <w:sz w:val="28"/>
          <w:szCs w:val="28"/>
        </w:rPr>
        <w:t>p</w:t>
      </w:r>
      <w:r w:rsidRPr="00DD1874">
        <w:rPr>
          <w:rFonts w:ascii="Times New Roman" w:hAnsi="Times New Roman" w:cs="Times New Roman"/>
          <w:b/>
          <w:sz w:val="28"/>
          <w:szCs w:val="28"/>
        </w:rPr>
        <w:t>r</w:t>
      </w:r>
      <w:r w:rsidRPr="00DD1874">
        <w:rPr>
          <w:rFonts w:ascii="Times New Roman" w:eastAsia="Times New Roman" w:hAnsi="Times New Roman" w:cs="Times New Roman"/>
          <w:b/>
          <w:sz w:val="28"/>
          <w:szCs w:val="28"/>
          <w:lang w:eastAsia="lv-LV"/>
        </w:rPr>
        <w:t>ojekta mērķu sasniegšanai</w:t>
      </w:r>
      <w:r w:rsidR="00624EC5" w:rsidRPr="00DD1874">
        <w:rPr>
          <w:rFonts w:ascii="Times New Roman" w:eastAsia="Times New Roman" w:hAnsi="Times New Roman" w:cs="Times New Roman"/>
          <w:b/>
          <w:sz w:val="28"/>
          <w:szCs w:val="28"/>
          <w:lang w:eastAsia="lv-LV"/>
        </w:rPr>
        <w:t>:</w:t>
      </w:r>
    </w:p>
    <w:p w14:paraId="10EA7596" w14:textId="46048789" w:rsidR="00624EC5" w:rsidRPr="00DD1874" w:rsidRDefault="0079021D" w:rsidP="000E010F">
      <w:pPr>
        <w:pStyle w:val="ListParagraph"/>
        <w:tabs>
          <w:tab w:val="left" w:pos="0"/>
        </w:tabs>
        <w:spacing w:before="120" w:after="0"/>
        <w:ind w:left="0" w:firstLine="851"/>
        <w:contextualSpacing w:val="0"/>
        <w:jc w:val="both"/>
        <w:rPr>
          <w:rFonts w:ascii="Times New Roman" w:eastAsia="Calibri" w:hAnsi="Times New Roman" w:cs="Times New Roman"/>
          <w:b/>
          <w:bCs/>
          <w:sz w:val="28"/>
          <w:szCs w:val="28"/>
        </w:rPr>
      </w:pPr>
      <w:r w:rsidRPr="00DD1874">
        <w:rPr>
          <w:rFonts w:ascii="Times New Roman" w:eastAsia="Calibri" w:hAnsi="Times New Roman" w:cs="Times New Roman"/>
          <w:b/>
          <w:bCs/>
          <w:sz w:val="28"/>
          <w:szCs w:val="28"/>
        </w:rPr>
        <w:t>1. </w:t>
      </w:r>
      <w:r w:rsidR="00624EC5" w:rsidRPr="00DD1874">
        <w:rPr>
          <w:rFonts w:ascii="Times New Roman" w:eastAsia="Calibri" w:hAnsi="Times New Roman" w:cs="Times New Roman"/>
          <w:b/>
          <w:bCs/>
          <w:sz w:val="28"/>
          <w:szCs w:val="28"/>
        </w:rPr>
        <w:t xml:space="preserve">Nodrošināt centralizētu, uz modernām tehnoloģijām balstītu informācijas un komunikāciju tehnoloģiju pakalpojumu sniegšanu </w:t>
      </w:r>
      <w:r w:rsidR="000C49C3" w:rsidRPr="00DD1874">
        <w:rPr>
          <w:rFonts w:ascii="Times New Roman" w:eastAsia="Calibri" w:hAnsi="Times New Roman" w:cs="Times New Roman"/>
          <w:b/>
          <w:bCs/>
          <w:sz w:val="28"/>
          <w:szCs w:val="28"/>
        </w:rPr>
        <w:t>EM</w:t>
      </w:r>
      <w:r w:rsidR="00624EC5" w:rsidRPr="00DD1874">
        <w:rPr>
          <w:rFonts w:ascii="Times New Roman" w:eastAsia="Calibri" w:hAnsi="Times New Roman" w:cs="Times New Roman"/>
          <w:b/>
          <w:bCs/>
          <w:sz w:val="28"/>
          <w:szCs w:val="28"/>
        </w:rPr>
        <w:t xml:space="preserve"> resorā.</w:t>
      </w:r>
    </w:p>
    <w:p w14:paraId="0A605C1A" w14:textId="77777777" w:rsidR="0079021D" w:rsidRPr="00DD1874" w:rsidRDefault="00624EC5" w:rsidP="00285347">
      <w:pPr>
        <w:tabs>
          <w:tab w:val="left" w:pos="0"/>
        </w:tabs>
        <w:spacing w:before="120" w:after="0"/>
        <w:ind w:firstLine="851"/>
        <w:jc w:val="both"/>
        <w:rPr>
          <w:rFonts w:ascii="Times New Roman" w:eastAsia="Calibri" w:hAnsi="Times New Roman" w:cs="Times New Roman"/>
          <w:bCs/>
          <w:sz w:val="28"/>
          <w:szCs w:val="28"/>
        </w:rPr>
      </w:pPr>
      <w:r w:rsidRPr="00DD1874">
        <w:rPr>
          <w:rFonts w:ascii="Times New Roman" w:eastAsia="Calibri" w:hAnsi="Times New Roman" w:cs="Times New Roman"/>
          <w:bCs/>
          <w:sz w:val="28"/>
          <w:szCs w:val="28"/>
        </w:rPr>
        <w:t>Mērķis tiks sasniegts:</w:t>
      </w:r>
    </w:p>
    <w:p w14:paraId="5D8B15D4" w14:textId="4F61E469" w:rsidR="00624EC5" w:rsidRPr="00DD1874" w:rsidRDefault="00624EC5" w:rsidP="000E6B14">
      <w:pPr>
        <w:pStyle w:val="ListParagraph"/>
        <w:numPr>
          <w:ilvl w:val="1"/>
          <w:numId w:val="7"/>
        </w:numPr>
        <w:tabs>
          <w:tab w:val="left" w:pos="0"/>
        </w:tabs>
        <w:spacing w:before="0" w:after="0"/>
        <w:jc w:val="both"/>
        <w:rPr>
          <w:rFonts w:ascii="Times New Roman" w:eastAsia="Calibri" w:hAnsi="Times New Roman" w:cs="Times New Roman"/>
          <w:bCs/>
          <w:sz w:val="28"/>
          <w:szCs w:val="28"/>
        </w:rPr>
      </w:pPr>
      <w:r w:rsidRPr="00DD1874">
        <w:rPr>
          <w:rFonts w:ascii="Times New Roman" w:eastAsia="PMingLiU" w:hAnsi="Times New Roman" w:cs="Times New Roman"/>
          <w:sz w:val="28"/>
          <w:szCs w:val="28"/>
        </w:rPr>
        <w:t xml:space="preserve">veicot </w:t>
      </w:r>
      <w:r w:rsidR="000E6B14" w:rsidRPr="00DD1874">
        <w:rPr>
          <w:rFonts w:ascii="Times New Roman" w:eastAsia="PMingLiU" w:hAnsi="Times New Roman" w:cs="Times New Roman"/>
          <w:sz w:val="28"/>
          <w:szCs w:val="28"/>
        </w:rPr>
        <w:t>informācijas un komunikāciju tehnoloģiju (turpmāk – </w:t>
      </w:r>
      <w:r w:rsidRPr="00DD1874">
        <w:rPr>
          <w:rFonts w:ascii="Times New Roman" w:eastAsia="PMingLiU" w:hAnsi="Times New Roman" w:cs="Times New Roman"/>
          <w:sz w:val="28"/>
          <w:szCs w:val="28"/>
        </w:rPr>
        <w:t>IKT</w:t>
      </w:r>
      <w:r w:rsidR="000E6B14" w:rsidRPr="00DD1874">
        <w:rPr>
          <w:rFonts w:ascii="Times New Roman" w:eastAsia="PMingLiU" w:hAnsi="Times New Roman" w:cs="Times New Roman"/>
          <w:sz w:val="28"/>
          <w:szCs w:val="28"/>
        </w:rPr>
        <w:t>)</w:t>
      </w:r>
      <w:r w:rsidRPr="00DD1874">
        <w:rPr>
          <w:rFonts w:ascii="Times New Roman" w:eastAsia="PMingLiU" w:hAnsi="Times New Roman" w:cs="Times New Roman"/>
          <w:sz w:val="28"/>
          <w:szCs w:val="28"/>
        </w:rPr>
        <w:t xml:space="preserve"> tehniskās infrastruktūras centralizāciju;</w:t>
      </w:r>
    </w:p>
    <w:p w14:paraId="3BD15DFA" w14:textId="77777777" w:rsidR="00624EC5" w:rsidRPr="00DD1874" w:rsidRDefault="00624EC5" w:rsidP="0079021D">
      <w:pPr>
        <w:pStyle w:val="ListParagraph"/>
        <w:numPr>
          <w:ilvl w:val="1"/>
          <w:numId w:val="7"/>
        </w:numPr>
        <w:spacing w:before="0" w:after="0"/>
        <w:jc w:val="both"/>
        <w:rPr>
          <w:rFonts w:ascii="Times New Roman" w:eastAsia="PMingLiU" w:hAnsi="Times New Roman" w:cs="Times New Roman"/>
          <w:sz w:val="28"/>
          <w:szCs w:val="28"/>
        </w:rPr>
      </w:pPr>
      <w:r w:rsidRPr="00DD1874">
        <w:rPr>
          <w:rFonts w:ascii="Times New Roman" w:eastAsia="PMingLiU" w:hAnsi="Times New Roman" w:cs="Times New Roman"/>
          <w:sz w:val="28"/>
          <w:szCs w:val="28"/>
        </w:rPr>
        <w:t>uzlabojot IKT koplietošanas pakalpojumus un koplietošanas funkcionalitāti.</w:t>
      </w:r>
    </w:p>
    <w:p w14:paraId="6A0F123D" w14:textId="159BCE3C" w:rsidR="00624EC5" w:rsidRPr="00DD1874" w:rsidRDefault="00285347" w:rsidP="00285347">
      <w:pPr>
        <w:tabs>
          <w:tab w:val="left" w:pos="0"/>
        </w:tabs>
        <w:spacing w:before="120" w:after="0"/>
        <w:ind w:firstLine="851"/>
        <w:jc w:val="both"/>
        <w:rPr>
          <w:rFonts w:ascii="Times New Roman" w:eastAsia="Calibri" w:hAnsi="Times New Roman" w:cs="Times New Roman"/>
          <w:b/>
          <w:bCs/>
          <w:sz w:val="28"/>
          <w:szCs w:val="28"/>
        </w:rPr>
      </w:pPr>
      <w:r w:rsidRPr="00DD1874">
        <w:rPr>
          <w:rFonts w:ascii="Times New Roman" w:eastAsia="Calibri" w:hAnsi="Times New Roman" w:cs="Times New Roman"/>
          <w:b/>
          <w:bCs/>
          <w:sz w:val="28"/>
          <w:szCs w:val="28"/>
        </w:rPr>
        <w:t>2. </w:t>
      </w:r>
      <w:r w:rsidR="00624EC5" w:rsidRPr="00DD1874">
        <w:rPr>
          <w:rFonts w:ascii="Times New Roman" w:eastAsia="Calibri" w:hAnsi="Times New Roman" w:cs="Times New Roman"/>
          <w:b/>
          <w:bCs/>
          <w:sz w:val="28"/>
          <w:szCs w:val="28"/>
        </w:rPr>
        <w:t xml:space="preserve">Uzlabot darbības procesu elektronizācijas līmeni, samazinot administratīvo slogu </w:t>
      </w:r>
      <w:r w:rsidR="000C49C3" w:rsidRPr="00DD1874">
        <w:rPr>
          <w:rFonts w:ascii="Times New Roman" w:eastAsia="Calibri" w:hAnsi="Times New Roman" w:cs="Times New Roman"/>
          <w:b/>
          <w:bCs/>
          <w:sz w:val="28"/>
          <w:szCs w:val="28"/>
        </w:rPr>
        <w:t>EM</w:t>
      </w:r>
      <w:r w:rsidR="00624EC5" w:rsidRPr="00DD1874">
        <w:rPr>
          <w:rFonts w:ascii="Times New Roman" w:eastAsia="Calibri" w:hAnsi="Times New Roman" w:cs="Times New Roman"/>
          <w:b/>
          <w:bCs/>
          <w:sz w:val="28"/>
          <w:szCs w:val="28"/>
        </w:rPr>
        <w:t xml:space="preserve"> resorā un komersantiem, kuri veic datu iesniegšanu.</w:t>
      </w:r>
    </w:p>
    <w:p w14:paraId="1284DD34" w14:textId="77777777" w:rsidR="00285347" w:rsidRPr="00DD1874" w:rsidRDefault="00624EC5" w:rsidP="00285347">
      <w:pPr>
        <w:tabs>
          <w:tab w:val="left" w:pos="0"/>
        </w:tabs>
        <w:spacing w:before="120" w:after="0"/>
        <w:ind w:firstLine="851"/>
        <w:jc w:val="both"/>
        <w:rPr>
          <w:rFonts w:ascii="Times New Roman" w:eastAsia="Calibri" w:hAnsi="Times New Roman" w:cs="Times New Roman"/>
          <w:bCs/>
          <w:sz w:val="28"/>
          <w:szCs w:val="28"/>
        </w:rPr>
      </w:pPr>
      <w:r w:rsidRPr="00DD1874">
        <w:rPr>
          <w:rFonts w:ascii="Times New Roman" w:eastAsia="Calibri" w:hAnsi="Times New Roman" w:cs="Times New Roman"/>
          <w:bCs/>
          <w:sz w:val="28"/>
          <w:szCs w:val="28"/>
        </w:rPr>
        <w:t>Mērķis tiks sasniegts:</w:t>
      </w:r>
    </w:p>
    <w:p w14:paraId="225C9FA9" w14:textId="77777777" w:rsidR="00285347" w:rsidRPr="00DD1874" w:rsidRDefault="00624EC5" w:rsidP="00285347">
      <w:pPr>
        <w:pStyle w:val="ListParagraph"/>
        <w:numPr>
          <w:ilvl w:val="0"/>
          <w:numId w:val="8"/>
        </w:numPr>
        <w:tabs>
          <w:tab w:val="left" w:pos="0"/>
        </w:tabs>
        <w:spacing w:before="0" w:after="0"/>
        <w:jc w:val="both"/>
        <w:rPr>
          <w:rFonts w:ascii="Times New Roman" w:eastAsia="Calibri" w:hAnsi="Times New Roman" w:cs="Times New Roman"/>
          <w:bCs/>
          <w:sz w:val="28"/>
          <w:szCs w:val="28"/>
        </w:rPr>
      </w:pPr>
      <w:r w:rsidRPr="00DD1874">
        <w:rPr>
          <w:rFonts w:ascii="Times New Roman" w:eastAsia="PMingLiU" w:hAnsi="Times New Roman" w:cs="Times New Roman"/>
          <w:sz w:val="28"/>
          <w:szCs w:val="28"/>
        </w:rPr>
        <w:t xml:space="preserve">samazinot informācijas dublēšanos vairākās valsts </w:t>
      </w:r>
      <w:r w:rsidR="00685027" w:rsidRPr="00DD1874">
        <w:rPr>
          <w:rFonts w:ascii="Times New Roman" w:eastAsia="PMingLiU" w:hAnsi="Times New Roman" w:cs="Times New Roman"/>
          <w:sz w:val="28"/>
          <w:szCs w:val="28"/>
        </w:rPr>
        <w:t>informācijas sistēmās</w:t>
      </w:r>
      <w:r w:rsidRPr="00DD1874">
        <w:rPr>
          <w:rFonts w:ascii="Times New Roman" w:eastAsia="PMingLiU" w:hAnsi="Times New Roman" w:cs="Times New Roman"/>
          <w:sz w:val="28"/>
          <w:szCs w:val="28"/>
        </w:rPr>
        <w:t xml:space="preserve">, </w:t>
      </w:r>
      <w:proofErr w:type="spellStart"/>
      <w:r w:rsidRPr="00DD1874">
        <w:rPr>
          <w:rFonts w:ascii="Times New Roman" w:eastAsia="PMingLiU" w:hAnsi="Times New Roman" w:cs="Times New Roman"/>
          <w:sz w:val="28"/>
          <w:szCs w:val="28"/>
        </w:rPr>
        <w:t>atkalizmantojot</w:t>
      </w:r>
      <w:proofErr w:type="spellEnd"/>
      <w:r w:rsidRPr="00DD1874">
        <w:rPr>
          <w:rFonts w:ascii="Times New Roman" w:eastAsia="PMingLiU" w:hAnsi="Times New Roman" w:cs="Times New Roman"/>
          <w:sz w:val="28"/>
          <w:szCs w:val="28"/>
        </w:rPr>
        <w:t xml:space="preserve"> publiskajā pārvaldē jau pieejamos datus;</w:t>
      </w:r>
    </w:p>
    <w:p w14:paraId="7CBAAB2C" w14:textId="77777777" w:rsidR="00285347" w:rsidRPr="00DD1874" w:rsidRDefault="00624EC5" w:rsidP="00285347">
      <w:pPr>
        <w:pStyle w:val="ListParagraph"/>
        <w:numPr>
          <w:ilvl w:val="0"/>
          <w:numId w:val="8"/>
        </w:numPr>
        <w:tabs>
          <w:tab w:val="left" w:pos="0"/>
        </w:tabs>
        <w:spacing w:before="0" w:after="0"/>
        <w:jc w:val="both"/>
        <w:rPr>
          <w:rFonts w:ascii="Times New Roman" w:eastAsia="Calibri" w:hAnsi="Times New Roman" w:cs="Times New Roman"/>
          <w:bCs/>
          <w:sz w:val="28"/>
          <w:szCs w:val="28"/>
        </w:rPr>
      </w:pPr>
      <w:r w:rsidRPr="00DD1874">
        <w:rPr>
          <w:rFonts w:ascii="Times New Roman" w:eastAsia="PMingLiU" w:hAnsi="Times New Roman" w:cs="Times New Roman"/>
          <w:sz w:val="28"/>
          <w:szCs w:val="28"/>
        </w:rPr>
        <w:lastRenderedPageBreak/>
        <w:t>samazinot papīra dokumentu apriti un datu iesniegšanu papīra formātā;</w:t>
      </w:r>
    </w:p>
    <w:p w14:paraId="1B67F724" w14:textId="6D6FFFF1" w:rsidR="00624EC5" w:rsidRPr="00DD1874" w:rsidRDefault="00624EC5" w:rsidP="00771DF1">
      <w:pPr>
        <w:pStyle w:val="ListParagraph"/>
        <w:numPr>
          <w:ilvl w:val="0"/>
          <w:numId w:val="8"/>
        </w:numPr>
        <w:tabs>
          <w:tab w:val="left" w:pos="0"/>
        </w:tabs>
        <w:spacing w:before="0" w:after="0"/>
        <w:contextualSpacing w:val="0"/>
        <w:jc w:val="both"/>
        <w:rPr>
          <w:rFonts w:ascii="Times New Roman" w:eastAsia="Calibri" w:hAnsi="Times New Roman" w:cs="Times New Roman"/>
          <w:bCs/>
          <w:sz w:val="28"/>
          <w:szCs w:val="28"/>
        </w:rPr>
      </w:pPr>
      <w:r w:rsidRPr="00DD1874">
        <w:rPr>
          <w:rFonts w:ascii="Times New Roman" w:eastAsia="PMingLiU" w:hAnsi="Times New Roman" w:cs="Times New Roman"/>
          <w:sz w:val="28"/>
          <w:szCs w:val="28"/>
        </w:rPr>
        <w:t>samazinot manuālu datu pārvadi.</w:t>
      </w:r>
    </w:p>
    <w:p w14:paraId="75EFCBFB" w14:textId="77777777" w:rsidR="00771DF1" w:rsidRPr="00DD1874" w:rsidRDefault="00771DF1" w:rsidP="00771DF1">
      <w:pPr>
        <w:overflowPunct w:val="0"/>
        <w:autoSpaceDE w:val="0"/>
        <w:autoSpaceDN w:val="0"/>
        <w:spacing w:before="0" w:after="0"/>
        <w:textAlignment w:val="baseline"/>
        <w:rPr>
          <w:rFonts w:ascii="Times New Roman" w:eastAsia="MS Mincho" w:hAnsi="Times New Roman" w:cs="Times New Roman"/>
          <w:b/>
          <w:bCs/>
          <w:sz w:val="28"/>
          <w:szCs w:val="28"/>
        </w:rPr>
      </w:pPr>
    </w:p>
    <w:p w14:paraId="7E80F2B9" w14:textId="30B39F37" w:rsidR="00BA44B7" w:rsidRPr="00DD1874" w:rsidRDefault="00BA44B7" w:rsidP="000C01BE">
      <w:pPr>
        <w:overflowPunct w:val="0"/>
        <w:autoSpaceDE w:val="0"/>
        <w:autoSpaceDN w:val="0"/>
        <w:spacing w:before="0" w:after="0"/>
        <w:ind w:firstLine="851"/>
        <w:textAlignment w:val="baseline"/>
        <w:rPr>
          <w:rFonts w:ascii="Times New Roman" w:eastAsia="MS Mincho" w:hAnsi="Times New Roman" w:cs="Times New Roman"/>
          <w:b/>
          <w:bCs/>
          <w:sz w:val="28"/>
          <w:szCs w:val="28"/>
        </w:rPr>
      </w:pPr>
      <w:r w:rsidRPr="00DD1874">
        <w:rPr>
          <w:rFonts w:ascii="Times New Roman" w:eastAsia="MS Mincho" w:hAnsi="Times New Roman" w:cs="Times New Roman"/>
          <w:b/>
          <w:bCs/>
          <w:sz w:val="28"/>
          <w:szCs w:val="28"/>
        </w:rPr>
        <w:t>Projekta rezultāta rādītāji:</w:t>
      </w:r>
    </w:p>
    <w:tbl>
      <w:tblPr>
        <w:tblStyle w:val="TableGrid1"/>
        <w:tblW w:w="5000" w:type="pct"/>
        <w:tblLook w:val="04A0" w:firstRow="1" w:lastRow="0" w:firstColumn="1" w:lastColumn="0" w:noHBand="0" w:noVBand="1"/>
      </w:tblPr>
      <w:tblGrid>
        <w:gridCol w:w="603"/>
        <w:gridCol w:w="1934"/>
        <w:gridCol w:w="1416"/>
        <w:gridCol w:w="1243"/>
        <w:gridCol w:w="1550"/>
        <w:gridCol w:w="1550"/>
      </w:tblGrid>
      <w:tr w:rsidR="00365E31" w:rsidRPr="00DD1874" w14:paraId="5A9FFD88" w14:textId="77777777" w:rsidTr="00613C93">
        <w:tc>
          <w:tcPr>
            <w:tcW w:w="315" w:type="pct"/>
            <w:vAlign w:val="center"/>
          </w:tcPr>
          <w:p w14:paraId="33EC98D8"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Nr. p.k.</w:t>
            </w:r>
          </w:p>
        </w:tc>
        <w:tc>
          <w:tcPr>
            <w:tcW w:w="1487" w:type="pct"/>
            <w:vAlign w:val="center"/>
          </w:tcPr>
          <w:p w14:paraId="16B07734"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Rezultāta rādītājs</w:t>
            </w:r>
          </w:p>
        </w:tc>
        <w:tc>
          <w:tcPr>
            <w:tcW w:w="855" w:type="pct"/>
            <w:vAlign w:val="center"/>
          </w:tcPr>
          <w:p w14:paraId="0AD9CC7A"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Mērvienība</w:t>
            </w:r>
          </w:p>
        </w:tc>
        <w:tc>
          <w:tcPr>
            <w:tcW w:w="755" w:type="pct"/>
            <w:vAlign w:val="center"/>
          </w:tcPr>
          <w:p w14:paraId="60861BD7"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Sākotnējā vērtība</w:t>
            </w:r>
          </w:p>
        </w:tc>
        <w:tc>
          <w:tcPr>
            <w:tcW w:w="794" w:type="pct"/>
            <w:vAlign w:val="center"/>
          </w:tcPr>
          <w:p w14:paraId="13E6F7CD"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Sasniedzamā vērtība 2 gadus pēc projekta beigām</w:t>
            </w:r>
          </w:p>
        </w:tc>
        <w:tc>
          <w:tcPr>
            <w:tcW w:w="794" w:type="pct"/>
            <w:vAlign w:val="center"/>
          </w:tcPr>
          <w:p w14:paraId="1EBD2E25" w14:textId="77777777" w:rsidR="00365E31" w:rsidRPr="00DD1874" w:rsidRDefault="00365E31"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Sasniedzamā vērtība 3 gadus pēc projekta beigām</w:t>
            </w:r>
          </w:p>
        </w:tc>
      </w:tr>
      <w:tr w:rsidR="00365E31" w:rsidRPr="00DD1874" w14:paraId="7133E9CF" w14:textId="77777777" w:rsidTr="00613C93">
        <w:tc>
          <w:tcPr>
            <w:tcW w:w="5000" w:type="pct"/>
            <w:gridSpan w:val="6"/>
            <w:vAlign w:val="center"/>
          </w:tcPr>
          <w:p w14:paraId="46CE3E2C" w14:textId="77777777" w:rsidR="00365E31" w:rsidRPr="00DD1874" w:rsidRDefault="00365E31" w:rsidP="0079021D">
            <w:pPr>
              <w:tabs>
                <w:tab w:val="left" w:pos="0"/>
              </w:tabs>
              <w:spacing w:before="0" w:after="0"/>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 xml:space="preserve">Nodrošināt centralizētu, uz modernām tehnoloģijām balstītu informācijas un komunikāciju tehnoloģiju pakalpojumu sniegšanu </w:t>
            </w:r>
            <w:r w:rsidR="000C49C3" w:rsidRPr="00DD1874">
              <w:rPr>
                <w:rFonts w:ascii="Times New Roman" w:eastAsia="Calibri" w:hAnsi="Times New Roman" w:cs="Times New Roman"/>
                <w:b/>
                <w:bCs/>
                <w:sz w:val="24"/>
                <w:szCs w:val="24"/>
              </w:rPr>
              <w:t>EM</w:t>
            </w:r>
            <w:r w:rsidRPr="00DD1874">
              <w:rPr>
                <w:rFonts w:ascii="Times New Roman" w:eastAsia="Calibri" w:hAnsi="Times New Roman" w:cs="Times New Roman"/>
                <w:b/>
                <w:bCs/>
                <w:sz w:val="24"/>
                <w:szCs w:val="24"/>
              </w:rPr>
              <w:t xml:space="preserve"> resorā</w:t>
            </w:r>
          </w:p>
        </w:tc>
      </w:tr>
      <w:tr w:rsidR="00365E31" w:rsidRPr="00DD1874" w14:paraId="5BC1685E" w14:textId="77777777" w:rsidTr="00613C93">
        <w:tc>
          <w:tcPr>
            <w:tcW w:w="315" w:type="pct"/>
            <w:vMerge w:val="restart"/>
            <w:vAlign w:val="center"/>
          </w:tcPr>
          <w:p w14:paraId="6F9DA381"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w:t>
            </w:r>
          </w:p>
        </w:tc>
        <w:tc>
          <w:tcPr>
            <w:tcW w:w="1487" w:type="pct"/>
            <w:vAlign w:val="center"/>
          </w:tcPr>
          <w:p w14:paraId="0D968F11"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Vienoto (centralizēti pārvaldīto) darba vietu skaita īpatsvars no kopējā EM un padotības iestāžu darba vietu skaita</w:t>
            </w:r>
          </w:p>
        </w:tc>
        <w:tc>
          <w:tcPr>
            <w:tcW w:w="855" w:type="pct"/>
            <w:vAlign w:val="center"/>
          </w:tcPr>
          <w:p w14:paraId="63FB34BF"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Procenti (%) no kopējā skaita</w:t>
            </w:r>
          </w:p>
        </w:tc>
        <w:tc>
          <w:tcPr>
            <w:tcW w:w="755" w:type="pct"/>
            <w:vAlign w:val="center"/>
          </w:tcPr>
          <w:p w14:paraId="37237EB8"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794" w:type="pct"/>
            <w:vAlign w:val="center"/>
          </w:tcPr>
          <w:p w14:paraId="67C131EE"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50</w:t>
            </w:r>
          </w:p>
        </w:tc>
        <w:tc>
          <w:tcPr>
            <w:tcW w:w="794" w:type="pct"/>
            <w:vAlign w:val="center"/>
          </w:tcPr>
          <w:p w14:paraId="79A57689"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90</w:t>
            </w:r>
          </w:p>
        </w:tc>
      </w:tr>
      <w:tr w:rsidR="00365E31" w:rsidRPr="00DD1874" w14:paraId="49CFBFAD" w14:textId="77777777" w:rsidTr="00613C93">
        <w:tc>
          <w:tcPr>
            <w:tcW w:w="315" w:type="pct"/>
            <w:vMerge/>
            <w:vAlign w:val="center"/>
          </w:tcPr>
          <w:p w14:paraId="25CDCF11"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p>
        </w:tc>
        <w:tc>
          <w:tcPr>
            <w:tcW w:w="1487" w:type="pct"/>
            <w:vAlign w:val="center"/>
          </w:tcPr>
          <w:p w14:paraId="638D8EBF"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 xml:space="preserve">t.sk., </w:t>
            </w:r>
            <w:proofErr w:type="spellStart"/>
            <w:r w:rsidRPr="00DD1874">
              <w:rPr>
                <w:rFonts w:ascii="Times New Roman" w:eastAsia="Calibri" w:hAnsi="Times New Roman" w:cs="Times New Roman"/>
                <w:bCs/>
                <w:sz w:val="24"/>
                <w:szCs w:val="24"/>
              </w:rPr>
              <w:t>virtualizēto</w:t>
            </w:r>
            <w:proofErr w:type="spellEnd"/>
            <w:r w:rsidRPr="00DD1874">
              <w:rPr>
                <w:rFonts w:ascii="Times New Roman" w:eastAsia="Calibri" w:hAnsi="Times New Roman" w:cs="Times New Roman"/>
                <w:bCs/>
                <w:sz w:val="24"/>
                <w:szCs w:val="24"/>
              </w:rPr>
              <w:t xml:space="preserve"> vienoto darba vietu skaits (attālinātas piekļuves nodrošināšanai)</w:t>
            </w:r>
          </w:p>
        </w:tc>
        <w:tc>
          <w:tcPr>
            <w:tcW w:w="855" w:type="pct"/>
            <w:vAlign w:val="center"/>
          </w:tcPr>
          <w:p w14:paraId="48AA31D8"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Procenti (%) no kopējā skaita</w:t>
            </w:r>
          </w:p>
        </w:tc>
        <w:tc>
          <w:tcPr>
            <w:tcW w:w="755" w:type="pct"/>
            <w:vAlign w:val="center"/>
          </w:tcPr>
          <w:p w14:paraId="4446F9FE"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794" w:type="pct"/>
            <w:vAlign w:val="center"/>
          </w:tcPr>
          <w:p w14:paraId="71F16CE6"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5</w:t>
            </w:r>
          </w:p>
        </w:tc>
        <w:tc>
          <w:tcPr>
            <w:tcW w:w="794" w:type="pct"/>
            <w:vAlign w:val="center"/>
          </w:tcPr>
          <w:p w14:paraId="55EB9569"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10</w:t>
            </w:r>
          </w:p>
        </w:tc>
      </w:tr>
      <w:tr w:rsidR="00365E31" w:rsidRPr="00DD1874" w14:paraId="5E920EE6" w14:textId="77777777" w:rsidTr="00613C93">
        <w:tc>
          <w:tcPr>
            <w:tcW w:w="315" w:type="pct"/>
            <w:vAlign w:val="center"/>
          </w:tcPr>
          <w:p w14:paraId="41F92438"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2.</w:t>
            </w:r>
          </w:p>
        </w:tc>
        <w:tc>
          <w:tcPr>
            <w:tcW w:w="1487" w:type="pct"/>
            <w:vAlign w:val="center"/>
          </w:tcPr>
          <w:p w14:paraId="0DEF400E"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Vienoto darba vietu kategoriju skaits</w:t>
            </w:r>
          </w:p>
        </w:tc>
        <w:tc>
          <w:tcPr>
            <w:tcW w:w="855" w:type="pct"/>
            <w:vAlign w:val="center"/>
          </w:tcPr>
          <w:p w14:paraId="2E79060B"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Skaits</w:t>
            </w:r>
          </w:p>
        </w:tc>
        <w:tc>
          <w:tcPr>
            <w:tcW w:w="755" w:type="pct"/>
            <w:vAlign w:val="center"/>
          </w:tcPr>
          <w:p w14:paraId="73E9AD3C"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794" w:type="pct"/>
            <w:vAlign w:val="center"/>
          </w:tcPr>
          <w:p w14:paraId="66A7BD72"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3</w:t>
            </w:r>
          </w:p>
        </w:tc>
        <w:tc>
          <w:tcPr>
            <w:tcW w:w="794" w:type="pct"/>
            <w:vAlign w:val="center"/>
          </w:tcPr>
          <w:p w14:paraId="4C1BB8EC"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3</w:t>
            </w:r>
          </w:p>
        </w:tc>
      </w:tr>
      <w:tr w:rsidR="00365E31" w:rsidRPr="00DD1874" w14:paraId="5FACBD28" w14:textId="77777777" w:rsidTr="00613C93">
        <w:tc>
          <w:tcPr>
            <w:tcW w:w="315" w:type="pct"/>
            <w:vAlign w:val="center"/>
          </w:tcPr>
          <w:p w14:paraId="24526D3D"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3.</w:t>
            </w:r>
          </w:p>
        </w:tc>
        <w:tc>
          <w:tcPr>
            <w:tcW w:w="1487" w:type="pct"/>
            <w:vAlign w:val="center"/>
          </w:tcPr>
          <w:p w14:paraId="09359548" w14:textId="77777777" w:rsidR="00365E31" w:rsidRPr="00DD1874" w:rsidRDefault="000C49C3"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EM</w:t>
            </w:r>
            <w:r w:rsidR="00365E31" w:rsidRPr="00DD1874">
              <w:rPr>
                <w:rFonts w:ascii="Times New Roman" w:eastAsia="Calibri" w:hAnsi="Times New Roman" w:cs="Times New Roman"/>
                <w:bCs/>
                <w:sz w:val="24"/>
                <w:szCs w:val="24"/>
              </w:rPr>
              <w:t xml:space="preserve"> resorā esošo datu centru skaits</w:t>
            </w:r>
          </w:p>
        </w:tc>
        <w:tc>
          <w:tcPr>
            <w:tcW w:w="855" w:type="pct"/>
            <w:vAlign w:val="center"/>
          </w:tcPr>
          <w:p w14:paraId="67AC8FA5"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Procenti (%) no kopējā skaita</w:t>
            </w:r>
          </w:p>
        </w:tc>
        <w:tc>
          <w:tcPr>
            <w:tcW w:w="755" w:type="pct"/>
            <w:vAlign w:val="center"/>
          </w:tcPr>
          <w:p w14:paraId="620F9863"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100</w:t>
            </w:r>
          </w:p>
        </w:tc>
        <w:tc>
          <w:tcPr>
            <w:tcW w:w="794" w:type="pct"/>
            <w:vAlign w:val="center"/>
          </w:tcPr>
          <w:p w14:paraId="0B55F9F1"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100</w:t>
            </w:r>
          </w:p>
        </w:tc>
        <w:tc>
          <w:tcPr>
            <w:tcW w:w="794" w:type="pct"/>
            <w:vAlign w:val="center"/>
          </w:tcPr>
          <w:p w14:paraId="7C623C35"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66</w:t>
            </w:r>
          </w:p>
        </w:tc>
      </w:tr>
      <w:tr w:rsidR="00365E31" w:rsidRPr="00DD1874" w14:paraId="6688E70B" w14:textId="77777777" w:rsidTr="00613C93">
        <w:tc>
          <w:tcPr>
            <w:tcW w:w="5000" w:type="pct"/>
            <w:gridSpan w:val="6"/>
            <w:vAlign w:val="center"/>
          </w:tcPr>
          <w:p w14:paraId="00E183C6" w14:textId="77777777" w:rsidR="00365E31" w:rsidRPr="00DD1874" w:rsidRDefault="00365E31" w:rsidP="0079021D">
            <w:pPr>
              <w:tabs>
                <w:tab w:val="left" w:pos="0"/>
              </w:tabs>
              <w:spacing w:before="0" w:after="0"/>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 xml:space="preserve">Uzlabot darbības procesu elektronizācijas līmeni, samazinot administratīvo slogu </w:t>
            </w:r>
            <w:r w:rsidR="000C49C3" w:rsidRPr="00DD1874">
              <w:rPr>
                <w:rFonts w:ascii="Times New Roman" w:eastAsia="Calibri" w:hAnsi="Times New Roman" w:cs="Times New Roman"/>
                <w:b/>
                <w:bCs/>
                <w:sz w:val="24"/>
                <w:szCs w:val="24"/>
              </w:rPr>
              <w:t>EM</w:t>
            </w:r>
            <w:r w:rsidRPr="00DD1874">
              <w:rPr>
                <w:rFonts w:ascii="Times New Roman" w:eastAsia="Calibri" w:hAnsi="Times New Roman" w:cs="Times New Roman"/>
                <w:b/>
                <w:bCs/>
                <w:sz w:val="24"/>
                <w:szCs w:val="24"/>
              </w:rPr>
              <w:t xml:space="preserve"> resorā un datu iesniegšanu komersantiem</w:t>
            </w:r>
          </w:p>
        </w:tc>
      </w:tr>
      <w:tr w:rsidR="00365E31" w:rsidRPr="00DD1874" w14:paraId="0CC6FF64" w14:textId="77777777" w:rsidTr="00613C93">
        <w:tc>
          <w:tcPr>
            <w:tcW w:w="315" w:type="pct"/>
            <w:vAlign w:val="center"/>
          </w:tcPr>
          <w:p w14:paraId="2D147FF8"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4.</w:t>
            </w:r>
          </w:p>
        </w:tc>
        <w:tc>
          <w:tcPr>
            <w:tcW w:w="1487" w:type="pct"/>
            <w:vAlign w:val="center"/>
          </w:tcPr>
          <w:p w14:paraId="067E0C69"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 xml:space="preserve">Uzlaboto </w:t>
            </w:r>
            <w:r w:rsidR="000C49C3" w:rsidRPr="00DD1874">
              <w:rPr>
                <w:rFonts w:ascii="Times New Roman" w:eastAsia="Calibri" w:hAnsi="Times New Roman" w:cs="Times New Roman"/>
                <w:bCs/>
                <w:sz w:val="24"/>
                <w:szCs w:val="24"/>
              </w:rPr>
              <w:t>EM</w:t>
            </w:r>
            <w:r w:rsidRPr="00DD1874">
              <w:rPr>
                <w:rFonts w:ascii="Times New Roman" w:eastAsia="Calibri" w:hAnsi="Times New Roman" w:cs="Times New Roman"/>
                <w:bCs/>
                <w:sz w:val="24"/>
                <w:szCs w:val="24"/>
              </w:rPr>
              <w:t xml:space="preserve"> resora reģistru skaits</w:t>
            </w:r>
          </w:p>
        </w:tc>
        <w:tc>
          <w:tcPr>
            <w:tcW w:w="855" w:type="pct"/>
            <w:vAlign w:val="center"/>
          </w:tcPr>
          <w:p w14:paraId="2CAEDE47" w14:textId="6A36CCA4" w:rsidR="00365E31" w:rsidRPr="00DD1874" w:rsidRDefault="00894320" w:rsidP="0079021D">
            <w:pPr>
              <w:tabs>
                <w:tab w:val="left" w:pos="0"/>
              </w:tabs>
              <w:spacing w:before="0" w:after="0"/>
              <w:rPr>
                <w:rFonts w:ascii="Times New Roman" w:eastAsia="Calibri" w:hAnsi="Times New Roman" w:cs="Times New Roman"/>
                <w:bCs/>
                <w:sz w:val="24"/>
                <w:szCs w:val="24"/>
              </w:rPr>
            </w:pPr>
            <w:r>
              <w:rPr>
                <w:rFonts w:ascii="Times New Roman" w:eastAsia="Calibri" w:hAnsi="Times New Roman" w:cs="Times New Roman"/>
                <w:bCs/>
                <w:sz w:val="24"/>
                <w:szCs w:val="24"/>
              </w:rPr>
              <w:t>Procenti (%) no kopējā EM r</w:t>
            </w:r>
            <w:r w:rsidR="00365E31" w:rsidRPr="00DD1874">
              <w:rPr>
                <w:rFonts w:ascii="Times New Roman" w:eastAsia="Calibri" w:hAnsi="Times New Roman" w:cs="Times New Roman"/>
                <w:bCs/>
                <w:sz w:val="24"/>
                <w:szCs w:val="24"/>
              </w:rPr>
              <w:t xml:space="preserve">esora pārvaldībā esošo </w:t>
            </w:r>
            <w:r>
              <w:rPr>
                <w:rFonts w:ascii="Times New Roman" w:eastAsia="Calibri" w:hAnsi="Times New Roman" w:cs="Times New Roman"/>
                <w:bCs/>
                <w:sz w:val="24"/>
                <w:szCs w:val="24"/>
              </w:rPr>
              <w:t>informācijas sistēmu</w:t>
            </w:r>
            <w:r w:rsidR="00365E31" w:rsidRPr="00DD1874">
              <w:rPr>
                <w:rFonts w:ascii="Times New Roman" w:eastAsia="Calibri" w:hAnsi="Times New Roman" w:cs="Times New Roman"/>
                <w:bCs/>
                <w:sz w:val="24"/>
                <w:szCs w:val="24"/>
              </w:rPr>
              <w:t xml:space="preserve"> un reģistru skaita</w:t>
            </w:r>
          </w:p>
        </w:tc>
        <w:tc>
          <w:tcPr>
            <w:tcW w:w="755" w:type="pct"/>
            <w:vAlign w:val="center"/>
          </w:tcPr>
          <w:p w14:paraId="4B92243B"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794" w:type="pct"/>
            <w:vAlign w:val="center"/>
          </w:tcPr>
          <w:p w14:paraId="4084CE7D"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15</w:t>
            </w:r>
          </w:p>
        </w:tc>
        <w:tc>
          <w:tcPr>
            <w:tcW w:w="794" w:type="pct"/>
            <w:vAlign w:val="center"/>
          </w:tcPr>
          <w:p w14:paraId="41F27032" w14:textId="77777777" w:rsidR="00365E31" w:rsidRPr="00DD1874" w:rsidDel="00DB65D3"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20</w:t>
            </w:r>
          </w:p>
        </w:tc>
      </w:tr>
      <w:tr w:rsidR="00365E31" w:rsidRPr="00DD1874" w14:paraId="43317655" w14:textId="77777777" w:rsidTr="00613C93">
        <w:tc>
          <w:tcPr>
            <w:tcW w:w="315" w:type="pct"/>
            <w:vAlign w:val="center"/>
          </w:tcPr>
          <w:p w14:paraId="49404EE8"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5.</w:t>
            </w:r>
          </w:p>
        </w:tc>
        <w:tc>
          <w:tcPr>
            <w:tcW w:w="1487" w:type="pct"/>
            <w:vAlign w:val="center"/>
          </w:tcPr>
          <w:p w14:paraId="4320013C"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 xml:space="preserve">Komersantu īpatsvars, kas datu nodošanai izmanto </w:t>
            </w:r>
            <w:r w:rsidRPr="00DD1874">
              <w:rPr>
                <w:rFonts w:ascii="Times New Roman" w:eastAsia="Calibri" w:hAnsi="Times New Roman" w:cs="Times New Roman"/>
                <w:bCs/>
                <w:i/>
                <w:sz w:val="24"/>
                <w:szCs w:val="24"/>
              </w:rPr>
              <w:lastRenderedPageBreak/>
              <w:t>Komersantu vienoto datu nodošanas pakalpojumu</w:t>
            </w:r>
          </w:p>
        </w:tc>
        <w:tc>
          <w:tcPr>
            <w:tcW w:w="855" w:type="pct"/>
            <w:vAlign w:val="center"/>
          </w:tcPr>
          <w:p w14:paraId="3DDC244D" w14:textId="77777777" w:rsidR="00365E31" w:rsidRPr="00DD1874" w:rsidRDefault="00365E31" w:rsidP="0079021D">
            <w:pPr>
              <w:tabs>
                <w:tab w:val="left" w:pos="0"/>
              </w:tabs>
              <w:spacing w:before="0" w:after="0"/>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lastRenderedPageBreak/>
              <w:t>Procenti (%) no kopējā skaita</w:t>
            </w:r>
          </w:p>
        </w:tc>
        <w:tc>
          <w:tcPr>
            <w:tcW w:w="755" w:type="pct"/>
            <w:vAlign w:val="center"/>
          </w:tcPr>
          <w:p w14:paraId="41697F14"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794" w:type="pct"/>
            <w:vAlign w:val="center"/>
          </w:tcPr>
          <w:p w14:paraId="073D0BB2"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50</w:t>
            </w:r>
          </w:p>
        </w:tc>
        <w:tc>
          <w:tcPr>
            <w:tcW w:w="794" w:type="pct"/>
            <w:vAlign w:val="center"/>
          </w:tcPr>
          <w:p w14:paraId="4BF64E95" w14:textId="77777777" w:rsidR="00365E31" w:rsidRPr="00DD1874" w:rsidRDefault="00365E31" w:rsidP="0079021D">
            <w:pPr>
              <w:tabs>
                <w:tab w:val="left" w:pos="0"/>
              </w:tabs>
              <w:spacing w:before="0" w:after="0"/>
              <w:jc w:val="right"/>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90</w:t>
            </w:r>
          </w:p>
        </w:tc>
      </w:tr>
    </w:tbl>
    <w:p w14:paraId="5B956A4D" w14:textId="77777777" w:rsidR="00365E31" w:rsidRPr="00DD1874" w:rsidRDefault="00365E31" w:rsidP="0079021D">
      <w:pPr>
        <w:overflowPunct w:val="0"/>
        <w:autoSpaceDE w:val="0"/>
        <w:autoSpaceDN w:val="0"/>
        <w:spacing w:before="0" w:after="0"/>
        <w:textAlignment w:val="baseline"/>
        <w:rPr>
          <w:rFonts w:ascii="Times New Roman" w:eastAsia="MS Mincho" w:hAnsi="Times New Roman" w:cs="Times New Roman"/>
          <w:b/>
          <w:bCs/>
          <w:sz w:val="28"/>
          <w:szCs w:val="28"/>
        </w:rPr>
      </w:pPr>
    </w:p>
    <w:p w14:paraId="0E1BFA7F" w14:textId="77777777" w:rsidR="009D73A8" w:rsidRPr="00DD1874" w:rsidRDefault="009D73A8" w:rsidP="000C01BE">
      <w:pPr>
        <w:overflowPunct w:val="0"/>
        <w:autoSpaceDE w:val="0"/>
        <w:autoSpaceDN w:val="0"/>
        <w:adjustRightInd w:val="0"/>
        <w:spacing w:before="0" w:after="0"/>
        <w:ind w:firstLine="851"/>
        <w:textAlignment w:val="baseline"/>
        <w:rPr>
          <w:rFonts w:ascii="Times New Roman" w:eastAsia="MS Mincho" w:hAnsi="Times New Roman" w:cs="Times New Roman"/>
          <w:b/>
          <w:bCs/>
          <w:sz w:val="28"/>
          <w:szCs w:val="28"/>
        </w:rPr>
      </w:pPr>
      <w:r w:rsidRPr="00DD1874">
        <w:rPr>
          <w:rFonts w:ascii="Times New Roman" w:eastAsia="MS Mincho" w:hAnsi="Times New Roman" w:cs="Times New Roman"/>
          <w:b/>
          <w:bCs/>
          <w:sz w:val="28"/>
          <w:szCs w:val="28"/>
        </w:rPr>
        <w:t>Projekta iznākuma rādītāji:</w:t>
      </w:r>
    </w:p>
    <w:tbl>
      <w:tblPr>
        <w:tblStyle w:val="TableGrid"/>
        <w:tblW w:w="5000" w:type="pct"/>
        <w:tblLook w:val="04A0" w:firstRow="1" w:lastRow="0" w:firstColumn="1" w:lastColumn="0" w:noHBand="0" w:noVBand="1"/>
      </w:tblPr>
      <w:tblGrid>
        <w:gridCol w:w="603"/>
        <w:gridCol w:w="3217"/>
        <w:gridCol w:w="1403"/>
        <w:gridCol w:w="1523"/>
        <w:gridCol w:w="1550"/>
      </w:tblGrid>
      <w:tr w:rsidR="001E6FA4" w:rsidRPr="00DD1874" w14:paraId="0EB4A431" w14:textId="77777777" w:rsidTr="00613C93">
        <w:tc>
          <w:tcPr>
            <w:tcW w:w="218" w:type="pct"/>
            <w:vAlign w:val="center"/>
          </w:tcPr>
          <w:p w14:paraId="62658A8A" w14:textId="77777777" w:rsidR="001E6FA4" w:rsidRPr="00DD1874" w:rsidRDefault="001E6FA4"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sz w:val="24"/>
                <w:szCs w:val="24"/>
              </w:rPr>
              <w:t>Nr. p.k.</w:t>
            </w:r>
          </w:p>
        </w:tc>
        <w:tc>
          <w:tcPr>
            <w:tcW w:w="2066" w:type="pct"/>
            <w:vAlign w:val="center"/>
          </w:tcPr>
          <w:p w14:paraId="6C80B702" w14:textId="77777777" w:rsidR="001E6FA4" w:rsidRPr="00DD1874" w:rsidRDefault="001E6FA4"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Iznākuma rādītājs</w:t>
            </w:r>
          </w:p>
        </w:tc>
        <w:tc>
          <w:tcPr>
            <w:tcW w:w="730" w:type="pct"/>
            <w:vAlign w:val="center"/>
          </w:tcPr>
          <w:p w14:paraId="20F9B0A1" w14:textId="77777777" w:rsidR="001E6FA4" w:rsidRPr="00DD1874" w:rsidRDefault="001E6FA4"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Mērvienība</w:t>
            </w:r>
          </w:p>
        </w:tc>
        <w:tc>
          <w:tcPr>
            <w:tcW w:w="1028" w:type="pct"/>
            <w:vAlign w:val="center"/>
          </w:tcPr>
          <w:p w14:paraId="25F9CF5B" w14:textId="77777777" w:rsidR="001E6FA4" w:rsidRPr="00DD1874" w:rsidRDefault="001E6FA4" w:rsidP="0079021D">
            <w:pPr>
              <w:tabs>
                <w:tab w:val="left" w:pos="0"/>
              </w:tabs>
              <w:spacing w:before="0" w:after="0"/>
              <w:jc w:val="center"/>
              <w:rPr>
                <w:rFonts w:ascii="Times New Roman" w:eastAsia="Calibri" w:hAnsi="Times New Roman" w:cs="Times New Roman"/>
                <w:b/>
                <w:bCs/>
                <w:sz w:val="24"/>
                <w:szCs w:val="24"/>
              </w:rPr>
            </w:pPr>
            <w:proofErr w:type="spellStart"/>
            <w:r w:rsidRPr="00DD1874">
              <w:rPr>
                <w:rFonts w:ascii="Times New Roman" w:eastAsia="Calibri" w:hAnsi="Times New Roman" w:cs="Times New Roman"/>
                <w:b/>
                <w:bCs/>
                <w:sz w:val="24"/>
                <w:szCs w:val="24"/>
              </w:rPr>
              <w:t>Starpvērtība</w:t>
            </w:r>
            <w:proofErr w:type="spellEnd"/>
            <w:r w:rsidRPr="00DD1874">
              <w:rPr>
                <w:rFonts w:ascii="Times New Roman" w:eastAsia="Calibri" w:hAnsi="Times New Roman" w:cs="Times New Roman"/>
                <w:b/>
                <w:bCs/>
                <w:sz w:val="24"/>
                <w:szCs w:val="24"/>
              </w:rPr>
              <w:t xml:space="preserve"> (2 gadi pēc projekta sākuma)</w:t>
            </w:r>
          </w:p>
        </w:tc>
        <w:tc>
          <w:tcPr>
            <w:tcW w:w="958" w:type="pct"/>
            <w:vAlign w:val="center"/>
          </w:tcPr>
          <w:p w14:paraId="7B9498BE" w14:textId="77777777" w:rsidR="001E6FA4" w:rsidRPr="00DD1874" w:rsidRDefault="001E6FA4" w:rsidP="0079021D">
            <w:pPr>
              <w:tabs>
                <w:tab w:val="left" w:pos="0"/>
              </w:tabs>
              <w:spacing w:before="0" w:after="0"/>
              <w:jc w:val="center"/>
              <w:rPr>
                <w:rFonts w:ascii="Times New Roman" w:eastAsia="Calibri" w:hAnsi="Times New Roman" w:cs="Times New Roman"/>
                <w:b/>
                <w:bCs/>
                <w:sz w:val="24"/>
                <w:szCs w:val="24"/>
              </w:rPr>
            </w:pPr>
            <w:r w:rsidRPr="00DD1874">
              <w:rPr>
                <w:rFonts w:ascii="Times New Roman" w:eastAsia="Calibri" w:hAnsi="Times New Roman" w:cs="Times New Roman"/>
                <w:b/>
                <w:bCs/>
                <w:sz w:val="24"/>
                <w:szCs w:val="24"/>
              </w:rPr>
              <w:t>Sasniedzamā vērtība projekta beigās</w:t>
            </w:r>
          </w:p>
        </w:tc>
      </w:tr>
      <w:tr w:rsidR="001E6FA4" w:rsidRPr="00DD1874" w14:paraId="56E51EF1" w14:textId="77777777" w:rsidTr="00613C93">
        <w:tc>
          <w:tcPr>
            <w:tcW w:w="218" w:type="pct"/>
          </w:tcPr>
          <w:p w14:paraId="430BA652" w14:textId="77777777" w:rsidR="001E6FA4" w:rsidRPr="00DD1874" w:rsidRDefault="001E6FA4" w:rsidP="0079021D">
            <w:pPr>
              <w:tabs>
                <w:tab w:val="left" w:pos="0"/>
              </w:tabs>
              <w:spacing w:before="0" w:after="0"/>
              <w:jc w:val="both"/>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w:t>
            </w:r>
          </w:p>
        </w:tc>
        <w:tc>
          <w:tcPr>
            <w:tcW w:w="2066" w:type="pct"/>
          </w:tcPr>
          <w:p w14:paraId="30F86C4F" w14:textId="77777777" w:rsidR="001E6FA4" w:rsidRPr="00DD1874" w:rsidRDefault="001E6FA4" w:rsidP="0079021D">
            <w:pPr>
              <w:tabs>
                <w:tab w:val="left" w:pos="0"/>
              </w:tabs>
              <w:spacing w:before="0" w:after="0"/>
              <w:jc w:val="both"/>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Pilnveidoti vai no jauna izstrādāti publiskās pārvaldes procesi</w:t>
            </w:r>
          </w:p>
        </w:tc>
        <w:tc>
          <w:tcPr>
            <w:tcW w:w="730" w:type="pct"/>
          </w:tcPr>
          <w:p w14:paraId="455FE858"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Skaits</w:t>
            </w:r>
          </w:p>
        </w:tc>
        <w:tc>
          <w:tcPr>
            <w:tcW w:w="1028" w:type="pct"/>
          </w:tcPr>
          <w:p w14:paraId="0B61430D"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958" w:type="pct"/>
          </w:tcPr>
          <w:p w14:paraId="2D55FD5A"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11</w:t>
            </w:r>
          </w:p>
        </w:tc>
      </w:tr>
      <w:tr w:rsidR="001E6FA4" w:rsidRPr="00DD1874" w14:paraId="793281BB" w14:textId="77777777" w:rsidTr="00613C93">
        <w:tc>
          <w:tcPr>
            <w:tcW w:w="218" w:type="pct"/>
          </w:tcPr>
          <w:p w14:paraId="2EE0D4B3" w14:textId="77777777" w:rsidR="001E6FA4" w:rsidRPr="00DD1874" w:rsidRDefault="001E6FA4" w:rsidP="0079021D">
            <w:pPr>
              <w:tabs>
                <w:tab w:val="left" w:pos="0"/>
              </w:tabs>
              <w:spacing w:before="0" w:after="0"/>
              <w:jc w:val="both"/>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2</w:t>
            </w:r>
          </w:p>
        </w:tc>
        <w:tc>
          <w:tcPr>
            <w:tcW w:w="2066" w:type="pct"/>
          </w:tcPr>
          <w:p w14:paraId="024CA601" w14:textId="77777777" w:rsidR="001E6FA4" w:rsidRPr="00DD1874" w:rsidRDefault="001E6FA4" w:rsidP="0079021D">
            <w:pPr>
              <w:tabs>
                <w:tab w:val="left" w:pos="0"/>
              </w:tabs>
              <w:spacing w:before="0" w:after="0"/>
              <w:jc w:val="both"/>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Publicētās datu kopas Atvērto datu portālā</w:t>
            </w:r>
          </w:p>
        </w:tc>
        <w:tc>
          <w:tcPr>
            <w:tcW w:w="730" w:type="pct"/>
          </w:tcPr>
          <w:p w14:paraId="51893912"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Skaits</w:t>
            </w:r>
          </w:p>
        </w:tc>
        <w:tc>
          <w:tcPr>
            <w:tcW w:w="1028" w:type="pct"/>
          </w:tcPr>
          <w:p w14:paraId="185F570A"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0</w:t>
            </w:r>
          </w:p>
        </w:tc>
        <w:tc>
          <w:tcPr>
            <w:tcW w:w="958" w:type="pct"/>
          </w:tcPr>
          <w:p w14:paraId="1C9AC98A" w14:textId="77777777" w:rsidR="001E6FA4" w:rsidRPr="00DD1874" w:rsidRDefault="001E6FA4" w:rsidP="0079021D">
            <w:pPr>
              <w:tabs>
                <w:tab w:val="left" w:pos="0"/>
              </w:tabs>
              <w:spacing w:before="0" w:after="0"/>
              <w:jc w:val="center"/>
              <w:rPr>
                <w:rFonts w:ascii="Times New Roman" w:eastAsia="Calibri" w:hAnsi="Times New Roman" w:cs="Times New Roman"/>
                <w:bCs/>
                <w:sz w:val="24"/>
                <w:szCs w:val="24"/>
              </w:rPr>
            </w:pPr>
            <w:r w:rsidRPr="00DD1874">
              <w:rPr>
                <w:rFonts w:ascii="Times New Roman" w:eastAsia="Calibri" w:hAnsi="Times New Roman" w:cs="Times New Roman"/>
                <w:bCs/>
                <w:sz w:val="24"/>
                <w:szCs w:val="24"/>
              </w:rPr>
              <w:t>10</w:t>
            </w:r>
          </w:p>
        </w:tc>
      </w:tr>
    </w:tbl>
    <w:p w14:paraId="21A7D188" w14:textId="77777777" w:rsidR="001E6FA4" w:rsidRPr="00DD1874" w:rsidRDefault="001E6FA4" w:rsidP="0079021D">
      <w:pPr>
        <w:overflowPunct w:val="0"/>
        <w:autoSpaceDE w:val="0"/>
        <w:autoSpaceDN w:val="0"/>
        <w:adjustRightInd w:val="0"/>
        <w:spacing w:before="0" w:after="0"/>
        <w:textAlignment w:val="baseline"/>
        <w:rPr>
          <w:rFonts w:ascii="Times New Roman" w:eastAsia="MS Mincho" w:hAnsi="Times New Roman" w:cs="Times New Roman"/>
          <w:b/>
          <w:bCs/>
          <w:sz w:val="28"/>
          <w:szCs w:val="28"/>
        </w:rPr>
      </w:pPr>
    </w:p>
    <w:p w14:paraId="3E1E05C7" w14:textId="41214AC2" w:rsidR="00BA44B7" w:rsidRPr="00DD1874" w:rsidRDefault="00100AAF" w:rsidP="000C01BE">
      <w:pPr>
        <w:overflowPunct w:val="0"/>
        <w:autoSpaceDE w:val="0"/>
        <w:autoSpaceDN w:val="0"/>
        <w:spacing w:before="0" w:after="0"/>
        <w:ind w:firstLine="851"/>
        <w:textAlignment w:val="baseline"/>
        <w:rPr>
          <w:rFonts w:ascii="Times New Roman" w:eastAsia="MS Mincho" w:hAnsi="Times New Roman" w:cs="Times New Roman"/>
          <w:b/>
          <w:bCs/>
          <w:sz w:val="28"/>
          <w:szCs w:val="28"/>
        </w:rPr>
      </w:pPr>
      <w:r w:rsidRPr="00DD1874">
        <w:rPr>
          <w:rFonts w:ascii="Times New Roman" w:eastAsia="MS Mincho" w:hAnsi="Times New Roman" w:cs="Times New Roman"/>
          <w:b/>
          <w:bCs/>
          <w:sz w:val="28"/>
          <w:szCs w:val="28"/>
        </w:rPr>
        <w:t>Projekta finansējuma kopējais apjoms:</w:t>
      </w:r>
      <w:r w:rsidR="004D49A9" w:rsidRPr="00DD1874">
        <w:rPr>
          <w:rFonts w:ascii="Times New Roman" w:eastAsia="MS Mincho" w:hAnsi="Times New Roman" w:cs="Times New Roman"/>
          <w:b/>
          <w:bCs/>
          <w:sz w:val="28"/>
          <w:szCs w:val="28"/>
        </w:rPr>
        <w:t xml:space="preserve"> </w:t>
      </w:r>
      <w:r w:rsidR="004D49A9" w:rsidRPr="00DD1874">
        <w:rPr>
          <w:rFonts w:ascii="Times New Roman" w:eastAsia="MS Mincho" w:hAnsi="Times New Roman" w:cs="Times New Roman"/>
          <w:bCs/>
          <w:sz w:val="28"/>
          <w:szCs w:val="28"/>
        </w:rPr>
        <w:t>2 500</w:t>
      </w:r>
      <w:r w:rsidR="00645A67" w:rsidRPr="00DD1874">
        <w:rPr>
          <w:rFonts w:ascii="Times New Roman" w:eastAsia="MS Mincho" w:hAnsi="Times New Roman" w:cs="Times New Roman"/>
          <w:bCs/>
          <w:sz w:val="28"/>
          <w:szCs w:val="28"/>
        </w:rPr>
        <w:t> </w:t>
      </w:r>
      <w:r w:rsidR="004D49A9" w:rsidRPr="00DD1874">
        <w:rPr>
          <w:rFonts w:ascii="Times New Roman" w:eastAsia="MS Mincho" w:hAnsi="Times New Roman" w:cs="Times New Roman"/>
          <w:bCs/>
          <w:sz w:val="28"/>
          <w:szCs w:val="28"/>
        </w:rPr>
        <w:t>000</w:t>
      </w:r>
      <w:r w:rsidR="00645A67" w:rsidRPr="00DD1874">
        <w:rPr>
          <w:rFonts w:ascii="Times New Roman" w:eastAsia="MS Mincho" w:hAnsi="Times New Roman" w:cs="Times New Roman"/>
          <w:bCs/>
          <w:sz w:val="28"/>
          <w:szCs w:val="28"/>
        </w:rPr>
        <w:t xml:space="preserve"> </w:t>
      </w:r>
      <w:proofErr w:type="spellStart"/>
      <w:r w:rsidR="004D49A9" w:rsidRPr="00DD1874">
        <w:rPr>
          <w:rFonts w:ascii="Times New Roman" w:eastAsia="MS Mincho" w:hAnsi="Times New Roman" w:cs="Times New Roman"/>
          <w:bCs/>
          <w:i/>
          <w:sz w:val="28"/>
          <w:szCs w:val="28"/>
        </w:rPr>
        <w:t>euro</w:t>
      </w:r>
      <w:proofErr w:type="spellEnd"/>
    </w:p>
    <w:p w14:paraId="20D0860D" w14:textId="77777777" w:rsidR="00100AAF" w:rsidRPr="00DD1874" w:rsidRDefault="00100AAF" w:rsidP="000C01BE">
      <w:pPr>
        <w:overflowPunct w:val="0"/>
        <w:autoSpaceDE w:val="0"/>
        <w:autoSpaceDN w:val="0"/>
        <w:spacing w:before="0" w:after="0"/>
        <w:ind w:firstLine="851"/>
        <w:textAlignment w:val="baseline"/>
        <w:rPr>
          <w:rFonts w:ascii="Times New Roman" w:eastAsia="MS Mincho" w:hAnsi="Times New Roman" w:cs="Times New Roman"/>
          <w:b/>
          <w:bCs/>
          <w:sz w:val="28"/>
          <w:szCs w:val="28"/>
        </w:rPr>
      </w:pPr>
      <w:r w:rsidRPr="00DD1874">
        <w:rPr>
          <w:rFonts w:ascii="Times New Roman" w:eastAsia="MS Mincho" w:hAnsi="Times New Roman" w:cs="Times New Roman"/>
          <w:b/>
          <w:bCs/>
          <w:sz w:val="28"/>
          <w:szCs w:val="28"/>
        </w:rPr>
        <w:t>Projekta īstenošanas laiks (mēnešos):</w:t>
      </w:r>
      <w:r w:rsidR="00B3346A" w:rsidRPr="00DD1874">
        <w:rPr>
          <w:rFonts w:ascii="Times New Roman" w:eastAsia="MS Mincho" w:hAnsi="Times New Roman" w:cs="Times New Roman"/>
          <w:b/>
          <w:bCs/>
          <w:sz w:val="28"/>
          <w:szCs w:val="28"/>
        </w:rPr>
        <w:t xml:space="preserve"> </w:t>
      </w:r>
      <w:r w:rsidR="00B3346A" w:rsidRPr="00DD1874">
        <w:rPr>
          <w:rFonts w:ascii="Times New Roman" w:eastAsia="MS Mincho" w:hAnsi="Times New Roman" w:cs="Times New Roman"/>
          <w:bCs/>
          <w:sz w:val="28"/>
          <w:szCs w:val="28"/>
        </w:rPr>
        <w:t>36 mēneši</w:t>
      </w:r>
    </w:p>
    <w:p w14:paraId="7AB363A1" w14:textId="77777777" w:rsidR="00D27B7D" w:rsidRPr="00DD1874" w:rsidRDefault="00D27B7D" w:rsidP="0079021D">
      <w:pPr>
        <w:spacing w:before="0" w:after="0"/>
        <w:jc w:val="center"/>
        <w:rPr>
          <w:rFonts w:ascii="Times New Roman" w:eastAsia="MS Mincho" w:hAnsi="Times New Roman"/>
          <w:b/>
          <w:bCs/>
          <w:sz w:val="28"/>
          <w:szCs w:val="28"/>
        </w:rPr>
      </w:pPr>
    </w:p>
    <w:p w14:paraId="4F021F8F" w14:textId="77777777" w:rsidR="00CD69D7" w:rsidRPr="00DD1874" w:rsidRDefault="00CD69D7" w:rsidP="0079021D">
      <w:pPr>
        <w:spacing w:before="0" w:after="0"/>
        <w:jc w:val="center"/>
        <w:rPr>
          <w:rFonts w:ascii="Times New Roman" w:eastAsia="MS Mincho" w:hAnsi="Times New Roman"/>
          <w:b/>
          <w:bCs/>
          <w:sz w:val="28"/>
          <w:szCs w:val="28"/>
        </w:rPr>
      </w:pPr>
      <w:r w:rsidRPr="00DD1874">
        <w:rPr>
          <w:rFonts w:ascii="Times New Roman" w:eastAsia="MS Mincho" w:hAnsi="Times New Roman"/>
          <w:b/>
          <w:bCs/>
          <w:sz w:val="28"/>
          <w:szCs w:val="28"/>
        </w:rPr>
        <w:t>Saistība ar iepriekšējā plānošanas perioda projektiem, projekta lietderība un ieguldījums specifiskā atbalsta mērķa rezultāta rādītājos</w:t>
      </w:r>
    </w:p>
    <w:p w14:paraId="1F818565" w14:textId="77777777" w:rsidR="00BC6DF1" w:rsidRPr="00DD1874" w:rsidRDefault="00271085" w:rsidP="00BE2E74">
      <w:pPr>
        <w:spacing w:before="120" w:after="0"/>
        <w:ind w:firstLine="851"/>
        <w:jc w:val="both"/>
        <w:rPr>
          <w:rFonts w:ascii="Times New Roman" w:eastAsia="MS Mincho" w:hAnsi="Times New Roman"/>
          <w:bCs/>
          <w:sz w:val="28"/>
          <w:szCs w:val="28"/>
        </w:rPr>
      </w:pPr>
      <w:r w:rsidRPr="00DD1874">
        <w:rPr>
          <w:rFonts w:ascii="Times New Roman" w:eastAsia="MS Mincho" w:hAnsi="Times New Roman"/>
          <w:bCs/>
          <w:sz w:val="28"/>
          <w:szCs w:val="28"/>
        </w:rPr>
        <w:t>Projektam</w:t>
      </w:r>
      <w:r w:rsidR="002357ED" w:rsidRPr="00DD1874">
        <w:rPr>
          <w:rFonts w:ascii="Times New Roman" w:eastAsia="MS Mincho" w:hAnsi="Times New Roman"/>
          <w:bCs/>
          <w:sz w:val="28"/>
          <w:szCs w:val="28"/>
        </w:rPr>
        <w:t xml:space="preserve"> nav saistība ar iepriekšējā plānošanas perioda Eiropas Reģionālās attīstības fonda projektiem.</w:t>
      </w:r>
    </w:p>
    <w:p w14:paraId="46E7425E" w14:textId="77777777" w:rsidR="00271085" w:rsidRPr="00DD1874" w:rsidRDefault="00271085" w:rsidP="00BE2E74">
      <w:pPr>
        <w:tabs>
          <w:tab w:val="left" w:pos="0"/>
        </w:tabs>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Projekta ietvaros ir paredzēts attīstīt vairākus risinājumus, kā:</w:t>
      </w:r>
    </w:p>
    <w:p w14:paraId="30E9DF59" w14:textId="0FE58783" w:rsidR="00271085" w:rsidRPr="00DD1874" w:rsidRDefault="006B031A" w:rsidP="00F51FED">
      <w:pPr>
        <w:spacing w:before="120" w:after="0"/>
        <w:ind w:firstLine="851"/>
        <w:jc w:val="both"/>
        <w:rPr>
          <w:rFonts w:ascii="Times New Roman" w:eastAsia="Calibri" w:hAnsi="Times New Roman" w:cs="Times New Roman"/>
          <w:b/>
          <w:sz w:val="28"/>
          <w:szCs w:val="28"/>
        </w:rPr>
      </w:pPr>
      <w:r w:rsidRPr="00DD1874">
        <w:rPr>
          <w:rFonts w:ascii="Times New Roman" w:eastAsia="Calibri" w:hAnsi="Times New Roman" w:cs="Times New Roman"/>
          <w:b/>
          <w:sz w:val="28"/>
          <w:szCs w:val="28"/>
        </w:rPr>
        <w:t>1.</w:t>
      </w:r>
      <w:r w:rsidR="00BE2E74" w:rsidRPr="00DD1874">
        <w:rPr>
          <w:rFonts w:ascii="Times New Roman" w:eastAsia="Calibri" w:hAnsi="Times New Roman" w:cs="Times New Roman"/>
          <w:b/>
          <w:sz w:val="28"/>
          <w:szCs w:val="28"/>
        </w:rPr>
        <w:t> </w:t>
      </w:r>
      <w:r w:rsidR="00271085" w:rsidRPr="00DD1874">
        <w:rPr>
          <w:rFonts w:ascii="Times New Roman" w:eastAsia="Calibri" w:hAnsi="Times New Roman" w:cs="Times New Roman"/>
          <w:b/>
          <w:sz w:val="28"/>
          <w:szCs w:val="28"/>
        </w:rPr>
        <w:t>Lietu pārvaldības sistēma</w:t>
      </w:r>
    </w:p>
    <w:p w14:paraId="172A32F3" w14:textId="77777777" w:rsidR="00271085" w:rsidRPr="00DD1874" w:rsidRDefault="00271085" w:rsidP="000C01BE">
      <w:pPr>
        <w:spacing w:before="12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Lai samazinātu datu apstrādes kļūdas un efektīvāk pārvaldītu iestāžu vestās lietas, apstrādātās sūdzības, iesniegumus un sniegtās konsultācijas, </w:t>
      </w:r>
      <w:r w:rsidR="000C49C3"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resora ietvaros tiks ieviesta iestāžu vajadzībām pielāgojama lietu pārvaldības (</w:t>
      </w:r>
      <w:proofErr w:type="spellStart"/>
      <w:r w:rsidRPr="00DD1874">
        <w:rPr>
          <w:rFonts w:ascii="Times New Roman" w:eastAsia="Calibri" w:hAnsi="Times New Roman" w:cs="Times New Roman"/>
          <w:i/>
          <w:sz w:val="28"/>
          <w:szCs w:val="28"/>
        </w:rPr>
        <w:t>case</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management</w:t>
      </w:r>
      <w:proofErr w:type="spellEnd"/>
      <w:r w:rsidRPr="00DD1874">
        <w:rPr>
          <w:rFonts w:ascii="Times New Roman" w:eastAsia="Calibri" w:hAnsi="Times New Roman" w:cs="Times New Roman"/>
          <w:sz w:val="28"/>
          <w:szCs w:val="28"/>
        </w:rPr>
        <w:t xml:space="preserve">) sistēma. Sistēma nodrošinās nepieciešamās starpsistēmu </w:t>
      </w:r>
      <w:proofErr w:type="spellStart"/>
      <w:r w:rsidRPr="00DD1874">
        <w:rPr>
          <w:rFonts w:ascii="Times New Roman" w:eastAsia="Calibri" w:hAnsi="Times New Roman" w:cs="Times New Roman"/>
          <w:sz w:val="28"/>
          <w:szCs w:val="28"/>
        </w:rPr>
        <w:t>saskarnes</w:t>
      </w:r>
      <w:proofErr w:type="spellEnd"/>
      <w:r w:rsidRPr="00DD1874">
        <w:rPr>
          <w:rFonts w:ascii="Times New Roman" w:eastAsia="Calibri" w:hAnsi="Times New Roman" w:cs="Times New Roman"/>
          <w:sz w:val="28"/>
          <w:szCs w:val="28"/>
        </w:rPr>
        <w:t xml:space="preserve"> datu saņemšanai un nodošanai citu resora iestāžu un ārējām informācijas sistēmām. Lietu pārvaldības sistēma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resorā nodrošinās vismaz šādu funkcionalitāti:</w:t>
      </w:r>
    </w:p>
    <w:p w14:paraId="48F1510B"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lietu veidošanu;</w:t>
      </w:r>
    </w:p>
    <w:p w14:paraId="6CBEF8BF"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datu (t.sk. pierādījumu) un lietu sasaisti;</w:t>
      </w:r>
    </w:p>
    <w:p w14:paraId="7559AAD9" w14:textId="6267DBF8" w:rsidR="00271085" w:rsidRPr="00DD1874" w:rsidRDefault="00917EF1"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pieejas vadības kontroles </w:t>
      </w:r>
      <w:proofErr w:type="spellStart"/>
      <w:r w:rsidRPr="00DD1874">
        <w:rPr>
          <w:rFonts w:ascii="Times New Roman" w:eastAsia="Calibri" w:hAnsi="Times New Roman" w:cs="Times New Roman"/>
          <w:sz w:val="28"/>
          <w:szCs w:val="28"/>
        </w:rPr>
        <w:t>sensi</w:t>
      </w:r>
      <w:r w:rsidR="00271085" w:rsidRPr="00DD1874">
        <w:rPr>
          <w:rFonts w:ascii="Times New Roman" w:eastAsia="Calibri" w:hAnsi="Times New Roman" w:cs="Times New Roman"/>
          <w:sz w:val="28"/>
          <w:szCs w:val="28"/>
        </w:rPr>
        <w:t>tīviem</w:t>
      </w:r>
      <w:proofErr w:type="spellEnd"/>
      <w:r w:rsidR="00271085" w:rsidRPr="00DD1874">
        <w:rPr>
          <w:rFonts w:ascii="Times New Roman" w:eastAsia="Calibri" w:hAnsi="Times New Roman" w:cs="Times New Roman"/>
          <w:sz w:val="28"/>
          <w:szCs w:val="28"/>
        </w:rPr>
        <w:t xml:space="preserve"> datiem;</w:t>
      </w:r>
    </w:p>
    <w:p w14:paraId="0BFC4397"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incidentu un lietu klasifikāciju;</w:t>
      </w:r>
    </w:p>
    <w:p w14:paraId="67B9BBF7"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ekspertu resursu pārvaldību;</w:t>
      </w:r>
    </w:p>
    <w:p w14:paraId="5B6CD0D7"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lietu pārvaldību un koplietošanas funkcionalitāti;</w:t>
      </w:r>
    </w:p>
    <w:p w14:paraId="7894A756" w14:textId="46B580D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interaktīvu vēsturisko datu a</w:t>
      </w:r>
      <w:r w:rsidR="00532DC8">
        <w:rPr>
          <w:rFonts w:ascii="Times New Roman" w:eastAsia="Calibri" w:hAnsi="Times New Roman" w:cs="Times New Roman"/>
          <w:sz w:val="28"/>
          <w:szCs w:val="28"/>
        </w:rPr>
        <w:t xml:space="preserve">tlasi pēc kritērijiem (piemēram, </w:t>
      </w:r>
      <w:r w:rsidRPr="00DD1874">
        <w:rPr>
          <w:rFonts w:ascii="Times New Roman" w:eastAsia="Calibri" w:hAnsi="Times New Roman" w:cs="Times New Roman"/>
          <w:sz w:val="28"/>
          <w:szCs w:val="28"/>
        </w:rPr>
        <w:t>uzņēmuma, iesaistītās personas);</w:t>
      </w:r>
    </w:p>
    <w:p w14:paraId="79E48945" w14:textId="77777777" w:rsidR="00271085" w:rsidRPr="00DD1874" w:rsidRDefault="00271085" w:rsidP="000C01B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pieņemto lēmumu (t.sk. izsniegto licenču) reģistrēšanu;</w:t>
      </w:r>
    </w:p>
    <w:p w14:paraId="4F732629" w14:textId="7118EC43" w:rsidR="00271085" w:rsidRPr="00DD1874" w:rsidRDefault="00271085" w:rsidP="0084411E">
      <w:pPr>
        <w:pStyle w:val="ListParagraph"/>
        <w:numPr>
          <w:ilvl w:val="0"/>
          <w:numId w:val="9"/>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lastRenderedPageBreak/>
        <w:t>sasaisti ar citām informācijas sistēmām (gan resorā esošām, piemēram</w:t>
      </w:r>
      <w:r w:rsidR="00A22DE5">
        <w:rPr>
          <w:rFonts w:ascii="Times New Roman" w:eastAsia="Calibri" w:hAnsi="Times New Roman" w:cs="Times New Roman"/>
          <w:sz w:val="28"/>
          <w:szCs w:val="28"/>
        </w:rPr>
        <w:t>,</w:t>
      </w:r>
      <w:r w:rsidRPr="00DD1874">
        <w:rPr>
          <w:rFonts w:ascii="Times New Roman" w:eastAsia="Calibri" w:hAnsi="Times New Roman" w:cs="Times New Roman"/>
          <w:sz w:val="28"/>
          <w:szCs w:val="28"/>
        </w:rPr>
        <w:t xml:space="preserve"> dokumentu vadības sistēmu “Namejs”, gan citu iestāžu</w:t>
      </w:r>
      <w:r w:rsidR="0084411E">
        <w:rPr>
          <w:rFonts w:ascii="Times New Roman" w:eastAsia="Calibri" w:hAnsi="Times New Roman" w:cs="Times New Roman"/>
          <w:sz w:val="28"/>
          <w:szCs w:val="28"/>
        </w:rPr>
        <w:t xml:space="preserve"> informācijas sistēmām, piem., ar </w:t>
      </w:r>
      <w:r w:rsidR="0084411E" w:rsidRPr="0084411E">
        <w:rPr>
          <w:rFonts w:ascii="Times New Roman" w:eastAsia="Calibri" w:hAnsi="Times New Roman" w:cs="Times New Roman"/>
          <w:sz w:val="28"/>
          <w:szCs w:val="28"/>
        </w:rPr>
        <w:t>Uzņēmumu reģistra informācijas sistēmu, Valsts ieņēmumu dienesta pārziņā esošajām informācijas sistēmām, Nekustamā īpašuma valsts kadastra informācijas sistēmu, Valsts adrešu reģistra informācijas sistēmu un Iedzīvotāju reģistru</w:t>
      </w:r>
      <w:r w:rsidRPr="00DD1874">
        <w:rPr>
          <w:rFonts w:ascii="Times New Roman" w:eastAsia="Calibri" w:hAnsi="Times New Roman" w:cs="Times New Roman"/>
          <w:sz w:val="28"/>
          <w:szCs w:val="28"/>
        </w:rPr>
        <w:t>).</w:t>
      </w:r>
    </w:p>
    <w:p w14:paraId="0F8BC3BF" w14:textId="77777777" w:rsidR="00271085" w:rsidRPr="00DD1874" w:rsidRDefault="00271085" w:rsidP="00EA4BF5">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Lietu pārvaldības sistēmas izveidē tiks vērtēta iespēja veikt EM rīcībā esošo nepieciešamo datu migrēšanu no šobrīd izmantotajām informācijas sistēmām (t.sk. sistēmas “Uzraugs”) uz lietu pārvaldības sistēmu.</w:t>
      </w:r>
    </w:p>
    <w:p w14:paraId="7FE1297C" w14:textId="77777777" w:rsidR="00271085" w:rsidRPr="00DD1874" w:rsidRDefault="00271085" w:rsidP="00EA4BF5">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Šāda sistēma ļaus arī pilnveidot šobrīd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resorā izmantotos reģistrus (t.sk. licenču reģistru), kas ir izveidoti </w:t>
      </w:r>
      <w:r w:rsidRPr="00DD1874">
        <w:rPr>
          <w:rFonts w:ascii="Times New Roman" w:eastAsia="Calibri" w:hAnsi="Times New Roman" w:cs="Times New Roman"/>
          <w:i/>
          <w:sz w:val="28"/>
          <w:szCs w:val="28"/>
        </w:rPr>
        <w:t>Microsoft</w:t>
      </w:r>
      <w:r w:rsidRPr="00DD1874">
        <w:rPr>
          <w:rFonts w:ascii="Times New Roman" w:eastAsia="Calibri" w:hAnsi="Times New Roman" w:cs="Times New Roman"/>
          <w:sz w:val="28"/>
          <w:szCs w:val="28"/>
        </w:rPr>
        <w:t xml:space="preserve"> </w:t>
      </w:r>
      <w:r w:rsidRPr="00DD1874">
        <w:rPr>
          <w:rFonts w:ascii="Times New Roman" w:eastAsia="Calibri" w:hAnsi="Times New Roman" w:cs="Times New Roman"/>
          <w:i/>
          <w:sz w:val="28"/>
          <w:szCs w:val="28"/>
        </w:rPr>
        <w:t>Excel</w:t>
      </w:r>
      <w:r w:rsidRPr="00DD1874">
        <w:rPr>
          <w:rFonts w:ascii="Times New Roman" w:eastAsia="Calibri" w:hAnsi="Times New Roman" w:cs="Times New Roman"/>
          <w:sz w:val="28"/>
          <w:szCs w:val="28"/>
        </w:rPr>
        <w:t xml:space="preserve"> formātā, vai nenodrošina informācijas apmaiņu ar citiem reģistriem un sistēmām, kā arī nodrošināt iestāžu vajadzībām atbilstoša lietu pārvaldības procesa atbalstu.</w:t>
      </w:r>
    </w:p>
    <w:p w14:paraId="5E8D0E34" w14:textId="088A1E85" w:rsidR="00DC14C8" w:rsidRPr="00DD1874" w:rsidRDefault="00DC14C8" w:rsidP="00DC14C8">
      <w:pPr>
        <w:pStyle w:val="VPBody"/>
        <w:spacing w:before="0" w:after="0"/>
        <w:ind w:firstLine="567"/>
        <w:rPr>
          <w:sz w:val="28"/>
          <w:szCs w:val="28"/>
        </w:rPr>
      </w:pPr>
      <w:r w:rsidRPr="00DD1874">
        <w:rPr>
          <w:sz w:val="28"/>
          <w:szCs w:val="28"/>
        </w:rPr>
        <w:t>Ņemot vērā augstāk minēto, līdz ar lietu pārvaldības sistēmas ieviešanu, turpmāk vienot</w:t>
      </w:r>
      <w:r w:rsidR="00AB1DDE">
        <w:rPr>
          <w:sz w:val="28"/>
          <w:szCs w:val="28"/>
        </w:rPr>
        <w:t>ā</w:t>
      </w:r>
      <w:r w:rsidRPr="00DD1874">
        <w:rPr>
          <w:sz w:val="28"/>
          <w:szCs w:val="28"/>
        </w:rPr>
        <w:t xml:space="preserve"> informācijas sistēma, izmantojot tajā iestrādātos tehniskos un loģiskos risinājumus un informācijas resursus (programmatūru), nodrošinās informācijas apstrādi, pieejamību, nodošanu un apmaiņu tikai tādā apjomā tām personām un institūcijām, kuras ir tiesīgas to saņemt un lietot atbilstoši normatīvo aktu prasībām. Savukārt tās informācijas sistēmas, no kurām notiks datu migrācija, vair</w:t>
      </w:r>
      <w:r w:rsidR="00BE41BD">
        <w:rPr>
          <w:sz w:val="28"/>
          <w:szCs w:val="28"/>
        </w:rPr>
        <w:t>s</w:t>
      </w:r>
      <w:r w:rsidRPr="00DD1874">
        <w:rPr>
          <w:sz w:val="28"/>
          <w:szCs w:val="28"/>
        </w:rPr>
        <w:t xml:space="preserve"> netiks izmantotas, tādējādi samazinot uzturēšanas izmaksas attiecībā uz tām.</w:t>
      </w:r>
    </w:p>
    <w:p w14:paraId="4071E51F" w14:textId="77777777" w:rsidR="00EA4BF5" w:rsidRPr="00DD1874" w:rsidRDefault="00EA4BF5" w:rsidP="0079021D">
      <w:pPr>
        <w:spacing w:before="0" w:after="0"/>
        <w:ind w:left="720"/>
        <w:jc w:val="both"/>
        <w:rPr>
          <w:rFonts w:ascii="Times New Roman" w:eastAsia="Calibri" w:hAnsi="Times New Roman" w:cs="Times New Roman"/>
          <w:b/>
          <w:sz w:val="28"/>
          <w:szCs w:val="28"/>
        </w:rPr>
      </w:pPr>
    </w:p>
    <w:p w14:paraId="7C01759A" w14:textId="3008109B" w:rsidR="00271085" w:rsidRPr="00DD1874" w:rsidRDefault="006B031A" w:rsidP="00EA4BF5">
      <w:pPr>
        <w:spacing w:before="0" w:after="0"/>
        <w:ind w:firstLine="851"/>
        <w:jc w:val="both"/>
        <w:rPr>
          <w:rFonts w:ascii="Times New Roman" w:eastAsia="Calibri" w:hAnsi="Times New Roman" w:cs="Times New Roman"/>
          <w:b/>
          <w:sz w:val="28"/>
          <w:szCs w:val="28"/>
        </w:rPr>
      </w:pPr>
      <w:r w:rsidRPr="00DD1874">
        <w:rPr>
          <w:rFonts w:ascii="Times New Roman" w:eastAsia="Calibri" w:hAnsi="Times New Roman" w:cs="Times New Roman"/>
          <w:b/>
          <w:sz w:val="28"/>
          <w:szCs w:val="28"/>
        </w:rPr>
        <w:t>2. </w:t>
      </w:r>
      <w:r w:rsidR="00271085" w:rsidRPr="00DD1874">
        <w:rPr>
          <w:rFonts w:ascii="Times New Roman" w:eastAsia="Calibri" w:hAnsi="Times New Roman" w:cs="Times New Roman"/>
          <w:b/>
          <w:sz w:val="28"/>
          <w:szCs w:val="28"/>
        </w:rPr>
        <w:t>Informācijas elektroniskas iesniegšanas un datu analīzes risinājums</w:t>
      </w:r>
    </w:p>
    <w:p w14:paraId="5F098303" w14:textId="24B0850B" w:rsidR="00271085" w:rsidRPr="00DD1874" w:rsidRDefault="00271085" w:rsidP="009D7435">
      <w:pPr>
        <w:spacing w:before="12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Projekta ietvaros plānots ieviest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resorā vienotu informācijas elektroniskas iesniegšanas un datu analīzes risinājumu, kā arī izveidot datu noliktavu datu uzkrāšanas un apstrādes vajadzībām. Informācijas elektroniskas iesniegšanas risinājums, kas nodrošinās iespēju komersantiem iesniegt datus elektroniski, atbalstīs dažādus datu nodošanas formātus, t.sk. iespēju uzstādīt īpašus ierobežojumus datu nodošanai. Pakalpojums būs pielāgojams dažādiem analīzes risinājumiem, nodrošinot to pielāgojamību.</w:t>
      </w:r>
    </w:p>
    <w:p w14:paraId="52723B9D" w14:textId="19EA66B1" w:rsidR="004A1C02" w:rsidRPr="00DD1874" w:rsidRDefault="004A1C02" w:rsidP="004A1C02">
      <w:pPr>
        <w:pStyle w:val="VPBody"/>
        <w:spacing w:after="0"/>
        <w:ind w:firstLine="567"/>
        <w:rPr>
          <w:sz w:val="28"/>
          <w:szCs w:val="28"/>
        </w:rPr>
      </w:pPr>
      <w:r w:rsidRPr="00DD1874">
        <w:rPr>
          <w:sz w:val="28"/>
          <w:szCs w:val="28"/>
        </w:rPr>
        <w:t xml:space="preserve">Sākotnēji tiks izstrādātas iespējas veikt vismaz šādu datu nodošanu </w:t>
      </w:r>
      <w:r w:rsidR="005266B4">
        <w:rPr>
          <w:sz w:val="28"/>
          <w:szCs w:val="28"/>
        </w:rPr>
        <w:t>EM</w:t>
      </w:r>
      <w:r w:rsidRPr="00DD1874">
        <w:rPr>
          <w:sz w:val="28"/>
          <w:szCs w:val="28"/>
        </w:rPr>
        <w:t>:</w:t>
      </w:r>
    </w:p>
    <w:p w14:paraId="0365C77C" w14:textId="3255B466" w:rsidR="004A1C02" w:rsidRPr="00DD1874" w:rsidRDefault="004A1C02" w:rsidP="004A1C02">
      <w:pPr>
        <w:pStyle w:val="VPBody"/>
        <w:numPr>
          <w:ilvl w:val="0"/>
          <w:numId w:val="14"/>
        </w:numPr>
        <w:tabs>
          <w:tab w:val="clear" w:pos="0"/>
        </w:tabs>
        <w:spacing w:before="0" w:after="0"/>
        <w:ind w:left="1418"/>
        <w:rPr>
          <w:sz w:val="28"/>
          <w:szCs w:val="28"/>
        </w:rPr>
      </w:pPr>
      <w:r w:rsidRPr="00DD1874">
        <w:rPr>
          <w:sz w:val="28"/>
          <w:szCs w:val="28"/>
        </w:rPr>
        <w:t>patērētāju kreditēšanas pakalpojumu sniedzēju obligāti iesniedzamie dati;</w:t>
      </w:r>
    </w:p>
    <w:p w14:paraId="72A2A487" w14:textId="77777777" w:rsidR="004A1C02" w:rsidRPr="00DD1874" w:rsidRDefault="004A1C02" w:rsidP="004A1C02">
      <w:pPr>
        <w:pStyle w:val="VPBody"/>
        <w:numPr>
          <w:ilvl w:val="0"/>
          <w:numId w:val="14"/>
        </w:numPr>
        <w:tabs>
          <w:tab w:val="clear" w:pos="0"/>
        </w:tabs>
        <w:spacing w:before="0" w:after="0"/>
        <w:ind w:left="1418"/>
        <w:rPr>
          <w:sz w:val="28"/>
          <w:szCs w:val="28"/>
        </w:rPr>
      </w:pPr>
      <w:r w:rsidRPr="00DD1874">
        <w:rPr>
          <w:sz w:val="28"/>
          <w:szCs w:val="28"/>
        </w:rPr>
        <w:t>komersantu dati konkurences tirgus uzraudzības ietvaros.</w:t>
      </w:r>
    </w:p>
    <w:p w14:paraId="0AF403DA" w14:textId="77777777" w:rsidR="00271085" w:rsidRPr="00DD1874" w:rsidRDefault="00271085" w:rsidP="009D7435">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Datu analīzes risinājuma funkcionalitāte nodrošinās iestādēm iespēju veikt saņemtās informācijas analīzi un uzturēto reģistru datu </w:t>
      </w:r>
      <w:r w:rsidRPr="00DD1874">
        <w:rPr>
          <w:rFonts w:ascii="Times New Roman" w:eastAsia="Calibri" w:hAnsi="Times New Roman" w:cs="Times New Roman"/>
          <w:sz w:val="28"/>
          <w:szCs w:val="28"/>
        </w:rPr>
        <w:lastRenderedPageBreak/>
        <w:t>apstrādi. Datu analīzes risinājums ļaus veikt dažādu datu analīzi, piemēram:</w:t>
      </w:r>
    </w:p>
    <w:p w14:paraId="4E447C0A" w14:textId="77777777" w:rsidR="00271085" w:rsidRPr="00DD1874" w:rsidRDefault="00271085" w:rsidP="00C71A85">
      <w:pPr>
        <w:pStyle w:val="ListParagraph"/>
        <w:numPr>
          <w:ilvl w:val="0"/>
          <w:numId w:val="10"/>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konkurences uzraudzības procesā uzņēmumu sniegtās informācijas analīzi, nosakot pārdošanas apjomu, cenu izmaiņas laika gaitā;</w:t>
      </w:r>
    </w:p>
    <w:p w14:paraId="34576E2A" w14:textId="77777777" w:rsidR="00271085" w:rsidRPr="00DD1874" w:rsidRDefault="00271085" w:rsidP="00C71A85">
      <w:pPr>
        <w:pStyle w:val="ListParagraph"/>
        <w:numPr>
          <w:ilvl w:val="0"/>
          <w:numId w:val="10"/>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tirgus rādītāju izmaiņu analīzi, ņemot vērā notikumus valstī un Patērētāju tiesību aizsardzības centra veiktās tirgus uzraudzības darbības u.c.</w:t>
      </w:r>
    </w:p>
    <w:p w14:paraId="192A15A1" w14:textId="7221045B" w:rsidR="00271085" w:rsidRPr="00DD1874" w:rsidRDefault="00271085" w:rsidP="009D7435">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Veidojot informācijas analīzes risinājumu</w:t>
      </w:r>
      <w:r w:rsidR="00350EBA">
        <w:rPr>
          <w:rFonts w:ascii="Times New Roman" w:eastAsia="Calibri" w:hAnsi="Times New Roman" w:cs="Times New Roman"/>
          <w:sz w:val="28"/>
          <w:szCs w:val="28"/>
        </w:rPr>
        <w:t>,</w:t>
      </w:r>
      <w:r w:rsidRPr="00DD1874">
        <w:rPr>
          <w:rFonts w:ascii="Times New Roman" w:eastAsia="Calibri" w:hAnsi="Times New Roman" w:cs="Times New Roman"/>
          <w:sz w:val="28"/>
          <w:szCs w:val="28"/>
        </w:rPr>
        <w:t xml:space="preserve"> īpaša uzmanība tiks piešķirta aizsardzībai pret datu noplūdes riskiem, tādēļ tiks izveidoti papildus aizsardzības risinājumi, kas ierobežo iespējas veikt neautorizētu datu kopēšanu (</w:t>
      </w:r>
      <w:proofErr w:type="spellStart"/>
      <w:r w:rsidRPr="00DD1874">
        <w:rPr>
          <w:rFonts w:ascii="Times New Roman" w:eastAsia="Calibri" w:hAnsi="Times New Roman" w:cs="Times New Roman"/>
          <w:i/>
          <w:sz w:val="28"/>
          <w:szCs w:val="28"/>
        </w:rPr>
        <w:t>Data</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leakage</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prevention</w:t>
      </w:r>
      <w:proofErr w:type="spellEnd"/>
      <w:r w:rsidRPr="00DD1874">
        <w:rPr>
          <w:rFonts w:ascii="Times New Roman" w:eastAsia="Calibri" w:hAnsi="Times New Roman" w:cs="Times New Roman"/>
          <w:sz w:val="28"/>
          <w:szCs w:val="28"/>
        </w:rPr>
        <w:t>).</w:t>
      </w:r>
    </w:p>
    <w:p w14:paraId="49F94110" w14:textId="77777777" w:rsidR="00942354" w:rsidRPr="00DD1874" w:rsidRDefault="00942354" w:rsidP="009D7435">
      <w:pPr>
        <w:spacing w:before="0" w:after="0"/>
        <w:ind w:firstLine="851"/>
        <w:jc w:val="both"/>
        <w:rPr>
          <w:rFonts w:ascii="Times New Roman" w:eastAsia="Calibri" w:hAnsi="Times New Roman" w:cs="Times New Roman"/>
          <w:sz w:val="28"/>
          <w:szCs w:val="28"/>
        </w:rPr>
      </w:pPr>
    </w:p>
    <w:p w14:paraId="7E8C8931" w14:textId="4198C034" w:rsidR="00271085" w:rsidRPr="00DD1874" w:rsidRDefault="006B031A" w:rsidP="00B841C4">
      <w:pPr>
        <w:spacing w:before="0" w:after="0"/>
        <w:ind w:firstLine="851"/>
        <w:jc w:val="both"/>
        <w:rPr>
          <w:rFonts w:ascii="Times New Roman" w:eastAsia="Calibri" w:hAnsi="Times New Roman" w:cs="Times New Roman"/>
          <w:b/>
          <w:sz w:val="28"/>
          <w:szCs w:val="28"/>
        </w:rPr>
      </w:pPr>
      <w:r w:rsidRPr="00DD1874">
        <w:rPr>
          <w:rFonts w:ascii="Times New Roman" w:eastAsia="Calibri" w:hAnsi="Times New Roman" w:cs="Times New Roman"/>
          <w:b/>
          <w:sz w:val="28"/>
          <w:szCs w:val="28"/>
        </w:rPr>
        <w:t>3. </w:t>
      </w:r>
      <w:r w:rsidR="00271085" w:rsidRPr="00DD1874">
        <w:rPr>
          <w:rFonts w:ascii="Times New Roman" w:eastAsia="Calibri" w:hAnsi="Times New Roman" w:cs="Times New Roman"/>
          <w:b/>
          <w:sz w:val="28"/>
          <w:szCs w:val="28"/>
        </w:rPr>
        <w:t>Vienotā resora darba vieta</w:t>
      </w:r>
    </w:p>
    <w:p w14:paraId="7078167B" w14:textId="77777777" w:rsidR="00271085" w:rsidRPr="00DD1874" w:rsidRDefault="00271085" w:rsidP="003F0246">
      <w:pPr>
        <w:spacing w:before="12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Projekta ietvaros tiks attīstīts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resora darba vietas uzturēšanas process, nodrošinot centralizētu darba vietu sagatavošanu, lietotāju un pieejas tiesību pārvaldību, kā arī nodrošinot darbiniekiem iespēju veikt attālinātu pieslēgšanos savai darba vietai.</w:t>
      </w:r>
    </w:p>
    <w:p w14:paraId="4A036C49" w14:textId="0F1C4F3D" w:rsidR="00271085" w:rsidRPr="00DD1874" w:rsidRDefault="00271085" w:rsidP="003F0246">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Risinājuma ietvaros tiks izstrādāta pamata platforma vienotu virtuālo darba vietu ieviešanai, nodrošinot iespēju realizēt šādu darba vietu skaita palielināšanu, tādejādi pieļaujot iespēju pilnīgi pāriet uz vienotām virtuālām darba vietām nākotnē. Lai nodrošinātu vienoto virtuālo darba vietu ieviešanu visās iesaistītajās iestādēs</w:t>
      </w:r>
      <w:r w:rsidR="00456147" w:rsidRPr="00DD1874">
        <w:rPr>
          <w:rFonts w:ascii="Times New Roman" w:eastAsia="Calibri" w:hAnsi="Times New Roman" w:cs="Times New Roman"/>
          <w:sz w:val="28"/>
          <w:szCs w:val="28"/>
        </w:rPr>
        <w:t>,</w:t>
      </w:r>
      <w:r w:rsidRPr="00DD1874">
        <w:rPr>
          <w:rFonts w:ascii="Times New Roman" w:eastAsia="Calibri" w:hAnsi="Times New Roman" w:cs="Times New Roman"/>
          <w:sz w:val="28"/>
          <w:szCs w:val="28"/>
        </w:rPr>
        <w:t xml:space="preserve"> nepieciešams centralizēt  to darbības nodrošināšanai nepieciešamo informācijas un komunikācijas tehnoloģiju resursu pārvaldību. Šāda centralizācija tiks panākta apvienojot vismaz esošos </w:t>
      </w:r>
      <w:r w:rsidR="00C114C1" w:rsidRPr="00C114C1">
        <w:rPr>
          <w:rFonts w:ascii="Times New Roman" w:eastAsia="Calibri" w:hAnsi="Times New Roman" w:cs="Times New Roman"/>
          <w:sz w:val="28"/>
          <w:szCs w:val="28"/>
        </w:rPr>
        <w:t>Latvijas Investīciju un attīstības aģentūra</w:t>
      </w:r>
      <w:r w:rsidR="00C114C1">
        <w:rPr>
          <w:rFonts w:ascii="Times New Roman" w:eastAsia="Calibri" w:hAnsi="Times New Roman" w:cs="Times New Roman"/>
          <w:sz w:val="28"/>
          <w:szCs w:val="28"/>
        </w:rPr>
        <w:t>s</w:t>
      </w:r>
      <w:r w:rsidRPr="00DD1874">
        <w:rPr>
          <w:rFonts w:ascii="Times New Roman" w:eastAsia="Calibri" w:hAnsi="Times New Roman" w:cs="Times New Roman"/>
          <w:sz w:val="28"/>
          <w:szCs w:val="28"/>
        </w:rPr>
        <w:t xml:space="preserve"> un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datu</w:t>
      </w:r>
      <w:r w:rsidR="00456147" w:rsidRPr="00DD1874">
        <w:rPr>
          <w:rFonts w:ascii="Times New Roman" w:eastAsia="Calibri" w:hAnsi="Times New Roman" w:cs="Times New Roman"/>
          <w:sz w:val="28"/>
          <w:szCs w:val="28"/>
        </w:rPr>
        <w:t xml:space="preserve"> centrus</w:t>
      </w:r>
      <w:r w:rsidRPr="00DD1874">
        <w:rPr>
          <w:rFonts w:ascii="Times New Roman" w:eastAsia="Calibri" w:hAnsi="Times New Roman" w:cs="Times New Roman"/>
          <w:sz w:val="28"/>
          <w:szCs w:val="28"/>
        </w:rPr>
        <w:t xml:space="preserve">. Apvienošanas ietvaros plānots uzlabot sniegto informācijas un komunikācijas tehnoloģiju pakalpojumu efektivitāti un kvalitāti. </w:t>
      </w:r>
    </w:p>
    <w:p w14:paraId="005E1340" w14:textId="35EC02FA" w:rsidR="00271085" w:rsidRPr="00DD1874" w:rsidRDefault="00271085" w:rsidP="003F0246">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Risinājuma ietvaros </w:t>
      </w:r>
      <w:r w:rsidR="00563CD5" w:rsidRPr="00DD1874">
        <w:rPr>
          <w:rFonts w:ascii="Times New Roman" w:eastAsia="Calibri" w:hAnsi="Times New Roman" w:cs="Times New Roman"/>
          <w:sz w:val="28"/>
          <w:szCs w:val="28"/>
        </w:rPr>
        <w:t>- informācijas sistēmā</w:t>
      </w:r>
      <w:r w:rsidR="009C6151">
        <w:rPr>
          <w:rFonts w:ascii="Times New Roman" w:eastAsia="Calibri" w:hAnsi="Times New Roman" w:cs="Times New Roman"/>
          <w:sz w:val="28"/>
          <w:szCs w:val="28"/>
        </w:rPr>
        <w:t xml:space="preserve"> </w:t>
      </w:r>
      <w:r w:rsidR="009C6151" w:rsidRPr="00DD1874">
        <w:rPr>
          <w:rFonts w:ascii="Times New Roman" w:eastAsia="Calibri" w:hAnsi="Times New Roman" w:cs="Times New Roman"/>
          <w:sz w:val="28"/>
          <w:szCs w:val="28"/>
        </w:rPr>
        <w:t>-</w:t>
      </w:r>
      <w:r w:rsidR="00563CD5" w:rsidRPr="00DD1874">
        <w:rPr>
          <w:rFonts w:ascii="Times New Roman" w:eastAsia="Calibri" w:hAnsi="Times New Roman" w:cs="Times New Roman"/>
          <w:sz w:val="28"/>
          <w:szCs w:val="28"/>
        </w:rPr>
        <w:t xml:space="preserve"> </w:t>
      </w:r>
      <w:r w:rsidRPr="00DD1874">
        <w:rPr>
          <w:rFonts w:ascii="Times New Roman" w:eastAsia="Calibri" w:hAnsi="Times New Roman" w:cs="Times New Roman"/>
          <w:sz w:val="28"/>
          <w:szCs w:val="28"/>
        </w:rPr>
        <w:t xml:space="preserve">tiks izveidotas vismaz </w:t>
      </w:r>
      <w:r w:rsidR="00FC1438" w:rsidRPr="00DD1874">
        <w:rPr>
          <w:rFonts w:ascii="Times New Roman" w:eastAsia="Calibri" w:hAnsi="Times New Roman" w:cs="Times New Roman"/>
          <w:sz w:val="28"/>
          <w:szCs w:val="28"/>
        </w:rPr>
        <w:t xml:space="preserve">trīs </w:t>
      </w:r>
      <w:r w:rsidRPr="00DD1874">
        <w:rPr>
          <w:rFonts w:ascii="Times New Roman" w:eastAsia="Calibri" w:hAnsi="Times New Roman" w:cs="Times New Roman"/>
          <w:sz w:val="28"/>
          <w:szCs w:val="28"/>
        </w:rPr>
        <w:t>vienotas darba vietu kategorijas, integrējot tajās esošos izmantotos risinājumus un jaunos – Projekta gaitā izveidotos risinājumus.</w:t>
      </w:r>
    </w:p>
    <w:p w14:paraId="341532DA" w14:textId="77777777" w:rsidR="00271085" w:rsidRPr="00DD1874" w:rsidRDefault="00271085" w:rsidP="00607B50">
      <w:pPr>
        <w:pStyle w:val="ListParagraph"/>
        <w:numPr>
          <w:ilvl w:val="0"/>
          <w:numId w:val="11"/>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Pamata darba vieta – šī darba vieta nodrošinās lietotāju piekļuvi (t.sk. attālinātu piekļuvi) </w:t>
      </w:r>
      <w:r w:rsidR="004A22BA" w:rsidRPr="00DD1874">
        <w:rPr>
          <w:rFonts w:ascii="Times New Roman" w:eastAsia="Calibri" w:hAnsi="Times New Roman" w:cs="Times New Roman"/>
          <w:sz w:val="28"/>
          <w:szCs w:val="28"/>
        </w:rPr>
        <w:t>EM</w:t>
      </w:r>
      <w:r w:rsidRPr="00DD1874">
        <w:rPr>
          <w:rFonts w:ascii="Times New Roman" w:eastAsia="Calibri" w:hAnsi="Times New Roman" w:cs="Times New Roman"/>
          <w:sz w:val="28"/>
          <w:szCs w:val="28"/>
        </w:rPr>
        <w:t xml:space="preserve"> tīkla resursiem, </w:t>
      </w:r>
      <w:r w:rsidRPr="00DD1874">
        <w:rPr>
          <w:rFonts w:ascii="Times New Roman" w:eastAsia="Calibri" w:hAnsi="Times New Roman" w:cs="Times New Roman"/>
          <w:i/>
          <w:sz w:val="28"/>
          <w:szCs w:val="28"/>
        </w:rPr>
        <w:t>MS Office</w:t>
      </w:r>
      <w:r w:rsidRPr="00DD1874">
        <w:rPr>
          <w:rFonts w:ascii="Times New Roman" w:eastAsia="Calibri" w:hAnsi="Times New Roman" w:cs="Times New Roman"/>
          <w:sz w:val="28"/>
          <w:szCs w:val="28"/>
        </w:rPr>
        <w:t xml:space="preserve"> programmatūrai, elektroniskajam pastam, vienotai lietvedības sistēmai u.c. pamata funkcionalitātei. Šī darba vieta ir neatņemama citu darba vietu sastāvdaļa, jo pārējās darba vietas ir papildinājumi Pamata darba vietai.</w:t>
      </w:r>
    </w:p>
    <w:p w14:paraId="2C4C9C4E" w14:textId="77777777" w:rsidR="00271085" w:rsidRPr="00DD1874" w:rsidRDefault="00271085" w:rsidP="00607B50">
      <w:pPr>
        <w:pStyle w:val="ListParagraph"/>
        <w:numPr>
          <w:ilvl w:val="0"/>
          <w:numId w:val="11"/>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Lietu pārvaldības darba vieta – papildu Pamata darba vietas funkcionalitātei šī darba vieta nodrošinās lietu pārvaldības funkcionalitātes izmantošanas iespējas, kas izmantojamas šādu procesu uzlabošanai:</w:t>
      </w:r>
    </w:p>
    <w:p w14:paraId="12152CAA"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Bīstamo iekārtu uzraudzība;</w:t>
      </w:r>
    </w:p>
    <w:p w14:paraId="515F1E71"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lastRenderedPageBreak/>
        <w:t>Par patērētāju tiesību pārkāpumiem saņemto patērētāju iesniegumu, sūdzību un konsultāciju izskatīšana;</w:t>
      </w:r>
    </w:p>
    <w:p w14:paraId="491FC717"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Metroloģija;</w:t>
      </w:r>
    </w:p>
    <w:p w14:paraId="6325A8BA"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Tirgus uzraudzība un kontrole;</w:t>
      </w:r>
    </w:p>
    <w:p w14:paraId="36C6CC93"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Licencēšanas uzraudzība;</w:t>
      </w:r>
    </w:p>
    <w:p w14:paraId="03A2F78D"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Patērētāju kolektīvo interešu aizsardzība;</w:t>
      </w:r>
    </w:p>
    <w:p w14:paraId="1DFF8F07"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Konkurences likuma pārkāpumu izskatīšanas process;</w:t>
      </w:r>
    </w:p>
    <w:p w14:paraId="701EB8DC"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Iesniegumu izskatīšanas process;</w:t>
      </w:r>
    </w:p>
    <w:p w14:paraId="4B491045"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Konkurences tirgus uzraudzības process;</w:t>
      </w:r>
    </w:p>
    <w:p w14:paraId="4D021283" w14:textId="77777777" w:rsidR="00271085" w:rsidRPr="00DD1874" w:rsidRDefault="00271085" w:rsidP="003632FE">
      <w:pPr>
        <w:pStyle w:val="ListParagraph"/>
        <w:numPr>
          <w:ilvl w:val="0"/>
          <w:numId w:val="13"/>
        </w:numPr>
        <w:tabs>
          <w:tab w:val="left" w:pos="0"/>
        </w:tabs>
        <w:spacing w:before="0" w:after="0"/>
        <w:ind w:left="241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Procesuālo pārkāpumu lietu izskatīšanas process.</w:t>
      </w:r>
    </w:p>
    <w:p w14:paraId="638D178F" w14:textId="3CCCD33C" w:rsidR="00271085" w:rsidRPr="00DD1874" w:rsidRDefault="00271085" w:rsidP="00307403">
      <w:pPr>
        <w:pStyle w:val="ListParagraph"/>
        <w:numPr>
          <w:ilvl w:val="0"/>
          <w:numId w:val="12"/>
        </w:numPr>
        <w:tabs>
          <w:tab w:val="left" w:pos="0"/>
        </w:tabs>
        <w:spacing w:before="0" w:after="0"/>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Analītiķa darba vieta</w:t>
      </w:r>
      <w:r w:rsidR="00C8518B" w:rsidRPr="00DD1874">
        <w:rPr>
          <w:rFonts w:ascii="Times New Roman" w:eastAsia="Calibri" w:hAnsi="Times New Roman" w:cs="Times New Roman"/>
          <w:sz w:val="28"/>
          <w:szCs w:val="28"/>
        </w:rPr>
        <w:t xml:space="preserve"> </w:t>
      </w:r>
      <w:r w:rsidRPr="00DD1874">
        <w:rPr>
          <w:rFonts w:ascii="Times New Roman" w:eastAsia="Calibri" w:hAnsi="Times New Roman" w:cs="Times New Roman"/>
          <w:sz w:val="28"/>
          <w:szCs w:val="28"/>
        </w:rPr>
        <w:t>– papildu Pamata darba vietas funkcionalitātei, šī darba vieta nodrošinās piekļuvi pie datu analīzes risinājuma un datu noliktavas, nodrošinot informācijas elektroniskas iesniegšanas un datu analīzes risinājumā aprakstīto funkcionalitāti;</w:t>
      </w:r>
    </w:p>
    <w:p w14:paraId="36CDBF56" w14:textId="77DC04B8" w:rsidR="002357ED" w:rsidRPr="00DD1874" w:rsidRDefault="00271085" w:rsidP="00307403">
      <w:pPr>
        <w:pStyle w:val="ListParagraph"/>
        <w:numPr>
          <w:ilvl w:val="0"/>
          <w:numId w:val="12"/>
        </w:numPr>
        <w:spacing w:before="0" w:after="0"/>
        <w:jc w:val="both"/>
        <w:rPr>
          <w:rFonts w:ascii="Times New Roman" w:eastAsia="MS Mincho" w:hAnsi="Times New Roman"/>
          <w:bCs/>
          <w:sz w:val="28"/>
          <w:szCs w:val="28"/>
        </w:rPr>
      </w:pPr>
      <w:r w:rsidRPr="00DD1874">
        <w:rPr>
          <w:rFonts w:ascii="Times New Roman" w:eastAsia="Times New Roman" w:hAnsi="Times New Roman" w:cs="Times New Roman"/>
          <w:sz w:val="28"/>
          <w:szCs w:val="28"/>
          <w:lang w:eastAsia="lv-LV"/>
        </w:rPr>
        <w:t>Plānošanas un kontroles darba vieta – papildu Pamata darba vietas funkcio</w:t>
      </w:r>
      <w:r w:rsidR="00DB1739">
        <w:rPr>
          <w:rFonts w:ascii="Times New Roman" w:eastAsia="Times New Roman" w:hAnsi="Times New Roman" w:cs="Times New Roman"/>
          <w:sz w:val="28"/>
          <w:szCs w:val="28"/>
          <w:lang w:eastAsia="lv-LV"/>
        </w:rPr>
        <w:t>nalitātei, darba vieta nodrošinās</w:t>
      </w:r>
      <w:r w:rsidRPr="00DD1874">
        <w:rPr>
          <w:rFonts w:ascii="Times New Roman" w:eastAsia="Times New Roman" w:hAnsi="Times New Roman" w:cs="Times New Roman"/>
          <w:sz w:val="28"/>
          <w:szCs w:val="28"/>
          <w:lang w:eastAsia="lv-LV"/>
        </w:rPr>
        <w:t xml:space="preserve"> piekļuvi plānošanas un kontroles modulim un informācijas analīzes risinājumam, uzlabojot </w:t>
      </w:r>
      <w:r w:rsidR="004A22BA" w:rsidRPr="00DD1874">
        <w:rPr>
          <w:rFonts w:ascii="Times New Roman" w:eastAsia="Times New Roman" w:hAnsi="Times New Roman" w:cs="Times New Roman"/>
          <w:sz w:val="28"/>
          <w:szCs w:val="28"/>
          <w:lang w:eastAsia="lv-LV"/>
        </w:rPr>
        <w:t>EM</w:t>
      </w:r>
      <w:r w:rsidRPr="00DD1874">
        <w:rPr>
          <w:rFonts w:ascii="Times New Roman" w:eastAsia="Times New Roman" w:hAnsi="Times New Roman" w:cs="Times New Roman"/>
          <w:sz w:val="28"/>
          <w:szCs w:val="28"/>
          <w:lang w:eastAsia="lv-LV"/>
        </w:rPr>
        <w:t xml:space="preserve"> resora funkciju un uzdevumu plānošanas un to izpildes kontroles procesu efektivitāti, t.sk. nodrošinot galveno rezultātu rādītāju uzkrāšanu un analīzi dažādos līmeņos. Darba vieta nodrošinās piekļuvi datu noliktavai, kurā tiks uzkrāta informācija no dažādām </w:t>
      </w:r>
      <w:r w:rsidR="004A22BA" w:rsidRPr="00DD1874">
        <w:rPr>
          <w:rFonts w:ascii="Times New Roman" w:eastAsia="Times New Roman" w:hAnsi="Times New Roman" w:cs="Times New Roman"/>
          <w:sz w:val="28"/>
          <w:szCs w:val="28"/>
          <w:lang w:eastAsia="lv-LV"/>
        </w:rPr>
        <w:t>EM</w:t>
      </w:r>
      <w:r w:rsidRPr="00DD1874">
        <w:rPr>
          <w:rFonts w:ascii="Times New Roman" w:eastAsia="Times New Roman" w:hAnsi="Times New Roman" w:cs="Times New Roman"/>
          <w:sz w:val="28"/>
          <w:szCs w:val="28"/>
          <w:lang w:eastAsia="lv-LV"/>
        </w:rPr>
        <w:t xml:space="preserve"> resorā esošām informācijas sistēmām, nodrošinot visaptverošas informācijas pieejamību efektīvai procesu plānošanai un uzraudzībai, t.sk. analizējot </w:t>
      </w:r>
      <w:r w:rsidR="004A22BA" w:rsidRPr="00DD1874">
        <w:rPr>
          <w:rFonts w:ascii="Times New Roman" w:eastAsia="Times New Roman" w:hAnsi="Times New Roman" w:cs="Times New Roman"/>
          <w:sz w:val="28"/>
          <w:szCs w:val="28"/>
          <w:lang w:eastAsia="lv-LV"/>
        </w:rPr>
        <w:t>EM</w:t>
      </w:r>
      <w:r w:rsidRPr="00DD1874">
        <w:rPr>
          <w:rFonts w:ascii="Times New Roman" w:eastAsia="Times New Roman" w:hAnsi="Times New Roman" w:cs="Times New Roman"/>
          <w:sz w:val="28"/>
          <w:szCs w:val="28"/>
          <w:lang w:eastAsia="lv-LV"/>
        </w:rPr>
        <w:t xml:space="preserve"> resora personāla pienesumu konkrētu uzdevumu izpildē.</w:t>
      </w:r>
    </w:p>
    <w:p w14:paraId="18CD7277" w14:textId="77777777" w:rsidR="00DA7D19" w:rsidRPr="00DD1874" w:rsidRDefault="00DA7D19" w:rsidP="0079021D">
      <w:pPr>
        <w:pStyle w:val="VPBody"/>
        <w:spacing w:before="0" w:after="0"/>
        <w:rPr>
          <w:b/>
          <w:sz w:val="28"/>
          <w:szCs w:val="28"/>
        </w:rPr>
      </w:pPr>
    </w:p>
    <w:p w14:paraId="0E321FC9" w14:textId="32F915FE" w:rsidR="00CD69D7" w:rsidRPr="00DD1874" w:rsidRDefault="00CD69D7" w:rsidP="00DA7D19">
      <w:pPr>
        <w:pStyle w:val="VPBody"/>
        <w:spacing w:before="0" w:after="0"/>
        <w:ind w:firstLine="851"/>
        <w:rPr>
          <w:b/>
          <w:sz w:val="28"/>
          <w:szCs w:val="28"/>
        </w:rPr>
      </w:pPr>
      <w:r w:rsidRPr="00DD1874">
        <w:rPr>
          <w:b/>
          <w:sz w:val="28"/>
          <w:szCs w:val="28"/>
        </w:rPr>
        <w:t>Indikatīvi sociālekonomisko ieguvumu aprēķini</w:t>
      </w:r>
      <w:r w:rsidR="009315C0" w:rsidRPr="00DD1874">
        <w:rPr>
          <w:b/>
          <w:sz w:val="28"/>
          <w:szCs w:val="28"/>
        </w:rPr>
        <w:t>:</w:t>
      </w:r>
    </w:p>
    <w:p w14:paraId="33FA17D2" w14:textId="12D2D085" w:rsidR="009315C0" w:rsidRPr="00DD1874" w:rsidRDefault="009315C0" w:rsidP="00143924">
      <w:pPr>
        <w:spacing w:before="12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Uzlabojot darba vietu uzturēšan</w:t>
      </w:r>
      <w:r w:rsidR="003A7AC5">
        <w:rPr>
          <w:rFonts w:ascii="Times New Roman" w:eastAsia="Calibri" w:hAnsi="Times New Roman" w:cs="Times New Roman"/>
          <w:sz w:val="28"/>
          <w:szCs w:val="28"/>
        </w:rPr>
        <w:t>as procesu un ieviešot vienotu r</w:t>
      </w:r>
      <w:r w:rsidRPr="00DD1874">
        <w:rPr>
          <w:rFonts w:ascii="Times New Roman" w:eastAsia="Calibri" w:hAnsi="Times New Roman" w:cs="Times New Roman"/>
          <w:sz w:val="28"/>
          <w:szCs w:val="28"/>
        </w:rPr>
        <w:t xml:space="preserve">esora darba vietu, tiks samazināts laiks, kas nepieciešams, lai sagatavotu lietotāja darba vietas. Tāpat tiks nodrošināta risinājumu mērogojamība. </w:t>
      </w:r>
    </w:p>
    <w:p w14:paraId="1C7096CD" w14:textId="060B946A" w:rsidR="009315C0" w:rsidRPr="00DD1874" w:rsidRDefault="009315C0" w:rsidP="00DA7D19">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EM un padotības iestādēs (</w:t>
      </w:r>
      <w:r w:rsidR="00C114C1" w:rsidRPr="00C114C1">
        <w:rPr>
          <w:rFonts w:ascii="Times New Roman" w:eastAsia="Calibri" w:hAnsi="Times New Roman" w:cs="Times New Roman"/>
          <w:sz w:val="28"/>
          <w:szCs w:val="28"/>
        </w:rPr>
        <w:t>Latvijas Investīciju un attīstības aģentūra</w:t>
      </w:r>
      <w:r w:rsidRPr="00DD1874">
        <w:rPr>
          <w:rFonts w:ascii="Times New Roman" w:eastAsia="Calibri" w:hAnsi="Times New Roman" w:cs="Times New Roman"/>
          <w:sz w:val="28"/>
          <w:szCs w:val="28"/>
        </w:rPr>
        <w:t xml:space="preserve">, </w:t>
      </w:r>
      <w:r w:rsidR="002740E8" w:rsidRPr="00DD1874">
        <w:rPr>
          <w:rFonts w:ascii="Times New Roman" w:eastAsia="Calibri" w:hAnsi="Times New Roman" w:cs="Times New Roman"/>
          <w:sz w:val="28"/>
          <w:szCs w:val="28"/>
        </w:rPr>
        <w:t>Konkurences padome</w:t>
      </w:r>
      <w:r w:rsidRPr="00DD1874">
        <w:rPr>
          <w:rFonts w:ascii="Times New Roman" w:eastAsia="Calibri" w:hAnsi="Times New Roman" w:cs="Times New Roman"/>
          <w:sz w:val="28"/>
          <w:szCs w:val="28"/>
        </w:rPr>
        <w:t xml:space="preserve">, </w:t>
      </w:r>
      <w:r w:rsidR="00BC6DF1" w:rsidRPr="00DD1874">
        <w:rPr>
          <w:rFonts w:ascii="Times New Roman" w:eastAsia="Calibri" w:hAnsi="Times New Roman" w:cs="Times New Roman"/>
          <w:sz w:val="28"/>
          <w:szCs w:val="28"/>
        </w:rPr>
        <w:t>Patērētāju tiesību aizsardzības centrs</w:t>
      </w:r>
      <w:r w:rsidRPr="00DD1874">
        <w:rPr>
          <w:rFonts w:ascii="Times New Roman" w:eastAsia="Calibri" w:hAnsi="Times New Roman" w:cs="Times New Roman"/>
          <w:sz w:val="28"/>
          <w:szCs w:val="28"/>
        </w:rPr>
        <w:t>, B</w:t>
      </w:r>
      <w:r w:rsidR="00BC6DF1" w:rsidRPr="00DD1874">
        <w:rPr>
          <w:rFonts w:ascii="Times New Roman" w:eastAsia="Calibri" w:hAnsi="Times New Roman" w:cs="Times New Roman"/>
          <w:sz w:val="28"/>
          <w:szCs w:val="28"/>
        </w:rPr>
        <w:t>ūvniecības valsts kontroles birojs</w:t>
      </w:r>
      <w:r w:rsidRPr="00DD1874">
        <w:rPr>
          <w:rFonts w:ascii="Times New Roman" w:eastAsia="Calibri" w:hAnsi="Times New Roman" w:cs="Times New Roman"/>
          <w:sz w:val="28"/>
          <w:szCs w:val="28"/>
        </w:rPr>
        <w:t xml:space="preserve">) apkalpojamo darbstaciju skaits varētu sasniegt aptuveni 750 darbstacijas. Pēc EM sniegtās informācijas, iestādē darbinieku rotācija gada laikā mainība ir aptuveni 20%. Tiek pieņemts, ka ieviešot vienotās darba vietas Resorā IKT atbalsta personāls uz katras darbstacijas instalēšanu, apkopi un uzturēšanu gada laikā varētu ietaupīt kopā 3 stundas (1 stundu uz instalēšanu, ņemot vērā darbinieku mainības </w:t>
      </w:r>
      <w:r w:rsidRPr="00DD1874">
        <w:rPr>
          <w:rFonts w:ascii="Times New Roman" w:eastAsia="Calibri" w:hAnsi="Times New Roman" w:cs="Times New Roman"/>
          <w:sz w:val="28"/>
          <w:szCs w:val="28"/>
        </w:rPr>
        <w:lastRenderedPageBreak/>
        <w:t>īpatsvaru, 2 stundas uz apkopi un uzturēšanu katrai no darbstacijām). Izsakot laika ietaupījumu naudas</w:t>
      </w:r>
      <w:r w:rsidR="005820EF">
        <w:rPr>
          <w:rFonts w:ascii="Times New Roman" w:eastAsia="Calibri" w:hAnsi="Times New Roman" w:cs="Times New Roman"/>
          <w:sz w:val="28"/>
          <w:szCs w:val="28"/>
        </w:rPr>
        <w:t xml:space="preserve"> izteiksmē (ņemot vērā vidējo informācijas tehnoloģiju</w:t>
      </w:r>
      <w:r w:rsidRPr="00DD1874">
        <w:rPr>
          <w:rFonts w:ascii="Times New Roman" w:eastAsia="Calibri" w:hAnsi="Times New Roman" w:cs="Times New Roman"/>
          <w:sz w:val="28"/>
          <w:szCs w:val="28"/>
        </w:rPr>
        <w:t xml:space="preserve"> darbinieka atalgojumu -5,55 EUR stundā), aptuvenais ietaupījums no vienotās Resora darba vietas uzturēšanas sastāda aptuveni 750*3*5,55=12 488 EUR gadā.</w:t>
      </w:r>
    </w:p>
    <w:p w14:paraId="4CC5955E" w14:textId="73DE4350" w:rsidR="009315C0" w:rsidRPr="00DD1874" w:rsidRDefault="009315C0" w:rsidP="00DA7D19">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Projektā ieviestajām sistēmām ir netieša ietekme uz Latvijas tautsaimniecību. Lai novērtētu normatīvajiem aktiem neatbilstošu un viltotu preču tirdzniecības izraisīto seku ekonomisko ietekmi, Eiropas Intelektuālā īpašuma birojs (</w:t>
      </w:r>
      <w:proofErr w:type="spellStart"/>
      <w:r w:rsidRPr="00DD1874">
        <w:rPr>
          <w:rFonts w:ascii="Times New Roman" w:eastAsia="Calibri" w:hAnsi="Times New Roman" w:cs="Times New Roman"/>
          <w:i/>
          <w:sz w:val="28"/>
          <w:szCs w:val="28"/>
        </w:rPr>
        <w:t>European</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Observatory</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on</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Infringements</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of</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Intellectual</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Property</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Rights</w:t>
      </w:r>
      <w:proofErr w:type="spellEnd"/>
      <w:r w:rsidRPr="00DD1874">
        <w:rPr>
          <w:rFonts w:ascii="Times New Roman" w:eastAsia="Calibri" w:hAnsi="Times New Roman" w:cs="Times New Roman"/>
          <w:sz w:val="28"/>
          <w:szCs w:val="28"/>
        </w:rPr>
        <w:t>) veicis vairākus pētījumus dažādu preču kategorijās. Piemēram, vienā no pētījumiem “</w:t>
      </w:r>
      <w:proofErr w:type="spellStart"/>
      <w:r w:rsidRPr="00DD1874">
        <w:rPr>
          <w:rFonts w:ascii="Times New Roman" w:eastAsia="Calibri" w:hAnsi="Times New Roman" w:cs="Times New Roman"/>
          <w:i/>
          <w:sz w:val="28"/>
          <w:szCs w:val="28"/>
        </w:rPr>
        <w:t>The</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Economic</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Cost</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of</w:t>
      </w:r>
      <w:proofErr w:type="spellEnd"/>
      <w:r w:rsidRPr="00DD1874">
        <w:rPr>
          <w:rFonts w:ascii="Times New Roman" w:eastAsia="Calibri" w:hAnsi="Times New Roman" w:cs="Times New Roman"/>
          <w:i/>
          <w:sz w:val="28"/>
          <w:szCs w:val="28"/>
        </w:rPr>
        <w:t xml:space="preserve"> IPR </w:t>
      </w:r>
      <w:proofErr w:type="spellStart"/>
      <w:r w:rsidRPr="00DD1874">
        <w:rPr>
          <w:rFonts w:ascii="Times New Roman" w:eastAsia="Calibri" w:hAnsi="Times New Roman" w:cs="Times New Roman"/>
          <w:i/>
          <w:sz w:val="28"/>
          <w:szCs w:val="28"/>
        </w:rPr>
        <w:t>Infringement</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in</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the</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Clothing</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Footwear</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and</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Accessories</w:t>
      </w:r>
      <w:proofErr w:type="spellEnd"/>
      <w:r w:rsidRPr="00DD1874">
        <w:rPr>
          <w:rFonts w:ascii="Times New Roman" w:eastAsia="Calibri" w:hAnsi="Times New Roman" w:cs="Times New Roman"/>
          <w:i/>
          <w:sz w:val="28"/>
          <w:szCs w:val="28"/>
        </w:rPr>
        <w:t xml:space="preserve"> </w:t>
      </w:r>
      <w:proofErr w:type="spellStart"/>
      <w:r w:rsidRPr="00DD1874">
        <w:rPr>
          <w:rFonts w:ascii="Times New Roman" w:eastAsia="Calibri" w:hAnsi="Times New Roman" w:cs="Times New Roman"/>
          <w:i/>
          <w:sz w:val="28"/>
          <w:szCs w:val="28"/>
        </w:rPr>
        <w:t>Sector</w:t>
      </w:r>
      <w:proofErr w:type="spellEnd"/>
      <w:r w:rsidRPr="00DD1874">
        <w:rPr>
          <w:rFonts w:ascii="Times New Roman" w:eastAsia="Calibri" w:hAnsi="Times New Roman" w:cs="Times New Roman"/>
          <w:sz w:val="28"/>
          <w:szCs w:val="28"/>
        </w:rPr>
        <w:t>”</w:t>
      </w:r>
      <w:r w:rsidRPr="00DD1874">
        <w:rPr>
          <w:rFonts w:ascii="Times New Roman" w:eastAsia="Calibri" w:hAnsi="Times New Roman" w:cs="Times New Roman"/>
          <w:sz w:val="28"/>
          <w:szCs w:val="28"/>
          <w:vertAlign w:val="superscript"/>
        </w:rPr>
        <w:footnoteReference w:id="1"/>
      </w:r>
      <w:r w:rsidRPr="00DD1874">
        <w:rPr>
          <w:rFonts w:ascii="Times New Roman" w:eastAsia="Calibri" w:hAnsi="Times New Roman" w:cs="Times New Roman"/>
          <w:sz w:val="28"/>
          <w:szCs w:val="28"/>
        </w:rPr>
        <w:t xml:space="preserve"> secināts, ka katru gadu apģērbu, apavu un aksesuāru ražotāji Latvijā kopumā zaudē vairāk nekā 70 milj</w:t>
      </w:r>
      <w:r w:rsidR="00685130">
        <w:rPr>
          <w:rFonts w:ascii="Times New Roman" w:eastAsia="Calibri" w:hAnsi="Times New Roman" w:cs="Times New Roman"/>
          <w:sz w:val="28"/>
          <w:szCs w:val="28"/>
        </w:rPr>
        <w:t>.</w:t>
      </w:r>
      <w:r w:rsidRPr="00DD1874">
        <w:rPr>
          <w:rFonts w:ascii="Times New Roman" w:eastAsia="Calibri" w:hAnsi="Times New Roman" w:cs="Times New Roman"/>
          <w:sz w:val="28"/>
          <w:szCs w:val="28"/>
        </w:rPr>
        <w:t xml:space="preserve"> EUR.</w:t>
      </w:r>
    </w:p>
    <w:p w14:paraId="530008D2" w14:textId="2513839C" w:rsidR="009315C0" w:rsidRPr="00DD1874" w:rsidRDefault="009315C0" w:rsidP="00DA7D19">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Tiek pieņemts, ka ieviešot Lietu pārvaldības sistēmu, par 2% tiek uzlabota </w:t>
      </w:r>
      <w:r w:rsidR="001B5F6E" w:rsidRPr="00DD1874">
        <w:rPr>
          <w:rFonts w:ascii="Times New Roman" w:eastAsia="Calibri" w:hAnsi="Times New Roman" w:cs="Times New Roman"/>
          <w:sz w:val="28"/>
          <w:szCs w:val="28"/>
        </w:rPr>
        <w:t xml:space="preserve">Patērētāju tiesību aizsardzības centra </w:t>
      </w:r>
      <w:r w:rsidRPr="00DD1874">
        <w:rPr>
          <w:rFonts w:ascii="Times New Roman" w:eastAsia="Calibri" w:hAnsi="Times New Roman" w:cs="Times New Roman"/>
          <w:sz w:val="28"/>
          <w:szCs w:val="28"/>
        </w:rPr>
        <w:t xml:space="preserve">darbības efektivitāte. Ņemot vērā iepriekš minēto, ar </w:t>
      </w:r>
      <w:r w:rsidR="001B5F6E" w:rsidRPr="00DD1874">
        <w:rPr>
          <w:rFonts w:ascii="Times New Roman" w:eastAsia="Calibri" w:hAnsi="Times New Roman" w:cs="Times New Roman"/>
          <w:sz w:val="28"/>
          <w:szCs w:val="28"/>
        </w:rPr>
        <w:t xml:space="preserve">Patērētāju tiesību aizsardzības centra </w:t>
      </w:r>
      <w:r w:rsidRPr="00DD1874">
        <w:rPr>
          <w:rFonts w:ascii="Times New Roman" w:eastAsia="Calibri" w:hAnsi="Times New Roman" w:cs="Times New Roman"/>
          <w:sz w:val="28"/>
          <w:szCs w:val="28"/>
        </w:rPr>
        <w:t>darbības efektivitātes uzlabošanu būs iespējams novērst zaudējumu Latvijas tautsaimniecībai līdz pat 1,4 milj. EUR (2% no 70 milj. EUR) gadā, kas rodas iegādājoties nekvalitatīvas, normatīvajiem aktiem neatbilstošas un, potenciāli, veselībai bīstamas preces.</w:t>
      </w:r>
    </w:p>
    <w:p w14:paraId="37349670" w14:textId="6ADE61B8" w:rsidR="009315C0" w:rsidRPr="00DD1874" w:rsidRDefault="009315C0" w:rsidP="00DA7D19">
      <w:pPr>
        <w:spacing w:before="0" w:after="0"/>
        <w:ind w:firstLine="851"/>
        <w:jc w:val="both"/>
        <w:rPr>
          <w:rFonts w:ascii="Times New Roman" w:eastAsia="Calibri" w:hAnsi="Times New Roman" w:cs="Times New Roman"/>
          <w:sz w:val="28"/>
          <w:szCs w:val="28"/>
        </w:rPr>
      </w:pPr>
      <w:r w:rsidRPr="00DD1874">
        <w:rPr>
          <w:rFonts w:ascii="Times New Roman" w:eastAsia="Calibri" w:hAnsi="Times New Roman" w:cs="Times New Roman"/>
          <w:sz w:val="28"/>
          <w:szCs w:val="28"/>
        </w:rPr>
        <w:t xml:space="preserve">Projekta īstenošanas sociālekonomiskais ieguvums 10 gadu periodā ir lielāks par 2,5 milj. </w:t>
      </w:r>
      <w:r w:rsidR="009E3287" w:rsidRPr="00DD1874">
        <w:rPr>
          <w:rFonts w:ascii="Times New Roman" w:eastAsia="Calibri" w:hAnsi="Times New Roman" w:cs="Times New Roman"/>
          <w:sz w:val="28"/>
          <w:szCs w:val="28"/>
        </w:rPr>
        <w:t>EUR</w:t>
      </w:r>
      <w:r w:rsidRPr="00DD1874">
        <w:rPr>
          <w:rFonts w:ascii="Times New Roman" w:eastAsia="Calibri" w:hAnsi="Times New Roman" w:cs="Times New Roman"/>
          <w:sz w:val="28"/>
          <w:szCs w:val="28"/>
        </w:rPr>
        <w:t xml:space="preserve"> projekta investīciju un 2,5 milj. </w:t>
      </w:r>
      <w:r w:rsidR="009E3287" w:rsidRPr="00DD1874">
        <w:rPr>
          <w:rFonts w:ascii="Times New Roman" w:eastAsia="Calibri" w:hAnsi="Times New Roman" w:cs="Times New Roman"/>
          <w:sz w:val="28"/>
          <w:szCs w:val="28"/>
        </w:rPr>
        <w:t>EUR</w:t>
      </w:r>
      <w:r w:rsidRPr="00DD1874">
        <w:rPr>
          <w:rFonts w:ascii="Times New Roman" w:eastAsia="Calibri" w:hAnsi="Times New Roman" w:cs="Times New Roman"/>
          <w:sz w:val="28"/>
          <w:szCs w:val="28"/>
        </w:rPr>
        <w:t xml:space="preserve"> uzturēšanas izmaksām 10 gadu periodā, kas kopā veido izmaksas 5 milj. </w:t>
      </w:r>
      <w:r w:rsidR="00EE30F5" w:rsidRPr="00DD1874">
        <w:rPr>
          <w:rFonts w:ascii="Times New Roman" w:eastAsia="Calibri" w:hAnsi="Times New Roman" w:cs="Times New Roman"/>
          <w:sz w:val="28"/>
          <w:szCs w:val="28"/>
        </w:rPr>
        <w:t>EUR</w:t>
      </w:r>
      <w:r w:rsidRPr="00DD1874">
        <w:rPr>
          <w:rFonts w:ascii="Times New Roman" w:eastAsia="Calibri" w:hAnsi="Times New Roman" w:cs="Times New Roman"/>
          <w:sz w:val="28"/>
          <w:szCs w:val="28"/>
        </w:rPr>
        <w:t xml:space="preserve"> apmērā. Projekta ieguvumu-izdevumu attiecības koeficienta vērtība ir virs 2, kas liecina par projekta augstu pievienotu vērtību.</w:t>
      </w:r>
    </w:p>
    <w:p w14:paraId="777C1270" w14:textId="77777777" w:rsidR="009315C0" w:rsidRPr="00DD1874" w:rsidRDefault="009315C0" w:rsidP="0079021D">
      <w:pPr>
        <w:pStyle w:val="VPBody"/>
        <w:spacing w:before="0" w:after="0"/>
        <w:rPr>
          <w:b/>
          <w:sz w:val="28"/>
          <w:szCs w:val="28"/>
        </w:rPr>
      </w:pPr>
    </w:p>
    <w:p w14:paraId="6DDC4507" w14:textId="77777777" w:rsidR="00CD69D7" w:rsidRPr="00DD1874" w:rsidRDefault="00CD69D7" w:rsidP="0079021D">
      <w:pPr>
        <w:overflowPunct w:val="0"/>
        <w:autoSpaceDE w:val="0"/>
        <w:autoSpaceDN w:val="0"/>
        <w:spacing w:before="0" w:after="0"/>
        <w:textAlignment w:val="baseline"/>
        <w:rPr>
          <w:rFonts w:ascii="Times New Roman" w:eastAsia="Times New Roman" w:hAnsi="Times New Roman" w:cs="Times New Roman"/>
          <w:b/>
          <w:sz w:val="28"/>
          <w:szCs w:val="28"/>
          <w:lang w:eastAsia="lv-LV"/>
        </w:rPr>
      </w:pPr>
    </w:p>
    <w:p w14:paraId="3650FE93" w14:textId="77777777" w:rsidR="00CD69D7" w:rsidRPr="00DD1874" w:rsidRDefault="00CD69D7" w:rsidP="0079021D">
      <w:pPr>
        <w:keepNext/>
        <w:keepLines/>
        <w:tabs>
          <w:tab w:val="right" w:pos="9072"/>
        </w:tabs>
        <w:suppressAutoHyphens/>
        <w:spacing w:before="0" w:after="0"/>
        <w:rPr>
          <w:rFonts w:ascii="Times New Roman" w:eastAsia="Times New Roman" w:hAnsi="Times New Roman" w:cs="Times New Roman"/>
          <w:sz w:val="28"/>
          <w:szCs w:val="28"/>
        </w:rPr>
      </w:pPr>
      <w:r w:rsidRPr="00DD1874">
        <w:rPr>
          <w:rFonts w:ascii="Times New Roman" w:eastAsia="Times New Roman" w:hAnsi="Times New Roman" w:cs="Times New Roman"/>
          <w:sz w:val="28"/>
          <w:szCs w:val="28"/>
        </w:rPr>
        <w:t>Ministru prezidenta biedrs,</w:t>
      </w:r>
    </w:p>
    <w:p w14:paraId="5C432FEF" w14:textId="77777777" w:rsidR="00CD69D7" w:rsidRPr="00DD1874" w:rsidRDefault="00CD69D7" w:rsidP="0079021D">
      <w:pPr>
        <w:keepNext/>
        <w:keepLines/>
        <w:tabs>
          <w:tab w:val="right" w:pos="9072"/>
        </w:tabs>
        <w:suppressAutoHyphens/>
        <w:spacing w:before="0" w:after="0"/>
        <w:rPr>
          <w:rFonts w:ascii="Times New Roman" w:eastAsia="Times New Roman" w:hAnsi="Times New Roman" w:cs="Times New Roman"/>
          <w:sz w:val="28"/>
          <w:szCs w:val="28"/>
        </w:rPr>
      </w:pPr>
      <w:r w:rsidRPr="00DD1874">
        <w:rPr>
          <w:rFonts w:ascii="Times New Roman" w:eastAsia="Times New Roman" w:hAnsi="Times New Roman" w:cs="Times New Roman"/>
          <w:sz w:val="28"/>
          <w:szCs w:val="28"/>
        </w:rPr>
        <w:t>ekonomikas ministrs</w:t>
      </w:r>
      <w:r w:rsidRPr="00DD1874">
        <w:rPr>
          <w:rFonts w:ascii="Times New Roman" w:eastAsia="Times New Roman" w:hAnsi="Times New Roman" w:cs="Times New Roman"/>
          <w:sz w:val="28"/>
          <w:szCs w:val="28"/>
        </w:rPr>
        <w:tab/>
        <w:t>Arvils Ašeradens</w:t>
      </w:r>
    </w:p>
    <w:p w14:paraId="1892B832" w14:textId="77777777" w:rsidR="00CD69D7" w:rsidRPr="00DD1874" w:rsidRDefault="00CD69D7" w:rsidP="0079021D">
      <w:pPr>
        <w:tabs>
          <w:tab w:val="left" w:pos="6096"/>
        </w:tabs>
        <w:spacing w:before="0" w:after="0"/>
        <w:jc w:val="both"/>
        <w:rPr>
          <w:rFonts w:ascii="Times New Roman" w:hAnsi="Times New Roman" w:cs="Times New Roman"/>
          <w:sz w:val="28"/>
          <w:szCs w:val="28"/>
        </w:rPr>
      </w:pPr>
    </w:p>
    <w:p w14:paraId="4FB11DDF" w14:textId="77777777" w:rsidR="00CD69D7" w:rsidRPr="00DD1874" w:rsidRDefault="00CD69D7" w:rsidP="0079021D">
      <w:pPr>
        <w:tabs>
          <w:tab w:val="left" w:pos="6096"/>
        </w:tabs>
        <w:spacing w:before="0" w:after="0"/>
        <w:jc w:val="both"/>
        <w:rPr>
          <w:rFonts w:ascii="Times New Roman" w:hAnsi="Times New Roman" w:cs="Times New Roman"/>
          <w:sz w:val="28"/>
          <w:szCs w:val="28"/>
        </w:rPr>
      </w:pPr>
    </w:p>
    <w:p w14:paraId="58D3C755" w14:textId="77777777" w:rsidR="00CD69D7" w:rsidRPr="00DD1874" w:rsidRDefault="00CD69D7" w:rsidP="0079021D">
      <w:pPr>
        <w:tabs>
          <w:tab w:val="left" w:pos="6379"/>
        </w:tabs>
        <w:spacing w:before="0" w:after="0"/>
        <w:jc w:val="both"/>
        <w:rPr>
          <w:rFonts w:ascii="Times New Roman" w:hAnsi="Times New Roman" w:cs="Times New Roman"/>
          <w:sz w:val="28"/>
          <w:szCs w:val="28"/>
        </w:rPr>
      </w:pPr>
      <w:r w:rsidRPr="00DD1874">
        <w:rPr>
          <w:rFonts w:ascii="Times New Roman" w:hAnsi="Times New Roman" w:cs="Times New Roman"/>
          <w:sz w:val="28"/>
          <w:szCs w:val="28"/>
        </w:rPr>
        <w:t>Vīza: valsts sekretārs</w:t>
      </w:r>
      <w:r w:rsidRPr="00DD1874">
        <w:rPr>
          <w:rFonts w:ascii="Times New Roman" w:hAnsi="Times New Roman" w:cs="Times New Roman"/>
          <w:sz w:val="28"/>
          <w:szCs w:val="28"/>
        </w:rPr>
        <w:tab/>
        <w:t>Juris Stinka</w:t>
      </w:r>
    </w:p>
    <w:p w14:paraId="4F92E11E" w14:textId="77777777" w:rsidR="00CD69D7" w:rsidRPr="00DD1874" w:rsidRDefault="00CD69D7" w:rsidP="0079021D">
      <w:pPr>
        <w:tabs>
          <w:tab w:val="left" w:pos="6096"/>
        </w:tabs>
        <w:spacing w:before="0" w:after="0"/>
        <w:jc w:val="both"/>
        <w:rPr>
          <w:rFonts w:ascii="Times New Roman" w:hAnsi="Times New Roman" w:cs="Times New Roman"/>
          <w:sz w:val="28"/>
          <w:szCs w:val="28"/>
        </w:rPr>
      </w:pPr>
    </w:p>
    <w:p w14:paraId="50D3228D" w14:textId="77777777" w:rsidR="00CD69D7" w:rsidRPr="00DD1874" w:rsidRDefault="00CD69D7" w:rsidP="0079021D">
      <w:pPr>
        <w:tabs>
          <w:tab w:val="left" w:pos="6096"/>
        </w:tabs>
        <w:spacing w:before="0" w:after="0"/>
        <w:jc w:val="both"/>
        <w:rPr>
          <w:rFonts w:ascii="Times New Roman" w:hAnsi="Times New Roman" w:cs="Times New Roman"/>
          <w:sz w:val="20"/>
          <w:szCs w:val="20"/>
        </w:rPr>
      </w:pPr>
    </w:p>
    <w:p w14:paraId="4E08E2F7" w14:textId="605E8BF4" w:rsidR="00CD69D7" w:rsidRPr="00DD1874" w:rsidRDefault="0000042E" w:rsidP="0079021D">
      <w:pPr>
        <w:spacing w:before="0" w:after="0"/>
        <w:ind w:right="3969"/>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07.08.2017. 20:27</w:t>
      </w:r>
      <w:bookmarkStart w:id="0" w:name="_GoBack"/>
      <w:bookmarkEnd w:id="0"/>
    </w:p>
    <w:p w14:paraId="548291FA" w14:textId="1E697753" w:rsidR="00CD69D7" w:rsidRPr="00DD1874" w:rsidRDefault="00CD69D7" w:rsidP="0079021D">
      <w:pPr>
        <w:spacing w:before="0" w:after="0"/>
        <w:ind w:right="3969"/>
        <w:jc w:val="both"/>
        <w:rPr>
          <w:rFonts w:ascii="Times New Roman" w:eastAsia="Times New Roman" w:hAnsi="Times New Roman" w:cs="Times New Roman"/>
          <w:sz w:val="20"/>
          <w:szCs w:val="20"/>
          <w:lang w:eastAsia="lv-LV"/>
        </w:rPr>
      </w:pPr>
      <w:r w:rsidRPr="00DD1874">
        <w:rPr>
          <w:rFonts w:ascii="Times New Roman" w:eastAsia="Times New Roman" w:hAnsi="Times New Roman" w:cs="Times New Roman"/>
          <w:iCs/>
          <w:sz w:val="20"/>
          <w:szCs w:val="20"/>
          <w:lang w:eastAsia="lv-LV"/>
        </w:rPr>
        <w:t>Jankovskis</w:t>
      </w:r>
      <w:r w:rsidR="00DD5326" w:rsidRPr="00DD1874">
        <w:rPr>
          <w:rFonts w:ascii="Times New Roman" w:eastAsia="Times New Roman" w:hAnsi="Times New Roman" w:cs="Times New Roman"/>
          <w:sz w:val="20"/>
          <w:szCs w:val="20"/>
          <w:lang w:eastAsia="lv-LV"/>
        </w:rPr>
        <w:t>,</w:t>
      </w:r>
      <w:r w:rsidR="007229C6" w:rsidRPr="00DD1874">
        <w:rPr>
          <w:rFonts w:ascii="Times New Roman" w:eastAsia="Times New Roman" w:hAnsi="Times New Roman" w:cs="Times New Roman"/>
          <w:sz w:val="20"/>
          <w:szCs w:val="20"/>
          <w:lang w:eastAsia="lv-LV"/>
        </w:rPr>
        <w:t xml:space="preserve"> 67013246</w:t>
      </w:r>
    </w:p>
    <w:p w14:paraId="3027121E" w14:textId="77777777" w:rsidR="00CD69D7" w:rsidRPr="00DD1874" w:rsidRDefault="0000042E" w:rsidP="0079021D">
      <w:pPr>
        <w:tabs>
          <w:tab w:val="left" w:pos="7513"/>
        </w:tabs>
        <w:spacing w:before="0" w:after="0"/>
        <w:jc w:val="both"/>
        <w:rPr>
          <w:rFonts w:ascii="Times New Roman" w:eastAsia="Times New Roman" w:hAnsi="Times New Roman" w:cs="Times New Roman"/>
          <w:sz w:val="20"/>
          <w:szCs w:val="20"/>
          <w:lang w:eastAsia="lv-LV"/>
        </w:rPr>
      </w:pPr>
      <w:hyperlink r:id="rId7" w:history="1">
        <w:r w:rsidR="00CD69D7" w:rsidRPr="00DD1874">
          <w:rPr>
            <w:rFonts w:ascii="Times New Roman" w:eastAsia="Times New Roman" w:hAnsi="Times New Roman" w:cs="Times New Roman"/>
            <w:color w:val="0563C1" w:themeColor="hyperlink"/>
            <w:sz w:val="20"/>
            <w:szCs w:val="20"/>
            <w:u w:val="single"/>
            <w:lang w:eastAsia="lv-LV"/>
          </w:rPr>
          <w:t>Andrians.Jankovskis@em.gov.lv</w:t>
        </w:r>
      </w:hyperlink>
    </w:p>
    <w:sectPr w:rsidR="00CD69D7" w:rsidRPr="00DD1874" w:rsidSect="00AC43A0">
      <w:headerReference w:type="default" r:id="rId8"/>
      <w:footerReference w:type="default" r:id="rId9"/>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5FBA4" w14:textId="77777777" w:rsidR="003E480E" w:rsidRDefault="003E480E" w:rsidP="004B3DFA">
      <w:pPr>
        <w:spacing w:before="0" w:after="0"/>
      </w:pPr>
      <w:r>
        <w:separator/>
      </w:r>
    </w:p>
  </w:endnote>
  <w:endnote w:type="continuationSeparator" w:id="0">
    <w:p w14:paraId="0ED4A7A7" w14:textId="77777777" w:rsidR="003E480E" w:rsidRDefault="003E480E" w:rsidP="004B3DF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B1728" w14:textId="0D4679B9" w:rsidR="004B3DFA" w:rsidRPr="00AB4BF0" w:rsidRDefault="00AB4BF0" w:rsidP="00AB4BF0">
    <w:pPr>
      <w:pStyle w:val="Footer"/>
    </w:pPr>
    <w:r w:rsidRPr="00AB4BF0">
      <w:rPr>
        <w:rFonts w:ascii="Times New Roman" w:hAnsi="Times New Roman" w:cs="Times New Roman"/>
        <w:sz w:val="20"/>
        <w:szCs w:val="20"/>
      </w:rPr>
      <w:t>EMrikP_070817_VDV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8FFF38" w14:textId="77777777" w:rsidR="003E480E" w:rsidRDefault="003E480E" w:rsidP="004B3DFA">
      <w:pPr>
        <w:spacing w:before="0" w:after="0"/>
      </w:pPr>
      <w:r>
        <w:separator/>
      </w:r>
    </w:p>
  </w:footnote>
  <w:footnote w:type="continuationSeparator" w:id="0">
    <w:p w14:paraId="5C8F279A" w14:textId="77777777" w:rsidR="003E480E" w:rsidRDefault="003E480E" w:rsidP="004B3DFA">
      <w:pPr>
        <w:spacing w:before="0" w:after="0"/>
      </w:pPr>
      <w:r>
        <w:continuationSeparator/>
      </w:r>
    </w:p>
  </w:footnote>
  <w:footnote w:id="1">
    <w:p w14:paraId="54EDC337" w14:textId="77777777" w:rsidR="009315C0" w:rsidRDefault="009315C0" w:rsidP="009315C0">
      <w:pPr>
        <w:pStyle w:val="FootnoteText"/>
        <w:jc w:val="both"/>
      </w:pPr>
      <w:r>
        <w:rPr>
          <w:rStyle w:val="FootnoteReference"/>
        </w:rPr>
        <w:footnoteRef/>
      </w:r>
      <w:r>
        <w:t xml:space="preserve"> </w:t>
      </w:r>
      <w:proofErr w:type="spellStart"/>
      <w:r>
        <w:t>The</w:t>
      </w:r>
      <w:proofErr w:type="spellEnd"/>
      <w:r>
        <w:t xml:space="preserve"> </w:t>
      </w:r>
      <w:proofErr w:type="spellStart"/>
      <w:r>
        <w:t>Economic</w:t>
      </w:r>
      <w:proofErr w:type="spellEnd"/>
      <w:r>
        <w:t xml:space="preserve"> </w:t>
      </w:r>
      <w:proofErr w:type="spellStart"/>
      <w:r>
        <w:t>Cost</w:t>
      </w:r>
      <w:proofErr w:type="spellEnd"/>
      <w:r>
        <w:t xml:space="preserve"> </w:t>
      </w:r>
      <w:proofErr w:type="spellStart"/>
      <w:r>
        <w:t>of</w:t>
      </w:r>
      <w:proofErr w:type="spellEnd"/>
      <w:r>
        <w:t xml:space="preserve"> IPR </w:t>
      </w:r>
      <w:proofErr w:type="spellStart"/>
      <w:r>
        <w:t>Infringement</w:t>
      </w:r>
      <w:proofErr w:type="spellEnd"/>
      <w:r>
        <w:t xml:space="preserve"> </w:t>
      </w:r>
      <w:proofErr w:type="spellStart"/>
      <w:r>
        <w:t>in</w:t>
      </w:r>
      <w:proofErr w:type="spellEnd"/>
      <w:r>
        <w:t xml:space="preserve"> </w:t>
      </w:r>
      <w:proofErr w:type="spellStart"/>
      <w:r>
        <w:t>the</w:t>
      </w:r>
      <w:proofErr w:type="spellEnd"/>
      <w:r>
        <w:t xml:space="preserve"> </w:t>
      </w:r>
      <w:proofErr w:type="spellStart"/>
      <w:r>
        <w:t>Clothing</w:t>
      </w:r>
      <w:proofErr w:type="spellEnd"/>
      <w:r>
        <w:t xml:space="preserve">, </w:t>
      </w:r>
      <w:proofErr w:type="spellStart"/>
      <w:r>
        <w:t>Footwear</w:t>
      </w:r>
      <w:proofErr w:type="spellEnd"/>
      <w:r>
        <w:t xml:space="preserve"> </w:t>
      </w:r>
      <w:proofErr w:type="spellStart"/>
      <w:r>
        <w:t>and</w:t>
      </w:r>
      <w:proofErr w:type="spellEnd"/>
      <w:r>
        <w:t xml:space="preserve"> </w:t>
      </w:r>
      <w:proofErr w:type="spellStart"/>
      <w:r>
        <w:t>Accessories</w:t>
      </w:r>
      <w:proofErr w:type="spellEnd"/>
      <w:r>
        <w:t xml:space="preserve"> </w:t>
      </w:r>
      <w:proofErr w:type="spellStart"/>
      <w:r>
        <w:t>Sector</w:t>
      </w:r>
      <w:proofErr w:type="spellEnd"/>
      <w:r>
        <w:t xml:space="preserve">, </w:t>
      </w:r>
      <w:proofErr w:type="spellStart"/>
      <w:r>
        <w:t>Quantification</w:t>
      </w:r>
      <w:proofErr w:type="spellEnd"/>
      <w:r>
        <w:t xml:space="preserve"> </w:t>
      </w:r>
      <w:proofErr w:type="spellStart"/>
      <w:r>
        <w:t>of</w:t>
      </w:r>
      <w:proofErr w:type="spellEnd"/>
      <w:r>
        <w:t xml:space="preserve"> </w:t>
      </w:r>
      <w:proofErr w:type="spellStart"/>
      <w:r>
        <w:t>infringement</w:t>
      </w:r>
      <w:proofErr w:type="spellEnd"/>
      <w:r>
        <w:t xml:space="preserve"> </w:t>
      </w:r>
      <w:proofErr w:type="spellStart"/>
      <w:r>
        <w:t>in</w:t>
      </w:r>
      <w:proofErr w:type="spellEnd"/>
      <w:r>
        <w:t xml:space="preserve"> </w:t>
      </w:r>
      <w:proofErr w:type="spellStart"/>
      <w:r>
        <w:t>Manufacture</w:t>
      </w:r>
      <w:proofErr w:type="spellEnd"/>
      <w:r>
        <w:t xml:space="preserve"> </w:t>
      </w:r>
      <w:proofErr w:type="spellStart"/>
      <w:r>
        <w:t>of</w:t>
      </w:r>
      <w:proofErr w:type="spellEnd"/>
      <w:r>
        <w:t xml:space="preserve"> </w:t>
      </w:r>
      <w:proofErr w:type="spellStart"/>
      <w:r>
        <w:t>outerwear</w:t>
      </w:r>
      <w:proofErr w:type="spellEnd"/>
      <w:r>
        <w:t xml:space="preserve"> (NACE 14.13); </w:t>
      </w:r>
      <w:proofErr w:type="spellStart"/>
      <w:r>
        <w:t>Manufacture</w:t>
      </w:r>
      <w:proofErr w:type="spellEnd"/>
      <w:r>
        <w:t xml:space="preserve"> </w:t>
      </w:r>
      <w:proofErr w:type="spellStart"/>
      <w:r>
        <w:t>of</w:t>
      </w:r>
      <w:proofErr w:type="spellEnd"/>
      <w:r>
        <w:t xml:space="preserve"> </w:t>
      </w:r>
      <w:proofErr w:type="spellStart"/>
      <w:r>
        <w:t>underwear</w:t>
      </w:r>
      <w:proofErr w:type="spellEnd"/>
      <w:r>
        <w:t xml:space="preserve"> (NACE 14.14); </w:t>
      </w:r>
      <w:proofErr w:type="spellStart"/>
      <w:r>
        <w:t>Manufacture</w:t>
      </w:r>
      <w:proofErr w:type="spellEnd"/>
      <w:r>
        <w:t xml:space="preserve"> </w:t>
      </w:r>
      <w:proofErr w:type="spellStart"/>
      <w:r>
        <w:t>of</w:t>
      </w:r>
      <w:proofErr w:type="spellEnd"/>
      <w:r>
        <w:t xml:space="preserve"> </w:t>
      </w:r>
      <w:proofErr w:type="spellStart"/>
      <w:r>
        <w:t>other</w:t>
      </w:r>
      <w:proofErr w:type="spellEnd"/>
      <w:r>
        <w:t xml:space="preserve"> </w:t>
      </w:r>
      <w:proofErr w:type="spellStart"/>
      <w:r>
        <w:t>wearing</w:t>
      </w:r>
      <w:proofErr w:type="spellEnd"/>
      <w:r>
        <w:t xml:space="preserve"> </w:t>
      </w:r>
      <w:proofErr w:type="spellStart"/>
      <w:r>
        <w:t>apparel</w:t>
      </w:r>
      <w:proofErr w:type="spellEnd"/>
      <w:r>
        <w:t xml:space="preserve"> </w:t>
      </w:r>
      <w:proofErr w:type="spellStart"/>
      <w:r>
        <w:t>and</w:t>
      </w:r>
      <w:proofErr w:type="spellEnd"/>
      <w:r>
        <w:t xml:space="preserve"> </w:t>
      </w:r>
      <w:proofErr w:type="spellStart"/>
      <w:r>
        <w:t>accessories</w:t>
      </w:r>
      <w:proofErr w:type="spellEnd"/>
      <w:r>
        <w:t xml:space="preserve"> (NACE 14.19); </w:t>
      </w:r>
      <w:proofErr w:type="spellStart"/>
      <w:r>
        <w:t>and</w:t>
      </w:r>
      <w:proofErr w:type="spellEnd"/>
      <w:r>
        <w:t xml:space="preserve"> </w:t>
      </w:r>
      <w:proofErr w:type="spellStart"/>
      <w:r>
        <w:t>Manufacture</w:t>
      </w:r>
      <w:proofErr w:type="spellEnd"/>
      <w:r>
        <w:t xml:space="preserve"> </w:t>
      </w:r>
      <w:proofErr w:type="spellStart"/>
      <w:r>
        <w:t>of</w:t>
      </w:r>
      <w:proofErr w:type="spellEnd"/>
      <w:r>
        <w:t xml:space="preserve"> </w:t>
      </w:r>
      <w:proofErr w:type="spellStart"/>
      <w:r>
        <w:t>footwear</w:t>
      </w:r>
      <w:proofErr w:type="spellEnd"/>
      <w:r>
        <w:t xml:space="preserve"> (NACE 15.20), 05.2015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654897"/>
      <w:docPartObj>
        <w:docPartGallery w:val="Page Numbers (Top of Page)"/>
        <w:docPartUnique/>
      </w:docPartObj>
    </w:sdtPr>
    <w:sdtEndPr>
      <w:rPr>
        <w:noProof/>
      </w:rPr>
    </w:sdtEndPr>
    <w:sdtContent>
      <w:p w14:paraId="5173ADC8" w14:textId="757C386D" w:rsidR="00345A9E" w:rsidRDefault="00345A9E">
        <w:pPr>
          <w:pStyle w:val="Header"/>
          <w:jc w:val="center"/>
        </w:pPr>
        <w:r w:rsidRPr="00AC43A0">
          <w:rPr>
            <w:rFonts w:ascii="Times New Roman" w:hAnsi="Times New Roman" w:cs="Times New Roman"/>
            <w:sz w:val="28"/>
            <w:szCs w:val="28"/>
          </w:rPr>
          <w:fldChar w:fldCharType="begin"/>
        </w:r>
        <w:r w:rsidRPr="00AC43A0">
          <w:rPr>
            <w:rFonts w:ascii="Times New Roman" w:hAnsi="Times New Roman" w:cs="Times New Roman"/>
            <w:sz w:val="28"/>
            <w:szCs w:val="28"/>
          </w:rPr>
          <w:instrText xml:space="preserve"> PAGE   \* MERGEFORMAT </w:instrText>
        </w:r>
        <w:r w:rsidRPr="00AC43A0">
          <w:rPr>
            <w:rFonts w:ascii="Times New Roman" w:hAnsi="Times New Roman" w:cs="Times New Roman"/>
            <w:sz w:val="28"/>
            <w:szCs w:val="28"/>
          </w:rPr>
          <w:fldChar w:fldCharType="separate"/>
        </w:r>
        <w:r w:rsidR="0000042E">
          <w:rPr>
            <w:rFonts w:ascii="Times New Roman" w:hAnsi="Times New Roman" w:cs="Times New Roman"/>
            <w:noProof/>
            <w:sz w:val="28"/>
            <w:szCs w:val="28"/>
          </w:rPr>
          <w:t>6</w:t>
        </w:r>
        <w:r w:rsidRPr="00AC43A0">
          <w:rPr>
            <w:rFonts w:ascii="Times New Roman" w:hAnsi="Times New Roman" w:cs="Times New Roman"/>
            <w:noProof/>
            <w:sz w:val="28"/>
            <w:szCs w:val="28"/>
          </w:rPr>
          <w:fldChar w:fldCharType="end"/>
        </w:r>
      </w:p>
    </w:sdtContent>
  </w:sdt>
  <w:p w14:paraId="5DDEB097" w14:textId="77777777" w:rsidR="00345A9E" w:rsidRDefault="00345A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2A5E"/>
    <w:multiLevelType w:val="hybridMultilevel"/>
    <w:tmpl w:val="0DA4CA2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3E16390"/>
    <w:multiLevelType w:val="hybridMultilevel"/>
    <w:tmpl w:val="8BFE13AE"/>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163B0F51"/>
    <w:multiLevelType w:val="hybridMultilevel"/>
    <w:tmpl w:val="7F94EB9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C982851"/>
    <w:multiLevelType w:val="hybridMultilevel"/>
    <w:tmpl w:val="2EC833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9C3D45"/>
    <w:multiLevelType w:val="hybridMultilevel"/>
    <w:tmpl w:val="9A68F84E"/>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5" w15:restartNumberingAfterBreak="0">
    <w:nsid w:val="24C84117"/>
    <w:multiLevelType w:val="hybridMultilevel"/>
    <w:tmpl w:val="8256B8B2"/>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6" w15:restartNumberingAfterBreak="0">
    <w:nsid w:val="3EFD401A"/>
    <w:multiLevelType w:val="hybridMultilevel"/>
    <w:tmpl w:val="FEB870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FEE5F79"/>
    <w:multiLevelType w:val="hybridMultilevel"/>
    <w:tmpl w:val="EB8CF4D0"/>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B885A5A"/>
    <w:multiLevelType w:val="hybridMultilevel"/>
    <w:tmpl w:val="F048C05C"/>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9" w15:restartNumberingAfterBreak="0">
    <w:nsid w:val="521F41BE"/>
    <w:multiLevelType w:val="hybridMultilevel"/>
    <w:tmpl w:val="A8B80C8A"/>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0" w15:restartNumberingAfterBreak="0">
    <w:nsid w:val="53B75F54"/>
    <w:multiLevelType w:val="hybridMultilevel"/>
    <w:tmpl w:val="DA3E0D8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7073A97"/>
    <w:multiLevelType w:val="hybridMultilevel"/>
    <w:tmpl w:val="6908AFB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0AF3CEE"/>
    <w:multiLevelType w:val="hybridMultilevel"/>
    <w:tmpl w:val="6F1CE3F4"/>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abstractNum w:abstractNumId="13" w15:restartNumberingAfterBreak="0">
    <w:nsid w:val="762123B8"/>
    <w:multiLevelType w:val="hybridMultilevel"/>
    <w:tmpl w:val="E634DE26"/>
    <w:lvl w:ilvl="0" w:tplc="04260001">
      <w:start w:val="1"/>
      <w:numFmt w:val="bullet"/>
      <w:lvlText w:val=""/>
      <w:lvlJc w:val="left"/>
      <w:pPr>
        <w:ind w:left="1571" w:hanging="360"/>
      </w:pPr>
      <w:rPr>
        <w:rFonts w:ascii="Symbol" w:hAnsi="Symbol" w:hint="default"/>
      </w:rPr>
    </w:lvl>
    <w:lvl w:ilvl="1" w:tplc="04260003" w:tentative="1">
      <w:start w:val="1"/>
      <w:numFmt w:val="bullet"/>
      <w:lvlText w:val="o"/>
      <w:lvlJc w:val="left"/>
      <w:pPr>
        <w:ind w:left="2291" w:hanging="360"/>
      </w:pPr>
      <w:rPr>
        <w:rFonts w:ascii="Courier New" w:hAnsi="Courier New" w:cs="Courier New" w:hint="default"/>
      </w:rPr>
    </w:lvl>
    <w:lvl w:ilvl="2" w:tplc="04260005" w:tentative="1">
      <w:start w:val="1"/>
      <w:numFmt w:val="bullet"/>
      <w:lvlText w:val=""/>
      <w:lvlJc w:val="left"/>
      <w:pPr>
        <w:ind w:left="3011" w:hanging="360"/>
      </w:pPr>
      <w:rPr>
        <w:rFonts w:ascii="Wingdings" w:hAnsi="Wingdings" w:hint="default"/>
      </w:rPr>
    </w:lvl>
    <w:lvl w:ilvl="3" w:tplc="04260001" w:tentative="1">
      <w:start w:val="1"/>
      <w:numFmt w:val="bullet"/>
      <w:lvlText w:val=""/>
      <w:lvlJc w:val="left"/>
      <w:pPr>
        <w:ind w:left="3731" w:hanging="360"/>
      </w:pPr>
      <w:rPr>
        <w:rFonts w:ascii="Symbol" w:hAnsi="Symbol" w:hint="default"/>
      </w:rPr>
    </w:lvl>
    <w:lvl w:ilvl="4" w:tplc="04260003" w:tentative="1">
      <w:start w:val="1"/>
      <w:numFmt w:val="bullet"/>
      <w:lvlText w:val="o"/>
      <w:lvlJc w:val="left"/>
      <w:pPr>
        <w:ind w:left="4451" w:hanging="360"/>
      </w:pPr>
      <w:rPr>
        <w:rFonts w:ascii="Courier New" w:hAnsi="Courier New" w:cs="Courier New" w:hint="default"/>
      </w:rPr>
    </w:lvl>
    <w:lvl w:ilvl="5" w:tplc="04260005" w:tentative="1">
      <w:start w:val="1"/>
      <w:numFmt w:val="bullet"/>
      <w:lvlText w:val=""/>
      <w:lvlJc w:val="left"/>
      <w:pPr>
        <w:ind w:left="5171" w:hanging="360"/>
      </w:pPr>
      <w:rPr>
        <w:rFonts w:ascii="Wingdings" w:hAnsi="Wingdings" w:hint="default"/>
      </w:rPr>
    </w:lvl>
    <w:lvl w:ilvl="6" w:tplc="04260001" w:tentative="1">
      <w:start w:val="1"/>
      <w:numFmt w:val="bullet"/>
      <w:lvlText w:val=""/>
      <w:lvlJc w:val="left"/>
      <w:pPr>
        <w:ind w:left="5891" w:hanging="360"/>
      </w:pPr>
      <w:rPr>
        <w:rFonts w:ascii="Symbol" w:hAnsi="Symbol" w:hint="default"/>
      </w:rPr>
    </w:lvl>
    <w:lvl w:ilvl="7" w:tplc="04260003" w:tentative="1">
      <w:start w:val="1"/>
      <w:numFmt w:val="bullet"/>
      <w:lvlText w:val="o"/>
      <w:lvlJc w:val="left"/>
      <w:pPr>
        <w:ind w:left="6611" w:hanging="360"/>
      </w:pPr>
      <w:rPr>
        <w:rFonts w:ascii="Courier New" w:hAnsi="Courier New" w:cs="Courier New" w:hint="default"/>
      </w:rPr>
    </w:lvl>
    <w:lvl w:ilvl="8" w:tplc="04260005" w:tentative="1">
      <w:start w:val="1"/>
      <w:numFmt w:val="bullet"/>
      <w:lvlText w:val=""/>
      <w:lvlJc w:val="left"/>
      <w:pPr>
        <w:ind w:left="7331" w:hanging="360"/>
      </w:pPr>
      <w:rPr>
        <w:rFonts w:ascii="Wingdings" w:hAnsi="Wingdings" w:hint="default"/>
      </w:rPr>
    </w:lvl>
  </w:abstractNum>
  <w:num w:numId="1">
    <w:abstractNumId w:val="1"/>
  </w:num>
  <w:num w:numId="2">
    <w:abstractNumId w:val="2"/>
  </w:num>
  <w:num w:numId="3">
    <w:abstractNumId w:val="6"/>
  </w:num>
  <w:num w:numId="4">
    <w:abstractNumId w:val="11"/>
  </w:num>
  <w:num w:numId="5">
    <w:abstractNumId w:val="3"/>
  </w:num>
  <w:num w:numId="6">
    <w:abstractNumId w:val="0"/>
  </w:num>
  <w:num w:numId="7">
    <w:abstractNumId w:val="10"/>
  </w:num>
  <w:num w:numId="8">
    <w:abstractNumId w:val="13"/>
  </w:num>
  <w:num w:numId="9">
    <w:abstractNumId w:val="4"/>
  </w:num>
  <w:num w:numId="10">
    <w:abstractNumId w:val="5"/>
  </w:num>
  <w:num w:numId="11">
    <w:abstractNumId w:val="12"/>
  </w:num>
  <w:num w:numId="12">
    <w:abstractNumId w:val="9"/>
  </w:num>
  <w:num w:numId="13">
    <w:abstractNumId w:val="7"/>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F71"/>
    <w:rsid w:val="0000042E"/>
    <w:rsid w:val="00014DE9"/>
    <w:rsid w:val="000260E7"/>
    <w:rsid w:val="00074D11"/>
    <w:rsid w:val="00077AF0"/>
    <w:rsid w:val="000B32B4"/>
    <w:rsid w:val="000C01BE"/>
    <w:rsid w:val="000C49C3"/>
    <w:rsid w:val="000E010F"/>
    <w:rsid w:val="000E6B14"/>
    <w:rsid w:val="000F691C"/>
    <w:rsid w:val="00100AAF"/>
    <w:rsid w:val="00143924"/>
    <w:rsid w:val="001619FA"/>
    <w:rsid w:val="001B5F6E"/>
    <w:rsid w:val="001C06D5"/>
    <w:rsid w:val="001C7C3C"/>
    <w:rsid w:val="001E6FA4"/>
    <w:rsid w:val="001E7005"/>
    <w:rsid w:val="001F4725"/>
    <w:rsid w:val="00227194"/>
    <w:rsid w:val="002357ED"/>
    <w:rsid w:val="00251A27"/>
    <w:rsid w:val="00262DCE"/>
    <w:rsid w:val="00271085"/>
    <w:rsid w:val="002740E8"/>
    <w:rsid w:val="00285347"/>
    <w:rsid w:val="00286AD9"/>
    <w:rsid w:val="00296D84"/>
    <w:rsid w:val="002A2915"/>
    <w:rsid w:val="002D2EB5"/>
    <w:rsid w:val="002E4AFD"/>
    <w:rsid w:val="002E673B"/>
    <w:rsid w:val="00307403"/>
    <w:rsid w:val="00324CA1"/>
    <w:rsid w:val="00345A9E"/>
    <w:rsid w:val="00350EBA"/>
    <w:rsid w:val="003632FE"/>
    <w:rsid w:val="00365E31"/>
    <w:rsid w:val="0037506C"/>
    <w:rsid w:val="00396396"/>
    <w:rsid w:val="003A7AC5"/>
    <w:rsid w:val="003D7511"/>
    <w:rsid w:val="003E480E"/>
    <w:rsid w:val="003F0246"/>
    <w:rsid w:val="00456147"/>
    <w:rsid w:val="00486C88"/>
    <w:rsid w:val="004A1C02"/>
    <w:rsid w:val="004A22BA"/>
    <w:rsid w:val="004B3DFA"/>
    <w:rsid w:val="004B519C"/>
    <w:rsid w:val="004D49A9"/>
    <w:rsid w:val="004F1730"/>
    <w:rsid w:val="0050636A"/>
    <w:rsid w:val="005266B4"/>
    <w:rsid w:val="00532DC8"/>
    <w:rsid w:val="0053405A"/>
    <w:rsid w:val="005427F9"/>
    <w:rsid w:val="00546899"/>
    <w:rsid w:val="00563CD5"/>
    <w:rsid w:val="005820EF"/>
    <w:rsid w:val="005C7F06"/>
    <w:rsid w:val="005F142D"/>
    <w:rsid w:val="00607B50"/>
    <w:rsid w:val="00613B4F"/>
    <w:rsid w:val="00624EC5"/>
    <w:rsid w:val="006430CC"/>
    <w:rsid w:val="00644213"/>
    <w:rsid w:val="00645A67"/>
    <w:rsid w:val="00645F71"/>
    <w:rsid w:val="00685027"/>
    <w:rsid w:val="00685130"/>
    <w:rsid w:val="006B031A"/>
    <w:rsid w:val="006E32B7"/>
    <w:rsid w:val="007229C6"/>
    <w:rsid w:val="007420D6"/>
    <w:rsid w:val="00771DF1"/>
    <w:rsid w:val="0079021D"/>
    <w:rsid w:val="007B4CB1"/>
    <w:rsid w:val="007D7A7C"/>
    <w:rsid w:val="00811B52"/>
    <w:rsid w:val="0084411E"/>
    <w:rsid w:val="008526BF"/>
    <w:rsid w:val="00894320"/>
    <w:rsid w:val="008F276F"/>
    <w:rsid w:val="00917EF1"/>
    <w:rsid w:val="009315C0"/>
    <w:rsid w:val="00942354"/>
    <w:rsid w:val="009858BB"/>
    <w:rsid w:val="00993CEB"/>
    <w:rsid w:val="009C6151"/>
    <w:rsid w:val="009D73A8"/>
    <w:rsid w:val="009D7435"/>
    <w:rsid w:val="009E3287"/>
    <w:rsid w:val="009F700F"/>
    <w:rsid w:val="00A04323"/>
    <w:rsid w:val="00A06F21"/>
    <w:rsid w:val="00A22DE5"/>
    <w:rsid w:val="00A241BC"/>
    <w:rsid w:val="00A425C4"/>
    <w:rsid w:val="00AA69B8"/>
    <w:rsid w:val="00AA6F75"/>
    <w:rsid w:val="00AB1DDE"/>
    <w:rsid w:val="00AB4119"/>
    <w:rsid w:val="00AB4BF0"/>
    <w:rsid w:val="00AC43A0"/>
    <w:rsid w:val="00B3346A"/>
    <w:rsid w:val="00B727F3"/>
    <w:rsid w:val="00B841C4"/>
    <w:rsid w:val="00B915F7"/>
    <w:rsid w:val="00BA44B7"/>
    <w:rsid w:val="00BC59F5"/>
    <w:rsid w:val="00BC6DF1"/>
    <w:rsid w:val="00BE2E74"/>
    <w:rsid w:val="00BE41BD"/>
    <w:rsid w:val="00C10326"/>
    <w:rsid w:val="00C114C1"/>
    <w:rsid w:val="00C71A85"/>
    <w:rsid w:val="00C73C3E"/>
    <w:rsid w:val="00C8518B"/>
    <w:rsid w:val="00CB00F5"/>
    <w:rsid w:val="00CB767D"/>
    <w:rsid w:val="00CD69D7"/>
    <w:rsid w:val="00D00F49"/>
    <w:rsid w:val="00D05878"/>
    <w:rsid w:val="00D112A8"/>
    <w:rsid w:val="00D27B7D"/>
    <w:rsid w:val="00D327A9"/>
    <w:rsid w:val="00D40305"/>
    <w:rsid w:val="00D461E3"/>
    <w:rsid w:val="00D65867"/>
    <w:rsid w:val="00D9531B"/>
    <w:rsid w:val="00DA7D19"/>
    <w:rsid w:val="00DB1739"/>
    <w:rsid w:val="00DB79C7"/>
    <w:rsid w:val="00DC14C8"/>
    <w:rsid w:val="00DD1874"/>
    <w:rsid w:val="00DD5326"/>
    <w:rsid w:val="00DE6675"/>
    <w:rsid w:val="00DE7B2B"/>
    <w:rsid w:val="00E24F24"/>
    <w:rsid w:val="00E90437"/>
    <w:rsid w:val="00EA4BF5"/>
    <w:rsid w:val="00ED1045"/>
    <w:rsid w:val="00ED1A4A"/>
    <w:rsid w:val="00EE30F5"/>
    <w:rsid w:val="00F222B2"/>
    <w:rsid w:val="00F320D3"/>
    <w:rsid w:val="00F51FED"/>
    <w:rsid w:val="00FC1438"/>
    <w:rsid w:val="00FD01B4"/>
    <w:rsid w:val="00FE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4B348"/>
  <w15:chartTrackingRefBased/>
  <w15:docId w15:val="{C6F076F3-C8BA-4EEF-9F3F-54CFDF9B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327A9"/>
    <w:pPr>
      <w:spacing w:before="80" w:after="8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Body">
    <w:name w:val="VP Body"/>
    <w:basedOn w:val="Normal"/>
    <w:qFormat/>
    <w:rsid w:val="00CD69D7"/>
    <w:pPr>
      <w:tabs>
        <w:tab w:val="left" w:pos="0"/>
      </w:tabs>
      <w:jc w:val="both"/>
    </w:pPr>
    <w:rPr>
      <w:rFonts w:ascii="Times New Roman" w:hAnsi="Times New Roman" w:cs="Times New Roman"/>
      <w:bCs/>
      <w:sz w:val="24"/>
    </w:rPr>
  </w:style>
  <w:style w:type="paragraph" w:styleId="Header">
    <w:name w:val="header"/>
    <w:basedOn w:val="Normal"/>
    <w:link w:val="HeaderChar"/>
    <w:uiPriority w:val="99"/>
    <w:unhideWhenUsed/>
    <w:rsid w:val="004B3DFA"/>
    <w:pPr>
      <w:tabs>
        <w:tab w:val="center" w:pos="4153"/>
        <w:tab w:val="right" w:pos="8306"/>
      </w:tabs>
      <w:spacing w:before="0" w:after="0"/>
    </w:pPr>
  </w:style>
  <w:style w:type="character" w:customStyle="1" w:styleId="HeaderChar">
    <w:name w:val="Header Char"/>
    <w:basedOn w:val="DefaultParagraphFont"/>
    <w:link w:val="Header"/>
    <w:uiPriority w:val="99"/>
    <w:rsid w:val="004B3DFA"/>
  </w:style>
  <w:style w:type="paragraph" w:styleId="Footer">
    <w:name w:val="footer"/>
    <w:basedOn w:val="Normal"/>
    <w:link w:val="FooterChar"/>
    <w:uiPriority w:val="99"/>
    <w:unhideWhenUsed/>
    <w:rsid w:val="004B3DFA"/>
    <w:pPr>
      <w:tabs>
        <w:tab w:val="center" w:pos="4153"/>
        <w:tab w:val="right" w:pos="8306"/>
      </w:tabs>
      <w:spacing w:before="0" w:after="0"/>
    </w:pPr>
  </w:style>
  <w:style w:type="character" w:customStyle="1" w:styleId="FooterChar">
    <w:name w:val="Footer Char"/>
    <w:basedOn w:val="DefaultParagraphFont"/>
    <w:link w:val="Footer"/>
    <w:uiPriority w:val="99"/>
    <w:rsid w:val="004B3DFA"/>
  </w:style>
  <w:style w:type="table" w:styleId="TableGrid">
    <w:name w:val="Table Grid"/>
    <w:basedOn w:val="TableNormal"/>
    <w:uiPriority w:val="39"/>
    <w:rsid w:val="001E6FA4"/>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65E31"/>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315C0"/>
    <w:pPr>
      <w:spacing w:before="0" w:after="0"/>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9315C0"/>
    <w:rPr>
      <w:rFonts w:ascii="Times New Roman" w:hAnsi="Times New Roman"/>
      <w:sz w:val="20"/>
      <w:szCs w:val="20"/>
    </w:rPr>
  </w:style>
  <w:style w:type="character" w:styleId="FootnoteReference">
    <w:name w:val="footnote reference"/>
    <w:aliases w:val="Footnote symbol,Footnote Reference Number,fr"/>
    <w:basedOn w:val="DefaultParagraphFont"/>
    <w:uiPriority w:val="99"/>
    <w:unhideWhenUsed/>
    <w:rsid w:val="009315C0"/>
    <w:rPr>
      <w:vertAlign w:val="superscript"/>
    </w:rPr>
  </w:style>
  <w:style w:type="paragraph" w:styleId="ListParagraph">
    <w:name w:val="List Paragraph"/>
    <w:basedOn w:val="Normal"/>
    <w:uiPriority w:val="34"/>
    <w:qFormat/>
    <w:rsid w:val="00D00F49"/>
    <w:pPr>
      <w:ind w:left="720"/>
      <w:contextualSpacing/>
    </w:pPr>
  </w:style>
  <w:style w:type="character" w:styleId="CommentReference">
    <w:name w:val="annotation reference"/>
    <w:basedOn w:val="DefaultParagraphFont"/>
    <w:uiPriority w:val="99"/>
    <w:semiHidden/>
    <w:unhideWhenUsed/>
    <w:rsid w:val="00D40305"/>
    <w:rPr>
      <w:sz w:val="16"/>
      <w:szCs w:val="16"/>
    </w:rPr>
  </w:style>
  <w:style w:type="paragraph" w:styleId="CommentText">
    <w:name w:val="annotation text"/>
    <w:basedOn w:val="Normal"/>
    <w:link w:val="CommentTextChar"/>
    <w:uiPriority w:val="99"/>
    <w:semiHidden/>
    <w:unhideWhenUsed/>
    <w:rsid w:val="00D40305"/>
    <w:rPr>
      <w:sz w:val="20"/>
      <w:szCs w:val="20"/>
    </w:rPr>
  </w:style>
  <w:style w:type="character" w:customStyle="1" w:styleId="CommentTextChar">
    <w:name w:val="Comment Text Char"/>
    <w:basedOn w:val="DefaultParagraphFont"/>
    <w:link w:val="CommentText"/>
    <w:uiPriority w:val="99"/>
    <w:semiHidden/>
    <w:rsid w:val="00D40305"/>
    <w:rPr>
      <w:sz w:val="20"/>
      <w:szCs w:val="20"/>
    </w:rPr>
  </w:style>
  <w:style w:type="paragraph" w:styleId="CommentSubject">
    <w:name w:val="annotation subject"/>
    <w:basedOn w:val="CommentText"/>
    <w:next w:val="CommentText"/>
    <w:link w:val="CommentSubjectChar"/>
    <w:uiPriority w:val="99"/>
    <w:semiHidden/>
    <w:unhideWhenUsed/>
    <w:rsid w:val="00D40305"/>
    <w:rPr>
      <w:b/>
      <w:bCs/>
    </w:rPr>
  </w:style>
  <w:style w:type="character" w:customStyle="1" w:styleId="CommentSubjectChar">
    <w:name w:val="Comment Subject Char"/>
    <w:basedOn w:val="CommentTextChar"/>
    <w:link w:val="CommentSubject"/>
    <w:uiPriority w:val="99"/>
    <w:semiHidden/>
    <w:rsid w:val="00D40305"/>
    <w:rPr>
      <w:b/>
      <w:bCs/>
      <w:sz w:val="20"/>
      <w:szCs w:val="20"/>
    </w:rPr>
  </w:style>
  <w:style w:type="paragraph" w:styleId="BalloonText">
    <w:name w:val="Balloon Text"/>
    <w:basedOn w:val="Normal"/>
    <w:link w:val="BalloonTextChar"/>
    <w:uiPriority w:val="99"/>
    <w:semiHidden/>
    <w:unhideWhenUsed/>
    <w:rsid w:val="00D40305"/>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305"/>
    <w:rPr>
      <w:rFonts w:ascii="Segoe UI" w:hAnsi="Segoe UI" w:cs="Segoe UI"/>
      <w:sz w:val="18"/>
      <w:szCs w:val="18"/>
    </w:rPr>
  </w:style>
  <w:style w:type="character" w:styleId="Hyperlink">
    <w:name w:val="Hyperlink"/>
    <w:basedOn w:val="DefaultParagraphFont"/>
    <w:uiPriority w:val="99"/>
    <w:unhideWhenUsed/>
    <w:rsid w:val="00D40305"/>
    <w:rPr>
      <w:color w:val="0563C1" w:themeColor="hyperlink"/>
      <w:u w:val="single"/>
    </w:rPr>
  </w:style>
  <w:style w:type="character" w:styleId="FollowedHyperlink">
    <w:name w:val="FollowedHyperlink"/>
    <w:basedOn w:val="DefaultParagraphFont"/>
    <w:uiPriority w:val="99"/>
    <w:semiHidden/>
    <w:unhideWhenUsed/>
    <w:rsid w:val="00ED10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ans.Jankovskis@em.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7</Pages>
  <Words>8490</Words>
  <Characters>4840</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EMrikP_070817_VDV</vt:lpstr>
    </vt:vector>
  </TitlesOfParts>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EMrikP_070817_VDV</dc:title>
  <dc:subject/>
  <dc:creator>Andriāns Jankovskis</dc:creator>
  <cp:keywords/>
  <dc:description/>
  <cp:lastModifiedBy>Andriāns Jankovskis</cp:lastModifiedBy>
  <cp:revision>112</cp:revision>
  <dcterms:created xsi:type="dcterms:W3CDTF">2017-07-10T11:18:00Z</dcterms:created>
  <dcterms:modified xsi:type="dcterms:W3CDTF">2017-08-07T17:27:00Z</dcterms:modified>
</cp:coreProperties>
</file>