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4F451" w14:textId="507C53A1" w:rsidR="00684ADB" w:rsidRPr="00FF74EE" w:rsidRDefault="00684ADB" w:rsidP="004C4333">
      <w:pPr>
        <w:jc w:val="center"/>
        <w:rPr>
          <w:b/>
          <w:sz w:val="28"/>
          <w:szCs w:val="28"/>
        </w:rPr>
      </w:pPr>
      <w:r w:rsidRPr="00FF74EE">
        <w:rPr>
          <w:b/>
          <w:sz w:val="28"/>
          <w:szCs w:val="28"/>
        </w:rPr>
        <w:t>INFORMATĪVAIS ZIŅOJUMS PAR EIROPAS SAVIENĪBAS STRUKTŪRFONDU UN KOHĒZIJAS FONDA</w:t>
      </w:r>
      <w:r w:rsidRPr="00FF74EE">
        <w:rPr>
          <w:b/>
          <w:caps/>
          <w:sz w:val="28"/>
          <w:szCs w:val="28"/>
        </w:rPr>
        <w:t xml:space="preserve"> </w:t>
      </w:r>
      <w:r w:rsidRPr="00FF74EE">
        <w:rPr>
          <w:b/>
          <w:sz w:val="28"/>
          <w:szCs w:val="28"/>
        </w:rPr>
        <w:t>INVESTĪCIJU IEVIEŠANAS STATUSU</w:t>
      </w:r>
    </w:p>
    <w:p w14:paraId="063DA8FC" w14:textId="77777777" w:rsidR="00684ADB" w:rsidRPr="00FF74EE" w:rsidRDefault="00684ADB" w:rsidP="004C4333">
      <w:pPr>
        <w:rPr>
          <w:sz w:val="28"/>
          <w:szCs w:val="28"/>
        </w:rPr>
      </w:pPr>
    </w:p>
    <w:p w14:paraId="21683147" w14:textId="77777777" w:rsidR="00C2534E" w:rsidRPr="00C2534E" w:rsidRDefault="00684ADB" w:rsidP="00492CF2">
      <w:pPr>
        <w:pStyle w:val="BodyText"/>
        <w:numPr>
          <w:ilvl w:val="0"/>
          <w:numId w:val="1"/>
        </w:numPr>
        <w:spacing w:line="240" w:lineRule="auto"/>
        <w:ind w:left="0" w:firstLine="0"/>
        <w:jc w:val="both"/>
        <w:rPr>
          <w:rFonts w:eastAsia="Calibri"/>
          <w:b w:val="0"/>
          <w:sz w:val="28"/>
          <w:szCs w:val="28"/>
          <w:lang w:val="lv-LV" w:eastAsia="ar-SA"/>
        </w:rPr>
      </w:pPr>
      <w:r w:rsidRPr="00736F78">
        <w:rPr>
          <w:rFonts w:eastAsia="Calibri"/>
          <w:b w:val="0"/>
          <w:sz w:val="28"/>
          <w:szCs w:val="28"/>
          <w:lang w:val="lv-LV" w:eastAsia="ar-SA"/>
        </w:rPr>
        <w:t>Atbilstoši Ministru kabineta (turpmāk – MK) 2015.</w:t>
      </w:r>
      <w:r w:rsidR="00BB4280" w:rsidRPr="00736F78">
        <w:rPr>
          <w:rFonts w:eastAsia="Calibri"/>
          <w:b w:val="0"/>
          <w:sz w:val="28"/>
          <w:szCs w:val="28"/>
          <w:lang w:val="lv-LV" w:eastAsia="ar-SA"/>
        </w:rPr>
        <w:t> </w:t>
      </w:r>
      <w:r w:rsidRPr="00736F78">
        <w:rPr>
          <w:rFonts w:eastAsia="Calibri"/>
          <w:b w:val="0"/>
          <w:sz w:val="28"/>
          <w:szCs w:val="28"/>
          <w:lang w:val="lv-LV" w:eastAsia="ar-SA"/>
        </w:rPr>
        <w:t>gada 10.</w:t>
      </w:r>
      <w:r w:rsidR="00BB4280" w:rsidRPr="00736F78">
        <w:rPr>
          <w:rFonts w:eastAsia="Calibri"/>
          <w:b w:val="0"/>
          <w:sz w:val="28"/>
          <w:szCs w:val="28"/>
          <w:lang w:val="lv-LV" w:eastAsia="ar-SA"/>
        </w:rPr>
        <w:t> </w:t>
      </w:r>
      <w:r w:rsidRPr="00736F78">
        <w:rPr>
          <w:rFonts w:eastAsia="Calibri"/>
          <w:b w:val="0"/>
          <w:sz w:val="28"/>
          <w:szCs w:val="28"/>
          <w:lang w:val="lv-LV" w:eastAsia="ar-SA"/>
        </w:rPr>
        <w:t>marta sēdes protokola Nr.</w:t>
      </w:r>
      <w:r w:rsidR="00BB4280" w:rsidRPr="00736F78">
        <w:rPr>
          <w:rFonts w:eastAsia="Calibri"/>
          <w:b w:val="0"/>
          <w:sz w:val="28"/>
          <w:szCs w:val="28"/>
          <w:lang w:val="lv-LV" w:eastAsia="ar-SA"/>
        </w:rPr>
        <w:t> </w:t>
      </w:r>
      <w:r w:rsidRPr="00736F78">
        <w:rPr>
          <w:rFonts w:eastAsia="Calibri"/>
          <w:b w:val="0"/>
          <w:sz w:val="28"/>
          <w:szCs w:val="28"/>
          <w:lang w:val="lv-LV" w:eastAsia="ar-SA"/>
        </w:rPr>
        <w:t>14 27.</w:t>
      </w:r>
      <w:r w:rsidR="00BB4280" w:rsidRPr="00736F78">
        <w:rPr>
          <w:rFonts w:eastAsia="Calibri"/>
          <w:b w:val="0"/>
          <w:bCs w:val="0"/>
          <w:sz w:val="28"/>
          <w:szCs w:val="28"/>
          <w:lang w:val="lv-LV" w:eastAsia="ar-SA"/>
        </w:rPr>
        <w:t> </w:t>
      </w:r>
      <w:r w:rsidRPr="00736F78">
        <w:rPr>
          <w:rFonts w:eastAsia="Calibri"/>
          <w:b w:val="0"/>
          <w:bCs w:val="0"/>
          <w:sz w:val="28"/>
          <w:szCs w:val="28"/>
          <w:lang w:val="lv-LV" w:eastAsia="ar-SA"/>
        </w:rPr>
        <w:t>§ 11.</w:t>
      </w:r>
      <w:r w:rsidR="00BB4280" w:rsidRPr="00736F78">
        <w:rPr>
          <w:rFonts w:eastAsia="Calibri"/>
          <w:b w:val="0"/>
          <w:bCs w:val="0"/>
          <w:sz w:val="28"/>
          <w:szCs w:val="28"/>
          <w:lang w:val="lv-LV" w:eastAsia="ar-SA"/>
        </w:rPr>
        <w:t> </w:t>
      </w:r>
      <w:r w:rsidRPr="00736F78">
        <w:rPr>
          <w:rFonts w:eastAsia="Calibri"/>
          <w:b w:val="0"/>
          <w:bCs w:val="0"/>
          <w:sz w:val="28"/>
          <w:szCs w:val="28"/>
          <w:lang w:val="lv-LV" w:eastAsia="ar-SA"/>
        </w:rPr>
        <w:t>punktam Finanšu ministrijai (turpmāk - FM) ir uzdots, sākot ar 2015.</w:t>
      </w:r>
      <w:r w:rsidR="00BB4280" w:rsidRPr="00736F78">
        <w:rPr>
          <w:rFonts w:eastAsia="Calibri"/>
          <w:b w:val="0"/>
          <w:bCs w:val="0"/>
          <w:sz w:val="28"/>
          <w:szCs w:val="28"/>
          <w:lang w:val="lv-LV" w:eastAsia="ar-SA"/>
        </w:rPr>
        <w:t> </w:t>
      </w:r>
      <w:r w:rsidRPr="00736F78">
        <w:rPr>
          <w:rFonts w:eastAsia="Calibri"/>
          <w:b w:val="0"/>
          <w:bCs w:val="0"/>
          <w:sz w:val="28"/>
          <w:szCs w:val="28"/>
          <w:lang w:val="lv-LV" w:eastAsia="ar-SA"/>
        </w:rPr>
        <w:t>gada maiju</w:t>
      </w:r>
      <w:r w:rsidR="00832912" w:rsidRPr="00736F78">
        <w:rPr>
          <w:rFonts w:eastAsia="Calibri"/>
          <w:b w:val="0"/>
          <w:bCs w:val="0"/>
          <w:sz w:val="28"/>
          <w:szCs w:val="28"/>
          <w:lang w:val="lv-LV" w:eastAsia="ar-SA"/>
        </w:rPr>
        <w:t>,</w:t>
      </w:r>
      <w:r w:rsidRPr="00736F78">
        <w:rPr>
          <w:rFonts w:eastAsia="Calibri"/>
          <w:b w:val="0"/>
          <w:bCs w:val="0"/>
          <w:sz w:val="28"/>
          <w:szCs w:val="28"/>
          <w:lang w:val="lv-LV" w:eastAsia="ar-SA"/>
        </w:rPr>
        <w:t xml:space="preserve"> reizi mēnesī (līdz nākamā mēneša beigām) iesniegt MK bez saskaņošanas ar citām iestādēm operatīvo informāciju par Eiropas Savienības struktūrfondu un Kohēzijas fondu (turpmāk – ES fondi) ieviešanas plānu izpildi (turpmāk – </w:t>
      </w:r>
      <w:r w:rsidRPr="00736F78">
        <w:rPr>
          <w:rFonts w:eastAsia="Calibri"/>
          <w:b w:val="0"/>
          <w:bCs w:val="0"/>
          <w:sz w:val="28"/>
          <w:szCs w:val="28"/>
          <w:lang w:val="lv-LV"/>
        </w:rPr>
        <w:t xml:space="preserve">ikmēneša ziņojums </w:t>
      </w:r>
      <w:r w:rsidRPr="00736F78">
        <w:rPr>
          <w:rFonts w:eastAsia="Calibri"/>
          <w:b w:val="0"/>
          <w:bCs w:val="0"/>
          <w:sz w:val="28"/>
          <w:szCs w:val="28"/>
          <w:lang w:val="lv-LV" w:eastAsia="ar-SA"/>
        </w:rPr>
        <w:t>MK), tai skaitā informāciju atbildīgo iestāžu dalījumā par noteiktiem finanšu mērķiem un citiem pr</w:t>
      </w:r>
      <w:r w:rsidR="00326786" w:rsidRPr="00736F78">
        <w:rPr>
          <w:rFonts w:eastAsia="Calibri"/>
          <w:b w:val="0"/>
          <w:bCs w:val="0"/>
          <w:sz w:val="28"/>
          <w:szCs w:val="28"/>
          <w:lang w:val="lv-LV" w:eastAsia="ar-SA"/>
        </w:rPr>
        <w:t xml:space="preserve">iekšnosacījumiem un uzdevumiem. </w:t>
      </w:r>
      <w:r w:rsidR="00C23DD6" w:rsidRPr="00736F78">
        <w:rPr>
          <w:rFonts w:eastAsia="Calibri"/>
          <w:b w:val="0"/>
          <w:bCs w:val="0"/>
          <w:sz w:val="28"/>
          <w:szCs w:val="28"/>
          <w:lang w:val="lv-LV" w:eastAsia="ar-SA"/>
        </w:rPr>
        <w:t>Attiecīgi FM sniedz operatīvo informāciju par</w:t>
      </w:r>
      <w:r w:rsidR="00AC60AD" w:rsidRPr="00736F78">
        <w:rPr>
          <w:rFonts w:eastAsia="Calibri"/>
          <w:b w:val="0"/>
          <w:bCs w:val="0"/>
          <w:sz w:val="28"/>
          <w:szCs w:val="28"/>
          <w:lang w:val="lv-LV" w:eastAsia="ar-SA"/>
        </w:rPr>
        <w:t xml:space="preserve"> </w:t>
      </w:r>
      <w:r w:rsidR="00C23DD6" w:rsidRPr="00736F78">
        <w:rPr>
          <w:rFonts w:eastAsia="Calibri"/>
          <w:b w:val="0"/>
          <w:bCs w:val="0"/>
          <w:sz w:val="28"/>
          <w:szCs w:val="28"/>
          <w:lang w:val="lv-LV" w:eastAsia="ar-SA"/>
        </w:rPr>
        <w:t xml:space="preserve">galvenajiem </w:t>
      </w:r>
      <w:r w:rsidR="00723899" w:rsidRPr="00736F78">
        <w:rPr>
          <w:rFonts w:eastAsia="Calibri"/>
          <w:b w:val="0"/>
          <w:bCs w:val="0"/>
          <w:sz w:val="28"/>
          <w:szCs w:val="28"/>
          <w:lang w:val="lv-LV" w:eastAsia="ar-SA"/>
        </w:rPr>
        <w:t>aspekti</w:t>
      </w:r>
      <w:r w:rsidR="00C23DD6" w:rsidRPr="00736F78">
        <w:rPr>
          <w:rFonts w:eastAsia="Calibri"/>
          <w:b w:val="0"/>
          <w:bCs w:val="0"/>
          <w:sz w:val="28"/>
          <w:szCs w:val="28"/>
          <w:lang w:val="lv-LV" w:eastAsia="ar-SA"/>
        </w:rPr>
        <w:t>em</w:t>
      </w:r>
      <w:r w:rsidR="00723899" w:rsidRPr="00736F78">
        <w:rPr>
          <w:rFonts w:eastAsia="Calibri"/>
          <w:b w:val="0"/>
          <w:bCs w:val="0"/>
          <w:sz w:val="28"/>
          <w:szCs w:val="28"/>
          <w:lang w:val="lv-LV" w:eastAsia="ar-SA"/>
        </w:rPr>
        <w:t xml:space="preserve"> </w:t>
      </w:r>
      <w:r w:rsidR="00C23DD6" w:rsidRPr="00736F78">
        <w:rPr>
          <w:rFonts w:eastAsia="Calibri"/>
          <w:b w:val="0"/>
          <w:bCs w:val="0"/>
          <w:sz w:val="28"/>
          <w:szCs w:val="28"/>
          <w:lang w:val="lv-LV" w:eastAsia="ar-SA"/>
        </w:rPr>
        <w:t xml:space="preserve">un </w:t>
      </w:r>
      <w:r w:rsidR="004D3A6C" w:rsidRPr="00736F78">
        <w:rPr>
          <w:rFonts w:eastAsia="Calibri"/>
          <w:b w:val="0"/>
          <w:bCs w:val="0"/>
          <w:sz w:val="28"/>
          <w:szCs w:val="28"/>
          <w:lang w:val="lv-LV" w:eastAsia="ar-SA"/>
        </w:rPr>
        <w:t>aktu</w:t>
      </w:r>
      <w:r w:rsidR="00D203D0" w:rsidRPr="00736F78">
        <w:rPr>
          <w:rFonts w:eastAsia="Calibri"/>
          <w:b w:val="0"/>
          <w:bCs w:val="0"/>
          <w:sz w:val="28"/>
          <w:szCs w:val="28"/>
          <w:lang w:val="lv-LV" w:eastAsia="ar-SA"/>
        </w:rPr>
        <w:t>alitātēm</w:t>
      </w:r>
      <w:r w:rsidR="00405972" w:rsidRPr="00736F78">
        <w:rPr>
          <w:rFonts w:eastAsia="Calibri"/>
          <w:b w:val="0"/>
          <w:bCs w:val="0"/>
          <w:sz w:val="28"/>
          <w:szCs w:val="28"/>
          <w:lang w:val="lv-LV" w:eastAsia="ar-SA"/>
        </w:rPr>
        <w:t xml:space="preserve"> </w:t>
      </w:r>
      <w:r w:rsidR="004F5936" w:rsidRPr="00736F78">
        <w:rPr>
          <w:rFonts w:eastAsia="Calibri"/>
          <w:b w:val="0"/>
          <w:bCs w:val="0"/>
          <w:sz w:val="28"/>
          <w:szCs w:val="28"/>
          <w:lang w:val="lv-LV" w:eastAsia="ar-SA"/>
        </w:rPr>
        <w:t xml:space="preserve">ES fondu </w:t>
      </w:r>
      <w:r w:rsidR="00405972" w:rsidRPr="00736F78">
        <w:rPr>
          <w:rFonts w:eastAsia="Calibri"/>
          <w:b w:val="0"/>
          <w:bCs w:val="0"/>
          <w:sz w:val="28"/>
          <w:szCs w:val="28"/>
          <w:lang w:val="lv-LV" w:eastAsia="ar-SA"/>
        </w:rPr>
        <w:t>2014.</w:t>
      </w:r>
      <w:r w:rsidR="00BB4280" w:rsidRPr="00736F78">
        <w:rPr>
          <w:rFonts w:eastAsia="Calibri"/>
          <w:b w:val="0"/>
          <w:bCs w:val="0"/>
          <w:sz w:val="28"/>
          <w:szCs w:val="28"/>
          <w:lang w:val="lv-LV" w:eastAsia="ar-SA"/>
        </w:rPr>
        <w:t> </w:t>
      </w:r>
      <w:r w:rsidR="00405972" w:rsidRPr="00736F78">
        <w:rPr>
          <w:rFonts w:eastAsia="Calibri"/>
          <w:b w:val="0"/>
          <w:bCs w:val="0"/>
          <w:sz w:val="28"/>
          <w:szCs w:val="28"/>
          <w:lang w:val="lv-LV" w:eastAsia="ar-SA"/>
        </w:rPr>
        <w:t>–</w:t>
      </w:r>
      <w:r w:rsidR="00BB4280" w:rsidRPr="00736F78">
        <w:rPr>
          <w:rFonts w:eastAsia="Calibri"/>
          <w:b w:val="0"/>
          <w:bCs w:val="0"/>
          <w:sz w:val="28"/>
          <w:szCs w:val="28"/>
          <w:lang w:val="lv-LV" w:eastAsia="ar-SA"/>
        </w:rPr>
        <w:t> </w:t>
      </w:r>
      <w:r w:rsidR="00405972" w:rsidRPr="00736F78">
        <w:rPr>
          <w:rFonts w:eastAsia="Calibri"/>
          <w:b w:val="0"/>
          <w:bCs w:val="0"/>
          <w:sz w:val="28"/>
          <w:szCs w:val="28"/>
          <w:lang w:val="lv-LV" w:eastAsia="ar-SA"/>
        </w:rPr>
        <w:t>2020.</w:t>
      </w:r>
      <w:r w:rsidR="00BB4280" w:rsidRPr="00736F78">
        <w:rPr>
          <w:rFonts w:eastAsia="Calibri"/>
          <w:b w:val="0"/>
          <w:bCs w:val="0"/>
          <w:sz w:val="28"/>
          <w:szCs w:val="28"/>
          <w:lang w:val="lv-LV" w:eastAsia="ar-SA"/>
        </w:rPr>
        <w:t> </w:t>
      </w:r>
      <w:r w:rsidR="00405972" w:rsidRPr="00736F78">
        <w:rPr>
          <w:rFonts w:eastAsia="Calibri"/>
          <w:b w:val="0"/>
          <w:bCs w:val="0"/>
          <w:sz w:val="28"/>
          <w:szCs w:val="28"/>
          <w:lang w:val="lv-LV" w:eastAsia="ar-SA"/>
        </w:rPr>
        <w:t>gada plānošanas period</w:t>
      </w:r>
      <w:r w:rsidR="00723899" w:rsidRPr="00736F78">
        <w:rPr>
          <w:rFonts w:eastAsia="Calibri"/>
          <w:b w:val="0"/>
          <w:bCs w:val="0"/>
          <w:sz w:val="28"/>
          <w:szCs w:val="28"/>
          <w:lang w:val="lv-LV" w:eastAsia="ar-SA"/>
        </w:rPr>
        <w:t>ā</w:t>
      </w:r>
      <w:r w:rsidR="005F0C91" w:rsidRPr="00736F78">
        <w:rPr>
          <w:rStyle w:val="FootnoteReference"/>
          <w:rFonts w:eastAsia="Calibri"/>
          <w:b w:val="0"/>
          <w:bCs w:val="0"/>
          <w:sz w:val="28"/>
          <w:szCs w:val="28"/>
          <w:lang w:val="lv-LV" w:eastAsia="ar-SA"/>
        </w:rPr>
        <w:footnoteReference w:id="2"/>
      </w:r>
      <w:r w:rsidR="0037637C" w:rsidRPr="00736F78">
        <w:rPr>
          <w:rFonts w:eastAsia="Calibri"/>
          <w:b w:val="0"/>
          <w:bCs w:val="0"/>
          <w:sz w:val="28"/>
          <w:szCs w:val="28"/>
          <w:lang w:val="lv-LV" w:eastAsia="ar-SA"/>
        </w:rPr>
        <w:t>.</w:t>
      </w:r>
      <w:r w:rsidR="00633243" w:rsidRPr="00736F78">
        <w:rPr>
          <w:rFonts w:eastAsia="Calibri"/>
          <w:b w:val="0"/>
          <w:bCs w:val="0"/>
          <w:sz w:val="28"/>
          <w:szCs w:val="28"/>
          <w:lang w:val="lv-LV" w:eastAsia="ar-SA"/>
        </w:rPr>
        <w:t xml:space="preserve"> </w:t>
      </w:r>
    </w:p>
    <w:p w14:paraId="19BD8B3D" w14:textId="138DF89E" w:rsidR="006974EA" w:rsidRPr="00C2534E" w:rsidRDefault="00EC1CEE" w:rsidP="00492CF2">
      <w:pPr>
        <w:pStyle w:val="BodyText"/>
        <w:numPr>
          <w:ilvl w:val="0"/>
          <w:numId w:val="1"/>
        </w:numPr>
        <w:spacing w:line="240" w:lineRule="auto"/>
        <w:ind w:left="0" w:firstLine="0"/>
        <w:jc w:val="both"/>
        <w:rPr>
          <w:rFonts w:eastAsia="Calibri"/>
          <w:b w:val="0"/>
          <w:sz w:val="28"/>
          <w:szCs w:val="28"/>
          <w:lang w:val="lv-LV" w:eastAsia="ar-SA"/>
        </w:rPr>
      </w:pPr>
      <w:r w:rsidRPr="00C2534E">
        <w:rPr>
          <w:b w:val="0"/>
          <w:sz w:val="28"/>
          <w:szCs w:val="28"/>
          <w:lang w:val="lv-LV"/>
        </w:rPr>
        <w:t xml:space="preserve">Saskaņā ar </w:t>
      </w:r>
      <w:r w:rsidR="00E446C4" w:rsidRPr="00C2534E">
        <w:rPr>
          <w:b w:val="0"/>
          <w:sz w:val="28"/>
          <w:szCs w:val="28"/>
          <w:lang w:val="lv-LV"/>
        </w:rPr>
        <w:t>MK noteikumu apstiprināšanas laika grafik</w:t>
      </w:r>
      <w:r w:rsidR="009F6132">
        <w:rPr>
          <w:b w:val="0"/>
          <w:sz w:val="28"/>
          <w:szCs w:val="28"/>
          <w:lang w:val="lv-LV"/>
        </w:rPr>
        <w:t>a izpildes statusu</w:t>
      </w:r>
      <w:r w:rsidR="001F3510" w:rsidRPr="00C2534E">
        <w:rPr>
          <w:b w:val="0"/>
          <w:sz w:val="28"/>
          <w:szCs w:val="28"/>
          <w:lang w:val="lv-LV"/>
        </w:rPr>
        <w:t xml:space="preserve"> uz 2017. gada 2</w:t>
      </w:r>
      <w:r w:rsidR="006A38C6" w:rsidRPr="00C2534E">
        <w:rPr>
          <w:b w:val="0"/>
          <w:sz w:val="28"/>
          <w:szCs w:val="28"/>
          <w:lang w:val="lv-LV"/>
        </w:rPr>
        <w:t>7</w:t>
      </w:r>
      <w:r w:rsidR="001F3510" w:rsidRPr="00C2534E">
        <w:rPr>
          <w:b w:val="0"/>
          <w:sz w:val="28"/>
          <w:szCs w:val="28"/>
          <w:lang w:val="lv-LV"/>
        </w:rPr>
        <w:t xml:space="preserve">. jūniju </w:t>
      </w:r>
      <w:r w:rsidRPr="00C2534E">
        <w:rPr>
          <w:b w:val="0"/>
          <w:sz w:val="28"/>
          <w:szCs w:val="28"/>
          <w:lang w:val="lv-LV"/>
        </w:rPr>
        <w:t xml:space="preserve">atlicis pieņemt lēmumus par 263 milj. </w:t>
      </w:r>
      <w:r w:rsidRPr="00C2534E">
        <w:rPr>
          <w:b w:val="0"/>
          <w:i/>
          <w:sz w:val="28"/>
          <w:szCs w:val="28"/>
          <w:lang w:val="lv-LV"/>
        </w:rPr>
        <w:t>euro</w:t>
      </w:r>
      <w:r w:rsidR="006A38C6" w:rsidRPr="00C2534E">
        <w:rPr>
          <w:b w:val="0"/>
          <w:sz w:val="28"/>
          <w:szCs w:val="28"/>
          <w:lang w:val="lv-LV"/>
        </w:rPr>
        <w:t xml:space="preserve"> ES finansējuma (6 % no kopējā plānošanas perioda </w:t>
      </w:r>
      <w:r w:rsidR="00307494" w:rsidRPr="00C2534E">
        <w:rPr>
          <w:b w:val="0"/>
          <w:sz w:val="28"/>
          <w:szCs w:val="28"/>
          <w:lang w:val="lv-LV"/>
        </w:rPr>
        <w:t xml:space="preserve">ES </w:t>
      </w:r>
      <w:r w:rsidR="006A38C6" w:rsidRPr="00C2534E">
        <w:rPr>
          <w:b w:val="0"/>
          <w:sz w:val="28"/>
          <w:szCs w:val="28"/>
          <w:lang w:val="lv-LV"/>
        </w:rPr>
        <w:t xml:space="preserve">finansējuma 4,4 mljrd. </w:t>
      </w:r>
      <w:r w:rsidR="006A38C6" w:rsidRPr="00C2534E">
        <w:rPr>
          <w:b w:val="0"/>
          <w:i/>
          <w:sz w:val="28"/>
          <w:szCs w:val="28"/>
          <w:lang w:val="lv-LV"/>
        </w:rPr>
        <w:t>euro)</w:t>
      </w:r>
      <w:r w:rsidR="006A38C6" w:rsidRPr="00C2534E">
        <w:rPr>
          <w:b w:val="0"/>
          <w:sz w:val="28"/>
          <w:szCs w:val="28"/>
          <w:lang w:val="lv-LV"/>
        </w:rPr>
        <w:t xml:space="preserve"> izmantošanu investīcijās, </w:t>
      </w:r>
      <w:r w:rsidRPr="00C2534E">
        <w:rPr>
          <w:b w:val="0"/>
          <w:sz w:val="28"/>
          <w:szCs w:val="28"/>
          <w:lang w:val="lv-LV"/>
        </w:rPr>
        <w:t>galvenokārt, izglītības, uzņēmējdarbības, energoefektivitātes, vides aizsardzības, veselības infrastruktūras, jauniešu atbalsta pasākumu un ES fondu vadības finansēšanas jomās</w:t>
      </w:r>
      <w:r w:rsidR="006A38C6" w:rsidRPr="00C2534E">
        <w:rPr>
          <w:b w:val="0"/>
          <w:sz w:val="28"/>
          <w:szCs w:val="28"/>
          <w:lang w:val="lv-LV"/>
        </w:rPr>
        <w:t>.</w:t>
      </w:r>
      <w:r w:rsidR="00307494" w:rsidRPr="00C2534E">
        <w:rPr>
          <w:b w:val="0"/>
          <w:sz w:val="28"/>
          <w:szCs w:val="28"/>
          <w:lang w:val="lv-LV"/>
        </w:rPr>
        <w:t xml:space="preserve"> </w:t>
      </w:r>
      <w:r w:rsidR="00917D1D" w:rsidRPr="00C2534E">
        <w:rPr>
          <w:b w:val="0"/>
          <w:sz w:val="28"/>
          <w:szCs w:val="28"/>
          <w:lang w:val="lv-LV"/>
        </w:rPr>
        <w:t>Skat.</w:t>
      </w:r>
      <w:r w:rsidR="00876B0D" w:rsidRPr="00C2534E">
        <w:rPr>
          <w:b w:val="0"/>
          <w:sz w:val="28"/>
          <w:szCs w:val="28"/>
          <w:lang w:val="lv-LV"/>
        </w:rPr>
        <w:t xml:space="preserve"> </w:t>
      </w:r>
      <w:r w:rsidR="00917D1D" w:rsidRPr="00C2534E">
        <w:rPr>
          <w:b w:val="0"/>
          <w:sz w:val="28"/>
          <w:szCs w:val="28"/>
          <w:lang w:val="lv-LV"/>
        </w:rPr>
        <w:t>zemāk grafikā un zi</w:t>
      </w:r>
      <w:r w:rsidR="00C8683A" w:rsidRPr="00C2534E">
        <w:rPr>
          <w:b w:val="0"/>
          <w:sz w:val="28"/>
          <w:szCs w:val="28"/>
          <w:lang w:val="lv-LV"/>
        </w:rPr>
        <w:t>ņojuma 1.</w:t>
      </w:r>
      <w:r w:rsidR="00527E8B" w:rsidRPr="00C2534E">
        <w:rPr>
          <w:b w:val="0"/>
          <w:sz w:val="28"/>
          <w:szCs w:val="28"/>
          <w:lang w:val="lv-LV"/>
        </w:rPr>
        <w:t> </w:t>
      </w:r>
      <w:r w:rsidR="00C8683A" w:rsidRPr="00C2534E">
        <w:rPr>
          <w:b w:val="0"/>
          <w:sz w:val="28"/>
          <w:szCs w:val="28"/>
          <w:lang w:val="lv-LV"/>
        </w:rPr>
        <w:t>pielikum</w:t>
      </w:r>
      <w:r w:rsidR="00917D1D" w:rsidRPr="00C2534E">
        <w:rPr>
          <w:b w:val="0"/>
          <w:sz w:val="28"/>
          <w:szCs w:val="28"/>
          <w:lang w:val="lv-LV"/>
        </w:rPr>
        <w:t>ā</w:t>
      </w:r>
      <w:r w:rsidR="00C8683A" w:rsidRPr="00C2534E">
        <w:rPr>
          <w:b w:val="0"/>
          <w:sz w:val="28"/>
          <w:szCs w:val="28"/>
          <w:lang w:val="lv-LV"/>
        </w:rPr>
        <w:t xml:space="preserve"> informācij</w:t>
      </w:r>
      <w:r w:rsidR="00917D1D" w:rsidRPr="00C2534E">
        <w:rPr>
          <w:b w:val="0"/>
          <w:sz w:val="28"/>
          <w:szCs w:val="28"/>
          <w:lang w:val="lv-LV"/>
        </w:rPr>
        <w:t>u</w:t>
      </w:r>
      <w:r w:rsidR="00C8683A" w:rsidRPr="00C2534E">
        <w:rPr>
          <w:b w:val="0"/>
          <w:sz w:val="28"/>
          <w:szCs w:val="28"/>
          <w:lang w:val="lv-LV"/>
        </w:rPr>
        <w:t xml:space="preserve"> par </w:t>
      </w:r>
      <w:r w:rsidR="008F3A9B" w:rsidRPr="00C2534E">
        <w:rPr>
          <w:b w:val="0"/>
          <w:sz w:val="28"/>
          <w:szCs w:val="28"/>
          <w:lang w:val="lv-LV"/>
        </w:rPr>
        <w:t>at</w:t>
      </w:r>
      <w:r w:rsidR="00B41FF2" w:rsidRPr="00C2534E">
        <w:rPr>
          <w:b w:val="0"/>
          <w:sz w:val="28"/>
          <w:szCs w:val="28"/>
          <w:lang w:val="lv-LV"/>
        </w:rPr>
        <w:t xml:space="preserve">likušo </w:t>
      </w:r>
      <w:r w:rsidR="00C8683A" w:rsidRPr="00C2534E">
        <w:rPr>
          <w:b w:val="0"/>
          <w:sz w:val="28"/>
          <w:szCs w:val="28"/>
          <w:lang w:val="lv-LV"/>
        </w:rPr>
        <w:t>MK noteikum</w:t>
      </w:r>
      <w:r w:rsidR="00B41FF2" w:rsidRPr="00C2534E">
        <w:rPr>
          <w:b w:val="0"/>
          <w:sz w:val="28"/>
          <w:szCs w:val="28"/>
          <w:lang w:val="lv-LV"/>
        </w:rPr>
        <w:t>u virzības statusu</w:t>
      </w:r>
      <w:r w:rsidR="00407918" w:rsidRPr="00C2534E">
        <w:rPr>
          <w:b w:val="0"/>
          <w:sz w:val="28"/>
          <w:szCs w:val="28"/>
          <w:lang w:val="lv-LV"/>
        </w:rPr>
        <w:t xml:space="preserve">. </w:t>
      </w:r>
      <w:r w:rsidR="00D00B46" w:rsidRPr="00C2534E">
        <w:rPr>
          <w:b w:val="0"/>
          <w:sz w:val="28"/>
          <w:szCs w:val="28"/>
          <w:lang w:val="lv-LV"/>
        </w:rPr>
        <w:t>Atsevišķus uzdevumus plānots izpildīt ar dažu mēnešu nobīdi</w:t>
      </w:r>
      <w:r w:rsidR="006504FF" w:rsidRPr="00C2534E">
        <w:rPr>
          <w:b w:val="0"/>
          <w:sz w:val="28"/>
          <w:szCs w:val="28"/>
          <w:lang w:val="lv-LV"/>
        </w:rPr>
        <w:t>.</w:t>
      </w:r>
    </w:p>
    <w:p w14:paraId="2446479B" w14:textId="5AB82F7C" w:rsidR="009539FA" w:rsidRPr="00261E1F" w:rsidRDefault="008B6F93" w:rsidP="006974EA">
      <w:pPr>
        <w:pStyle w:val="BodyText"/>
        <w:spacing w:line="240" w:lineRule="auto"/>
        <w:jc w:val="both"/>
        <w:rPr>
          <w:rFonts w:eastAsia="Calibri"/>
          <w:b w:val="0"/>
          <w:bCs w:val="0"/>
          <w:i/>
          <w:szCs w:val="22"/>
          <w:lang w:val="lv-LV" w:eastAsia="ar-SA"/>
        </w:rPr>
      </w:pPr>
      <w:r w:rsidRPr="00261E1F">
        <w:rPr>
          <w:rFonts w:eastAsia="Calibri"/>
          <w:b w:val="0"/>
          <w:bCs w:val="0"/>
          <w:i/>
          <w:szCs w:val="22"/>
          <w:lang w:val="lv-LV" w:eastAsia="ar-SA"/>
        </w:rPr>
        <w:t>Grafiks Nr.1</w:t>
      </w:r>
      <w:r w:rsidR="00CA46DD" w:rsidRPr="00261E1F">
        <w:rPr>
          <w:rFonts w:eastAsia="Calibri"/>
          <w:b w:val="0"/>
          <w:bCs w:val="0"/>
          <w:i/>
          <w:szCs w:val="22"/>
          <w:lang w:val="lv-LV" w:eastAsia="ar-SA"/>
        </w:rPr>
        <w:t xml:space="preserve"> “</w:t>
      </w:r>
      <w:r w:rsidR="00B24105" w:rsidRPr="00261E1F">
        <w:rPr>
          <w:rFonts w:eastAsia="Calibri"/>
          <w:b w:val="0"/>
          <w:bCs w:val="0"/>
          <w:i/>
          <w:szCs w:val="22"/>
          <w:lang w:val="lv-LV" w:eastAsia="ar-SA"/>
        </w:rPr>
        <w:t>2017.-2019.</w:t>
      </w:r>
      <w:r w:rsidR="009539FA" w:rsidRPr="00261E1F">
        <w:rPr>
          <w:rFonts w:eastAsia="Calibri"/>
          <w:b w:val="0"/>
          <w:bCs w:val="0"/>
          <w:i/>
          <w:szCs w:val="22"/>
          <w:lang w:val="lv-LV" w:eastAsia="ar-SA"/>
        </w:rPr>
        <w:t> </w:t>
      </w:r>
      <w:r w:rsidR="00B24105" w:rsidRPr="00261E1F">
        <w:rPr>
          <w:rFonts w:eastAsia="Calibri"/>
          <w:b w:val="0"/>
          <w:bCs w:val="0"/>
          <w:i/>
          <w:szCs w:val="22"/>
          <w:lang w:val="lv-LV" w:eastAsia="ar-SA"/>
        </w:rPr>
        <w:t xml:space="preserve">gadā apstiprināmo MK noteikumu plāns </w:t>
      </w:r>
      <w:r w:rsidRPr="00261E1F">
        <w:rPr>
          <w:rFonts w:eastAsia="Calibri"/>
          <w:b w:val="0"/>
          <w:bCs w:val="0"/>
          <w:i/>
          <w:szCs w:val="22"/>
          <w:lang w:val="lv-LV" w:eastAsia="ar-SA"/>
        </w:rPr>
        <w:t>(faktiskie dati līdz 2017.</w:t>
      </w:r>
      <w:r w:rsidR="009539FA" w:rsidRPr="00261E1F">
        <w:rPr>
          <w:rFonts w:eastAsia="Calibri"/>
          <w:b w:val="0"/>
          <w:bCs w:val="0"/>
          <w:i/>
          <w:szCs w:val="22"/>
          <w:lang w:val="lv-LV" w:eastAsia="ar-SA"/>
        </w:rPr>
        <w:t> </w:t>
      </w:r>
      <w:r w:rsidRPr="00261E1F">
        <w:rPr>
          <w:rFonts w:eastAsia="Calibri"/>
          <w:b w:val="0"/>
          <w:bCs w:val="0"/>
          <w:i/>
          <w:szCs w:val="22"/>
          <w:lang w:val="lv-LV" w:eastAsia="ar-SA"/>
        </w:rPr>
        <w:t xml:space="preserve">gada </w:t>
      </w:r>
      <w:r w:rsidR="00904986" w:rsidRPr="00261E1F">
        <w:rPr>
          <w:rFonts w:eastAsia="Calibri"/>
          <w:b w:val="0"/>
          <w:bCs w:val="0"/>
          <w:i/>
          <w:szCs w:val="22"/>
          <w:lang w:val="lv-LV" w:eastAsia="ar-SA"/>
        </w:rPr>
        <w:t>2</w:t>
      </w:r>
      <w:r w:rsidR="001F3510">
        <w:rPr>
          <w:rFonts w:eastAsia="Calibri"/>
          <w:b w:val="0"/>
          <w:bCs w:val="0"/>
          <w:i/>
          <w:szCs w:val="22"/>
          <w:lang w:val="lv-LV" w:eastAsia="ar-SA"/>
        </w:rPr>
        <w:t>7</w:t>
      </w:r>
      <w:r w:rsidR="002B0C8F" w:rsidRPr="00261E1F">
        <w:rPr>
          <w:rFonts w:eastAsia="Calibri"/>
          <w:b w:val="0"/>
          <w:bCs w:val="0"/>
          <w:i/>
          <w:szCs w:val="22"/>
          <w:lang w:val="lv-LV" w:eastAsia="ar-SA"/>
        </w:rPr>
        <w:t>.</w:t>
      </w:r>
      <w:r w:rsidR="006B2DEF">
        <w:rPr>
          <w:rFonts w:eastAsia="Calibri"/>
          <w:b w:val="0"/>
          <w:bCs w:val="0"/>
          <w:i/>
          <w:szCs w:val="22"/>
          <w:lang w:val="lv-LV" w:eastAsia="ar-SA"/>
        </w:rPr>
        <w:t> </w:t>
      </w:r>
      <w:r w:rsidR="00C9522C" w:rsidRPr="00261E1F">
        <w:rPr>
          <w:rFonts w:eastAsia="Calibri"/>
          <w:b w:val="0"/>
          <w:bCs w:val="0"/>
          <w:i/>
          <w:szCs w:val="22"/>
          <w:lang w:val="lv-LV" w:eastAsia="ar-SA"/>
        </w:rPr>
        <w:t>jūnijam</w:t>
      </w:r>
      <w:r w:rsidR="00987EC3" w:rsidRPr="00261E1F">
        <w:rPr>
          <w:rFonts w:eastAsia="Calibri"/>
          <w:b w:val="0"/>
          <w:bCs w:val="0"/>
          <w:i/>
          <w:szCs w:val="22"/>
          <w:lang w:val="lv-LV" w:eastAsia="ar-SA"/>
        </w:rPr>
        <w:t>,</w:t>
      </w:r>
      <w:r w:rsidRPr="00261E1F">
        <w:rPr>
          <w:rFonts w:eastAsia="Calibri"/>
          <w:b w:val="0"/>
          <w:bCs w:val="0"/>
          <w:i/>
          <w:szCs w:val="22"/>
          <w:lang w:val="lv-LV" w:eastAsia="ar-SA"/>
        </w:rPr>
        <w:t xml:space="preserve"> milj. euro)”</w:t>
      </w:r>
      <w:r w:rsidRPr="00261E1F">
        <w:rPr>
          <w:rFonts w:eastAsia="Calibri"/>
          <w:b w:val="0"/>
          <w:bCs w:val="0"/>
          <w:szCs w:val="22"/>
          <w:lang w:val="lv-LV" w:eastAsia="ar-SA"/>
        </w:rPr>
        <w:t xml:space="preserve"> </w:t>
      </w:r>
    </w:p>
    <w:p w14:paraId="755C1811" w14:textId="2B5F90CE" w:rsidR="008B6F93" w:rsidRPr="00AC2FAA" w:rsidRDefault="0002446C" w:rsidP="009539FA">
      <w:pPr>
        <w:jc w:val="both"/>
        <w:rPr>
          <w:rFonts w:eastAsia="Calibri"/>
          <w:b/>
          <w:sz w:val="28"/>
          <w:szCs w:val="28"/>
          <w:highlight w:val="yellow"/>
          <w:lang w:eastAsia="ar-SA"/>
        </w:rPr>
      </w:pPr>
      <w:r w:rsidRPr="00AC2FAA">
        <w:rPr>
          <w:noProof/>
          <w:highlight w:val="yellow"/>
          <w:lang w:eastAsia="lv-LV"/>
        </w:rPr>
        <w:drawing>
          <wp:inline distT="0" distB="0" distL="0" distR="0" wp14:anchorId="20CE3BB9" wp14:editId="6F5B23D6">
            <wp:extent cx="6029325" cy="25241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2568A2" w14:textId="585918A5" w:rsidR="008B6F93" w:rsidRPr="00261E1F" w:rsidRDefault="008B6F93" w:rsidP="008B6F93">
      <w:pPr>
        <w:pStyle w:val="BodyText"/>
        <w:spacing w:line="240" w:lineRule="auto"/>
        <w:jc w:val="both"/>
        <w:rPr>
          <w:rFonts w:eastAsia="Calibri"/>
          <w:b w:val="0"/>
          <w:sz w:val="20"/>
          <w:szCs w:val="28"/>
          <w:lang w:val="lv-LV" w:eastAsia="ar-SA"/>
        </w:rPr>
      </w:pPr>
      <w:r w:rsidRPr="00261E1F">
        <w:rPr>
          <w:rFonts w:eastAsia="Calibri"/>
          <w:b w:val="0"/>
          <w:sz w:val="20"/>
          <w:szCs w:val="28"/>
          <w:lang w:val="lv-LV" w:eastAsia="ar-SA"/>
        </w:rPr>
        <w:t>*</w:t>
      </w:r>
      <w:r w:rsidRPr="00261E1F">
        <w:rPr>
          <w:rFonts w:eastAsia="Calibri"/>
          <w:b w:val="0"/>
          <w:i/>
          <w:sz w:val="20"/>
          <w:szCs w:val="28"/>
          <w:lang w:val="lv-LV" w:eastAsia="ar-SA"/>
        </w:rPr>
        <w:t>Ietver tehnisko palīdzību un pasākumus, kuru īstenošana paredzēta pēc EK izvērtējuma par snieguma rezerves piešķiršanu.</w:t>
      </w:r>
    </w:p>
    <w:p w14:paraId="57C277A4" w14:textId="7A98DEFE" w:rsidR="00B55875" w:rsidRPr="009543AD" w:rsidRDefault="00991855" w:rsidP="00E85428">
      <w:pPr>
        <w:pStyle w:val="ListParagraph"/>
        <w:numPr>
          <w:ilvl w:val="0"/>
          <w:numId w:val="1"/>
        </w:numPr>
        <w:suppressAutoHyphens/>
        <w:spacing w:before="120" w:after="120"/>
        <w:ind w:left="0" w:firstLine="0"/>
        <w:contextualSpacing w:val="0"/>
        <w:jc w:val="both"/>
        <w:rPr>
          <w:color w:val="000000" w:themeColor="text1"/>
          <w:sz w:val="28"/>
          <w:szCs w:val="28"/>
        </w:rPr>
      </w:pPr>
      <w:r w:rsidRPr="00620483">
        <w:rPr>
          <w:b/>
          <w:sz w:val="28"/>
          <w:szCs w:val="28"/>
        </w:rPr>
        <w:t>T</w:t>
      </w:r>
      <w:r w:rsidR="00A00E50" w:rsidRPr="00620483">
        <w:rPr>
          <w:b/>
          <w:sz w:val="28"/>
          <w:szCs w:val="28"/>
        </w:rPr>
        <w:t xml:space="preserve">urpinās </w:t>
      </w:r>
      <w:r w:rsidR="00D00B46" w:rsidRPr="00620483">
        <w:rPr>
          <w:b/>
          <w:sz w:val="28"/>
          <w:szCs w:val="28"/>
        </w:rPr>
        <w:t>intensīvs</w:t>
      </w:r>
      <w:r w:rsidR="00A00E50" w:rsidRPr="00620483">
        <w:rPr>
          <w:b/>
          <w:sz w:val="28"/>
          <w:szCs w:val="28"/>
        </w:rPr>
        <w:t xml:space="preserve"> projektu vērtēšanas un līgumu slēgšanas posms</w:t>
      </w:r>
      <w:r w:rsidR="00A00E50" w:rsidRPr="00620483">
        <w:rPr>
          <w:sz w:val="28"/>
          <w:szCs w:val="28"/>
        </w:rPr>
        <w:t>.</w:t>
      </w:r>
      <w:r w:rsidR="00492CF2">
        <w:rPr>
          <w:sz w:val="28"/>
          <w:szCs w:val="28"/>
        </w:rPr>
        <w:t xml:space="preserve"> </w:t>
      </w:r>
      <w:r w:rsidR="008000C4" w:rsidRPr="009543AD">
        <w:rPr>
          <w:sz w:val="28"/>
          <w:szCs w:val="28"/>
        </w:rPr>
        <w:t>Līdz 2017.</w:t>
      </w:r>
      <w:r w:rsidR="00904986" w:rsidRPr="009543AD">
        <w:rPr>
          <w:sz w:val="28"/>
          <w:szCs w:val="28"/>
        </w:rPr>
        <w:t> </w:t>
      </w:r>
      <w:r w:rsidR="008000C4" w:rsidRPr="009543AD">
        <w:rPr>
          <w:sz w:val="28"/>
          <w:szCs w:val="28"/>
        </w:rPr>
        <w:t xml:space="preserve">gada </w:t>
      </w:r>
      <w:r w:rsidR="00620483" w:rsidRPr="009543AD">
        <w:rPr>
          <w:sz w:val="28"/>
          <w:szCs w:val="28"/>
        </w:rPr>
        <w:t>1</w:t>
      </w:r>
      <w:r w:rsidR="008000C4" w:rsidRPr="009543AD">
        <w:rPr>
          <w:sz w:val="28"/>
          <w:szCs w:val="28"/>
        </w:rPr>
        <w:t>.</w:t>
      </w:r>
      <w:r w:rsidR="00904986" w:rsidRPr="009543AD">
        <w:rPr>
          <w:sz w:val="28"/>
          <w:szCs w:val="28"/>
        </w:rPr>
        <w:t> </w:t>
      </w:r>
      <w:r w:rsidR="00307494">
        <w:rPr>
          <w:sz w:val="28"/>
          <w:szCs w:val="28"/>
        </w:rPr>
        <w:t>jūnijam</w:t>
      </w:r>
      <w:r w:rsidR="008000C4" w:rsidRPr="009543AD">
        <w:rPr>
          <w:sz w:val="28"/>
          <w:szCs w:val="28"/>
        </w:rPr>
        <w:t xml:space="preserve"> jau </w:t>
      </w:r>
      <w:r w:rsidR="003863BB" w:rsidRPr="009543AD">
        <w:rPr>
          <w:sz w:val="28"/>
          <w:szCs w:val="28"/>
          <w:u w:val="single"/>
        </w:rPr>
        <w:t xml:space="preserve">apstiprināti projekti </w:t>
      </w:r>
      <w:r w:rsidR="008000C4" w:rsidRPr="009543AD">
        <w:rPr>
          <w:sz w:val="28"/>
          <w:szCs w:val="28"/>
          <w:u w:val="single"/>
        </w:rPr>
        <w:t>par gandrīz 1,9 mljrd</w:t>
      </w:r>
      <w:r w:rsidR="00D307DE" w:rsidRPr="009543AD">
        <w:rPr>
          <w:sz w:val="28"/>
          <w:szCs w:val="28"/>
          <w:u w:val="single"/>
        </w:rPr>
        <w:t>.</w:t>
      </w:r>
      <w:r w:rsidR="008000C4" w:rsidRPr="009543AD">
        <w:rPr>
          <w:sz w:val="28"/>
          <w:szCs w:val="28"/>
          <w:u w:val="single"/>
        </w:rPr>
        <w:t xml:space="preserve"> </w:t>
      </w:r>
      <w:r w:rsidR="008000C4" w:rsidRPr="009543AD">
        <w:rPr>
          <w:i/>
          <w:sz w:val="28"/>
          <w:szCs w:val="28"/>
          <w:u w:val="single"/>
        </w:rPr>
        <w:t>euro</w:t>
      </w:r>
      <w:r w:rsidR="008000C4" w:rsidRPr="009543AD">
        <w:rPr>
          <w:sz w:val="28"/>
          <w:szCs w:val="28"/>
          <w:u w:val="single"/>
        </w:rPr>
        <w:t>, kas ir 42%</w:t>
      </w:r>
      <w:r w:rsidR="008000C4" w:rsidRPr="009543AD">
        <w:rPr>
          <w:sz w:val="28"/>
          <w:szCs w:val="28"/>
        </w:rPr>
        <w:t xml:space="preserve"> </w:t>
      </w:r>
      <w:r w:rsidR="00904986" w:rsidRPr="009543AD">
        <w:rPr>
          <w:sz w:val="28"/>
          <w:szCs w:val="28"/>
        </w:rPr>
        <w:t>no kopējās ES fondu “aploksnes”</w:t>
      </w:r>
      <w:r w:rsidR="003863BB" w:rsidRPr="009543AD">
        <w:rPr>
          <w:sz w:val="28"/>
          <w:szCs w:val="28"/>
        </w:rPr>
        <w:t xml:space="preserve"> </w:t>
      </w:r>
      <w:r w:rsidR="00904986" w:rsidRPr="009543AD">
        <w:rPr>
          <w:sz w:val="28"/>
          <w:szCs w:val="28"/>
        </w:rPr>
        <w:t>4,</w:t>
      </w:r>
      <w:r w:rsidR="00C1641E">
        <w:rPr>
          <w:sz w:val="28"/>
          <w:szCs w:val="28"/>
        </w:rPr>
        <w:t>4</w:t>
      </w:r>
      <w:r w:rsidR="008000C4" w:rsidRPr="009543AD">
        <w:rPr>
          <w:sz w:val="28"/>
          <w:szCs w:val="28"/>
        </w:rPr>
        <w:t xml:space="preserve"> mljrd</w:t>
      </w:r>
      <w:r w:rsidR="00904986" w:rsidRPr="009543AD">
        <w:rPr>
          <w:sz w:val="28"/>
          <w:szCs w:val="28"/>
        </w:rPr>
        <w:t>.</w:t>
      </w:r>
      <w:r w:rsidR="008000C4" w:rsidRPr="009543AD">
        <w:rPr>
          <w:sz w:val="28"/>
          <w:szCs w:val="28"/>
        </w:rPr>
        <w:t xml:space="preserve"> </w:t>
      </w:r>
      <w:r w:rsidR="008000C4" w:rsidRPr="00C2534E">
        <w:rPr>
          <w:i/>
          <w:sz w:val="28"/>
          <w:szCs w:val="28"/>
        </w:rPr>
        <w:t>euro</w:t>
      </w:r>
      <w:r w:rsidR="008000C4" w:rsidRPr="00C2534E">
        <w:rPr>
          <w:sz w:val="28"/>
          <w:szCs w:val="28"/>
        </w:rPr>
        <w:t xml:space="preserve">. </w:t>
      </w:r>
      <w:r w:rsidR="00307494" w:rsidRPr="00C2534E">
        <w:rPr>
          <w:sz w:val="28"/>
          <w:szCs w:val="28"/>
        </w:rPr>
        <w:t xml:space="preserve">Īpaši liels progress </w:t>
      </w:r>
      <w:r w:rsidR="008F0024" w:rsidRPr="00C2534E">
        <w:rPr>
          <w:sz w:val="28"/>
          <w:szCs w:val="28"/>
        </w:rPr>
        <w:lastRenderedPageBreak/>
        <w:t xml:space="preserve">līdz 2017. gada 26. jūnijam galvenokārt </w:t>
      </w:r>
      <w:r w:rsidR="00307494" w:rsidRPr="00C2534E">
        <w:rPr>
          <w:sz w:val="28"/>
          <w:szCs w:val="28"/>
        </w:rPr>
        <w:t>ir Centrālās finanšu un līgumu aģentūras (turpmāk – CFLA) noslēgtajos līgumos ar finansējuma saņēmējiem energoefektivitātes, vides un teritoriālās attīstības, profesionālās</w:t>
      </w:r>
      <w:r w:rsidR="00307494" w:rsidRPr="00620483">
        <w:rPr>
          <w:sz w:val="28"/>
          <w:szCs w:val="28"/>
        </w:rPr>
        <w:t xml:space="preserve"> izglītības</w:t>
      </w:r>
      <w:r w:rsidR="008F0024">
        <w:rPr>
          <w:sz w:val="28"/>
          <w:szCs w:val="28"/>
        </w:rPr>
        <w:t xml:space="preserve"> un veselības veicināšanas</w:t>
      </w:r>
      <w:r w:rsidR="00307494" w:rsidRPr="00620483">
        <w:rPr>
          <w:sz w:val="28"/>
          <w:szCs w:val="28"/>
        </w:rPr>
        <w:t xml:space="preserve"> jomās</w:t>
      </w:r>
      <w:r w:rsidR="008F0024">
        <w:rPr>
          <w:sz w:val="28"/>
          <w:szCs w:val="28"/>
        </w:rPr>
        <w:t>.</w:t>
      </w:r>
      <w:r w:rsidR="009B02DD">
        <w:rPr>
          <w:sz w:val="28"/>
          <w:szCs w:val="28"/>
        </w:rPr>
        <w:t xml:space="preserve"> </w:t>
      </w:r>
      <w:r w:rsidR="00050E23" w:rsidRPr="009543AD">
        <w:rPr>
          <w:sz w:val="28"/>
          <w:szCs w:val="28"/>
        </w:rPr>
        <w:t>P</w:t>
      </w:r>
      <w:r w:rsidR="00ED78FB" w:rsidRPr="009543AD">
        <w:rPr>
          <w:sz w:val="28"/>
          <w:szCs w:val="28"/>
        </w:rPr>
        <w:t>lašāk</w:t>
      </w:r>
      <w:r w:rsidR="00D264E0" w:rsidRPr="009543AD">
        <w:rPr>
          <w:sz w:val="28"/>
          <w:szCs w:val="28"/>
        </w:rPr>
        <w:t>a</w:t>
      </w:r>
      <w:r w:rsidR="00ED78FB" w:rsidRPr="009543AD">
        <w:rPr>
          <w:sz w:val="28"/>
          <w:szCs w:val="28"/>
        </w:rPr>
        <w:t xml:space="preserve"> informācija pieejama </w:t>
      </w:r>
      <w:r w:rsidR="00ED78FB" w:rsidRPr="009543AD">
        <w:rPr>
          <w:rFonts w:eastAsia="Calibri" w:cs="Times New Roman"/>
          <w:sz w:val="28"/>
          <w:szCs w:val="28"/>
          <w:lang w:eastAsia="ar-SA"/>
        </w:rPr>
        <w:t>ES fondu tīmekļa vietnē</w:t>
      </w:r>
      <w:r w:rsidR="00ED78FB" w:rsidRPr="009543AD">
        <w:rPr>
          <w:rStyle w:val="FootnoteReference"/>
          <w:rFonts w:eastAsia="Calibri" w:cs="Times New Roman"/>
          <w:sz w:val="28"/>
          <w:szCs w:val="28"/>
          <w:lang w:eastAsia="ar-SA"/>
        </w:rPr>
        <w:footnoteReference w:id="3"/>
      </w:r>
      <w:r w:rsidR="00ED78FB" w:rsidRPr="009543AD">
        <w:rPr>
          <w:sz w:val="28"/>
          <w:szCs w:val="28"/>
        </w:rPr>
        <w:t>.</w:t>
      </w:r>
      <w:r w:rsidR="001A4EDE" w:rsidRPr="009543AD">
        <w:rPr>
          <w:sz w:val="28"/>
          <w:szCs w:val="28"/>
        </w:rPr>
        <w:t xml:space="preserve"> </w:t>
      </w:r>
      <w:r w:rsidR="00736F78" w:rsidRPr="009543AD">
        <w:rPr>
          <w:sz w:val="28"/>
          <w:szCs w:val="28"/>
        </w:rPr>
        <w:t>Par atlašu statusu var sekot CFLA tīmekļa vietnē</w:t>
      </w:r>
      <w:r w:rsidR="00736F78" w:rsidRPr="009543AD">
        <w:rPr>
          <w:rStyle w:val="FootnoteReference"/>
          <w:sz w:val="28"/>
          <w:szCs w:val="28"/>
        </w:rPr>
        <w:footnoteReference w:id="4"/>
      </w:r>
      <w:r w:rsidR="00736F78" w:rsidRPr="009543AD">
        <w:rPr>
          <w:sz w:val="28"/>
          <w:szCs w:val="28"/>
        </w:rPr>
        <w:t>.</w:t>
      </w:r>
    </w:p>
    <w:p w14:paraId="6A2AA96A" w14:textId="7EDFA771" w:rsidR="004F1DD6" w:rsidRDefault="00FA0CFD" w:rsidP="000B68A0">
      <w:pPr>
        <w:pStyle w:val="ListParagraph"/>
        <w:suppressAutoHyphens/>
        <w:spacing w:before="120" w:after="120"/>
        <w:ind w:left="0"/>
        <w:contextualSpacing w:val="0"/>
        <w:jc w:val="both"/>
        <w:rPr>
          <w:rFonts w:eastAsia="Times New Roman" w:cs="Times New Roman"/>
          <w:bCs/>
          <w:i/>
          <w:color w:val="000000"/>
          <w:szCs w:val="28"/>
        </w:rPr>
      </w:pPr>
      <w:r w:rsidRPr="00261E1F">
        <w:rPr>
          <w:color w:val="000000" w:themeColor="text1"/>
          <w:sz w:val="28"/>
          <w:szCs w:val="28"/>
        </w:rPr>
        <w:t xml:space="preserve"> </w:t>
      </w:r>
      <w:r w:rsidR="000B68A0" w:rsidRPr="00261E1F">
        <w:rPr>
          <w:rFonts w:eastAsia="Times New Roman" w:cs="Times New Roman"/>
          <w:i/>
          <w:color w:val="000000"/>
          <w:szCs w:val="28"/>
        </w:rPr>
        <w:t>Grafiks Nr.2 “</w:t>
      </w:r>
      <w:r w:rsidR="000B68A0" w:rsidRPr="00261E1F">
        <w:rPr>
          <w:rFonts w:eastAsia="Times New Roman" w:cs="Times New Roman"/>
          <w:bCs/>
          <w:i/>
          <w:color w:val="000000"/>
          <w:szCs w:val="28"/>
        </w:rPr>
        <w:t>ES fondu investīciju ieviešanas statuss līdz 2017. gada 1. </w:t>
      </w:r>
      <w:r w:rsidR="00261E1F" w:rsidRPr="00261E1F">
        <w:rPr>
          <w:rFonts w:eastAsia="Times New Roman" w:cs="Times New Roman"/>
          <w:bCs/>
          <w:i/>
          <w:color w:val="000000"/>
          <w:szCs w:val="28"/>
        </w:rPr>
        <w:t>jūnijam</w:t>
      </w:r>
      <w:r w:rsidR="000B68A0" w:rsidRPr="00261E1F">
        <w:rPr>
          <w:rFonts w:eastAsia="Times New Roman" w:cs="Times New Roman"/>
          <w:bCs/>
          <w:i/>
          <w:color w:val="000000"/>
          <w:szCs w:val="28"/>
        </w:rPr>
        <w:t>, milj. euro, % no ES fondu finansējuma, progress pret datiem līdz 2017. gada 1. </w:t>
      </w:r>
      <w:r w:rsidR="00261E1F" w:rsidRPr="00261E1F">
        <w:rPr>
          <w:rFonts w:eastAsia="Times New Roman" w:cs="Times New Roman"/>
          <w:bCs/>
          <w:i/>
          <w:color w:val="000000"/>
          <w:szCs w:val="28"/>
        </w:rPr>
        <w:t>maijam</w:t>
      </w:r>
      <w:r w:rsidR="000B68A0" w:rsidRPr="00261E1F">
        <w:rPr>
          <w:rFonts w:eastAsia="Times New Roman" w:cs="Times New Roman"/>
          <w:bCs/>
          <w:i/>
          <w:color w:val="000000"/>
          <w:szCs w:val="28"/>
        </w:rPr>
        <w:t>”</w:t>
      </w:r>
    </w:p>
    <w:p w14:paraId="4E9EAA44" w14:textId="433D6E1B" w:rsidR="00261E1F" w:rsidRPr="00492CF2" w:rsidRDefault="00F05996" w:rsidP="00492CF2">
      <w:pPr>
        <w:pStyle w:val="ListParagraph"/>
        <w:suppressAutoHyphens/>
        <w:spacing w:before="120" w:after="120"/>
        <w:ind w:left="0"/>
        <w:contextualSpacing w:val="0"/>
        <w:jc w:val="both"/>
        <w:rPr>
          <w:rFonts w:eastAsia="Times New Roman" w:cs="Times New Roman"/>
          <w:bCs/>
          <w:i/>
          <w:color w:val="000000"/>
          <w:szCs w:val="28"/>
        </w:rPr>
      </w:pPr>
      <w:r>
        <w:rPr>
          <w:noProof/>
          <w:lang w:eastAsia="lv-LV"/>
        </w:rPr>
        <w:drawing>
          <wp:inline distT="0" distB="0" distL="0" distR="0" wp14:anchorId="53782484" wp14:editId="560961CF">
            <wp:extent cx="5760085" cy="3657600"/>
            <wp:effectExtent l="0" t="0" r="1206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EE9259" w14:textId="3C5CB324" w:rsidR="00B55875" w:rsidRPr="00261E1F" w:rsidRDefault="001A12F4" w:rsidP="00B55875">
      <w:pPr>
        <w:pStyle w:val="ListParagraph"/>
        <w:suppressAutoHyphens/>
        <w:spacing w:before="120" w:after="120"/>
        <w:ind w:left="0"/>
        <w:contextualSpacing w:val="0"/>
        <w:jc w:val="both"/>
        <w:rPr>
          <w:b/>
          <w:color w:val="000000" w:themeColor="text1"/>
          <w:sz w:val="28"/>
          <w:szCs w:val="28"/>
        </w:rPr>
      </w:pPr>
      <w:r w:rsidRPr="00261E1F">
        <w:rPr>
          <w:b/>
          <w:sz w:val="28"/>
          <w:szCs w:val="28"/>
        </w:rPr>
        <w:t>Projektu i</w:t>
      </w:r>
      <w:r w:rsidR="00B55875" w:rsidRPr="00261E1F">
        <w:rPr>
          <w:b/>
          <w:sz w:val="28"/>
          <w:szCs w:val="28"/>
        </w:rPr>
        <w:t xml:space="preserve">eviešanas </w:t>
      </w:r>
      <w:r w:rsidR="00D307DE" w:rsidRPr="00261E1F">
        <w:rPr>
          <w:b/>
          <w:sz w:val="28"/>
          <w:szCs w:val="28"/>
        </w:rPr>
        <w:t>plānu izpilde</w:t>
      </w:r>
      <w:r w:rsidR="00B55875" w:rsidRPr="00261E1F">
        <w:rPr>
          <w:b/>
          <w:sz w:val="28"/>
          <w:szCs w:val="28"/>
        </w:rPr>
        <w:t xml:space="preserve"> un risku novērtējums</w:t>
      </w:r>
    </w:p>
    <w:p w14:paraId="61D82C53" w14:textId="316FD49D" w:rsidR="00C2534E" w:rsidRDefault="0054192D" w:rsidP="0039488E">
      <w:pPr>
        <w:pStyle w:val="ListParagraph"/>
        <w:numPr>
          <w:ilvl w:val="0"/>
          <w:numId w:val="1"/>
        </w:numPr>
        <w:tabs>
          <w:tab w:val="left" w:pos="426"/>
          <w:tab w:val="left" w:pos="709"/>
          <w:tab w:val="left" w:pos="1985"/>
          <w:tab w:val="left" w:pos="2410"/>
          <w:tab w:val="left" w:pos="3119"/>
          <w:tab w:val="left" w:pos="3969"/>
          <w:tab w:val="left" w:pos="5387"/>
          <w:tab w:val="left" w:pos="7655"/>
        </w:tabs>
        <w:suppressAutoHyphens/>
        <w:spacing w:before="120" w:after="120"/>
        <w:ind w:left="0" w:firstLine="0"/>
        <w:contextualSpacing w:val="0"/>
        <w:jc w:val="both"/>
        <w:rPr>
          <w:rFonts w:eastAsia="Calibri" w:cs="Times New Roman"/>
          <w:i/>
          <w:lang w:eastAsia="ar-SA"/>
        </w:rPr>
      </w:pPr>
      <w:r w:rsidRPr="009543AD">
        <w:rPr>
          <w:sz w:val="28"/>
          <w:szCs w:val="28"/>
        </w:rPr>
        <w:t xml:space="preserve">Maksājumu progress ievērojamāks veselības </w:t>
      </w:r>
      <w:r w:rsidR="0039488E" w:rsidRPr="009543AD">
        <w:rPr>
          <w:sz w:val="28"/>
          <w:szCs w:val="28"/>
        </w:rPr>
        <w:t xml:space="preserve">veicināšanas, transporta un vides un teritoriālās attīstības jomās. </w:t>
      </w:r>
      <w:r w:rsidR="0039488E" w:rsidRPr="00BC7BE5">
        <w:rPr>
          <w:rFonts w:cs="Times New Roman"/>
          <w:sz w:val="28"/>
          <w:szCs w:val="28"/>
        </w:rPr>
        <w:t xml:space="preserve">ES fondu maksājumu projektu īstenotājiem </w:t>
      </w:r>
      <w:r w:rsidR="0039488E" w:rsidRPr="00142AB0">
        <w:rPr>
          <w:rFonts w:cs="Times New Roman"/>
          <w:sz w:val="28"/>
          <w:szCs w:val="28"/>
        </w:rPr>
        <w:t>specifisko atbalsta mērķu (turpmāk – SAM) ietvaros</w:t>
      </w:r>
      <w:r w:rsidR="0039488E">
        <w:rPr>
          <w:rFonts w:cs="Times New Roman"/>
          <w:sz w:val="28"/>
          <w:szCs w:val="28"/>
        </w:rPr>
        <w:t xml:space="preserve"> </w:t>
      </w:r>
      <w:r w:rsidR="0039488E" w:rsidRPr="00142AB0">
        <w:rPr>
          <w:rFonts w:cs="Times New Roman"/>
          <w:sz w:val="28"/>
          <w:szCs w:val="28"/>
        </w:rPr>
        <w:t>izpild</w:t>
      </w:r>
      <w:r w:rsidR="0039488E">
        <w:rPr>
          <w:rFonts w:cs="Times New Roman"/>
          <w:sz w:val="28"/>
          <w:szCs w:val="28"/>
        </w:rPr>
        <w:t>e</w:t>
      </w:r>
      <w:r w:rsidR="0039488E" w:rsidRPr="00142AB0">
        <w:rPr>
          <w:rFonts w:cs="Times New Roman"/>
          <w:sz w:val="28"/>
          <w:szCs w:val="28"/>
        </w:rPr>
        <w:t xml:space="preserve"> līdz 2017.</w:t>
      </w:r>
      <w:r w:rsidR="0039488E">
        <w:rPr>
          <w:rFonts w:cs="Times New Roman"/>
          <w:sz w:val="28"/>
          <w:szCs w:val="28"/>
        </w:rPr>
        <w:t> </w:t>
      </w:r>
      <w:r w:rsidR="009F6132">
        <w:rPr>
          <w:rFonts w:cs="Times New Roman"/>
          <w:sz w:val="28"/>
          <w:szCs w:val="28"/>
        </w:rPr>
        <w:t>gada 1. jūnijam</w:t>
      </w:r>
      <w:r w:rsidR="0039488E">
        <w:rPr>
          <w:rFonts w:cs="Times New Roman"/>
          <w:sz w:val="28"/>
          <w:szCs w:val="28"/>
        </w:rPr>
        <w:t xml:space="preserve"> kopumā ir pozitīva, jo kopējais plāns</w:t>
      </w:r>
      <w:r w:rsidR="0039488E" w:rsidRPr="00BC7BE5">
        <w:rPr>
          <w:rStyle w:val="FootnoteReference"/>
          <w:rFonts w:cs="Times New Roman"/>
          <w:sz w:val="28"/>
          <w:szCs w:val="28"/>
        </w:rPr>
        <w:footnoteReference w:id="5"/>
      </w:r>
      <w:r w:rsidR="0039488E" w:rsidRPr="00142AB0">
        <w:rPr>
          <w:rFonts w:cs="Times New Roman"/>
          <w:sz w:val="28"/>
          <w:szCs w:val="28"/>
        </w:rPr>
        <w:t xml:space="preserve"> </w:t>
      </w:r>
      <w:r w:rsidR="0039488E">
        <w:rPr>
          <w:rFonts w:cs="Times New Roman"/>
          <w:sz w:val="28"/>
          <w:szCs w:val="28"/>
        </w:rPr>
        <w:t>ir izpildīts (</w:t>
      </w:r>
      <w:r w:rsidR="0039488E" w:rsidRPr="00142AB0">
        <w:rPr>
          <w:rFonts w:cs="Times New Roman"/>
          <w:sz w:val="28"/>
          <w:szCs w:val="28"/>
        </w:rPr>
        <w:t>kop</w:t>
      </w:r>
      <w:r w:rsidR="0039488E">
        <w:rPr>
          <w:rFonts w:cs="Times New Roman"/>
          <w:sz w:val="28"/>
          <w:szCs w:val="28"/>
        </w:rPr>
        <w:t>ā par</w:t>
      </w:r>
      <w:r w:rsidR="0039488E" w:rsidRPr="00142AB0">
        <w:rPr>
          <w:rFonts w:cs="Times New Roman"/>
          <w:sz w:val="28"/>
          <w:szCs w:val="28"/>
        </w:rPr>
        <w:t xml:space="preserve"> 0,3 milj. </w:t>
      </w:r>
      <w:r w:rsidR="0039488E" w:rsidRPr="00142AB0">
        <w:rPr>
          <w:rFonts w:cs="Times New Roman"/>
          <w:i/>
          <w:sz w:val="28"/>
          <w:szCs w:val="28"/>
        </w:rPr>
        <w:t>euro</w:t>
      </w:r>
      <w:r w:rsidR="0039488E" w:rsidRPr="00142AB0">
        <w:rPr>
          <w:rFonts w:cs="Times New Roman"/>
          <w:sz w:val="28"/>
          <w:szCs w:val="28"/>
        </w:rPr>
        <w:t xml:space="preserve"> </w:t>
      </w:r>
      <w:r w:rsidR="0039488E">
        <w:rPr>
          <w:rFonts w:cs="Times New Roman"/>
          <w:sz w:val="28"/>
          <w:szCs w:val="28"/>
        </w:rPr>
        <w:t xml:space="preserve">vairāk nekā </w:t>
      </w:r>
      <w:r w:rsidR="0039488E" w:rsidRPr="00142AB0">
        <w:rPr>
          <w:rFonts w:cs="Times New Roman"/>
          <w:sz w:val="28"/>
          <w:szCs w:val="28"/>
        </w:rPr>
        <w:t>plān</w:t>
      </w:r>
      <w:r w:rsidR="0039488E">
        <w:rPr>
          <w:rFonts w:cs="Times New Roman"/>
          <w:sz w:val="28"/>
          <w:szCs w:val="28"/>
        </w:rPr>
        <w:t xml:space="preserve">ots, galvenokārt, pateicoties labākam sniegumam valsts galveno autoceļu un Salu tilta rekonstrukcijas projektos). </w:t>
      </w:r>
    </w:p>
    <w:p w14:paraId="304C9279" w14:textId="0E96F639" w:rsidR="00C277DB" w:rsidRPr="00C2534E" w:rsidRDefault="0039488E" w:rsidP="0039488E">
      <w:pPr>
        <w:pStyle w:val="ListParagraph"/>
        <w:numPr>
          <w:ilvl w:val="0"/>
          <w:numId w:val="1"/>
        </w:numPr>
        <w:tabs>
          <w:tab w:val="left" w:pos="426"/>
          <w:tab w:val="left" w:pos="709"/>
          <w:tab w:val="left" w:pos="1985"/>
          <w:tab w:val="left" w:pos="2410"/>
          <w:tab w:val="left" w:pos="3119"/>
          <w:tab w:val="left" w:pos="3969"/>
          <w:tab w:val="left" w:pos="5387"/>
          <w:tab w:val="left" w:pos="7655"/>
        </w:tabs>
        <w:suppressAutoHyphens/>
        <w:spacing w:before="120" w:after="120"/>
        <w:ind w:left="0" w:firstLine="0"/>
        <w:contextualSpacing w:val="0"/>
        <w:jc w:val="both"/>
        <w:rPr>
          <w:rFonts w:eastAsia="Calibri" w:cs="Times New Roman"/>
          <w:i/>
          <w:lang w:eastAsia="ar-SA"/>
        </w:rPr>
      </w:pPr>
      <w:r w:rsidRPr="00C2534E">
        <w:rPr>
          <w:rFonts w:cs="Times New Roman"/>
          <w:sz w:val="28"/>
          <w:szCs w:val="28"/>
        </w:rPr>
        <w:t xml:space="preserve">Vienlaikus vājāks sniegums – (1) plāna neizpilde par 1 milj. </w:t>
      </w:r>
      <w:r w:rsidRPr="00C2534E">
        <w:rPr>
          <w:rFonts w:cs="Times New Roman"/>
          <w:i/>
          <w:sz w:val="28"/>
          <w:szCs w:val="28"/>
        </w:rPr>
        <w:t>euro</w:t>
      </w:r>
      <w:r w:rsidR="009F6132">
        <w:rPr>
          <w:rFonts w:cs="Times New Roman"/>
          <w:sz w:val="28"/>
          <w:szCs w:val="28"/>
        </w:rPr>
        <w:t xml:space="preserve"> ir</w:t>
      </w:r>
      <w:r w:rsidRPr="00C2534E">
        <w:rPr>
          <w:rFonts w:cs="Times New Roman"/>
          <w:sz w:val="28"/>
          <w:szCs w:val="28"/>
        </w:rPr>
        <w:t xml:space="preserve"> </w:t>
      </w:r>
      <w:r w:rsidR="00FA09F4" w:rsidRPr="00C2534E">
        <w:rPr>
          <w:rFonts w:cs="Times New Roman"/>
          <w:sz w:val="28"/>
          <w:szCs w:val="28"/>
        </w:rPr>
        <w:t xml:space="preserve">ilgstošo </w:t>
      </w:r>
      <w:r w:rsidRPr="00C2534E">
        <w:rPr>
          <w:rFonts w:cs="Times New Roman"/>
          <w:sz w:val="28"/>
          <w:szCs w:val="28"/>
        </w:rPr>
        <w:t>bezdarbnieku atbalsta (pieprasīta papildu informācija maksājuma pieprasījuma izvērtēšanai</w:t>
      </w:r>
      <w:r w:rsidR="00CF6234" w:rsidRPr="00C2534E">
        <w:rPr>
          <w:rFonts w:cs="Times New Roman"/>
          <w:sz w:val="28"/>
          <w:szCs w:val="28"/>
        </w:rPr>
        <w:t>, kā arī mērķa grupas personu iesaiste projektā ir būtiski zemāka, kā rezultātā radies finansējuma atlikums, kas pārdalīts subsidēto darba vietu izveidei bezdarbniekiem</w:t>
      </w:r>
      <w:r w:rsidRPr="00C2534E">
        <w:rPr>
          <w:rFonts w:cs="Times New Roman"/>
          <w:sz w:val="28"/>
          <w:szCs w:val="28"/>
        </w:rPr>
        <w:t xml:space="preserve">) un deinstitucionalizācijas (projektu sākumā iepirkums beidzās </w:t>
      </w:r>
      <w:r w:rsidRPr="00C2534E">
        <w:rPr>
          <w:rFonts w:cs="Times New Roman"/>
          <w:sz w:val="28"/>
          <w:szCs w:val="28"/>
        </w:rPr>
        <w:lastRenderedPageBreak/>
        <w:t>bez rezultāta, nobīdot projektu īstenošanu par 6 mēnešiem; pašvaldības iebilda pret sociālā dienesta klientu novirzīšanu uz projektu, pieprasot, lai sociālajam dienestam tiktu atrasts jauns klients; pašvaldībās nav nepieciešamās infrastruktūras, lai nodrošinātu pakalpojumus – SAM par infrastruktūras izveidi vēl nav sācies) pasākumos Eiropas Sociālā fonda ietvaros, un (2) plāna neizpilde 4,2 milj. </w:t>
      </w:r>
      <w:r w:rsidRPr="00C2534E">
        <w:rPr>
          <w:rFonts w:cs="Times New Roman"/>
          <w:i/>
          <w:sz w:val="28"/>
          <w:szCs w:val="28"/>
        </w:rPr>
        <w:t>euro</w:t>
      </w:r>
      <w:r w:rsidRPr="00C2534E">
        <w:rPr>
          <w:rFonts w:cs="Times New Roman"/>
          <w:sz w:val="28"/>
          <w:szCs w:val="28"/>
        </w:rPr>
        <w:t>, galvenokārt, daudzdzīvokļu (skatīt skaidrojumu ziņojuma 2. pielikumā) un pašvaldību ēku energoefektivitātes uzlabošanas, pašvaldību teritoriju revitalizācijas (tā kā integrēti teritoriālās investīcijas saskaņā ar ES fondus regulējošiem normatīvajiem aktiem ir jaunievedums šajā plānošanas periodā, projektu izvērtēšana un iesniegšana ieilgst), dzelzceļa infrastruktūras atbalstā (iepirkumu procedūru problēmas, kas ļaus avansus pieprasīt tikai gada beigās) atbalsta Eiropas Reģionālās attīstības fonda (turpmāk – ERAF) un Kohēzijas fonda (</w:t>
      </w:r>
      <w:r w:rsidR="00C2534E">
        <w:rPr>
          <w:rFonts w:cs="Times New Roman"/>
          <w:sz w:val="28"/>
          <w:szCs w:val="28"/>
        </w:rPr>
        <w:t xml:space="preserve">turpmāk - </w:t>
      </w:r>
      <w:r w:rsidRPr="00C2534E">
        <w:rPr>
          <w:rFonts w:cs="Times New Roman"/>
          <w:sz w:val="28"/>
          <w:szCs w:val="28"/>
        </w:rPr>
        <w:t xml:space="preserve">KF) ietvaros </w:t>
      </w:r>
      <w:r w:rsidR="0054192D" w:rsidRPr="00C2534E">
        <w:rPr>
          <w:sz w:val="28"/>
          <w:szCs w:val="28"/>
        </w:rPr>
        <w:t>transporta un vides u</w:t>
      </w:r>
      <w:r w:rsidRPr="00C2534E">
        <w:rPr>
          <w:sz w:val="28"/>
          <w:szCs w:val="28"/>
        </w:rPr>
        <w:t>n teritoriālās attīstības jomās</w:t>
      </w:r>
      <w:r w:rsidR="0054192D" w:rsidRPr="00C2534E">
        <w:rPr>
          <w:rFonts w:cs="Times New Roman"/>
          <w:sz w:val="28"/>
          <w:szCs w:val="28"/>
        </w:rPr>
        <w:t xml:space="preserve">. </w:t>
      </w:r>
      <w:r w:rsidR="003B273B">
        <w:rPr>
          <w:rFonts w:cs="Times New Roman"/>
          <w:sz w:val="28"/>
          <w:szCs w:val="28"/>
        </w:rPr>
        <w:t xml:space="preserve"> Lai iespējami paātrinātu </w:t>
      </w:r>
      <w:r w:rsidR="003B273B">
        <w:rPr>
          <w:sz w:val="28"/>
          <w:szCs w:val="28"/>
        </w:rPr>
        <w:t>integrēto teritoriālo investīciju projektu uzsāksānas tempu, FM sadarbībā ar VARAM izvērtēs nepieciešamību ES regulējuma ietvaros nacionāli vienkāršot integrēto teritoriālo investīciju projektu vērtēšanas procesu, kuru nodrošina republikas nozīmes pilsētas, ņemot vērā jautājuma aktualitāti (pēc finanšu ministres iniciatīvas jautājums pārrunāts ar vides aizsardzības un reģionālās attīstības ministru 2017. gada 20. jūnija  tikšanās par ES fondu ieviešanas aktualitātēm).</w:t>
      </w:r>
    </w:p>
    <w:p w14:paraId="5CD971A3" w14:textId="0464F661" w:rsidR="00D06A41" w:rsidRPr="00BC7BE5" w:rsidRDefault="00C31E3D" w:rsidP="00702CDB">
      <w:pPr>
        <w:pStyle w:val="ListParagraph"/>
        <w:tabs>
          <w:tab w:val="left" w:pos="426"/>
          <w:tab w:val="left" w:pos="709"/>
          <w:tab w:val="left" w:pos="1985"/>
          <w:tab w:val="left" w:pos="2410"/>
          <w:tab w:val="left" w:pos="3119"/>
          <w:tab w:val="left" w:pos="3969"/>
          <w:tab w:val="left" w:pos="5387"/>
          <w:tab w:val="left" w:pos="7655"/>
        </w:tabs>
        <w:suppressAutoHyphens/>
        <w:spacing w:before="120" w:after="120"/>
        <w:ind w:left="0"/>
        <w:contextualSpacing w:val="0"/>
        <w:jc w:val="both"/>
        <w:rPr>
          <w:rFonts w:eastAsia="Calibri" w:cs="Times New Roman"/>
          <w:i/>
          <w:lang w:eastAsia="ar-SA"/>
        </w:rPr>
      </w:pPr>
      <w:r w:rsidRPr="00BC7BE5">
        <w:rPr>
          <w:rFonts w:eastAsia="Calibri" w:cs="Times New Roman"/>
          <w:i/>
          <w:lang w:eastAsia="ar-SA"/>
        </w:rPr>
        <w:t>Grafiks</w:t>
      </w:r>
      <w:r w:rsidR="00D06A41" w:rsidRPr="00BC7BE5">
        <w:rPr>
          <w:rFonts w:eastAsia="Calibri" w:cs="Times New Roman"/>
          <w:i/>
          <w:lang w:eastAsia="ar-SA"/>
        </w:rPr>
        <w:t xml:space="preserve"> </w:t>
      </w:r>
      <w:r w:rsidR="006974EA" w:rsidRPr="00BC7BE5">
        <w:rPr>
          <w:rFonts w:eastAsia="Calibri" w:cs="Times New Roman"/>
          <w:i/>
          <w:lang w:eastAsia="ar-SA"/>
        </w:rPr>
        <w:t>Nr.3</w:t>
      </w:r>
      <w:r w:rsidR="00D06A41" w:rsidRPr="00BC7BE5">
        <w:rPr>
          <w:rFonts w:eastAsia="Calibri" w:cs="Times New Roman"/>
          <w:i/>
          <w:lang w:eastAsia="ar-SA"/>
        </w:rPr>
        <w:t xml:space="preserve"> “2014.</w:t>
      </w:r>
      <w:r w:rsidR="00C24ABE" w:rsidRPr="00BC7BE5">
        <w:rPr>
          <w:rFonts w:eastAsia="Calibri" w:cs="Times New Roman"/>
          <w:i/>
          <w:lang w:eastAsia="ar-SA"/>
        </w:rPr>
        <w:t> </w:t>
      </w:r>
      <w:r w:rsidR="00D06A41" w:rsidRPr="00BC7BE5">
        <w:rPr>
          <w:rFonts w:eastAsia="Calibri" w:cs="Times New Roman"/>
          <w:i/>
          <w:lang w:eastAsia="ar-SA"/>
        </w:rPr>
        <w:t>-</w:t>
      </w:r>
      <w:r w:rsidR="00C24ABE" w:rsidRPr="00BC7BE5">
        <w:rPr>
          <w:rFonts w:eastAsia="Calibri" w:cs="Times New Roman"/>
          <w:i/>
          <w:lang w:eastAsia="ar-SA"/>
        </w:rPr>
        <w:t> </w:t>
      </w:r>
      <w:r w:rsidR="00D06A41" w:rsidRPr="00BC7BE5">
        <w:rPr>
          <w:rFonts w:eastAsia="Calibri" w:cs="Times New Roman"/>
          <w:i/>
          <w:lang w:eastAsia="ar-SA"/>
        </w:rPr>
        <w:t>2020.</w:t>
      </w:r>
      <w:r w:rsidR="00C24ABE" w:rsidRPr="00BC7BE5">
        <w:rPr>
          <w:rFonts w:eastAsia="Calibri" w:cs="Times New Roman"/>
          <w:i/>
          <w:lang w:eastAsia="ar-SA"/>
        </w:rPr>
        <w:t> </w:t>
      </w:r>
      <w:r w:rsidR="00D06A41" w:rsidRPr="00BC7BE5">
        <w:rPr>
          <w:rFonts w:eastAsia="Calibri" w:cs="Times New Roman"/>
          <w:i/>
          <w:lang w:eastAsia="ar-SA"/>
        </w:rPr>
        <w:t>gada plānošanas periods: ES fondu līdzfinansēj</w:t>
      </w:r>
      <w:r w:rsidRPr="00BC7BE5">
        <w:rPr>
          <w:rFonts w:eastAsia="Calibri" w:cs="Times New Roman"/>
          <w:i/>
          <w:lang w:eastAsia="ar-SA"/>
        </w:rPr>
        <w:t>uma maksājumu plāna izpilde 2017</w:t>
      </w:r>
      <w:r w:rsidR="00D06A41" w:rsidRPr="00BC7BE5">
        <w:rPr>
          <w:rFonts w:eastAsia="Calibri" w:cs="Times New Roman"/>
          <w:i/>
          <w:lang w:eastAsia="ar-SA"/>
        </w:rPr>
        <w:t>.</w:t>
      </w:r>
      <w:r w:rsidR="00C24ABE" w:rsidRPr="00BC7BE5">
        <w:rPr>
          <w:rFonts w:eastAsia="Calibri" w:cs="Times New Roman"/>
          <w:i/>
          <w:lang w:eastAsia="ar-SA"/>
        </w:rPr>
        <w:t> </w:t>
      </w:r>
      <w:r w:rsidR="00D06A41" w:rsidRPr="00BC7BE5">
        <w:rPr>
          <w:rFonts w:eastAsia="Calibri" w:cs="Times New Roman"/>
          <w:i/>
          <w:lang w:eastAsia="ar-SA"/>
        </w:rPr>
        <w:t>gadā</w:t>
      </w:r>
      <w:r w:rsidR="00966441" w:rsidRPr="00BC7BE5">
        <w:rPr>
          <w:rFonts w:eastAsia="Calibri" w:cs="Times New Roman"/>
          <w:i/>
          <w:lang w:eastAsia="ar-SA"/>
        </w:rPr>
        <w:t xml:space="preserve"> kumulatīvi</w:t>
      </w:r>
      <w:r w:rsidR="00D06A41" w:rsidRPr="00BC7BE5">
        <w:rPr>
          <w:rFonts w:eastAsia="Calibri" w:cs="Times New Roman"/>
          <w:i/>
          <w:lang w:eastAsia="ar-SA"/>
        </w:rPr>
        <w:t xml:space="preserve">, </w:t>
      </w:r>
      <w:r w:rsidRPr="00BC7BE5">
        <w:rPr>
          <w:rFonts w:eastAsia="Calibri" w:cs="Times New Roman"/>
          <w:i/>
          <w:lang w:eastAsia="ar-SA"/>
        </w:rPr>
        <w:t>milj.</w:t>
      </w:r>
      <w:r w:rsidR="00C24ABE" w:rsidRPr="00BC7BE5">
        <w:rPr>
          <w:rFonts w:eastAsia="Calibri" w:cs="Times New Roman"/>
          <w:i/>
          <w:lang w:eastAsia="ar-SA"/>
        </w:rPr>
        <w:t> </w:t>
      </w:r>
      <w:r w:rsidR="00D06A41" w:rsidRPr="00BC7BE5">
        <w:rPr>
          <w:rFonts w:eastAsia="Calibri" w:cs="Times New Roman"/>
          <w:i/>
          <w:lang w:eastAsia="ar-SA"/>
        </w:rPr>
        <w:t>euro.”</w:t>
      </w:r>
    </w:p>
    <w:p w14:paraId="778D6354" w14:textId="5B51460F" w:rsidR="004C41E4" w:rsidRPr="00AC2FAA" w:rsidRDefault="004C41E4" w:rsidP="00286EF0">
      <w:pPr>
        <w:rPr>
          <w:rFonts w:eastAsia="Calibri" w:cs="Times New Roman"/>
          <w:highlight w:val="yellow"/>
          <w:lang w:eastAsia="ar-SA"/>
        </w:rPr>
      </w:pPr>
      <w:r w:rsidRPr="0039488E">
        <w:rPr>
          <w:noProof/>
          <w:color w:val="C00000"/>
          <w:highlight w:val="yellow"/>
          <w:lang w:eastAsia="lv-LV"/>
        </w:rPr>
        <w:drawing>
          <wp:inline distT="0" distB="0" distL="0" distR="0" wp14:anchorId="57F99B38" wp14:editId="2C0E1985">
            <wp:extent cx="5772150" cy="2400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C976AE" w14:textId="77777777" w:rsidR="001C72FD" w:rsidRPr="00AC2FAA" w:rsidRDefault="001C72FD" w:rsidP="001C72FD">
      <w:pPr>
        <w:pStyle w:val="ListParagraph"/>
        <w:suppressAutoHyphens/>
        <w:spacing w:before="120" w:after="120"/>
        <w:ind w:left="0"/>
        <w:contextualSpacing w:val="0"/>
        <w:jc w:val="both"/>
        <w:rPr>
          <w:color w:val="000000" w:themeColor="text1"/>
          <w:sz w:val="28"/>
          <w:szCs w:val="28"/>
          <w:highlight w:val="yellow"/>
        </w:rPr>
      </w:pPr>
    </w:p>
    <w:p w14:paraId="7BA45C7B" w14:textId="4A0A816E" w:rsidR="00926151" w:rsidRPr="00FA0C8D" w:rsidRDefault="00CA2978" w:rsidP="00926151">
      <w:pPr>
        <w:pStyle w:val="ListParagraph"/>
        <w:numPr>
          <w:ilvl w:val="0"/>
          <w:numId w:val="1"/>
        </w:numPr>
        <w:suppressAutoHyphens/>
        <w:spacing w:before="120" w:after="120"/>
        <w:ind w:left="0" w:firstLine="0"/>
        <w:contextualSpacing w:val="0"/>
        <w:jc w:val="both"/>
        <w:rPr>
          <w:sz w:val="28"/>
        </w:rPr>
      </w:pPr>
      <w:r>
        <w:rPr>
          <w:sz w:val="28"/>
          <w:szCs w:val="28"/>
          <w:u w:val="single"/>
          <w:lang w:eastAsia="lv-LV"/>
        </w:rPr>
        <w:t xml:space="preserve">Analizējot individuālo </w:t>
      </w:r>
      <w:r>
        <w:rPr>
          <w:sz w:val="28"/>
          <w:u w:val="single"/>
        </w:rPr>
        <w:t xml:space="preserve">projektu </w:t>
      </w:r>
      <w:r w:rsidR="00D913C9" w:rsidRPr="00FA0C8D">
        <w:rPr>
          <w:sz w:val="28"/>
          <w:u w:val="single"/>
        </w:rPr>
        <w:t>iesniedzēju/</w:t>
      </w:r>
      <w:r w:rsidR="00650EA7" w:rsidRPr="00FA0C8D">
        <w:rPr>
          <w:sz w:val="28"/>
          <w:u w:val="single"/>
        </w:rPr>
        <w:t>finansējuma saņēmēju progno</w:t>
      </w:r>
      <w:r>
        <w:rPr>
          <w:sz w:val="28"/>
          <w:u w:val="single"/>
        </w:rPr>
        <w:t>žu</w:t>
      </w:r>
      <w:r w:rsidR="00D913C9" w:rsidRPr="00FA0C8D">
        <w:rPr>
          <w:sz w:val="28"/>
          <w:u w:val="single"/>
        </w:rPr>
        <w:t xml:space="preserve"> </w:t>
      </w:r>
      <w:r>
        <w:rPr>
          <w:sz w:val="28"/>
          <w:u w:val="single"/>
        </w:rPr>
        <w:t>izpildi uz 2017.</w:t>
      </w:r>
      <w:r w:rsidR="00C2534E">
        <w:rPr>
          <w:sz w:val="28"/>
          <w:u w:val="single"/>
        </w:rPr>
        <w:t> </w:t>
      </w:r>
      <w:r>
        <w:rPr>
          <w:sz w:val="28"/>
          <w:u w:val="single"/>
        </w:rPr>
        <w:t>gada 1.</w:t>
      </w:r>
      <w:r w:rsidR="00C2534E">
        <w:rPr>
          <w:sz w:val="28"/>
          <w:u w:val="single"/>
        </w:rPr>
        <w:t> </w:t>
      </w:r>
      <w:r>
        <w:rPr>
          <w:sz w:val="28"/>
          <w:u w:val="single"/>
        </w:rPr>
        <w:t>jūniju</w:t>
      </w:r>
      <w:r w:rsidR="00626A0E">
        <w:rPr>
          <w:sz w:val="28"/>
          <w:u w:val="single"/>
        </w:rPr>
        <w:t xml:space="preserve"> </w:t>
      </w:r>
      <w:r>
        <w:rPr>
          <w:sz w:val="28"/>
          <w:u w:val="single"/>
        </w:rPr>
        <w:t xml:space="preserve">attiecībā uz </w:t>
      </w:r>
      <w:r w:rsidR="00650EA7" w:rsidRPr="00FA0C8D">
        <w:rPr>
          <w:sz w:val="28"/>
        </w:rPr>
        <w:t xml:space="preserve">projektu </w:t>
      </w:r>
      <w:r w:rsidR="00D913C9" w:rsidRPr="00FA0C8D">
        <w:rPr>
          <w:sz w:val="28"/>
        </w:rPr>
        <w:t>iesnieg</w:t>
      </w:r>
      <w:r w:rsidR="00650EA7" w:rsidRPr="00FA0C8D">
        <w:rPr>
          <w:sz w:val="28"/>
        </w:rPr>
        <w:t>šanas termiņ</w:t>
      </w:r>
      <w:r>
        <w:rPr>
          <w:sz w:val="28"/>
        </w:rPr>
        <w:t>u</w:t>
      </w:r>
      <w:r w:rsidR="00650EA7" w:rsidRPr="00FA0C8D">
        <w:rPr>
          <w:sz w:val="28"/>
        </w:rPr>
        <w:t xml:space="preserve"> </w:t>
      </w:r>
      <w:r w:rsidR="00D913C9" w:rsidRPr="00FA0C8D">
        <w:rPr>
          <w:sz w:val="28"/>
        </w:rPr>
        <w:t xml:space="preserve">un </w:t>
      </w:r>
      <w:r w:rsidR="00650EA7" w:rsidRPr="00FA0C8D">
        <w:rPr>
          <w:sz w:val="28"/>
        </w:rPr>
        <w:t>naudas plūsm</w:t>
      </w:r>
      <w:r>
        <w:rPr>
          <w:sz w:val="28"/>
        </w:rPr>
        <w:t>u</w:t>
      </w:r>
      <w:r w:rsidR="00650EA7" w:rsidRPr="00FA0C8D">
        <w:rPr>
          <w:sz w:val="28"/>
        </w:rPr>
        <w:t xml:space="preserve"> ierobežoto projektu iesniegumu atlašu (turpmāk – </w:t>
      </w:r>
      <w:r w:rsidR="00650EA7" w:rsidRPr="00FA0C8D">
        <w:rPr>
          <w:sz w:val="28"/>
        </w:rPr>
        <w:lastRenderedPageBreak/>
        <w:t>IPIA</w:t>
      </w:r>
      <w:r w:rsidR="00680525" w:rsidRPr="00FA0C8D">
        <w:rPr>
          <w:rStyle w:val="FootnoteReference"/>
          <w:sz w:val="28"/>
        </w:rPr>
        <w:footnoteReference w:id="6"/>
      </w:r>
      <w:r w:rsidR="00650EA7" w:rsidRPr="00FA0C8D">
        <w:rPr>
          <w:sz w:val="28"/>
        </w:rPr>
        <w:t xml:space="preserve">) ietvaros </w:t>
      </w:r>
      <w:r>
        <w:rPr>
          <w:sz w:val="28"/>
        </w:rPr>
        <w:t>(detalizēta informācija par plānotajiem projektiem pieejama E</w:t>
      </w:r>
      <w:r w:rsidR="00326D5E" w:rsidRPr="00FA0C8D">
        <w:rPr>
          <w:sz w:val="28"/>
        </w:rPr>
        <w:t>S fondu tīmekļa vietnē</w:t>
      </w:r>
      <w:r w:rsidR="00326D5E" w:rsidRPr="00FA0C8D">
        <w:rPr>
          <w:rStyle w:val="FootnoteReference"/>
          <w:sz w:val="28"/>
        </w:rPr>
        <w:footnoteReference w:id="7"/>
      </w:r>
      <w:r>
        <w:rPr>
          <w:sz w:val="28"/>
        </w:rPr>
        <w:t>),</w:t>
      </w:r>
      <w:r w:rsidR="00DD51B1">
        <w:rPr>
          <w:sz w:val="28"/>
        </w:rPr>
        <w:t xml:space="preserve"> </w:t>
      </w:r>
      <w:r w:rsidR="002E437A" w:rsidRPr="00FA0C8D">
        <w:rPr>
          <w:sz w:val="28"/>
        </w:rPr>
        <w:t xml:space="preserve">šādi </w:t>
      </w:r>
      <w:r w:rsidR="00926151" w:rsidRPr="00FA0C8D">
        <w:rPr>
          <w:sz w:val="28"/>
        </w:rPr>
        <w:t xml:space="preserve">galvenie </w:t>
      </w:r>
      <w:r w:rsidR="002E437A" w:rsidRPr="00FA0C8D">
        <w:rPr>
          <w:sz w:val="28"/>
        </w:rPr>
        <w:t>secinājumi:</w:t>
      </w:r>
    </w:p>
    <w:p w14:paraId="08B44D4C" w14:textId="7EF0CFDD" w:rsidR="00923539" w:rsidRPr="00C84DFF" w:rsidRDefault="00A754D6" w:rsidP="001116B4">
      <w:pPr>
        <w:pStyle w:val="ListParagraph"/>
        <w:numPr>
          <w:ilvl w:val="0"/>
          <w:numId w:val="35"/>
        </w:numPr>
        <w:suppressAutoHyphens/>
        <w:spacing w:before="120" w:after="120"/>
        <w:ind w:left="0" w:firstLine="426"/>
        <w:contextualSpacing w:val="0"/>
        <w:jc w:val="both"/>
        <w:rPr>
          <w:sz w:val="28"/>
        </w:rPr>
      </w:pPr>
      <w:r>
        <w:rPr>
          <w:sz w:val="28"/>
        </w:rPr>
        <w:t>Kumulatīvi</w:t>
      </w:r>
      <w:r w:rsidR="002E437A" w:rsidRPr="00626A0E">
        <w:rPr>
          <w:sz w:val="28"/>
        </w:rPr>
        <w:t xml:space="preserve"> </w:t>
      </w:r>
      <w:r w:rsidR="00C84DFF">
        <w:rPr>
          <w:sz w:val="28"/>
        </w:rPr>
        <w:t xml:space="preserve">līdz </w:t>
      </w:r>
      <w:r w:rsidR="00926151" w:rsidRPr="00626A0E">
        <w:rPr>
          <w:sz w:val="28"/>
        </w:rPr>
        <w:t>2017.</w:t>
      </w:r>
      <w:r w:rsidR="00C277DB" w:rsidRPr="00C84DFF">
        <w:rPr>
          <w:sz w:val="28"/>
        </w:rPr>
        <w:t> </w:t>
      </w:r>
      <w:r w:rsidR="00926151" w:rsidRPr="00C84DFF">
        <w:rPr>
          <w:sz w:val="28"/>
        </w:rPr>
        <w:t xml:space="preserve">gada </w:t>
      </w:r>
      <w:r w:rsidR="00C84DFF">
        <w:rPr>
          <w:rFonts w:eastAsia="Times New Roman"/>
          <w:bCs/>
          <w:sz w:val="28"/>
          <w:szCs w:val="28"/>
          <w:lang w:eastAsia="lv-LV"/>
        </w:rPr>
        <w:t>1.</w:t>
      </w:r>
      <w:r w:rsidR="00C2534E">
        <w:rPr>
          <w:rFonts w:eastAsia="Times New Roman"/>
          <w:bCs/>
          <w:sz w:val="28"/>
          <w:szCs w:val="28"/>
          <w:lang w:eastAsia="lv-LV"/>
        </w:rPr>
        <w:t> </w:t>
      </w:r>
      <w:r w:rsidR="00C84DFF">
        <w:rPr>
          <w:rFonts w:eastAsia="Times New Roman"/>
          <w:bCs/>
          <w:sz w:val="28"/>
          <w:szCs w:val="28"/>
          <w:lang w:eastAsia="lv-LV"/>
        </w:rPr>
        <w:t xml:space="preserve">jūnijam </w:t>
      </w:r>
      <w:r w:rsidR="00F203A3" w:rsidRPr="00626A0E">
        <w:rPr>
          <w:sz w:val="28"/>
        </w:rPr>
        <w:t>no</w:t>
      </w:r>
      <w:r>
        <w:rPr>
          <w:sz w:val="28"/>
        </w:rPr>
        <w:t xml:space="preserve"> </w:t>
      </w:r>
      <w:r w:rsidR="003A76FB" w:rsidRPr="00C84DFF">
        <w:rPr>
          <w:rFonts w:eastAsia="Times New Roman"/>
          <w:bCs/>
          <w:sz w:val="28"/>
          <w:szCs w:val="28"/>
          <w:lang w:eastAsia="lv-LV"/>
        </w:rPr>
        <w:t>62</w:t>
      </w:r>
      <w:r w:rsidR="002E437A" w:rsidRPr="00C84DFF">
        <w:rPr>
          <w:sz w:val="28"/>
        </w:rPr>
        <w:t xml:space="preserve"> </w:t>
      </w:r>
      <w:r w:rsidR="00F203A3" w:rsidRPr="00C84DFF">
        <w:rPr>
          <w:sz w:val="28"/>
        </w:rPr>
        <w:t>plānotajiem projektu ies</w:t>
      </w:r>
      <w:r w:rsidR="00626A0E" w:rsidRPr="00C84DFF">
        <w:rPr>
          <w:sz w:val="28"/>
        </w:rPr>
        <w:t>n</w:t>
      </w:r>
      <w:r w:rsidR="00F203A3" w:rsidRPr="00C84DFF">
        <w:rPr>
          <w:sz w:val="28"/>
        </w:rPr>
        <w:t>iegumiem</w:t>
      </w:r>
      <w:r w:rsidR="002E437A" w:rsidRPr="00C84DFF">
        <w:rPr>
          <w:sz w:val="28"/>
        </w:rPr>
        <w:t xml:space="preserve"> iesnie</w:t>
      </w:r>
      <w:r w:rsidR="00EB7D71" w:rsidRPr="00C84DFF">
        <w:rPr>
          <w:sz w:val="28"/>
        </w:rPr>
        <w:t>gti</w:t>
      </w:r>
      <w:r w:rsidR="003A76FB" w:rsidRPr="00C84DFF">
        <w:rPr>
          <w:sz w:val="28"/>
        </w:rPr>
        <w:t xml:space="preserve"> </w:t>
      </w:r>
      <w:r w:rsidR="00F203A3" w:rsidRPr="00C84DFF">
        <w:rPr>
          <w:sz w:val="28"/>
        </w:rPr>
        <w:t>tikai puse (</w:t>
      </w:r>
      <w:r w:rsidR="003A76FB" w:rsidRPr="004A6D36">
        <w:rPr>
          <w:rFonts w:eastAsia="Times New Roman"/>
          <w:bCs/>
          <w:sz w:val="28"/>
          <w:szCs w:val="28"/>
          <w:lang w:eastAsia="lv-LV"/>
        </w:rPr>
        <w:t>31</w:t>
      </w:r>
      <w:r w:rsidR="00F203A3" w:rsidRPr="004A6D36">
        <w:rPr>
          <w:rFonts w:eastAsia="Times New Roman"/>
          <w:bCs/>
          <w:sz w:val="28"/>
          <w:szCs w:val="28"/>
          <w:lang w:eastAsia="lv-LV"/>
        </w:rPr>
        <w:t>)</w:t>
      </w:r>
      <w:r w:rsidR="003A76FB" w:rsidRPr="00EF17EB">
        <w:rPr>
          <w:sz w:val="28"/>
        </w:rPr>
        <w:t xml:space="preserve"> projekt</w:t>
      </w:r>
      <w:r w:rsidR="00EB7D71" w:rsidRPr="00EF17EB">
        <w:rPr>
          <w:sz w:val="28"/>
        </w:rPr>
        <w:t>i</w:t>
      </w:r>
      <w:r w:rsidR="00626A0E" w:rsidRPr="00E9213D">
        <w:rPr>
          <w:sz w:val="28"/>
        </w:rPr>
        <w:t>, kas liecina par negat</w:t>
      </w:r>
      <w:r w:rsidR="00626A0E" w:rsidRPr="007F23A6">
        <w:rPr>
          <w:sz w:val="28"/>
        </w:rPr>
        <w:t xml:space="preserve">īvu tendenci projektu </w:t>
      </w:r>
      <w:r w:rsidR="00C2534E" w:rsidRPr="007F23A6">
        <w:rPr>
          <w:sz w:val="28"/>
        </w:rPr>
        <w:t>iesniedzējiem</w:t>
      </w:r>
      <w:r w:rsidR="00626A0E" w:rsidRPr="007F23A6">
        <w:rPr>
          <w:sz w:val="28"/>
        </w:rPr>
        <w:t xml:space="preserve"> nespēt izpildīt savus plānotos termiņus</w:t>
      </w:r>
      <w:r>
        <w:rPr>
          <w:sz w:val="28"/>
        </w:rPr>
        <w:t xml:space="preserve"> – nav i</w:t>
      </w:r>
      <w:r w:rsidR="00C2534E">
        <w:rPr>
          <w:sz w:val="28"/>
        </w:rPr>
        <w:t xml:space="preserve">esniegti projekti par kopumā 53,7 milj. </w:t>
      </w:r>
      <w:r w:rsidR="00C2534E" w:rsidRPr="00C2534E">
        <w:rPr>
          <w:i/>
          <w:sz w:val="28"/>
        </w:rPr>
        <w:t>euro</w:t>
      </w:r>
      <w:r>
        <w:rPr>
          <w:sz w:val="28"/>
        </w:rPr>
        <w:t xml:space="preserve"> IKT jomā un pašvaldību īstenotie projekti</w:t>
      </w:r>
      <w:r w:rsidR="00A56FE2" w:rsidRPr="00C64D09">
        <w:rPr>
          <w:rFonts w:eastAsia="Times New Roman"/>
          <w:bCs/>
          <w:sz w:val="28"/>
          <w:szCs w:val="28"/>
          <w:lang w:eastAsia="lv-LV"/>
        </w:rPr>
        <w:t xml:space="preserve">. </w:t>
      </w:r>
      <w:r w:rsidR="00626A0E" w:rsidRPr="00195F5C">
        <w:rPr>
          <w:rFonts w:eastAsia="Times New Roman"/>
          <w:bCs/>
          <w:sz w:val="28"/>
          <w:szCs w:val="28"/>
          <w:lang w:eastAsia="lv-LV"/>
        </w:rPr>
        <w:t>Plānotie projektu iesniedzēji skaidro kavējumus ar</w:t>
      </w:r>
      <w:r w:rsidR="00DB10F9" w:rsidRPr="00195F5C">
        <w:rPr>
          <w:rFonts w:eastAsia="Times New Roman"/>
          <w:bCs/>
          <w:sz w:val="28"/>
          <w:szCs w:val="28"/>
          <w:lang w:eastAsia="lv-LV"/>
        </w:rPr>
        <w:t xml:space="preserve"> vairāki</w:t>
      </w:r>
      <w:r w:rsidR="00626A0E" w:rsidRPr="00195F5C">
        <w:rPr>
          <w:rFonts w:eastAsia="Times New Roman"/>
          <w:bCs/>
          <w:sz w:val="28"/>
          <w:szCs w:val="28"/>
          <w:lang w:eastAsia="lv-LV"/>
        </w:rPr>
        <w:t>em</w:t>
      </w:r>
      <w:r w:rsidR="00DB10F9" w:rsidRPr="00195F5C">
        <w:rPr>
          <w:rFonts w:eastAsia="Times New Roman"/>
          <w:bCs/>
          <w:sz w:val="28"/>
          <w:szCs w:val="28"/>
          <w:lang w:eastAsia="lv-LV"/>
        </w:rPr>
        <w:t xml:space="preserve"> iemesli</w:t>
      </w:r>
      <w:r w:rsidR="00626A0E" w:rsidRPr="00626A0E">
        <w:rPr>
          <w:rFonts w:eastAsia="Times New Roman"/>
          <w:bCs/>
          <w:sz w:val="28"/>
          <w:szCs w:val="28"/>
          <w:lang w:eastAsia="lv-LV"/>
        </w:rPr>
        <w:t>em</w:t>
      </w:r>
      <w:r w:rsidR="00181803" w:rsidRPr="00626A0E">
        <w:rPr>
          <w:rFonts w:eastAsia="Times New Roman"/>
          <w:bCs/>
          <w:sz w:val="28"/>
          <w:szCs w:val="28"/>
          <w:lang w:eastAsia="lv-LV"/>
        </w:rPr>
        <w:t>,</w:t>
      </w:r>
      <w:r w:rsidR="00DB10F9" w:rsidRPr="00626A0E">
        <w:rPr>
          <w:rFonts w:eastAsia="Times New Roman"/>
          <w:bCs/>
          <w:sz w:val="28"/>
          <w:szCs w:val="28"/>
          <w:lang w:eastAsia="lv-LV"/>
        </w:rPr>
        <w:t xml:space="preserve"> no kuriem biežāk minētie ir: darbinieku noslogotīb</w:t>
      </w:r>
      <w:r w:rsidR="00626A0E" w:rsidRPr="00626A0E">
        <w:rPr>
          <w:rFonts w:eastAsia="Times New Roman"/>
          <w:bCs/>
          <w:sz w:val="28"/>
          <w:szCs w:val="28"/>
          <w:lang w:eastAsia="lv-LV"/>
        </w:rPr>
        <w:t>a</w:t>
      </w:r>
      <w:r w:rsidR="00DB10F9" w:rsidRPr="00626A0E">
        <w:rPr>
          <w:rFonts w:eastAsia="Times New Roman"/>
          <w:bCs/>
          <w:sz w:val="28"/>
          <w:szCs w:val="28"/>
          <w:lang w:eastAsia="lv-LV"/>
        </w:rPr>
        <w:t xml:space="preserve">, normatīvo aktu izmaiņas un </w:t>
      </w:r>
      <w:r w:rsidR="00626A0E" w:rsidRPr="00626A0E">
        <w:rPr>
          <w:rFonts w:eastAsia="Times New Roman"/>
          <w:bCs/>
          <w:sz w:val="28"/>
          <w:szCs w:val="28"/>
          <w:lang w:eastAsia="lv-LV"/>
        </w:rPr>
        <w:t xml:space="preserve">atbilstoši neieplānota </w:t>
      </w:r>
      <w:r w:rsidR="00DB10F9" w:rsidRPr="00626A0E">
        <w:rPr>
          <w:rFonts w:eastAsia="Times New Roman"/>
          <w:bCs/>
          <w:sz w:val="28"/>
          <w:szCs w:val="28"/>
          <w:lang w:eastAsia="lv-LV"/>
        </w:rPr>
        <w:t xml:space="preserve">projektu saskaņošana ar citām valsts institūcijām. </w:t>
      </w:r>
      <w:r w:rsidR="00626A0E" w:rsidRPr="00C84DFF">
        <w:rPr>
          <w:sz w:val="28"/>
        </w:rPr>
        <w:t xml:space="preserve">Vienlaikus ir pozitīvi </w:t>
      </w:r>
      <w:r w:rsidR="00626A0E" w:rsidRPr="00C84DFF">
        <w:rPr>
          <w:rFonts w:eastAsia="Times New Roman"/>
          <w:bCs/>
          <w:sz w:val="28"/>
          <w:szCs w:val="28"/>
          <w:lang w:eastAsia="lv-LV"/>
        </w:rPr>
        <w:t>21</w:t>
      </w:r>
      <w:r w:rsidR="00626A0E" w:rsidRPr="00C84DFF">
        <w:rPr>
          <w:sz w:val="28"/>
        </w:rPr>
        <w:t xml:space="preserve"> gadījumi, kad iesniegti projekti pirms plānotā. </w:t>
      </w:r>
      <w:r w:rsidR="00A56FE2" w:rsidRPr="00626A0E">
        <w:rPr>
          <w:sz w:val="28"/>
        </w:rPr>
        <w:t>Detālu informāciju pa</w:t>
      </w:r>
      <w:r w:rsidR="004A0E4B" w:rsidRPr="00626A0E">
        <w:rPr>
          <w:sz w:val="28"/>
        </w:rPr>
        <w:t xml:space="preserve">r kavētajiem projektiem skatīt </w:t>
      </w:r>
      <w:r w:rsidR="00C2534E">
        <w:rPr>
          <w:rFonts w:eastAsia="Times New Roman"/>
          <w:bCs/>
          <w:sz w:val="28"/>
          <w:szCs w:val="28"/>
          <w:lang w:eastAsia="lv-LV"/>
        </w:rPr>
        <w:t>3</w:t>
      </w:r>
      <w:r w:rsidR="00A56FE2" w:rsidRPr="00C84DFF">
        <w:rPr>
          <w:sz w:val="28"/>
        </w:rPr>
        <w:t>.</w:t>
      </w:r>
      <w:r w:rsidR="00EB7D71" w:rsidRPr="00C84DFF">
        <w:rPr>
          <w:sz w:val="28"/>
        </w:rPr>
        <w:t> </w:t>
      </w:r>
      <w:r w:rsidR="00A56FE2" w:rsidRPr="00C84DFF">
        <w:rPr>
          <w:sz w:val="28"/>
        </w:rPr>
        <w:t>pielikumā.</w:t>
      </w:r>
      <w:r w:rsidR="00864371" w:rsidRPr="00C84DFF">
        <w:rPr>
          <w:sz w:val="28"/>
        </w:rPr>
        <w:t xml:space="preserve"> </w:t>
      </w:r>
    </w:p>
    <w:p w14:paraId="1D4D7AC2" w14:textId="1AF8F8DF" w:rsidR="00804CD7" w:rsidRPr="00804CD7" w:rsidRDefault="00923539" w:rsidP="001116B4">
      <w:pPr>
        <w:pStyle w:val="ListParagraph"/>
        <w:numPr>
          <w:ilvl w:val="0"/>
          <w:numId w:val="35"/>
        </w:numPr>
        <w:suppressAutoHyphens/>
        <w:spacing w:before="120" w:after="120"/>
        <w:ind w:left="0" w:firstLine="426"/>
        <w:contextualSpacing w:val="0"/>
        <w:jc w:val="both"/>
      </w:pPr>
      <w:r w:rsidRPr="00181803">
        <w:rPr>
          <w:sz w:val="28"/>
        </w:rPr>
        <w:t>Kumulatīvi līdz 2017.</w:t>
      </w:r>
      <w:r w:rsidR="00A326D3" w:rsidRPr="00181803">
        <w:rPr>
          <w:sz w:val="28"/>
        </w:rPr>
        <w:t> </w:t>
      </w:r>
      <w:r w:rsidRPr="00181803">
        <w:rPr>
          <w:sz w:val="28"/>
        </w:rPr>
        <w:t xml:space="preserve">gada </w:t>
      </w:r>
      <w:r w:rsidR="0006216B" w:rsidRPr="00181803">
        <w:rPr>
          <w:rFonts w:eastAsia="Times New Roman"/>
          <w:bCs/>
          <w:sz w:val="28"/>
          <w:szCs w:val="28"/>
          <w:lang w:eastAsia="lv-LV"/>
        </w:rPr>
        <w:t>1</w:t>
      </w:r>
      <w:r w:rsidRPr="00181803">
        <w:rPr>
          <w:rFonts w:eastAsia="Times New Roman"/>
          <w:bCs/>
          <w:sz w:val="28"/>
          <w:szCs w:val="28"/>
          <w:lang w:eastAsia="lv-LV"/>
        </w:rPr>
        <w:t>.</w:t>
      </w:r>
      <w:r w:rsidR="00A326D3" w:rsidRPr="00181803">
        <w:rPr>
          <w:rFonts w:eastAsia="Times New Roman"/>
          <w:bCs/>
          <w:sz w:val="28"/>
          <w:szCs w:val="28"/>
          <w:lang w:eastAsia="lv-LV"/>
        </w:rPr>
        <w:t> </w:t>
      </w:r>
      <w:r w:rsidR="00C84DFF">
        <w:rPr>
          <w:rFonts w:eastAsia="Times New Roman"/>
          <w:bCs/>
          <w:sz w:val="28"/>
          <w:szCs w:val="28"/>
          <w:lang w:eastAsia="lv-LV"/>
        </w:rPr>
        <w:t>jūnijam</w:t>
      </w:r>
      <w:r w:rsidRPr="00181803">
        <w:rPr>
          <w:sz w:val="28"/>
        </w:rPr>
        <w:t xml:space="preserve"> </w:t>
      </w:r>
      <w:r w:rsidR="00C2534E">
        <w:rPr>
          <w:sz w:val="28"/>
        </w:rPr>
        <w:t xml:space="preserve">maksājumu pieprasījumi </w:t>
      </w:r>
      <w:r w:rsidR="001E4FD4" w:rsidRPr="00181803">
        <w:rPr>
          <w:sz w:val="28"/>
        </w:rPr>
        <w:t xml:space="preserve">CFLA iesniegti par </w:t>
      </w:r>
      <w:r w:rsidR="0006216B" w:rsidRPr="00181803">
        <w:rPr>
          <w:sz w:val="28"/>
        </w:rPr>
        <w:t>12</w:t>
      </w:r>
      <w:r w:rsidR="00413E15">
        <w:rPr>
          <w:rFonts w:eastAsia="Times New Roman"/>
          <w:bCs/>
          <w:sz w:val="28"/>
          <w:szCs w:val="28"/>
          <w:lang w:eastAsia="lv-LV"/>
        </w:rPr>
        <w:t>,</w:t>
      </w:r>
      <w:r w:rsidR="0006216B" w:rsidRPr="00181803">
        <w:rPr>
          <w:rFonts w:eastAsia="Times New Roman"/>
          <w:bCs/>
          <w:sz w:val="28"/>
          <w:szCs w:val="28"/>
          <w:lang w:eastAsia="lv-LV"/>
        </w:rPr>
        <w:t>4</w:t>
      </w:r>
      <w:r w:rsidR="0006216B" w:rsidRPr="00181803">
        <w:rPr>
          <w:sz w:val="28"/>
        </w:rPr>
        <w:t xml:space="preserve"> </w:t>
      </w:r>
      <w:r w:rsidR="009349F2" w:rsidRPr="00804CD7">
        <w:rPr>
          <w:sz w:val="28"/>
        </w:rPr>
        <w:t>mi</w:t>
      </w:r>
      <w:r w:rsidR="00C277DB" w:rsidRPr="00804CD7">
        <w:rPr>
          <w:sz w:val="28"/>
        </w:rPr>
        <w:t>l</w:t>
      </w:r>
      <w:r w:rsidR="009349F2" w:rsidRPr="00804CD7">
        <w:rPr>
          <w:sz w:val="28"/>
        </w:rPr>
        <w:t>j.</w:t>
      </w:r>
      <w:r w:rsidR="00F35743" w:rsidRPr="00804CD7">
        <w:rPr>
          <w:sz w:val="28"/>
        </w:rPr>
        <w:t xml:space="preserve"> </w:t>
      </w:r>
      <w:r w:rsidR="009349F2" w:rsidRPr="00804CD7">
        <w:rPr>
          <w:i/>
          <w:sz w:val="28"/>
        </w:rPr>
        <w:t>euro.</w:t>
      </w:r>
      <w:r w:rsidR="00782D81" w:rsidRPr="00804CD7">
        <w:rPr>
          <w:sz w:val="28"/>
        </w:rPr>
        <w:t xml:space="preserve"> </w:t>
      </w:r>
      <w:r w:rsidR="00C32FC2" w:rsidRPr="00804CD7">
        <w:rPr>
          <w:sz w:val="28"/>
        </w:rPr>
        <w:t>m</w:t>
      </w:r>
      <w:r w:rsidR="001E4FD4" w:rsidRPr="00804CD7">
        <w:rPr>
          <w:sz w:val="28"/>
        </w:rPr>
        <w:t xml:space="preserve">azāk nekā plānots </w:t>
      </w:r>
      <w:r w:rsidR="00782D81" w:rsidRPr="00804CD7">
        <w:rPr>
          <w:sz w:val="28"/>
        </w:rPr>
        <w:t xml:space="preserve">(kopā </w:t>
      </w:r>
      <w:r w:rsidR="0006216B" w:rsidRPr="00804CD7">
        <w:rPr>
          <w:rFonts w:eastAsia="Times New Roman"/>
          <w:bCs/>
          <w:sz w:val="28"/>
          <w:szCs w:val="28"/>
          <w:lang w:eastAsia="lv-LV"/>
        </w:rPr>
        <w:t>10</w:t>
      </w:r>
      <w:r w:rsidR="00DC0A95" w:rsidRPr="00804CD7">
        <w:rPr>
          <w:rFonts w:eastAsia="Times New Roman"/>
          <w:bCs/>
          <w:sz w:val="28"/>
          <w:szCs w:val="28"/>
          <w:lang w:eastAsia="lv-LV"/>
        </w:rPr>
        <w:t>6</w:t>
      </w:r>
      <w:r w:rsidR="009349F2" w:rsidRPr="00804CD7">
        <w:rPr>
          <w:sz w:val="28"/>
        </w:rPr>
        <w:t xml:space="preserve"> projektos)</w:t>
      </w:r>
      <w:r w:rsidR="001E4FD4" w:rsidRPr="00804CD7">
        <w:rPr>
          <w:sz w:val="28"/>
        </w:rPr>
        <w:t>. N</w:t>
      </w:r>
      <w:r w:rsidR="009349F2" w:rsidRPr="00804CD7">
        <w:rPr>
          <w:sz w:val="28"/>
        </w:rPr>
        <w:t xml:space="preserve">o tiem </w:t>
      </w:r>
      <w:r w:rsidR="009349F2" w:rsidRPr="00804CD7">
        <w:rPr>
          <w:rFonts w:eastAsia="Times New Roman"/>
          <w:bCs/>
          <w:sz w:val="28"/>
          <w:szCs w:val="28"/>
          <w:u w:val="single"/>
          <w:lang w:eastAsia="lv-LV"/>
        </w:rPr>
        <w:t>8</w:t>
      </w:r>
      <w:r w:rsidR="00AD606E" w:rsidRPr="00804CD7">
        <w:rPr>
          <w:rFonts w:eastAsia="Times New Roman"/>
          <w:bCs/>
          <w:sz w:val="28"/>
          <w:szCs w:val="28"/>
          <w:u w:val="single"/>
          <w:lang w:eastAsia="lv-LV"/>
        </w:rPr>
        <w:t>1</w:t>
      </w:r>
      <w:r w:rsidR="009349F2" w:rsidRPr="00804CD7">
        <w:rPr>
          <w:sz w:val="28"/>
          <w:u w:val="single"/>
        </w:rPr>
        <w:t xml:space="preserve"> %</w:t>
      </w:r>
      <w:r w:rsidR="009349F2" w:rsidRPr="00804CD7">
        <w:rPr>
          <w:sz w:val="28"/>
        </w:rPr>
        <w:t xml:space="preserve"> </w:t>
      </w:r>
      <w:r w:rsidR="00782D81" w:rsidRPr="00804CD7">
        <w:rPr>
          <w:sz w:val="28"/>
          <w:u w:val="single"/>
        </w:rPr>
        <w:t>neizpildi (</w:t>
      </w:r>
      <w:r w:rsidR="00782D81" w:rsidRPr="00804CD7">
        <w:rPr>
          <w:rFonts w:eastAsia="Times New Roman"/>
          <w:bCs/>
          <w:sz w:val="28"/>
          <w:szCs w:val="28"/>
          <w:u w:val="single"/>
          <w:lang w:eastAsia="lv-LV"/>
        </w:rPr>
        <w:t>1</w:t>
      </w:r>
      <w:r w:rsidR="00DC0A95" w:rsidRPr="00804CD7">
        <w:rPr>
          <w:rFonts w:eastAsia="Times New Roman"/>
          <w:bCs/>
          <w:sz w:val="28"/>
          <w:szCs w:val="28"/>
          <w:u w:val="single"/>
          <w:lang w:eastAsia="lv-LV"/>
        </w:rPr>
        <w:t>0</w:t>
      </w:r>
      <w:r w:rsidR="009349F2" w:rsidRPr="00804CD7">
        <w:rPr>
          <w:rFonts w:eastAsia="Times New Roman"/>
          <w:bCs/>
          <w:sz w:val="28"/>
          <w:szCs w:val="28"/>
          <w:u w:val="single"/>
          <w:lang w:eastAsia="lv-LV"/>
        </w:rPr>
        <w:t>,</w:t>
      </w:r>
      <w:r w:rsidR="00DC0A95" w:rsidRPr="00804CD7">
        <w:rPr>
          <w:rFonts w:eastAsia="Times New Roman"/>
          <w:bCs/>
          <w:sz w:val="28"/>
          <w:szCs w:val="28"/>
          <w:u w:val="single"/>
          <w:lang w:eastAsia="lv-LV"/>
        </w:rPr>
        <w:t>6</w:t>
      </w:r>
      <w:r w:rsidR="009349F2" w:rsidRPr="00804CD7">
        <w:rPr>
          <w:sz w:val="28"/>
          <w:u w:val="single"/>
        </w:rPr>
        <w:t xml:space="preserve"> milj. </w:t>
      </w:r>
      <w:r w:rsidR="009349F2" w:rsidRPr="00804CD7">
        <w:rPr>
          <w:i/>
          <w:sz w:val="28"/>
          <w:u w:val="single"/>
        </w:rPr>
        <w:t xml:space="preserve">euro) </w:t>
      </w:r>
      <w:r w:rsidR="00AD606E" w:rsidRPr="00804CD7">
        <w:rPr>
          <w:sz w:val="28"/>
          <w:u w:val="single"/>
        </w:rPr>
        <w:t xml:space="preserve">rada </w:t>
      </w:r>
      <w:r w:rsidR="00DC0A95" w:rsidRPr="00804CD7">
        <w:rPr>
          <w:rFonts w:eastAsia="Times New Roman"/>
          <w:bCs/>
          <w:sz w:val="28"/>
          <w:szCs w:val="28"/>
          <w:u w:val="single"/>
          <w:lang w:eastAsia="lv-LV"/>
        </w:rPr>
        <w:t>6,5</w:t>
      </w:r>
      <w:r w:rsidR="007C10D4" w:rsidRPr="00804CD7">
        <w:rPr>
          <w:sz w:val="28"/>
          <w:u w:val="single"/>
        </w:rPr>
        <w:t xml:space="preserve"> % </w:t>
      </w:r>
      <w:r w:rsidR="00782D81" w:rsidRPr="00804CD7">
        <w:rPr>
          <w:sz w:val="28"/>
          <w:u w:val="single"/>
        </w:rPr>
        <w:t>projektu (</w:t>
      </w:r>
      <w:r w:rsidR="00C2534E" w:rsidRPr="00804CD7">
        <w:rPr>
          <w:rFonts w:eastAsia="Times New Roman"/>
          <w:bCs/>
          <w:sz w:val="28"/>
          <w:szCs w:val="28"/>
          <w:u w:val="single"/>
          <w:lang w:eastAsia="lv-LV"/>
        </w:rPr>
        <w:t>septiņi</w:t>
      </w:r>
      <w:r w:rsidR="009349F2" w:rsidRPr="00804CD7">
        <w:rPr>
          <w:sz w:val="28"/>
          <w:u w:val="single"/>
        </w:rPr>
        <w:t xml:space="preserve">) ar negatīvu novirzi virs 0,2 milj. </w:t>
      </w:r>
      <w:r w:rsidR="009349F2" w:rsidRPr="00804CD7">
        <w:rPr>
          <w:i/>
          <w:sz w:val="28"/>
          <w:u w:val="single"/>
        </w:rPr>
        <w:t>euro</w:t>
      </w:r>
      <w:r w:rsidR="009349F2" w:rsidRPr="00804CD7">
        <w:rPr>
          <w:sz w:val="28"/>
        </w:rPr>
        <w:t xml:space="preserve">. </w:t>
      </w:r>
      <w:r w:rsidR="00CF6234" w:rsidRPr="00804CD7">
        <w:rPr>
          <w:rFonts w:cs="Times New Roman"/>
          <w:sz w:val="28"/>
          <w:szCs w:val="24"/>
        </w:rPr>
        <w:t>Atsaucoties uz iepriekšējā ikmēneša ziņojumā minēto, informējam, ka maksājumu plānu novirze Latvijas darba devēju konfederācijas (turpmāk – LDDK) projektā “Profesionālo izglītības iestāžu audzēkņu dalība darba vidē balstītās mācībās un mācību praksēs uzņēmumos” šajā pārskata periodā nav konstatēta (balstoties uz </w:t>
      </w:r>
      <w:r w:rsidR="00C2534E" w:rsidRPr="00804CD7">
        <w:rPr>
          <w:rFonts w:cs="Times New Roman"/>
          <w:sz w:val="28"/>
          <w:szCs w:val="24"/>
        </w:rPr>
        <w:t>2017. gada</w:t>
      </w:r>
      <w:r w:rsidR="00CF6234" w:rsidRPr="00804CD7">
        <w:rPr>
          <w:rFonts w:cs="Times New Roman"/>
          <w:sz w:val="28"/>
          <w:szCs w:val="24"/>
        </w:rPr>
        <w:t xml:space="preserve"> 29.</w:t>
      </w:r>
      <w:r w:rsidR="00C2534E" w:rsidRPr="00804CD7">
        <w:rPr>
          <w:rFonts w:cs="Times New Roman"/>
          <w:sz w:val="28"/>
          <w:szCs w:val="24"/>
        </w:rPr>
        <w:t> </w:t>
      </w:r>
      <w:r w:rsidR="00CF6234" w:rsidRPr="00804CD7">
        <w:rPr>
          <w:rFonts w:cs="Times New Roman"/>
          <w:sz w:val="28"/>
          <w:szCs w:val="24"/>
        </w:rPr>
        <w:t>maijā apstiprināto aktualizēto LDDK plānoto maksājumu pieprasījumu iesniegšanas grafiku), tomēr jānorāda, ka arī par būtiskiem uzlabojumiem projekta ieviešanā runāt nevar, ņemot vērā</w:t>
      </w:r>
      <w:r w:rsidR="00CF6234" w:rsidRPr="00804CD7">
        <w:rPr>
          <w:rFonts w:cs="Times New Roman"/>
          <w:sz w:val="28"/>
        </w:rPr>
        <w:t> iepriekšējā pārskata periodā </w:t>
      </w:r>
      <w:r w:rsidR="00CF6234" w:rsidRPr="00804CD7">
        <w:rPr>
          <w:rFonts w:cs="Times New Roman"/>
          <w:sz w:val="28"/>
          <w:szCs w:val="24"/>
        </w:rPr>
        <w:t>aktualizēto jautājumu par iespējamiem sis</w:t>
      </w:r>
      <w:r w:rsidR="009F6132">
        <w:rPr>
          <w:rFonts w:cs="Times New Roman"/>
          <w:sz w:val="28"/>
          <w:szCs w:val="24"/>
        </w:rPr>
        <w:t>tēmiskiem kavējošiem faktoriem.</w:t>
      </w:r>
      <w:r w:rsidR="00CF6234" w:rsidRPr="00804CD7">
        <w:rPr>
          <w:rFonts w:cs="Times New Roman"/>
          <w:sz w:val="28"/>
          <w:szCs w:val="24"/>
        </w:rPr>
        <w:t xml:space="preserve"> Tomēr, lai nodrošinātu sekmīgu projekta turpmāku ieviešanu un pēc iespējas</w:t>
      </w:r>
      <w:r w:rsidR="009F6132">
        <w:rPr>
          <w:rFonts w:cs="Times New Roman"/>
          <w:sz w:val="28"/>
          <w:szCs w:val="24"/>
        </w:rPr>
        <w:t xml:space="preserve"> novērstu projekta ieviešanas, </w:t>
      </w:r>
      <w:r w:rsidR="00CF6234" w:rsidRPr="00804CD7">
        <w:rPr>
          <w:rFonts w:cs="Times New Roman"/>
          <w:sz w:val="28"/>
          <w:szCs w:val="24"/>
        </w:rPr>
        <w:t xml:space="preserve">plānoto mērķu sasniegšanas šķēršļus, uzraudzības padomē, kas </w:t>
      </w:r>
      <w:r w:rsidR="00C2534E" w:rsidRPr="00804CD7">
        <w:rPr>
          <w:rFonts w:cs="Times New Roman"/>
          <w:sz w:val="28"/>
          <w:szCs w:val="24"/>
        </w:rPr>
        <w:t xml:space="preserve">Izglītības un zinātnes ministrijā (turpmāk – </w:t>
      </w:r>
      <w:r w:rsidR="00CF6234" w:rsidRPr="00804CD7">
        <w:rPr>
          <w:rFonts w:cs="Times New Roman"/>
          <w:sz w:val="28"/>
          <w:szCs w:val="24"/>
        </w:rPr>
        <w:t>IZM</w:t>
      </w:r>
      <w:r w:rsidR="00C2534E" w:rsidRPr="00804CD7">
        <w:rPr>
          <w:rFonts w:cs="Times New Roman"/>
          <w:sz w:val="28"/>
          <w:szCs w:val="24"/>
        </w:rPr>
        <w:t>)</w:t>
      </w:r>
      <w:r w:rsidR="00CF6234" w:rsidRPr="00804CD7">
        <w:rPr>
          <w:rFonts w:cs="Times New Roman"/>
          <w:sz w:val="28"/>
          <w:szCs w:val="24"/>
        </w:rPr>
        <w:t> noti</w:t>
      </w:r>
      <w:r w:rsidR="00C2534E" w:rsidRPr="00804CD7">
        <w:rPr>
          <w:rFonts w:cs="Times New Roman"/>
          <w:sz w:val="28"/>
          <w:szCs w:val="24"/>
        </w:rPr>
        <w:t>ka 2017</w:t>
      </w:r>
      <w:r w:rsidR="00CF6234" w:rsidRPr="00804CD7">
        <w:rPr>
          <w:rFonts w:cs="Times New Roman"/>
          <w:sz w:val="28"/>
          <w:szCs w:val="24"/>
        </w:rPr>
        <w:t>.</w:t>
      </w:r>
      <w:r w:rsidR="00C2534E" w:rsidRPr="00804CD7">
        <w:rPr>
          <w:rFonts w:cs="Times New Roman"/>
          <w:sz w:val="28"/>
          <w:szCs w:val="24"/>
        </w:rPr>
        <w:t> gada</w:t>
      </w:r>
      <w:r w:rsidR="00CF6234" w:rsidRPr="00804CD7">
        <w:rPr>
          <w:rFonts w:cs="Times New Roman"/>
          <w:sz w:val="28"/>
          <w:szCs w:val="24"/>
        </w:rPr>
        <w:t xml:space="preserve"> 20.</w:t>
      </w:r>
      <w:r w:rsidR="00C2534E" w:rsidRPr="00804CD7">
        <w:rPr>
          <w:rFonts w:cs="Times New Roman"/>
          <w:sz w:val="28"/>
          <w:szCs w:val="24"/>
        </w:rPr>
        <w:t> </w:t>
      </w:r>
      <w:r w:rsidR="00CF6234" w:rsidRPr="00804CD7">
        <w:rPr>
          <w:rFonts w:cs="Times New Roman"/>
          <w:sz w:val="28"/>
          <w:szCs w:val="24"/>
        </w:rPr>
        <w:t xml:space="preserve">jūnijā, tika lemts par regulāriem ceturkšņa uzraudzības pasākumiem, nākamo plānojot indikatīvi </w:t>
      </w:r>
      <w:r w:rsidR="00C2534E" w:rsidRPr="00804CD7">
        <w:rPr>
          <w:rFonts w:cs="Times New Roman"/>
          <w:sz w:val="28"/>
          <w:szCs w:val="24"/>
        </w:rPr>
        <w:t>2017. gada</w:t>
      </w:r>
      <w:r w:rsidR="00CF6234" w:rsidRPr="00804CD7">
        <w:rPr>
          <w:rFonts w:cs="Times New Roman"/>
          <w:sz w:val="28"/>
          <w:szCs w:val="24"/>
        </w:rPr>
        <w:t xml:space="preserve"> augusta beigās.</w:t>
      </w:r>
    </w:p>
    <w:p w14:paraId="2AE1F8EB" w14:textId="4D9D0ECC" w:rsidR="0014051E" w:rsidRPr="00804CD7" w:rsidRDefault="001E4FD4" w:rsidP="001116B4">
      <w:pPr>
        <w:pStyle w:val="ListParagraph"/>
        <w:numPr>
          <w:ilvl w:val="0"/>
          <w:numId w:val="35"/>
        </w:numPr>
        <w:suppressAutoHyphens/>
        <w:spacing w:before="120" w:after="120"/>
        <w:ind w:left="0" w:firstLine="426"/>
        <w:contextualSpacing w:val="0"/>
        <w:jc w:val="both"/>
      </w:pPr>
      <w:r w:rsidRPr="00804CD7">
        <w:rPr>
          <w:sz w:val="28"/>
        </w:rPr>
        <w:t xml:space="preserve">Detālu informāciju par kavējumiem skatīt ziņojuma </w:t>
      </w:r>
      <w:r w:rsidR="00C2534E" w:rsidRPr="00804CD7">
        <w:rPr>
          <w:rFonts w:eastAsia="Times New Roman"/>
          <w:bCs/>
          <w:sz w:val="28"/>
          <w:szCs w:val="28"/>
          <w:lang w:eastAsia="lv-LV"/>
        </w:rPr>
        <w:t>2</w:t>
      </w:r>
      <w:r w:rsidRPr="00804CD7">
        <w:rPr>
          <w:sz w:val="28"/>
        </w:rPr>
        <w:t>.</w:t>
      </w:r>
      <w:r w:rsidR="007138C2" w:rsidRPr="00804CD7">
        <w:rPr>
          <w:sz w:val="28"/>
        </w:rPr>
        <w:t> </w:t>
      </w:r>
      <w:r w:rsidR="000617E1" w:rsidRPr="00804CD7">
        <w:rPr>
          <w:sz w:val="28"/>
        </w:rPr>
        <w:t xml:space="preserve">pielikumā. </w:t>
      </w:r>
      <w:r w:rsidR="000617E1" w:rsidRPr="00804CD7">
        <w:rPr>
          <w:sz w:val="28"/>
          <w:szCs w:val="28"/>
        </w:rPr>
        <w:t xml:space="preserve">Apkopotās finansējuma saņēmēju </w:t>
      </w:r>
      <w:r w:rsidR="000617E1" w:rsidRPr="00804CD7">
        <w:rPr>
          <w:color w:val="000000"/>
          <w:sz w:val="28"/>
          <w:szCs w:val="28"/>
        </w:rPr>
        <w:t>projektu finanšu plūsmas nenorāda uz risku zaudēt piešķīrumu 2017.</w:t>
      </w:r>
      <w:r w:rsidR="00C2534E" w:rsidRPr="00804CD7">
        <w:rPr>
          <w:color w:val="000000"/>
          <w:sz w:val="28"/>
          <w:szCs w:val="28"/>
        </w:rPr>
        <w:t> </w:t>
      </w:r>
      <w:r w:rsidR="000617E1" w:rsidRPr="00804CD7">
        <w:rPr>
          <w:color w:val="000000"/>
          <w:sz w:val="28"/>
          <w:szCs w:val="28"/>
        </w:rPr>
        <w:t>gadā n+3 neizpildes dēļ, tomēr pastāv risks nesasniegt 2017.</w:t>
      </w:r>
      <w:r w:rsidR="00C2534E" w:rsidRPr="00804CD7">
        <w:rPr>
          <w:color w:val="000000"/>
          <w:sz w:val="28"/>
          <w:szCs w:val="28"/>
        </w:rPr>
        <w:t> </w:t>
      </w:r>
      <w:r w:rsidR="000617E1" w:rsidRPr="00804CD7">
        <w:rPr>
          <w:color w:val="000000"/>
          <w:sz w:val="28"/>
          <w:szCs w:val="28"/>
        </w:rPr>
        <w:t>gada budžeta plānu, t.sk. nodrošināt plānoto izaugsmes tempu. Ņ</w:t>
      </w:r>
      <w:r w:rsidR="00474753" w:rsidRPr="00804CD7">
        <w:rPr>
          <w:sz w:val="28"/>
        </w:rPr>
        <w:t>emot vērā iepriekš minēto projektu iesniegumu termiņu negatīvās novirzes, un jau konstatēto tendenci maksājumu plānu novirzēm, CFLA veiks pastiprinātu komunikāciju ar individuāliem projektu (ar ievērojamāku finanšu ietekmi) īstenotājiem</w:t>
      </w:r>
      <w:r w:rsidR="00025A42" w:rsidRPr="00804CD7">
        <w:rPr>
          <w:sz w:val="28"/>
        </w:rPr>
        <w:t xml:space="preserve"> (Satiksmes ministrijai</w:t>
      </w:r>
      <w:r w:rsidR="00C2534E" w:rsidRPr="00804CD7">
        <w:rPr>
          <w:sz w:val="28"/>
        </w:rPr>
        <w:t xml:space="preserve"> (turpmāk – SM)</w:t>
      </w:r>
      <w:r w:rsidR="00025A42" w:rsidRPr="00804CD7">
        <w:rPr>
          <w:sz w:val="28"/>
        </w:rPr>
        <w:t xml:space="preserve">, Nodarbinātības valsts aģentūru, pašvaldībām, </w:t>
      </w:r>
      <w:r w:rsidR="00C2534E" w:rsidRPr="00804CD7">
        <w:rPr>
          <w:color w:val="000000"/>
          <w:sz w:val="28"/>
          <w:szCs w:val="28"/>
        </w:rPr>
        <w:t>AS “Attīstības finanšu institūcija Altum”</w:t>
      </w:r>
      <w:r w:rsidR="00025A42" w:rsidRPr="00804CD7">
        <w:rPr>
          <w:sz w:val="28"/>
        </w:rPr>
        <w:t xml:space="preserve"> u.c. ceļu, nodarbinātības veicināšanas, energoefektivitātes, ūdenssaimniecības u.c. atbalsta mērķu ietvaros)</w:t>
      </w:r>
      <w:r w:rsidR="00474753" w:rsidRPr="00804CD7">
        <w:rPr>
          <w:sz w:val="28"/>
        </w:rPr>
        <w:t xml:space="preserve"> par iespējām paātrināt procesus, iespējami izzināt un palīdzēt novērst šķēršļus projektu ātrāki ieviešanai (t.sk.</w:t>
      </w:r>
      <w:r w:rsidR="00492CF2" w:rsidRPr="00804CD7">
        <w:rPr>
          <w:sz w:val="28"/>
        </w:rPr>
        <w:t xml:space="preserve"> </w:t>
      </w:r>
      <w:r w:rsidR="00474753" w:rsidRPr="00804CD7">
        <w:rPr>
          <w:sz w:val="28"/>
        </w:rPr>
        <w:t>naudas plūsmas intensificēšanai)</w:t>
      </w:r>
      <w:r w:rsidRPr="00804CD7">
        <w:rPr>
          <w:sz w:val="28"/>
        </w:rPr>
        <w:t xml:space="preserve">. </w:t>
      </w:r>
    </w:p>
    <w:p w14:paraId="7CD740DB" w14:textId="0C486B43" w:rsidR="00D111B2" w:rsidRPr="00CF5672" w:rsidRDefault="006E1296" w:rsidP="000741A6">
      <w:pPr>
        <w:numPr>
          <w:ilvl w:val="0"/>
          <w:numId w:val="1"/>
        </w:numPr>
        <w:tabs>
          <w:tab w:val="left" w:pos="0"/>
        </w:tabs>
        <w:spacing w:after="120"/>
        <w:ind w:left="0" w:firstLine="0"/>
        <w:contextualSpacing/>
        <w:jc w:val="both"/>
        <w:rPr>
          <w:color w:val="000000"/>
          <w:sz w:val="28"/>
          <w:szCs w:val="28"/>
        </w:rPr>
      </w:pPr>
      <w:r w:rsidRPr="00CF5672">
        <w:rPr>
          <w:sz w:val="28"/>
          <w:szCs w:val="28"/>
          <w:u w:val="single"/>
        </w:rPr>
        <w:lastRenderedPageBreak/>
        <w:t xml:space="preserve">2017. gada 17. maija </w:t>
      </w:r>
      <w:r w:rsidR="000741A6" w:rsidRPr="00CF5672">
        <w:rPr>
          <w:sz w:val="28"/>
          <w:szCs w:val="28"/>
          <w:u w:val="single"/>
        </w:rPr>
        <w:t>Sadarbības</w:t>
      </w:r>
      <w:r w:rsidR="000741A6" w:rsidRPr="00CF5672">
        <w:rPr>
          <w:rFonts w:eastAsia="Times New Roman"/>
          <w:sz w:val="28"/>
          <w:szCs w:val="28"/>
          <w:u w:val="single"/>
          <w:lang w:eastAsia="zh-CN"/>
        </w:rPr>
        <w:t xml:space="preserve"> partneru darba grupas</w:t>
      </w:r>
      <w:r w:rsidR="000741A6" w:rsidRPr="00CF5672">
        <w:rPr>
          <w:rFonts w:eastAsia="Times New Roman"/>
          <w:b/>
          <w:sz w:val="28"/>
          <w:szCs w:val="28"/>
          <w:lang w:eastAsia="zh-CN"/>
        </w:rPr>
        <w:t xml:space="preserve"> </w:t>
      </w:r>
      <w:r w:rsidR="000741A6" w:rsidRPr="00CF5672">
        <w:rPr>
          <w:rFonts w:eastAsia="Times New Roman"/>
          <w:sz w:val="28"/>
          <w:szCs w:val="28"/>
          <w:lang w:eastAsia="zh-CN"/>
        </w:rPr>
        <w:t>par Eiropas Savienības struktūrfondu un Kohēzijas fonda jautājumiem (</w:t>
      </w:r>
      <w:r w:rsidR="00AC1934" w:rsidRPr="00CF5672">
        <w:rPr>
          <w:rFonts w:eastAsia="Times New Roman"/>
          <w:sz w:val="28"/>
          <w:szCs w:val="28"/>
          <w:lang w:eastAsia="zh-CN"/>
        </w:rPr>
        <w:t xml:space="preserve">turpmāk - </w:t>
      </w:r>
      <w:r w:rsidR="000741A6" w:rsidRPr="00CF5672">
        <w:rPr>
          <w:rFonts w:eastAsia="Times New Roman"/>
          <w:sz w:val="28"/>
          <w:szCs w:val="28"/>
          <w:lang w:eastAsia="zh-CN"/>
        </w:rPr>
        <w:t>KDG) uzdevum</w:t>
      </w:r>
      <w:r w:rsidR="004436DC">
        <w:rPr>
          <w:rFonts w:eastAsia="Times New Roman"/>
          <w:sz w:val="28"/>
          <w:szCs w:val="28"/>
          <w:lang w:eastAsia="zh-CN"/>
        </w:rPr>
        <w:t xml:space="preserve">u izpildes </w:t>
      </w:r>
      <w:r w:rsidR="004A6D36">
        <w:rPr>
          <w:rFonts w:eastAsia="Times New Roman"/>
          <w:sz w:val="28"/>
          <w:szCs w:val="28"/>
          <w:lang w:eastAsia="zh-CN"/>
        </w:rPr>
        <w:t>progresa informācija</w:t>
      </w:r>
      <w:r w:rsidR="000741A6" w:rsidRPr="00CF5672">
        <w:rPr>
          <w:rFonts w:eastAsia="Times New Roman"/>
          <w:sz w:val="28"/>
          <w:szCs w:val="28"/>
          <w:lang w:eastAsia="zh-CN"/>
        </w:rPr>
        <w:t>:</w:t>
      </w:r>
    </w:p>
    <w:p w14:paraId="42F8FCDE" w14:textId="3DD1BFF9" w:rsidR="007E1F37" w:rsidRPr="001116B4" w:rsidRDefault="00FB1502" w:rsidP="001116B4">
      <w:pPr>
        <w:pStyle w:val="Header"/>
        <w:numPr>
          <w:ilvl w:val="1"/>
          <w:numId w:val="37"/>
        </w:numPr>
        <w:tabs>
          <w:tab w:val="clear" w:pos="4153"/>
          <w:tab w:val="clear" w:pos="8306"/>
        </w:tabs>
        <w:spacing w:before="120" w:after="120"/>
        <w:ind w:left="0" w:right="142" w:firstLine="426"/>
        <w:jc w:val="both"/>
        <w:rPr>
          <w:rFonts w:cs="Times New Roman"/>
          <w:szCs w:val="24"/>
        </w:rPr>
      </w:pPr>
      <w:r w:rsidRPr="006E7B21">
        <w:rPr>
          <w:bCs/>
          <w:sz w:val="28"/>
          <w:szCs w:val="28"/>
        </w:rPr>
        <w:t>Attiecībā uz</w:t>
      </w:r>
      <w:r w:rsidR="006E7B21" w:rsidRPr="006E7B21">
        <w:rPr>
          <w:bCs/>
          <w:sz w:val="28"/>
          <w:szCs w:val="28"/>
        </w:rPr>
        <w:t xml:space="preserve"> </w:t>
      </w:r>
      <w:r w:rsidR="00C2534E">
        <w:rPr>
          <w:bCs/>
          <w:sz w:val="28"/>
          <w:szCs w:val="28"/>
        </w:rPr>
        <w:t xml:space="preserve">Ekonomikas ministrijas (turpmāk – </w:t>
      </w:r>
      <w:r w:rsidR="006E7B21" w:rsidRPr="006E7B21">
        <w:rPr>
          <w:bCs/>
          <w:sz w:val="28"/>
          <w:szCs w:val="28"/>
        </w:rPr>
        <w:t>EM</w:t>
      </w:r>
      <w:r w:rsidR="00C2534E">
        <w:rPr>
          <w:bCs/>
          <w:sz w:val="28"/>
          <w:szCs w:val="28"/>
        </w:rPr>
        <w:t>)</w:t>
      </w:r>
      <w:r w:rsidRPr="006E7B21">
        <w:rPr>
          <w:bCs/>
          <w:sz w:val="28"/>
          <w:szCs w:val="28"/>
        </w:rPr>
        <w:t xml:space="preserve"> </w:t>
      </w:r>
      <w:r w:rsidR="0081039C" w:rsidRPr="006E7B21">
        <w:rPr>
          <w:sz w:val="28"/>
          <w:szCs w:val="28"/>
        </w:rPr>
        <w:t>4.2.1.2. pasākuma “</w:t>
      </w:r>
      <w:r w:rsidRPr="007E1F37">
        <w:rPr>
          <w:sz w:val="28"/>
          <w:szCs w:val="28"/>
          <w:u w:val="single"/>
        </w:rPr>
        <w:t>Veicināt energoefektivit</w:t>
      </w:r>
      <w:r w:rsidR="0081039C" w:rsidRPr="007E1F37">
        <w:rPr>
          <w:sz w:val="28"/>
          <w:szCs w:val="28"/>
          <w:u w:val="single"/>
        </w:rPr>
        <w:t>ātes paaugstināšanu valsts ēkās</w:t>
      </w:r>
      <w:r w:rsidR="0081039C" w:rsidRPr="006E7B21">
        <w:rPr>
          <w:sz w:val="28"/>
          <w:szCs w:val="28"/>
        </w:rPr>
        <w:t>”</w:t>
      </w:r>
      <w:r w:rsidRPr="006E7B21">
        <w:rPr>
          <w:sz w:val="28"/>
          <w:szCs w:val="28"/>
        </w:rPr>
        <w:t xml:space="preserve"> (turpmāk 4.2.1.2. pasākums) pirmās kārtas projektu (ERAF 70 milj</w:t>
      </w:r>
      <w:r w:rsidR="0081039C" w:rsidRPr="006E7B21">
        <w:rPr>
          <w:sz w:val="28"/>
          <w:szCs w:val="28"/>
        </w:rPr>
        <w:t>.</w:t>
      </w:r>
      <w:r w:rsidRPr="006E7B21">
        <w:rPr>
          <w:sz w:val="28"/>
          <w:szCs w:val="28"/>
        </w:rPr>
        <w:t xml:space="preserve"> </w:t>
      </w:r>
      <w:r w:rsidRPr="006E7B21">
        <w:rPr>
          <w:i/>
          <w:sz w:val="28"/>
          <w:szCs w:val="28"/>
        </w:rPr>
        <w:t>euro</w:t>
      </w:r>
      <w:r w:rsidRPr="006E7B21">
        <w:rPr>
          <w:sz w:val="28"/>
          <w:szCs w:val="28"/>
        </w:rPr>
        <w:t>) īstenošanu</w:t>
      </w:r>
      <w:r w:rsidR="000503A0">
        <w:rPr>
          <w:sz w:val="28"/>
          <w:szCs w:val="28"/>
        </w:rPr>
        <w:t xml:space="preserve"> šāds progress. </w:t>
      </w:r>
    </w:p>
    <w:p w14:paraId="1D19A763" w14:textId="42E053C2" w:rsidR="000503A0" w:rsidRDefault="000503A0" w:rsidP="001116B4">
      <w:pPr>
        <w:pStyle w:val="Header"/>
        <w:spacing w:before="120" w:after="120"/>
        <w:ind w:right="142"/>
        <w:jc w:val="both"/>
        <w:rPr>
          <w:rFonts w:cs="Times New Roman"/>
          <w:sz w:val="28"/>
          <w:szCs w:val="28"/>
        </w:rPr>
      </w:pPr>
      <w:r>
        <w:rPr>
          <w:rFonts w:cs="Times New Roman"/>
          <w:sz w:val="28"/>
          <w:szCs w:val="28"/>
        </w:rPr>
        <w:tab/>
      </w:r>
      <w:r w:rsidR="009F6132">
        <w:rPr>
          <w:rFonts w:cs="Times New Roman"/>
          <w:sz w:val="28"/>
          <w:szCs w:val="28"/>
        </w:rPr>
        <w:t>Līdz 2017. gada 27. jūnijam</w:t>
      </w:r>
      <w:r w:rsidR="00EA3415" w:rsidRPr="00EA3415">
        <w:rPr>
          <w:rFonts w:cs="Times New Roman"/>
          <w:sz w:val="28"/>
          <w:szCs w:val="28"/>
        </w:rPr>
        <w:t xml:space="preserve"> CFLA ir iesniegti 20 projektu iesniegumi (18 par IZM īpašumā esošām ēkām, </w:t>
      </w:r>
      <w:r w:rsidR="00C2534E">
        <w:rPr>
          <w:rFonts w:cs="Times New Roman"/>
          <w:sz w:val="28"/>
          <w:szCs w:val="28"/>
        </w:rPr>
        <w:t>viens</w:t>
      </w:r>
      <w:r w:rsidR="00EA3415" w:rsidRPr="00EA3415">
        <w:rPr>
          <w:rFonts w:cs="Times New Roman"/>
          <w:sz w:val="28"/>
          <w:szCs w:val="28"/>
        </w:rPr>
        <w:t xml:space="preserve"> par FM un </w:t>
      </w:r>
      <w:r w:rsidR="00C2534E">
        <w:rPr>
          <w:rFonts w:cs="Times New Roman"/>
          <w:sz w:val="28"/>
          <w:szCs w:val="28"/>
        </w:rPr>
        <w:t>viens</w:t>
      </w:r>
      <w:r w:rsidR="00EA3415" w:rsidRPr="00EA3415">
        <w:rPr>
          <w:rFonts w:cs="Times New Roman"/>
          <w:sz w:val="28"/>
          <w:szCs w:val="28"/>
        </w:rPr>
        <w:t xml:space="preserve"> par L</w:t>
      </w:r>
      <w:r w:rsidR="00C2534E">
        <w:rPr>
          <w:rFonts w:cs="Times New Roman"/>
          <w:sz w:val="28"/>
          <w:szCs w:val="28"/>
        </w:rPr>
        <w:t>abklājības ministrijas (turpmāk – LM)</w:t>
      </w:r>
      <w:r w:rsidR="00EA3415" w:rsidRPr="00EA3415">
        <w:rPr>
          <w:rFonts w:cs="Times New Roman"/>
          <w:sz w:val="28"/>
          <w:szCs w:val="28"/>
        </w:rPr>
        <w:t xml:space="preserve"> īpašumā esošu ēku), t.sk. par </w:t>
      </w:r>
      <w:r w:rsidR="00C2534E">
        <w:rPr>
          <w:rFonts w:cs="Times New Roman"/>
          <w:sz w:val="28"/>
          <w:szCs w:val="28"/>
        </w:rPr>
        <w:t>trīs</w:t>
      </w:r>
      <w:r w:rsidR="00EA3415" w:rsidRPr="00EA3415">
        <w:rPr>
          <w:rFonts w:cs="Times New Roman"/>
          <w:sz w:val="28"/>
          <w:szCs w:val="28"/>
        </w:rPr>
        <w:t xml:space="preserve"> projektiem ir noslēgti līgumi un </w:t>
      </w:r>
      <w:r w:rsidR="00C2534E">
        <w:rPr>
          <w:rFonts w:cs="Times New Roman"/>
          <w:sz w:val="28"/>
          <w:szCs w:val="28"/>
        </w:rPr>
        <w:t>divi</w:t>
      </w:r>
      <w:r w:rsidR="00EA3415" w:rsidRPr="00EA3415">
        <w:rPr>
          <w:rFonts w:cs="Times New Roman"/>
          <w:sz w:val="28"/>
          <w:szCs w:val="28"/>
        </w:rPr>
        <w:t xml:space="preserve"> projekti ir apstiprināti. Projektu iesniegumos iekļauto ēku kopējā platība ir 77 437,26 m</w:t>
      </w:r>
      <w:r w:rsidR="00EA3415" w:rsidRPr="00C2534E">
        <w:rPr>
          <w:rFonts w:cs="Times New Roman"/>
          <w:sz w:val="28"/>
          <w:szCs w:val="28"/>
          <w:vertAlign w:val="superscript"/>
        </w:rPr>
        <w:t>2</w:t>
      </w:r>
      <w:r w:rsidR="00EA3415" w:rsidRPr="00EA3415">
        <w:rPr>
          <w:rFonts w:cs="Times New Roman"/>
          <w:sz w:val="28"/>
          <w:szCs w:val="28"/>
        </w:rPr>
        <w:t xml:space="preserve"> un kopējais pieprasītā ERAF finansējuma apmērs ir 7 329 602,78 </w:t>
      </w:r>
      <w:r w:rsidR="00EA3415" w:rsidRPr="00C2534E">
        <w:rPr>
          <w:rFonts w:cs="Times New Roman"/>
          <w:i/>
          <w:sz w:val="28"/>
          <w:szCs w:val="28"/>
        </w:rPr>
        <w:t>euro</w:t>
      </w:r>
      <w:r w:rsidR="009F6132">
        <w:rPr>
          <w:rFonts w:cs="Times New Roman"/>
          <w:sz w:val="28"/>
          <w:szCs w:val="28"/>
        </w:rPr>
        <w:t xml:space="preserve">, kas veido </w:t>
      </w:r>
      <w:r w:rsidR="00EA3415" w:rsidRPr="00EA3415">
        <w:rPr>
          <w:rFonts w:cs="Times New Roman"/>
          <w:sz w:val="28"/>
          <w:szCs w:val="28"/>
        </w:rPr>
        <w:t xml:space="preserve">10,4 % no pieejamā ERAF. Mēneša laikā ir noslēgts </w:t>
      </w:r>
      <w:r w:rsidR="00C2534E">
        <w:rPr>
          <w:rFonts w:cs="Times New Roman"/>
          <w:sz w:val="28"/>
          <w:szCs w:val="28"/>
        </w:rPr>
        <w:t>viens</w:t>
      </w:r>
      <w:r w:rsidR="00EA3415" w:rsidRPr="00EA3415">
        <w:rPr>
          <w:rFonts w:cs="Times New Roman"/>
          <w:sz w:val="28"/>
          <w:szCs w:val="28"/>
        </w:rPr>
        <w:t xml:space="preserve"> jauns līgums</w:t>
      </w:r>
      <w:r w:rsidR="00EA3415">
        <w:rPr>
          <w:rFonts w:cs="Times New Roman"/>
          <w:sz w:val="28"/>
          <w:szCs w:val="28"/>
        </w:rPr>
        <w:t xml:space="preserve">. </w:t>
      </w:r>
    </w:p>
    <w:p w14:paraId="20304D63" w14:textId="3B1354B5" w:rsidR="000503A0" w:rsidRDefault="00EA3415" w:rsidP="001116B4">
      <w:pPr>
        <w:pStyle w:val="Header"/>
        <w:spacing w:before="120" w:after="120"/>
        <w:ind w:right="142"/>
        <w:jc w:val="both"/>
        <w:rPr>
          <w:rFonts w:cs="Times New Roman"/>
          <w:sz w:val="28"/>
          <w:szCs w:val="28"/>
        </w:rPr>
      </w:pPr>
      <w:r w:rsidRPr="008C6958">
        <w:rPr>
          <w:rFonts w:cs="Times New Roman"/>
          <w:sz w:val="28"/>
          <w:szCs w:val="28"/>
        </w:rPr>
        <w:t>2017</w:t>
      </w:r>
      <w:r w:rsidRPr="00EA3415">
        <w:rPr>
          <w:rFonts w:cs="Times New Roman"/>
          <w:sz w:val="28"/>
          <w:szCs w:val="28"/>
        </w:rPr>
        <w:t>.gada 20.</w:t>
      </w:r>
      <w:r w:rsidR="00C2534E">
        <w:rPr>
          <w:rFonts w:cs="Times New Roman"/>
          <w:sz w:val="28"/>
          <w:szCs w:val="28"/>
        </w:rPr>
        <w:t> </w:t>
      </w:r>
      <w:r w:rsidRPr="00EA3415">
        <w:rPr>
          <w:rFonts w:cs="Times New Roman"/>
          <w:sz w:val="28"/>
          <w:szCs w:val="28"/>
        </w:rPr>
        <w:t xml:space="preserve">jūnijā MK tika izskatīti grozījumi MK 2016.gada 9.augusta noteikumos Nr.534 “Darbības programmas </w:t>
      </w:r>
      <w:r w:rsidR="00C2534E">
        <w:rPr>
          <w:rFonts w:cs="Times New Roman"/>
          <w:sz w:val="28"/>
          <w:szCs w:val="28"/>
        </w:rPr>
        <w:t>“</w:t>
      </w:r>
      <w:r w:rsidRPr="00EA3415">
        <w:rPr>
          <w:rFonts w:cs="Times New Roman"/>
          <w:sz w:val="28"/>
          <w:szCs w:val="28"/>
        </w:rPr>
        <w:t>Izaugsme un nodarbinātība</w:t>
      </w:r>
      <w:r w:rsidR="00C2534E">
        <w:rPr>
          <w:rFonts w:cs="Times New Roman"/>
          <w:sz w:val="28"/>
          <w:szCs w:val="28"/>
        </w:rPr>
        <w:t>”</w:t>
      </w:r>
      <w:r w:rsidRPr="00EA3415">
        <w:rPr>
          <w:rFonts w:cs="Times New Roman"/>
          <w:sz w:val="28"/>
          <w:szCs w:val="28"/>
        </w:rPr>
        <w:t xml:space="preserve"> 4.2.1. specifiskā atbalsta mērķa </w:t>
      </w:r>
      <w:r w:rsidR="00C2534E">
        <w:rPr>
          <w:rFonts w:cs="Times New Roman"/>
          <w:sz w:val="28"/>
          <w:szCs w:val="28"/>
        </w:rPr>
        <w:t>“</w:t>
      </w:r>
      <w:r w:rsidRPr="00EA3415">
        <w:rPr>
          <w:rFonts w:cs="Times New Roman"/>
          <w:sz w:val="28"/>
          <w:szCs w:val="28"/>
        </w:rPr>
        <w:t>Veicināt energoefektivitātes paaugstināšanu valsts un dzīvojamās ēkās</w:t>
      </w:r>
      <w:r w:rsidR="00C2534E">
        <w:rPr>
          <w:rFonts w:cs="Times New Roman"/>
          <w:sz w:val="28"/>
          <w:szCs w:val="28"/>
        </w:rPr>
        <w:t>”</w:t>
      </w:r>
      <w:r w:rsidRPr="00EA3415">
        <w:rPr>
          <w:rFonts w:cs="Times New Roman"/>
          <w:sz w:val="28"/>
          <w:szCs w:val="28"/>
        </w:rPr>
        <w:t xml:space="preserve"> 4.2.1.2. pasākuma </w:t>
      </w:r>
      <w:r w:rsidR="00C2534E">
        <w:rPr>
          <w:rFonts w:cs="Times New Roman"/>
          <w:sz w:val="28"/>
          <w:szCs w:val="28"/>
        </w:rPr>
        <w:t>“</w:t>
      </w:r>
      <w:r w:rsidRPr="00EA3415">
        <w:rPr>
          <w:rFonts w:cs="Times New Roman"/>
          <w:sz w:val="28"/>
          <w:szCs w:val="28"/>
        </w:rPr>
        <w:t>Veicināt energoefektivitātes paaugstināšanu valsts ēkās</w:t>
      </w:r>
      <w:r w:rsidR="00C2534E">
        <w:rPr>
          <w:rFonts w:cs="Times New Roman"/>
          <w:sz w:val="28"/>
          <w:szCs w:val="28"/>
        </w:rPr>
        <w:t>”</w:t>
      </w:r>
      <w:r w:rsidRPr="00EA3415">
        <w:rPr>
          <w:rFonts w:cs="Times New Roman"/>
          <w:sz w:val="28"/>
          <w:szCs w:val="28"/>
        </w:rPr>
        <w:t xml:space="preserve"> pirmās projektu iesniegumu atlases kārtas īstenošanas noteikumi”</w:t>
      </w:r>
      <w:r w:rsidR="00696620">
        <w:rPr>
          <w:rStyle w:val="FootnoteReference"/>
          <w:rFonts w:cs="Times New Roman"/>
          <w:sz w:val="28"/>
          <w:szCs w:val="28"/>
        </w:rPr>
        <w:footnoteReference w:id="8"/>
      </w:r>
      <w:r w:rsidRPr="00EA3415">
        <w:rPr>
          <w:rFonts w:cs="Times New Roman"/>
          <w:sz w:val="28"/>
          <w:szCs w:val="28"/>
        </w:rPr>
        <w:t xml:space="preserve"> . MK noteikumu grozījumi paredz būtiskus uzlabojumus, lai uzlabotu 4.2.1.2. pasākuma īstenošanu, risinot projektu īstenotāju pieteiktās problēmas. Attiecīgi EM lūgs projektu iesniedzējus pārskatīt p</w:t>
      </w:r>
      <w:r w:rsidR="009F6132">
        <w:rPr>
          <w:rFonts w:cs="Times New Roman"/>
          <w:sz w:val="28"/>
          <w:szCs w:val="28"/>
        </w:rPr>
        <w:t>rojektu īstenošanas aspektus un</w:t>
      </w:r>
      <w:r w:rsidRPr="00EA3415">
        <w:rPr>
          <w:rFonts w:cs="Times New Roman"/>
          <w:sz w:val="28"/>
          <w:szCs w:val="28"/>
        </w:rPr>
        <w:t xml:space="preserve"> iesniegt aktualizētos plānus projektu iesniegšanas termiņos un naudas plūsmā. Pēc MK noteikumu grozījumu apstiprināšanas tiks apstiprināti arī IZM iesniegtie projektu pieteikumi</w:t>
      </w:r>
      <w:r w:rsidR="000503A0">
        <w:rPr>
          <w:rFonts w:cs="Times New Roman"/>
          <w:sz w:val="28"/>
          <w:szCs w:val="28"/>
        </w:rPr>
        <w:t xml:space="preserve"> (</w:t>
      </w:r>
      <w:r w:rsidR="007E1F37">
        <w:rPr>
          <w:rFonts w:cs="Times New Roman"/>
          <w:sz w:val="28"/>
          <w:szCs w:val="28"/>
        </w:rPr>
        <w:t xml:space="preserve">atrisinās jautājums </w:t>
      </w:r>
      <w:r w:rsidRPr="00EA3415">
        <w:rPr>
          <w:rFonts w:cs="Times New Roman"/>
          <w:sz w:val="28"/>
          <w:szCs w:val="28"/>
        </w:rPr>
        <w:t>par papildinošās saimnieciskās darbības ierobežojumiem</w:t>
      </w:r>
      <w:r w:rsidR="007E1F37">
        <w:rPr>
          <w:rFonts w:cs="Times New Roman"/>
          <w:sz w:val="28"/>
          <w:szCs w:val="28"/>
        </w:rPr>
        <w:t>)</w:t>
      </w:r>
      <w:r w:rsidRPr="00EA3415">
        <w:rPr>
          <w:rFonts w:cs="Times New Roman"/>
          <w:sz w:val="28"/>
          <w:szCs w:val="28"/>
        </w:rPr>
        <w:t>.</w:t>
      </w:r>
    </w:p>
    <w:p w14:paraId="5DD34098" w14:textId="2D6BEB58" w:rsidR="006E7B21" w:rsidRPr="00D14239" w:rsidRDefault="00EA3415" w:rsidP="001116B4">
      <w:pPr>
        <w:pStyle w:val="Header"/>
        <w:spacing w:before="120" w:after="120"/>
        <w:ind w:right="142"/>
        <w:jc w:val="both"/>
        <w:rPr>
          <w:rFonts w:cs="Times New Roman"/>
          <w:sz w:val="28"/>
          <w:szCs w:val="28"/>
        </w:rPr>
      </w:pPr>
      <w:r w:rsidRPr="00D14239">
        <w:rPr>
          <w:rFonts w:cs="Times New Roman"/>
          <w:sz w:val="28"/>
          <w:szCs w:val="28"/>
        </w:rPr>
        <w:t>Vienlaikus EM apkopojums no ministrijām par projektu iesniegšanas termiņiem un plānoto ERAF finansējuma finanšu plūsmu prognozi, ņemot vērā projektu termiņu pagarinājumus atbilstoši izmaiņām – uzlabojumiem īstenošanas nosacījumos, liecina, ka tiek plānots, ka MK noteikumos noteiktais sertificēto izdevumu apmērs 2018.</w:t>
      </w:r>
      <w:r w:rsidR="00C2534E" w:rsidRPr="00D14239">
        <w:rPr>
          <w:rFonts w:cs="Times New Roman"/>
          <w:sz w:val="28"/>
          <w:szCs w:val="28"/>
        </w:rPr>
        <w:t> </w:t>
      </w:r>
      <w:r w:rsidRPr="00D14239">
        <w:rPr>
          <w:rFonts w:cs="Times New Roman"/>
          <w:sz w:val="28"/>
          <w:szCs w:val="28"/>
        </w:rPr>
        <w:t>gadā tiks izpildīts. Attiecībā uz LM iesniedzamajiem projektiem 2017.</w:t>
      </w:r>
      <w:r w:rsidR="00C2534E" w:rsidRPr="00D14239">
        <w:rPr>
          <w:rFonts w:cs="Times New Roman"/>
          <w:sz w:val="28"/>
          <w:szCs w:val="28"/>
        </w:rPr>
        <w:t> </w:t>
      </w:r>
      <w:r w:rsidRPr="00D14239">
        <w:rPr>
          <w:rFonts w:cs="Times New Roman"/>
          <w:sz w:val="28"/>
          <w:szCs w:val="28"/>
        </w:rPr>
        <w:t xml:space="preserve">gadā EM ir informēta un prognozēs rēķinās, ka lielākā daļa projektu tiks iesniegti CFLA plānotajā pagarinātajā termiņā (t.sk. ņemot vērā izmaiņas – uzlabojumus ieviešanas nosacījumos), </w:t>
      </w:r>
      <w:r w:rsidR="00C2534E" w:rsidRPr="00D14239">
        <w:rPr>
          <w:rFonts w:cs="Times New Roman"/>
          <w:sz w:val="28"/>
          <w:szCs w:val="28"/>
        </w:rPr>
        <w:t>divu</w:t>
      </w:r>
      <w:r w:rsidRPr="00D14239">
        <w:rPr>
          <w:rFonts w:cs="Times New Roman"/>
          <w:sz w:val="28"/>
          <w:szCs w:val="28"/>
        </w:rPr>
        <w:t xml:space="preserve"> projektu iesniegumu tehniskā dokumentācija tiek precizēta, lai nodrošinātu augstāku CFLA iesniedzamo projektu kvalitāti.</w:t>
      </w:r>
    </w:p>
    <w:p w14:paraId="30B3D04B" w14:textId="27A0C063" w:rsidR="00D04A72" w:rsidRPr="00567322" w:rsidRDefault="00F639E8" w:rsidP="001116B4">
      <w:pPr>
        <w:pStyle w:val="Header"/>
        <w:numPr>
          <w:ilvl w:val="1"/>
          <w:numId w:val="37"/>
        </w:numPr>
        <w:tabs>
          <w:tab w:val="clear" w:pos="4153"/>
          <w:tab w:val="clear" w:pos="8306"/>
        </w:tabs>
        <w:ind w:left="0" w:right="140" w:firstLine="426"/>
        <w:jc w:val="both"/>
        <w:rPr>
          <w:sz w:val="28"/>
          <w:szCs w:val="28"/>
        </w:rPr>
      </w:pPr>
      <w:r w:rsidRPr="00492CF2">
        <w:rPr>
          <w:sz w:val="28"/>
          <w:szCs w:val="28"/>
        </w:rPr>
        <w:t xml:space="preserve">MK 2017. gada 6. jūnija </w:t>
      </w:r>
      <w:r w:rsidR="00E9213D">
        <w:rPr>
          <w:sz w:val="28"/>
          <w:szCs w:val="28"/>
        </w:rPr>
        <w:t xml:space="preserve">MK </w:t>
      </w:r>
      <w:r w:rsidRPr="00492CF2">
        <w:rPr>
          <w:sz w:val="28"/>
          <w:szCs w:val="28"/>
        </w:rPr>
        <w:t>sēdē a</w:t>
      </w:r>
      <w:r w:rsidR="00E0257E" w:rsidRPr="00492CF2">
        <w:rPr>
          <w:sz w:val="28"/>
          <w:szCs w:val="28"/>
        </w:rPr>
        <w:t>tbalstī</w:t>
      </w:r>
      <w:r w:rsidR="006B280A" w:rsidRPr="00492CF2">
        <w:rPr>
          <w:sz w:val="28"/>
          <w:szCs w:val="28"/>
        </w:rPr>
        <w:t>t</w:t>
      </w:r>
      <w:r w:rsidRPr="00492CF2">
        <w:rPr>
          <w:sz w:val="28"/>
          <w:szCs w:val="28"/>
        </w:rPr>
        <w:t>i</w:t>
      </w:r>
      <w:r w:rsidR="00E0257E" w:rsidRPr="00492CF2">
        <w:rPr>
          <w:sz w:val="28"/>
          <w:szCs w:val="28"/>
        </w:rPr>
        <w:t xml:space="preserve"> </w:t>
      </w:r>
      <w:r w:rsidR="00C2534E">
        <w:rPr>
          <w:rFonts w:cs="Times New Roman"/>
          <w:bCs/>
          <w:sz w:val="28"/>
          <w:szCs w:val="28"/>
        </w:rPr>
        <w:t>SM</w:t>
      </w:r>
      <w:r w:rsidRPr="00492CF2">
        <w:rPr>
          <w:rFonts w:cs="Times New Roman"/>
          <w:bCs/>
          <w:sz w:val="28"/>
          <w:szCs w:val="28"/>
        </w:rPr>
        <w:t xml:space="preserve"> virzītie MK noteikumu grozījumu</w:t>
      </w:r>
      <w:r w:rsidR="00E0257E" w:rsidRPr="00492CF2">
        <w:rPr>
          <w:rFonts w:cs="Times New Roman"/>
          <w:bCs/>
          <w:sz w:val="28"/>
          <w:szCs w:val="28"/>
        </w:rPr>
        <w:t xml:space="preserve"> </w:t>
      </w:r>
      <w:r w:rsidR="006F7622" w:rsidRPr="00492CF2">
        <w:rPr>
          <w:sz w:val="28"/>
          <w:szCs w:val="28"/>
        </w:rPr>
        <w:t>priekšlikum</w:t>
      </w:r>
      <w:r w:rsidRPr="00492CF2">
        <w:rPr>
          <w:sz w:val="28"/>
          <w:szCs w:val="28"/>
        </w:rPr>
        <w:t>i</w:t>
      </w:r>
      <w:r w:rsidR="00E0257E" w:rsidRPr="00492CF2">
        <w:rPr>
          <w:sz w:val="28"/>
          <w:szCs w:val="28"/>
        </w:rPr>
        <w:t xml:space="preserve"> finansējuma pārdalēm</w:t>
      </w:r>
      <w:r w:rsidR="006F7622" w:rsidRPr="00E9213D">
        <w:rPr>
          <w:sz w:val="28"/>
          <w:szCs w:val="28"/>
        </w:rPr>
        <w:t xml:space="preserve"> 6.1.4.1.</w:t>
      </w:r>
      <w:r w:rsidR="0036342A" w:rsidRPr="00E9213D">
        <w:rPr>
          <w:sz w:val="28"/>
          <w:szCs w:val="28"/>
        </w:rPr>
        <w:t> </w:t>
      </w:r>
      <w:r w:rsidR="006F7622" w:rsidRPr="00E9213D">
        <w:rPr>
          <w:sz w:val="28"/>
          <w:szCs w:val="28"/>
        </w:rPr>
        <w:t xml:space="preserve">pasākumā </w:t>
      </w:r>
      <w:r w:rsidR="006F7622" w:rsidRPr="00E9213D">
        <w:rPr>
          <w:rFonts w:cs="Times New Roman"/>
          <w:sz w:val="28"/>
          <w:szCs w:val="28"/>
        </w:rPr>
        <w:t>“Rīgas ostas un pilsētas integrēšana TEN-T tīklā” pieejam</w:t>
      </w:r>
      <w:r w:rsidR="00AB78B5" w:rsidRPr="007F23A6">
        <w:rPr>
          <w:rFonts w:cs="Times New Roman"/>
          <w:sz w:val="28"/>
          <w:szCs w:val="28"/>
        </w:rPr>
        <w:t>ā</w:t>
      </w:r>
      <w:r w:rsidR="0036342A" w:rsidRPr="00C64D09">
        <w:rPr>
          <w:rFonts w:cs="Times New Roman"/>
          <w:sz w:val="28"/>
          <w:szCs w:val="28"/>
        </w:rPr>
        <w:t xml:space="preserve"> </w:t>
      </w:r>
      <w:r w:rsidR="00C2534E">
        <w:rPr>
          <w:rFonts w:cs="Times New Roman"/>
          <w:sz w:val="28"/>
          <w:szCs w:val="28"/>
        </w:rPr>
        <w:t>KF</w:t>
      </w:r>
      <w:r w:rsidR="006F7622" w:rsidRPr="00FA6657">
        <w:rPr>
          <w:rFonts w:cs="Times New Roman"/>
          <w:sz w:val="28"/>
          <w:szCs w:val="28"/>
        </w:rPr>
        <w:t xml:space="preserve"> 46,6 milj. </w:t>
      </w:r>
      <w:r w:rsidR="006F7622" w:rsidRPr="00FA6657">
        <w:rPr>
          <w:rFonts w:cs="Times New Roman"/>
          <w:i/>
          <w:sz w:val="28"/>
          <w:szCs w:val="28"/>
        </w:rPr>
        <w:t xml:space="preserve">euro </w:t>
      </w:r>
      <w:r w:rsidR="00C9355E" w:rsidRPr="00195F5C">
        <w:rPr>
          <w:sz w:val="28"/>
          <w:szCs w:val="28"/>
        </w:rPr>
        <w:t>finansējuma izlietojumam: (1) 24 milj</w:t>
      </w:r>
      <w:r w:rsidR="0036342A" w:rsidRPr="00195F5C">
        <w:rPr>
          <w:sz w:val="28"/>
          <w:szCs w:val="28"/>
        </w:rPr>
        <w:t>.</w:t>
      </w:r>
      <w:r w:rsidR="00C9355E" w:rsidRPr="00E9213D">
        <w:rPr>
          <w:sz w:val="28"/>
          <w:szCs w:val="28"/>
        </w:rPr>
        <w:t xml:space="preserve"> </w:t>
      </w:r>
      <w:r w:rsidR="00C9355E" w:rsidRPr="00E9213D">
        <w:rPr>
          <w:i/>
          <w:sz w:val="28"/>
          <w:szCs w:val="28"/>
        </w:rPr>
        <w:t xml:space="preserve">euro </w:t>
      </w:r>
      <w:r w:rsidR="00C9355E" w:rsidRPr="00E9213D">
        <w:rPr>
          <w:sz w:val="28"/>
          <w:szCs w:val="28"/>
        </w:rPr>
        <w:t>saglabā</w:t>
      </w:r>
      <w:r w:rsidRPr="00E9213D">
        <w:rPr>
          <w:sz w:val="28"/>
          <w:szCs w:val="28"/>
        </w:rPr>
        <w:t>jo</w:t>
      </w:r>
      <w:r w:rsidR="00C9355E" w:rsidRPr="00E9213D">
        <w:rPr>
          <w:sz w:val="28"/>
          <w:szCs w:val="28"/>
        </w:rPr>
        <w:t>t investīcijām 6.</w:t>
      </w:r>
      <w:r w:rsidR="00C9355E" w:rsidRPr="00567322">
        <w:rPr>
          <w:sz w:val="28"/>
          <w:szCs w:val="28"/>
        </w:rPr>
        <w:t>1.4.1.</w:t>
      </w:r>
      <w:r w:rsidR="00AC1934" w:rsidRPr="00567322">
        <w:rPr>
          <w:sz w:val="28"/>
          <w:szCs w:val="28"/>
        </w:rPr>
        <w:t> </w:t>
      </w:r>
      <w:r w:rsidR="007C10D4" w:rsidRPr="00567322">
        <w:rPr>
          <w:sz w:val="28"/>
          <w:szCs w:val="28"/>
        </w:rPr>
        <w:t>pasākumā; (2)</w:t>
      </w:r>
      <w:r w:rsidR="00C9355E" w:rsidRPr="00567322">
        <w:rPr>
          <w:sz w:val="28"/>
          <w:szCs w:val="28"/>
        </w:rPr>
        <w:t xml:space="preserve"> </w:t>
      </w:r>
      <w:r w:rsidR="00C9355E" w:rsidRPr="00567322">
        <w:rPr>
          <w:sz w:val="28"/>
          <w:szCs w:val="28"/>
        </w:rPr>
        <w:lastRenderedPageBreak/>
        <w:t>15,2 milj</w:t>
      </w:r>
      <w:r w:rsidR="0036342A" w:rsidRPr="00567322">
        <w:rPr>
          <w:sz w:val="28"/>
          <w:szCs w:val="28"/>
        </w:rPr>
        <w:t>.</w:t>
      </w:r>
      <w:r w:rsidR="00C9355E" w:rsidRPr="00567322">
        <w:rPr>
          <w:sz w:val="28"/>
          <w:szCs w:val="28"/>
        </w:rPr>
        <w:t xml:space="preserve"> </w:t>
      </w:r>
      <w:r w:rsidR="00C9355E" w:rsidRPr="00567322">
        <w:rPr>
          <w:i/>
          <w:sz w:val="28"/>
          <w:szCs w:val="28"/>
        </w:rPr>
        <w:t>euro</w:t>
      </w:r>
      <w:r w:rsidR="00C9355E" w:rsidRPr="00567322">
        <w:rPr>
          <w:sz w:val="28"/>
          <w:szCs w:val="28"/>
        </w:rPr>
        <w:t xml:space="preserve"> </w:t>
      </w:r>
      <w:r w:rsidR="006F7622" w:rsidRPr="00567322">
        <w:rPr>
          <w:sz w:val="28"/>
          <w:szCs w:val="28"/>
        </w:rPr>
        <w:t>pārdal</w:t>
      </w:r>
      <w:r w:rsidRPr="00567322">
        <w:rPr>
          <w:sz w:val="28"/>
          <w:szCs w:val="28"/>
        </w:rPr>
        <w:t>o</w:t>
      </w:r>
      <w:r w:rsidR="00C9355E" w:rsidRPr="00567322">
        <w:rPr>
          <w:sz w:val="28"/>
          <w:szCs w:val="28"/>
        </w:rPr>
        <w:t>t</w:t>
      </w:r>
      <w:r w:rsidR="006F7622" w:rsidRPr="00567322">
        <w:rPr>
          <w:sz w:val="28"/>
          <w:szCs w:val="28"/>
        </w:rPr>
        <w:t xml:space="preserve"> uz 6.1.1.</w:t>
      </w:r>
      <w:r w:rsidR="00AC1934" w:rsidRPr="00567322">
        <w:rPr>
          <w:sz w:val="28"/>
          <w:szCs w:val="28"/>
        </w:rPr>
        <w:t> </w:t>
      </w:r>
      <w:r w:rsidR="006F7622" w:rsidRPr="00567322">
        <w:rPr>
          <w:sz w:val="28"/>
          <w:szCs w:val="28"/>
        </w:rPr>
        <w:t>SAM</w:t>
      </w:r>
      <w:r w:rsidR="006F7622" w:rsidRPr="00567322">
        <w:rPr>
          <w:rStyle w:val="FootnoteReference"/>
          <w:sz w:val="28"/>
          <w:szCs w:val="28"/>
        </w:rPr>
        <w:footnoteReference w:id="9"/>
      </w:r>
      <w:r w:rsidR="00C9355E" w:rsidRPr="00567322">
        <w:rPr>
          <w:sz w:val="28"/>
          <w:szCs w:val="28"/>
        </w:rPr>
        <w:t>; (3) 7,2 milj</w:t>
      </w:r>
      <w:r w:rsidR="0036342A" w:rsidRPr="00567322">
        <w:rPr>
          <w:sz w:val="28"/>
          <w:szCs w:val="28"/>
        </w:rPr>
        <w:t>.</w:t>
      </w:r>
      <w:r w:rsidR="00C9355E" w:rsidRPr="00567322">
        <w:rPr>
          <w:sz w:val="28"/>
          <w:szCs w:val="28"/>
        </w:rPr>
        <w:t xml:space="preserve"> </w:t>
      </w:r>
      <w:r w:rsidR="00C9355E" w:rsidRPr="00567322">
        <w:rPr>
          <w:i/>
          <w:sz w:val="28"/>
          <w:szCs w:val="28"/>
        </w:rPr>
        <w:t>euro</w:t>
      </w:r>
      <w:r w:rsidR="00C9355E" w:rsidRPr="00567322">
        <w:rPr>
          <w:sz w:val="28"/>
          <w:szCs w:val="28"/>
        </w:rPr>
        <w:t xml:space="preserve"> pārdal</w:t>
      </w:r>
      <w:r w:rsidR="00C2534E">
        <w:rPr>
          <w:sz w:val="28"/>
          <w:szCs w:val="28"/>
        </w:rPr>
        <w:t>o</w:t>
      </w:r>
      <w:r w:rsidR="00C9355E" w:rsidRPr="00567322">
        <w:rPr>
          <w:sz w:val="28"/>
          <w:szCs w:val="28"/>
        </w:rPr>
        <w:t xml:space="preserve">t uz </w:t>
      </w:r>
      <w:r w:rsidR="006F7622" w:rsidRPr="00567322">
        <w:rPr>
          <w:sz w:val="28"/>
          <w:szCs w:val="28"/>
        </w:rPr>
        <w:t>6.1.4.2.</w:t>
      </w:r>
      <w:r w:rsidR="0036342A" w:rsidRPr="00567322">
        <w:rPr>
          <w:sz w:val="28"/>
          <w:szCs w:val="28"/>
        </w:rPr>
        <w:t> </w:t>
      </w:r>
      <w:r w:rsidR="006F7622" w:rsidRPr="00567322">
        <w:rPr>
          <w:sz w:val="28"/>
          <w:szCs w:val="28"/>
        </w:rPr>
        <w:t>pasākumu</w:t>
      </w:r>
      <w:r w:rsidR="006F7622" w:rsidRPr="00567322">
        <w:rPr>
          <w:rStyle w:val="FootnoteReference"/>
          <w:sz w:val="28"/>
          <w:szCs w:val="28"/>
        </w:rPr>
        <w:footnoteReference w:id="10"/>
      </w:r>
      <w:r w:rsidR="00C9355E" w:rsidRPr="00567322">
        <w:rPr>
          <w:sz w:val="28"/>
          <w:szCs w:val="28"/>
        </w:rPr>
        <w:t>.</w:t>
      </w:r>
    </w:p>
    <w:p w14:paraId="6C3E8EC9" w14:textId="77777777" w:rsidR="000503A0" w:rsidRDefault="00430BC5" w:rsidP="001116B4">
      <w:pPr>
        <w:pStyle w:val="FootnoteText"/>
        <w:numPr>
          <w:ilvl w:val="1"/>
          <w:numId w:val="37"/>
        </w:numPr>
        <w:tabs>
          <w:tab w:val="left" w:pos="709"/>
        </w:tabs>
        <w:spacing w:before="120" w:after="120"/>
        <w:ind w:left="0" w:firstLine="426"/>
        <w:jc w:val="both"/>
        <w:rPr>
          <w:sz w:val="28"/>
          <w:szCs w:val="28"/>
        </w:rPr>
      </w:pPr>
      <w:r w:rsidRPr="00567322">
        <w:rPr>
          <w:sz w:val="28"/>
          <w:szCs w:val="28"/>
        </w:rPr>
        <w:t xml:space="preserve">Attiecībā uz </w:t>
      </w:r>
      <w:r w:rsidRPr="00567322">
        <w:rPr>
          <w:sz w:val="28"/>
          <w:szCs w:val="28"/>
          <w:u w:val="single"/>
        </w:rPr>
        <w:t>IKT</w:t>
      </w:r>
      <w:r w:rsidRPr="00567322">
        <w:rPr>
          <w:rStyle w:val="FootnoteReference"/>
          <w:sz w:val="28"/>
          <w:szCs w:val="28"/>
          <w:u w:val="single"/>
        </w:rPr>
        <w:footnoteReference w:id="11"/>
      </w:r>
      <w:r w:rsidRPr="00567322">
        <w:rPr>
          <w:sz w:val="28"/>
          <w:szCs w:val="28"/>
          <w:u w:val="single"/>
        </w:rPr>
        <w:t xml:space="preserve"> pasākumu ieviešanas progresu un priekšlikumiem</w:t>
      </w:r>
      <w:r w:rsidRPr="00567322">
        <w:rPr>
          <w:sz w:val="28"/>
          <w:szCs w:val="28"/>
        </w:rPr>
        <w:t xml:space="preserve"> efektīvas pr</w:t>
      </w:r>
      <w:r w:rsidR="000503A0">
        <w:rPr>
          <w:sz w:val="28"/>
          <w:szCs w:val="28"/>
        </w:rPr>
        <w:t>ojektu ieviešanas paātrināšanai p</w:t>
      </w:r>
      <w:r w:rsidR="0041320C" w:rsidRPr="000503A0">
        <w:rPr>
          <w:rFonts w:eastAsia="Calibri" w:cs="Times New Roman"/>
          <w:sz w:val="28"/>
          <w:szCs w:val="28"/>
          <w:lang w:eastAsia="ar-SA"/>
        </w:rPr>
        <w:t xml:space="preserve">rocesā ir </w:t>
      </w:r>
      <w:r w:rsidR="00BB3B0F" w:rsidRPr="000503A0">
        <w:rPr>
          <w:rFonts w:eastAsia="Calibri" w:cs="Times New Roman"/>
          <w:sz w:val="28"/>
          <w:szCs w:val="28"/>
          <w:lang w:eastAsia="ar-SA"/>
        </w:rPr>
        <w:t>Vides aizsardzības un reģionālās attīstības ministrija</w:t>
      </w:r>
      <w:r w:rsidR="0041320C" w:rsidRPr="000503A0">
        <w:rPr>
          <w:rFonts w:eastAsia="Calibri" w:cs="Times New Roman"/>
          <w:sz w:val="28"/>
          <w:szCs w:val="28"/>
          <w:lang w:eastAsia="ar-SA"/>
        </w:rPr>
        <w:t>i</w:t>
      </w:r>
      <w:r w:rsidR="00BB3B0F" w:rsidRPr="000503A0">
        <w:rPr>
          <w:rFonts w:eastAsia="Calibri" w:cs="Times New Roman"/>
          <w:sz w:val="28"/>
          <w:szCs w:val="28"/>
          <w:lang w:eastAsia="ar-SA"/>
        </w:rPr>
        <w:t xml:space="preserve"> </w:t>
      </w:r>
      <w:r w:rsidR="00BB3B0F" w:rsidRPr="000503A0">
        <w:rPr>
          <w:sz w:val="28"/>
          <w:szCs w:val="28"/>
        </w:rPr>
        <w:t>(turpmāk –</w:t>
      </w:r>
      <w:r w:rsidR="005C0085" w:rsidRPr="000503A0">
        <w:rPr>
          <w:sz w:val="28"/>
          <w:szCs w:val="28"/>
        </w:rPr>
        <w:t xml:space="preserve"> </w:t>
      </w:r>
      <w:r w:rsidR="00DD0E5B" w:rsidRPr="000503A0">
        <w:rPr>
          <w:sz w:val="28"/>
          <w:szCs w:val="28"/>
        </w:rPr>
        <w:t>VARAM</w:t>
      </w:r>
      <w:r w:rsidR="00BB3B0F" w:rsidRPr="000503A0">
        <w:rPr>
          <w:sz w:val="28"/>
          <w:szCs w:val="28"/>
        </w:rPr>
        <w:t>)</w:t>
      </w:r>
      <w:r w:rsidR="00DD0E5B" w:rsidRPr="000503A0">
        <w:rPr>
          <w:sz w:val="28"/>
          <w:szCs w:val="28"/>
        </w:rPr>
        <w:t xml:space="preserve"> </w:t>
      </w:r>
      <w:r w:rsidR="00C151FB" w:rsidRPr="000503A0">
        <w:rPr>
          <w:sz w:val="28"/>
          <w:szCs w:val="28"/>
        </w:rPr>
        <w:t>dot</w:t>
      </w:r>
      <w:r w:rsidR="0041320C" w:rsidRPr="000503A0">
        <w:rPr>
          <w:sz w:val="28"/>
          <w:szCs w:val="28"/>
        </w:rPr>
        <w:t>ais uzdevums par</w:t>
      </w:r>
      <w:r w:rsidR="00C151FB" w:rsidRPr="000503A0">
        <w:rPr>
          <w:sz w:val="28"/>
          <w:szCs w:val="28"/>
        </w:rPr>
        <w:t xml:space="preserve"> darba grup</w:t>
      </w:r>
      <w:r w:rsidR="0041320C" w:rsidRPr="000503A0">
        <w:rPr>
          <w:sz w:val="28"/>
          <w:szCs w:val="28"/>
        </w:rPr>
        <w:t>as organizēšanu</w:t>
      </w:r>
      <w:r w:rsidR="00C151FB" w:rsidRPr="000503A0">
        <w:rPr>
          <w:sz w:val="28"/>
          <w:szCs w:val="28"/>
        </w:rPr>
        <w:t xml:space="preserve">, </w:t>
      </w:r>
      <w:r w:rsidR="0041320C" w:rsidRPr="000503A0">
        <w:rPr>
          <w:sz w:val="28"/>
          <w:szCs w:val="28"/>
        </w:rPr>
        <w:t>lai</w:t>
      </w:r>
      <w:r w:rsidR="00C151FB" w:rsidRPr="000503A0">
        <w:rPr>
          <w:sz w:val="28"/>
          <w:szCs w:val="28"/>
        </w:rPr>
        <w:t xml:space="preserve"> vienot</w:t>
      </w:r>
      <w:r w:rsidR="0041320C" w:rsidRPr="000503A0">
        <w:rPr>
          <w:sz w:val="28"/>
          <w:szCs w:val="28"/>
        </w:rPr>
        <w:t>o</w:t>
      </w:r>
      <w:r w:rsidR="00C151FB" w:rsidRPr="000503A0">
        <w:rPr>
          <w:sz w:val="28"/>
          <w:szCs w:val="28"/>
        </w:rPr>
        <w:t>s par IKT 2.</w:t>
      </w:r>
      <w:r w:rsidR="00BB3B0F" w:rsidRPr="000503A0">
        <w:rPr>
          <w:sz w:val="28"/>
          <w:szCs w:val="28"/>
        </w:rPr>
        <w:t> </w:t>
      </w:r>
      <w:r w:rsidR="00C151FB" w:rsidRPr="000503A0">
        <w:rPr>
          <w:sz w:val="28"/>
          <w:szCs w:val="28"/>
        </w:rPr>
        <w:t>kārtas finansējuma sadalījumu</w:t>
      </w:r>
      <w:r w:rsidR="009B0FAB" w:rsidRPr="000503A0">
        <w:rPr>
          <w:sz w:val="28"/>
          <w:szCs w:val="28"/>
        </w:rPr>
        <w:t xml:space="preserve"> un</w:t>
      </w:r>
      <w:r w:rsidR="0041320C" w:rsidRPr="000503A0">
        <w:rPr>
          <w:sz w:val="28"/>
          <w:szCs w:val="28"/>
        </w:rPr>
        <w:t xml:space="preserve"> attiecīgi</w:t>
      </w:r>
      <w:r w:rsidR="009B0FAB" w:rsidRPr="000503A0">
        <w:rPr>
          <w:sz w:val="28"/>
          <w:szCs w:val="28"/>
        </w:rPr>
        <w:t xml:space="preserve"> iesniegt</w:t>
      </w:r>
      <w:r w:rsidR="0041320C" w:rsidRPr="000503A0">
        <w:rPr>
          <w:sz w:val="28"/>
          <w:szCs w:val="28"/>
        </w:rPr>
        <w:t>u</w:t>
      </w:r>
      <w:r w:rsidR="009B0FAB" w:rsidRPr="000503A0">
        <w:rPr>
          <w:sz w:val="28"/>
          <w:szCs w:val="28"/>
        </w:rPr>
        <w:t xml:space="preserve"> MK priekšlikumu par 2.kārtas pieejamā finansējuma sadali konkrētiem projektiem</w:t>
      </w:r>
      <w:r w:rsidR="00C151FB" w:rsidRPr="000503A0">
        <w:rPr>
          <w:sz w:val="28"/>
          <w:szCs w:val="28"/>
        </w:rPr>
        <w:t>.</w:t>
      </w:r>
      <w:r w:rsidR="0041320C" w:rsidRPr="000503A0">
        <w:rPr>
          <w:sz w:val="28"/>
          <w:szCs w:val="28"/>
        </w:rPr>
        <w:t xml:space="preserve"> </w:t>
      </w:r>
      <w:r w:rsidR="005468FE" w:rsidRPr="000503A0">
        <w:rPr>
          <w:sz w:val="28"/>
          <w:szCs w:val="28"/>
        </w:rPr>
        <w:t>Vienlaikus</w:t>
      </w:r>
      <w:r w:rsidR="006D2ACC" w:rsidRPr="000503A0">
        <w:rPr>
          <w:sz w:val="28"/>
          <w:szCs w:val="28"/>
        </w:rPr>
        <w:t xml:space="preserve"> 2017. gada 20. jūnijā notikušajā finanšu ministres un VARAM ministra tikšanās laikā</w:t>
      </w:r>
      <w:r w:rsidR="005468FE" w:rsidRPr="000503A0">
        <w:rPr>
          <w:sz w:val="28"/>
          <w:szCs w:val="28"/>
        </w:rPr>
        <w:t xml:space="preserve"> pārrunāts kopējais IKT projektu virzības progress, t.sk. VARAM virzītās izmaiņas </w:t>
      </w:r>
      <w:r w:rsidR="005468FE" w:rsidRPr="000503A0">
        <w:rPr>
          <w:rFonts w:cs="Times New Roman"/>
          <w:sz w:val="28"/>
          <w:szCs w:val="28"/>
        </w:rPr>
        <w:t>IKT mērķarhitektūras 1.0 versijā</w:t>
      </w:r>
      <w:r w:rsidR="005468FE" w:rsidRPr="00804CD7">
        <w:rPr>
          <w:rStyle w:val="FootnoteReference"/>
          <w:rFonts w:cs="Times New Roman"/>
          <w:sz w:val="28"/>
          <w:szCs w:val="28"/>
        </w:rPr>
        <w:footnoteReference w:id="12"/>
      </w:r>
      <w:r w:rsidR="005468FE" w:rsidRPr="000503A0">
        <w:rPr>
          <w:rFonts w:cs="Times New Roman"/>
          <w:sz w:val="28"/>
          <w:szCs w:val="28"/>
        </w:rPr>
        <w:t xml:space="preserve">, </w:t>
      </w:r>
      <w:r w:rsidR="00707A9E" w:rsidRPr="000503A0">
        <w:rPr>
          <w:rFonts w:cs="Times New Roman"/>
          <w:sz w:val="28"/>
          <w:szCs w:val="28"/>
        </w:rPr>
        <w:t>kas paredz</w:t>
      </w:r>
      <w:r w:rsidR="005468FE" w:rsidRPr="000503A0">
        <w:rPr>
          <w:rFonts w:cs="Times New Roman"/>
          <w:sz w:val="28"/>
          <w:szCs w:val="28"/>
        </w:rPr>
        <w:t xml:space="preserve"> turpmāk IKT mērķarhitektūras (projektu aprakstus) </w:t>
      </w:r>
      <w:r w:rsidR="00707A9E" w:rsidRPr="000503A0">
        <w:rPr>
          <w:rFonts w:cs="Times New Roman"/>
          <w:sz w:val="28"/>
          <w:szCs w:val="28"/>
        </w:rPr>
        <w:t>apstiprināšanai MK virzīt</w:t>
      </w:r>
      <w:r w:rsidR="005468FE" w:rsidRPr="000503A0">
        <w:rPr>
          <w:rFonts w:cs="Times New Roman"/>
          <w:sz w:val="28"/>
          <w:szCs w:val="28"/>
        </w:rPr>
        <w:t xml:space="preserve"> katra</w:t>
      </w:r>
      <w:r w:rsidR="00707A9E" w:rsidRPr="000503A0">
        <w:rPr>
          <w:rFonts w:cs="Times New Roman"/>
          <w:sz w:val="28"/>
          <w:szCs w:val="28"/>
        </w:rPr>
        <w:t>i</w:t>
      </w:r>
      <w:r w:rsidR="005468FE" w:rsidRPr="000503A0">
        <w:rPr>
          <w:rFonts w:cs="Times New Roman"/>
          <w:sz w:val="28"/>
          <w:szCs w:val="28"/>
        </w:rPr>
        <w:t xml:space="preserve"> ministrija</w:t>
      </w:r>
      <w:r w:rsidR="00707A9E" w:rsidRPr="000503A0">
        <w:rPr>
          <w:rFonts w:cs="Times New Roman"/>
          <w:sz w:val="28"/>
          <w:szCs w:val="28"/>
        </w:rPr>
        <w:t>i</w:t>
      </w:r>
      <w:r w:rsidR="005468FE" w:rsidRPr="000503A0">
        <w:rPr>
          <w:rFonts w:cs="Times New Roman"/>
          <w:sz w:val="28"/>
          <w:szCs w:val="28"/>
        </w:rPr>
        <w:t xml:space="preserve"> par tās vai padotības iestāžu plānotajiem IKT projektiem</w:t>
      </w:r>
      <w:r w:rsidR="0074142C" w:rsidRPr="000503A0">
        <w:rPr>
          <w:rFonts w:cs="Times New Roman"/>
          <w:sz w:val="28"/>
          <w:szCs w:val="28"/>
        </w:rPr>
        <w:t>.</w:t>
      </w:r>
    </w:p>
    <w:p w14:paraId="5F28DACF" w14:textId="77777777" w:rsidR="000503A0" w:rsidRDefault="00FF74EE" w:rsidP="001116B4">
      <w:pPr>
        <w:pStyle w:val="FootnoteText"/>
        <w:numPr>
          <w:ilvl w:val="1"/>
          <w:numId w:val="37"/>
        </w:numPr>
        <w:tabs>
          <w:tab w:val="left" w:pos="709"/>
        </w:tabs>
        <w:spacing w:before="120" w:after="120"/>
        <w:ind w:left="0" w:firstLine="426"/>
        <w:jc w:val="both"/>
        <w:rPr>
          <w:sz w:val="28"/>
          <w:szCs w:val="28"/>
        </w:rPr>
      </w:pPr>
      <w:r w:rsidRPr="000503A0">
        <w:rPr>
          <w:sz w:val="28"/>
          <w:szCs w:val="28"/>
        </w:rPr>
        <w:t>J</w:t>
      </w:r>
      <w:r w:rsidR="00D111B2" w:rsidRPr="000503A0">
        <w:rPr>
          <w:sz w:val="28"/>
          <w:szCs w:val="28"/>
        </w:rPr>
        <w:t xml:space="preserve">autājumā par iespējamo </w:t>
      </w:r>
      <w:r w:rsidR="00D111B2" w:rsidRPr="000503A0">
        <w:rPr>
          <w:sz w:val="28"/>
          <w:szCs w:val="28"/>
          <w:u w:val="single"/>
        </w:rPr>
        <w:t>elastību un vienkāršošanu ITI (pilsētvide)</w:t>
      </w:r>
      <w:r w:rsidR="00D111B2" w:rsidRPr="000503A0">
        <w:rPr>
          <w:sz w:val="28"/>
          <w:szCs w:val="28"/>
        </w:rPr>
        <w:t xml:space="preserve"> </w:t>
      </w:r>
      <w:r w:rsidR="00ED5232" w:rsidRPr="000503A0">
        <w:rPr>
          <w:sz w:val="28"/>
          <w:szCs w:val="28"/>
        </w:rPr>
        <w:t>SAM</w:t>
      </w:r>
      <w:r w:rsidR="00D111B2" w:rsidRPr="000503A0">
        <w:rPr>
          <w:sz w:val="28"/>
          <w:szCs w:val="28"/>
        </w:rPr>
        <w:t xml:space="preserve"> ieviešanā</w:t>
      </w:r>
      <w:r w:rsidR="00C40E9D" w:rsidRPr="000503A0">
        <w:rPr>
          <w:sz w:val="28"/>
          <w:szCs w:val="28"/>
        </w:rPr>
        <w:t>, MK 2017. gada 13. jūnijā atbalstīti</w:t>
      </w:r>
      <w:r w:rsidR="00D111B2" w:rsidRPr="000503A0">
        <w:rPr>
          <w:sz w:val="28"/>
          <w:szCs w:val="28"/>
        </w:rPr>
        <w:t xml:space="preserve"> </w:t>
      </w:r>
      <w:r w:rsidR="00C40E9D" w:rsidRPr="000503A0">
        <w:rPr>
          <w:sz w:val="28"/>
          <w:szCs w:val="28"/>
        </w:rPr>
        <w:t>VARAM virzītie grozījumi MK rīkojumā par ITI finansējuma sadalījumu un sasniedzamajiem rādītājiem nacionālas nozīmes attīstības centru grupai, paredzot</w:t>
      </w:r>
      <w:r w:rsidR="00C40E9D" w:rsidRPr="000503A0">
        <w:rPr>
          <w:szCs w:val="24"/>
        </w:rPr>
        <w:t xml:space="preserve"> </w:t>
      </w:r>
      <w:r w:rsidR="00C40E9D" w:rsidRPr="000503A0">
        <w:rPr>
          <w:sz w:val="28"/>
          <w:szCs w:val="28"/>
        </w:rPr>
        <w:t xml:space="preserve">valsts budžeta virssaistību finansējuma pārdali 24 919 516 </w:t>
      </w:r>
      <w:r w:rsidR="00C40E9D" w:rsidRPr="000503A0">
        <w:rPr>
          <w:i/>
          <w:sz w:val="28"/>
          <w:szCs w:val="28"/>
        </w:rPr>
        <w:t>euro</w:t>
      </w:r>
      <w:r w:rsidR="00C40E9D" w:rsidRPr="000503A0">
        <w:rPr>
          <w:sz w:val="28"/>
          <w:szCs w:val="28"/>
        </w:rPr>
        <w:t xml:space="preserve"> apmērā uz </w:t>
      </w:r>
      <w:r w:rsidR="00C40E9D" w:rsidRPr="000503A0">
        <w:rPr>
          <w:iCs/>
          <w:color w:val="000000"/>
          <w:sz w:val="28"/>
          <w:szCs w:val="28"/>
        </w:rPr>
        <w:t>5.5.1. SAM</w:t>
      </w:r>
      <w:r w:rsidR="00C40E9D" w:rsidRPr="00E113BE">
        <w:rPr>
          <w:rStyle w:val="FootnoteReference"/>
          <w:iCs/>
          <w:color w:val="000000"/>
          <w:sz w:val="28"/>
          <w:szCs w:val="28"/>
        </w:rPr>
        <w:footnoteReference w:id="13"/>
      </w:r>
      <w:r w:rsidR="00C40E9D" w:rsidRPr="000503A0">
        <w:rPr>
          <w:sz w:val="28"/>
          <w:szCs w:val="28"/>
        </w:rPr>
        <w:t>, tādejādi paplašinot ITI SAM sarakstu</w:t>
      </w:r>
      <w:r w:rsidR="00455AAF" w:rsidRPr="000503A0">
        <w:rPr>
          <w:iCs/>
          <w:color w:val="000000"/>
          <w:sz w:val="28"/>
          <w:szCs w:val="28"/>
        </w:rPr>
        <w:t>.</w:t>
      </w:r>
      <w:r w:rsidR="00506F68" w:rsidRPr="000503A0">
        <w:rPr>
          <w:iCs/>
          <w:color w:val="000000"/>
          <w:sz w:val="28"/>
          <w:szCs w:val="28"/>
        </w:rPr>
        <w:t xml:space="preserve"> Tāpat VARAM 2017. gada 26. maijā iesniedza FM priekšlikumu</w:t>
      </w:r>
      <w:r w:rsidR="00455AAF" w:rsidRPr="000503A0">
        <w:rPr>
          <w:iCs/>
          <w:color w:val="000000"/>
          <w:sz w:val="28"/>
          <w:szCs w:val="28"/>
        </w:rPr>
        <w:t xml:space="preserve"> </w:t>
      </w:r>
      <w:r w:rsidR="00455AAF" w:rsidRPr="000503A0">
        <w:rPr>
          <w:sz w:val="28"/>
          <w:szCs w:val="28"/>
        </w:rPr>
        <w:t>tehniskiem grozījumiem darbības programmā</w:t>
      </w:r>
      <w:r w:rsidR="00A75F60" w:rsidRPr="000503A0">
        <w:rPr>
          <w:sz w:val="28"/>
          <w:szCs w:val="28"/>
        </w:rPr>
        <w:t xml:space="preserve"> “Izaugsme un nodarbinātība” (turpmāk – DP)</w:t>
      </w:r>
      <w:r w:rsidR="00455AAF" w:rsidRPr="000503A0">
        <w:rPr>
          <w:sz w:val="28"/>
          <w:szCs w:val="28"/>
        </w:rPr>
        <w:t>, paplašinot ITI ietvaru ar 5.5.1. SAM un paplašinot dabas mantojuma ieguldījumu teritoriju arī ārpus Baltijas jūras piekrastes</w:t>
      </w:r>
      <w:r w:rsidRPr="000503A0">
        <w:rPr>
          <w:sz w:val="28"/>
          <w:szCs w:val="28"/>
        </w:rPr>
        <w:t>.</w:t>
      </w:r>
    </w:p>
    <w:p w14:paraId="6509961B" w14:textId="6F717D17" w:rsidR="007E1F37" w:rsidRPr="001116B4" w:rsidRDefault="005C03AA" w:rsidP="001116B4">
      <w:pPr>
        <w:pStyle w:val="FootnoteText"/>
        <w:numPr>
          <w:ilvl w:val="1"/>
          <w:numId w:val="37"/>
        </w:numPr>
        <w:tabs>
          <w:tab w:val="left" w:pos="709"/>
        </w:tabs>
        <w:spacing w:before="120" w:after="120"/>
        <w:ind w:left="0" w:firstLine="426"/>
        <w:jc w:val="both"/>
        <w:rPr>
          <w:sz w:val="28"/>
          <w:szCs w:val="28"/>
        </w:rPr>
      </w:pPr>
      <w:r w:rsidRPr="000503A0">
        <w:rPr>
          <w:sz w:val="28"/>
          <w:szCs w:val="28"/>
        </w:rPr>
        <w:t xml:space="preserve">Attiecībā uz </w:t>
      </w:r>
      <w:r w:rsidR="00A75F60" w:rsidRPr="000503A0">
        <w:rPr>
          <w:sz w:val="28"/>
          <w:szCs w:val="28"/>
        </w:rPr>
        <w:t>EM</w:t>
      </w:r>
      <w:r w:rsidRPr="000503A0">
        <w:rPr>
          <w:sz w:val="28"/>
          <w:szCs w:val="28"/>
        </w:rPr>
        <w:t xml:space="preserve"> priekšlikumu par pārdalēm MVU, </w:t>
      </w:r>
      <w:r w:rsidR="00A75F60" w:rsidRPr="000503A0">
        <w:rPr>
          <w:sz w:val="28"/>
          <w:szCs w:val="28"/>
        </w:rPr>
        <w:t xml:space="preserve">2017. gada 9. </w:t>
      </w:r>
      <w:r w:rsidRPr="000503A0">
        <w:rPr>
          <w:sz w:val="28"/>
          <w:szCs w:val="28"/>
        </w:rPr>
        <w:t xml:space="preserve">un </w:t>
      </w:r>
      <w:r w:rsidR="00A75F60" w:rsidRPr="000503A0">
        <w:rPr>
          <w:sz w:val="28"/>
          <w:szCs w:val="28"/>
        </w:rPr>
        <w:t xml:space="preserve">15. jūnijā </w:t>
      </w:r>
      <w:r w:rsidRPr="000503A0">
        <w:rPr>
          <w:sz w:val="28"/>
          <w:szCs w:val="28"/>
        </w:rPr>
        <w:t>tika organizēta</w:t>
      </w:r>
      <w:r w:rsidR="00450933" w:rsidRPr="000503A0">
        <w:rPr>
          <w:sz w:val="28"/>
          <w:szCs w:val="28"/>
        </w:rPr>
        <w:t>s</w:t>
      </w:r>
      <w:r w:rsidRPr="000503A0">
        <w:rPr>
          <w:sz w:val="28"/>
          <w:szCs w:val="28"/>
        </w:rPr>
        <w:t xml:space="preserve"> koalīcijas frakciju pārstāvju darba grupa</w:t>
      </w:r>
      <w:r w:rsidR="00450933" w:rsidRPr="000503A0">
        <w:rPr>
          <w:sz w:val="28"/>
          <w:szCs w:val="28"/>
        </w:rPr>
        <w:t>s sanāksmes</w:t>
      </w:r>
      <w:r w:rsidRPr="000503A0">
        <w:rPr>
          <w:sz w:val="28"/>
          <w:szCs w:val="28"/>
        </w:rPr>
        <w:t>, kurā</w:t>
      </w:r>
      <w:r w:rsidR="00450933" w:rsidRPr="000503A0">
        <w:rPr>
          <w:sz w:val="28"/>
          <w:szCs w:val="28"/>
        </w:rPr>
        <w:t>s</w:t>
      </w:r>
      <w:r w:rsidRPr="000503A0">
        <w:rPr>
          <w:sz w:val="28"/>
          <w:szCs w:val="28"/>
        </w:rPr>
        <w:t xml:space="preserve"> tika panākta vienošanās par plānotās 3.1.1.5.</w:t>
      </w:r>
      <w:r w:rsidR="00A75F60" w:rsidRPr="000503A0">
        <w:rPr>
          <w:sz w:val="28"/>
          <w:szCs w:val="28"/>
        </w:rPr>
        <w:t> </w:t>
      </w:r>
      <w:r w:rsidRPr="000503A0">
        <w:rPr>
          <w:sz w:val="28"/>
          <w:szCs w:val="28"/>
        </w:rPr>
        <w:t xml:space="preserve">pasākuma “Atbalsts ieguldījumiem ražošanas telpu un infrastruktūras izveidei vai rekonstrukcijai” otrās kārtas būtiskākajiem nosacījumiem. EM </w:t>
      </w:r>
      <w:r w:rsidR="000503A0">
        <w:rPr>
          <w:sz w:val="28"/>
          <w:szCs w:val="28"/>
        </w:rPr>
        <w:t xml:space="preserve">turpina </w:t>
      </w:r>
      <w:r w:rsidRPr="000503A0">
        <w:rPr>
          <w:sz w:val="28"/>
          <w:szCs w:val="28"/>
        </w:rPr>
        <w:t>izstrādā</w:t>
      </w:r>
      <w:r w:rsidR="000503A0">
        <w:rPr>
          <w:sz w:val="28"/>
          <w:szCs w:val="28"/>
        </w:rPr>
        <w:t>t pamatotu</w:t>
      </w:r>
      <w:r w:rsidRPr="000503A0">
        <w:rPr>
          <w:sz w:val="28"/>
          <w:szCs w:val="28"/>
        </w:rPr>
        <w:t xml:space="preserve"> priekšlikumu.</w:t>
      </w:r>
      <w:r w:rsidR="00E9213D" w:rsidRPr="000503A0">
        <w:rPr>
          <w:sz w:val="28"/>
          <w:szCs w:val="28"/>
        </w:rPr>
        <w:t xml:space="preserve"> </w:t>
      </w:r>
    </w:p>
    <w:p w14:paraId="684A35FC" w14:textId="46BC2FC2" w:rsidR="00FE63E6" w:rsidRPr="000503A0" w:rsidRDefault="000503A0" w:rsidP="000503A0">
      <w:pPr>
        <w:pStyle w:val="FootnoteText"/>
        <w:tabs>
          <w:tab w:val="left" w:pos="709"/>
        </w:tabs>
        <w:spacing w:before="120" w:after="120"/>
        <w:jc w:val="both"/>
        <w:rPr>
          <w:rFonts w:eastAsia="Calibri" w:cs="Times New Roman"/>
          <w:b/>
          <w:sz w:val="28"/>
          <w:szCs w:val="28"/>
          <w:lang w:eastAsia="ar-SA"/>
        </w:rPr>
      </w:pPr>
      <w:r>
        <w:rPr>
          <w:rFonts w:eastAsia="Calibri" w:cs="Times New Roman"/>
          <w:b/>
          <w:sz w:val="28"/>
          <w:szCs w:val="28"/>
          <w:lang w:eastAsia="ar-SA"/>
        </w:rPr>
        <w:t>8</w:t>
      </w:r>
      <w:r w:rsidR="00FE63E6" w:rsidRPr="000503A0">
        <w:rPr>
          <w:rFonts w:eastAsia="Calibri" w:cs="Times New Roman"/>
          <w:b/>
          <w:sz w:val="28"/>
          <w:szCs w:val="28"/>
          <w:lang w:eastAsia="ar-SA"/>
        </w:rPr>
        <w:t xml:space="preserve">. </w:t>
      </w:r>
      <w:r w:rsidR="00453692" w:rsidRPr="000503A0">
        <w:rPr>
          <w:rFonts w:eastAsia="Calibri" w:cs="Times New Roman"/>
          <w:b/>
          <w:sz w:val="28"/>
          <w:szCs w:val="28"/>
          <w:lang w:eastAsia="ar-SA"/>
        </w:rPr>
        <w:t xml:space="preserve">Citi aktuālie jautājumi </w:t>
      </w:r>
    </w:p>
    <w:p w14:paraId="3644ADC1" w14:textId="7A71141A" w:rsidR="00C070FD" w:rsidRPr="00527624" w:rsidRDefault="00FE63E6" w:rsidP="001116B4">
      <w:pPr>
        <w:spacing w:before="120" w:after="120"/>
        <w:ind w:firstLine="426"/>
        <w:jc w:val="both"/>
        <w:rPr>
          <w:rFonts w:eastAsia="Calibri" w:cs="Times New Roman"/>
          <w:sz w:val="28"/>
          <w:szCs w:val="28"/>
          <w:u w:val="single"/>
          <w:lang w:eastAsia="ar-SA"/>
        </w:rPr>
      </w:pPr>
      <w:r w:rsidRPr="00527624">
        <w:rPr>
          <w:rFonts w:eastAsia="Calibri" w:cs="Times New Roman"/>
          <w:sz w:val="28"/>
          <w:szCs w:val="28"/>
          <w:lang w:eastAsia="ar-SA"/>
        </w:rPr>
        <w:t xml:space="preserve">1) </w:t>
      </w:r>
      <w:r w:rsidR="004B129C" w:rsidRPr="00527624">
        <w:rPr>
          <w:color w:val="000000" w:themeColor="text1"/>
          <w:sz w:val="28"/>
          <w:szCs w:val="28"/>
        </w:rPr>
        <w:t xml:space="preserve">Attiecībā </w:t>
      </w:r>
      <w:r w:rsidR="004B129C" w:rsidRPr="00527624">
        <w:rPr>
          <w:sz w:val="28"/>
          <w:szCs w:val="28"/>
        </w:rPr>
        <w:t>2007.</w:t>
      </w:r>
      <w:r w:rsidR="00115ED2" w:rsidRPr="00527624">
        <w:rPr>
          <w:sz w:val="28"/>
          <w:szCs w:val="28"/>
        </w:rPr>
        <w:t> </w:t>
      </w:r>
      <w:r w:rsidR="001D118B" w:rsidRPr="00527624">
        <w:rPr>
          <w:sz w:val="28"/>
          <w:szCs w:val="28"/>
        </w:rPr>
        <w:t>–</w:t>
      </w:r>
      <w:r w:rsidR="00115ED2" w:rsidRPr="00527624">
        <w:rPr>
          <w:sz w:val="28"/>
          <w:szCs w:val="28"/>
        </w:rPr>
        <w:t> </w:t>
      </w:r>
      <w:r w:rsidR="004B129C" w:rsidRPr="00527624">
        <w:rPr>
          <w:sz w:val="28"/>
          <w:szCs w:val="28"/>
        </w:rPr>
        <w:t>2013.</w:t>
      </w:r>
      <w:r w:rsidR="00115ED2" w:rsidRPr="00527624">
        <w:rPr>
          <w:sz w:val="28"/>
          <w:szCs w:val="28"/>
        </w:rPr>
        <w:t> </w:t>
      </w:r>
      <w:r w:rsidR="004B129C" w:rsidRPr="00527624">
        <w:rPr>
          <w:sz w:val="28"/>
          <w:szCs w:val="28"/>
        </w:rPr>
        <w:t>gada plānošanas perioda nepabeigtā p</w:t>
      </w:r>
      <w:r w:rsidR="004B129C" w:rsidRPr="00527624">
        <w:rPr>
          <w:rFonts w:eastAsia="Calibri" w:cs="Times New Roman"/>
          <w:sz w:val="28"/>
          <w:szCs w:val="28"/>
          <w:lang w:eastAsia="ar-SA"/>
        </w:rPr>
        <w:t>r</w:t>
      </w:r>
      <w:r w:rsidR="003E5640" w:rsidRPr="00527624">
        <w:rPr>
          <w:rFonts w:eastAsia="Calibri" w:cs="Times New Roman"/>
          <w:sz w:val="28"/>
          <w:szCs w:val="28"/>
          <w:lang w:eastAsia="ar-SA"/>
        </w:rPr>
        <w:t>ojekta</w:t>
      </w:r>
      <w:r w:rsidR="003E5640" w:rsidRPr="00527624">
        <w:rPr>
          <w:rFonts w:eastAsia="Calibri" w:cs="Times New Roman"/>
          <w:b/>
          <w:sz w:val="28"/>
          <w:szCs w:val="28"/>
          <w:lang w:eastAsia="ar-SA"/>
        </w:rPr>
        <w:t xml:space="preserve"> </w:t>
      </w:r>
      <w:r w:rsidR="001D118B" w:rsidRPr="00527624">
        <w:rPr>
          <w:rFonts w:eastAsia="Calibri" w:cs="Times New Roman"/>
          <w:sz w:val="28"/>
          <w:szCs w:val="28"/>
          <w:u w:val="single"/>
          <w:lang w:eastAsia="ar-SA"/>
        </w:rPr>
        <w:t>“</w:t>
      </w:r>
      <w:r w:rsidR="003E5640" w:rsidRPr="00527624">
        <w:rPr>
          <w:rFonts w:eastAsia="Calibri" w:cs="Times New Roman"/>
          <w:sz w:val="28"/>
          <w:szCs w:val="28"/>
          <w:u w:val="single"/>
          <w:lang w:eastAsia="ar-SA"/>
        </w:rPr>
        <w:t>Infrastruktūras attīstība Krievu salā ostas aktivitāšu pārcelšanai no pilsētas centra” virzīb</w:t>
      </w:r>
      <w:r w:rsidR="004B129C" w:rsidRPr="00527624">
        <w:rPr>
          <w:rFonts w:eastAsia="Calibri" w:cs="Times New Roman"/>
          <w:sz w:val="28"/>
          <w:szCs w:val="28"/>
          <w:u w:val="single"/>
          <w:lang w:eastAsia="ar-SA"/>
        </w:rPr>
        <w:t>u</w:t>
      </w:r>
      <w:r w:rsidRPr="00527624">
        <w:rPr>
          <w:rStyle w:val="FootnoteReference"/>
          <w:rFonts w:eastAsia="Calibri" w:cs="Times New Roman"/>
          <w:sz w:val="28"/>
          <w:szCs w:val="28"/>
          <w:u w:val="single"/>
          <w:lang w:eastAsia="ar-SA"/>
        </w:rPr>
        <w:footnoteReference w:id="14"/>
      </w:r>
      <w:r w:rsidR="004B129C" w:rsidRPr="00527624">
        <w:rPr>
          <w:rFonts w:eastAsia="Calibri" w:cs="Times New Roman"/>
          <w:sz w:val="28"/>
          <w:szCs w:val="28"/>
          <w:u w:val="single"/>
          <w:lang w:eastAsia="ar-SA"/>
        </w:rPr>
        <w:t>:</w:t>
      </w:r>
    </w:p>
    <w:p w14:paraId="7B399B65" w14:textId="3DFD1710" w:rsidR="008455BD" w:rsidRDefault="008455BD" w:rsidP="001116B4">
      <w:pPr>
        <w:pStyle w:val="ListParagraph"/>
        <w:spacing w:before="120" w:after="120"/>
        <w:ind w:left="0"/>
        <w:contextualSpacing w:val="0"/>
        <w:jc w:val="both"/>
        <w:rPr>
          <w:rFonts w:eastAsia="Calibri" w:cs="Times New Roman"/>
          <w:sz w:val="28"/>
          <w:szCs w:val="28"/>
          <w:lang w:eastAsia="ar-SA"/>
        </w:rPr>
      </w:pPr>
      <w:r w:rsidRPr="008455BD">
        <w:rPr>
          <w:rFonts w:eastAsia="Calibri" w:cs="Times New Roman"/>
          <w:sz w:val="28"/>
          <w:szCs w:val="28"/>
          <w:lang w:eastAsia="ar-SA"/>
        </w:rPr>
        <w:lastRenderedPageBreak/>
        <w:t>Saskaņā ar starpinstitūciju darba grupas 2017.</w:t>
      </w:r>
      <w:r w:rsidR="00A75F60">
        <w:rPr>
          <w:rFonts w:eastAsia="Calibri" w:cs="Times New Roman"/>
          <w:sz w:val="28"/>
          <w:szCs w:val="28"/>
          <w:lang w:eastAsia="ar-SA"/>
        </w:rPr>
        <w:t> </w:t>
      </w:r>
      <w:r w:rsidRPr="008455BD">
        <w:rPr>
          <w:rFonts w:eastAsia="Calibri" w:cs="Times New Roman"/>
          <w:sz w:val="28"/>
          <w:szCs w:val="28"/>
          <w:lang w:eastAsia="ar-SA"/>
        </w:rPr>
        <w:t>gada 8.</w:t>
      </w:r>
      <w:r w:rsidR="00A75F60">
        <w:rPr>
          <w:rFonts w:eastAsia="Calibri" w:cs="Times New Roman"/>
          <w:sz w:val="28"/>
          <w:szCs w:val="28"/>
          <w:lang w:eastAsia="ar-SA"/>
        </w:rPr>
        <w:t> </w:t>
      </w:r>
      <w:r w:rsidRPr="008455BD">
        <w:rPr>
          <w:rFonts w:eastAsia="Calibri" w:cs="Times New Roman"/>
          <w:sz w:val="28"/>
          <w:szCs w:val="28"/>
          <w:lang w:eastAsia="ar-SA"/>
        </w:rPr>
        <w:t>maija sanāksmē nolemto Rīgas brīvosta pārvalde ir aktualizējusi un 2017.</w:t>
      </w:r>
      <w:r w:rsidR="00A75F60">
        <w:rPr>
          <w:rFonts w:eastAsia="Calibri" w:cs="Times New Roman"/>
          <w:sz w:val="28"/>
          <w:szCs w:val="28"/>
          <w:lang w:eastAsia="ar-SA"/>
        </w:rPr>
        <w:t> </w:t>
      </w:r>
      <w:r w:rsidRPr="008455BD">
        <w:rPr>
          <w:rFonts w:eastAsia="Calibri" w:cs="Times New Roman"/>
          <w:sz w:val="28"/>
          <w:szCs w:val="28"/>
          <w:lang w:eastAsia="ar-SA"/>
        </w:rPr>
        <w:t>gada 6.</w:t>
      </w:r>
      <w:r w:rsidR="00A75F60">
        <w:rPr>
          <w:rFonts w:eastAsia="Calibri" w:cs="Times New Roman"/>
          <w:sz w:val="28"/>
          <w:szCs w:val="28"/>
          <w:lang w:eastAsia="ar-SA"/>
        </w:rPr>
        <w:t> </w:t>
      </w:r>
      <w:r w:rsidRPr="008455BD">
        <w:rPr>
          <w:rFonts w:eastAsia="Calibri" w:cs="Times New Roman"/>
          <w:sz w:val="28"/>
          <w:szCs w:val="28"/>
          <w:lang w:eastAsia="ar-SA"/>
        </w:rPr>
        <w:t xml:space="preserve">jūnijā iesniegusi darba grupā informāciju par projekta ieviešanas progresu un rīcības plāna izpildi. </w:t>
      </w:r>
      <w:r w:rsidR="00E241A6">
        <w:rPr>
          <w:rFonts w:eastAsia="Calibri" w:cs="Times New Roman"/>
          <w:sz w:val="28"/>
          <w:szCs w:val="28"/>
          <w:lang w:eastAsia="ar-SA"/>
        </w:rPr>
        <w:t xml:space="preserve">Kopumā rīcība norit atbilstoši plānotajam. Neliels kavējums ir attiecībā uz </w:t>
      </w:r>
      <w:r w:rsidR="006D2A7C" w:rsidRPr="008455BD">
        <w:rPr>
          <w:rFonts w:eastAsia="Calibri" w:cs="Times New Roman"/>
          <w:sz w:val="28"/>
          <w:szCs w:val="28"/>
          <w:lang w:eastAsia="ar-SA"/>
        </w:rPr>
        <w:t>pirms-paziņojuma procedūr</w:t>
      </w:r>
      <w:r w:rsidR="006D2A7C">
        <w:rPr>
          <w:rFonts w:eastAsia="Calibri" w:cs="Times New Roman"/>
          <w:sz w:val="28"/>
          <w:szCs w:val="28"/>
          <w:lang w:eastAsia="ar-SA"/>
        </w:rPr>
        <w:t xml:space="preserve">u </w:t>
      </w:r>
      <w:r w:rsidR="006D2A7C" w:rsidRPr="008455BD">
        <w:rPr>
          <w:rFonts w:eastAsia="Calibri" w:cs="Times New Roman"/>
          <w:sz w:val="28"/>
          <w:szCs w:val="28"/>
          <w:lang w:eastAsia="ar-SA"/>
        </w:rPr>
        <w:t>(pre-notification</w:t>
      </w:r>
      <w:r w:rsidR="006D2A7C">
        <w:rPr>
          <w:rFonts w:eastAsia="Calibri" w:cs="Times New Roman"/>
          <w:sz w:val="28"/>
          <w:szCs w:val="28"/>
          <w:lang w:eastAsia="ar-SA"/>
        </w:rPr>
        <w:t>)</w:t>
      </w:r>
      <w:r w:rsidR="006D2A7C" w:rsidRPr="008455BD">
        <w:rPr>
          <w:rFonts w:eastAsia="Calibri" w:cs="Times New Roman"/>
          <w:sz w:val="28"/>
          <w:szCs w:val="28"/>
          <w:lang w:eastAsia="ar-SA"/>
        </w:rPr>
        <w:t xml:space="preserve"> par izmaiņām Valsts atbalsta N 44/2010 lietā</w:t>
      </w:r>
      <w:r w:rsidR="006D2A7C">
        <w:rPr>
          <w:rFonts w:eastAsia="Calibri" w:cs="Times New Roman"/>
          <w:sz w:val="28"/>
          <w:szCs w:val="28"/>
          <w:lang w:eastAsia="ar-SA"/>
        </w:rPr>
        <w:t>.</w:t>
      </w:r>
      <w:r w:rsidR="006D2A7C" w:rsidRPr="008455BD">
        <w:rPr>
          <w:rFonts w:eastAsia="Calibri" w:cs="Times New Roman"/>
          <w:sz w:val="28"/>
          <w:szCs w:val="28"/>
          <w:lang w:eastAsia="ar-SA"/>
        </w:rPr>
        <w:t xml:space="preserve"> Rīgas brīvosta pārvalde </w:t>
      </w:r>
      <w:r w:rsidR="006D2A7C">
        <w:rPr>
          <w:rFonts w:eastAsia="Calibri" w:cs="Times New Roman"/>
          <w:sz w:val="28"/>
          <w:szCs w:val="28"/>
          <w:lang w:eastAsia="ar-SA"/>
        </w:rPr>
        <w:t xml:space="preserve">nepieciešamo </w:t>
      </w:r>
      <w:r w:rsidR="006D2A7C" w:rsidRPr="008455BD">
        <w:rPr>
          <w:rFonts w:eastAsia="Calibri" w:cs="Times New Roman"/>
          <w:sz w:val="28"/>
          <w:szCs w:val="28"/>
          <w:lang w:eastAsia="ar-SA"/>
        </w:rPr>
        <w:t>dokumentāciju</w:t>
      </w:r>
      <w:r w:rsidR="006D2A7C">
        <w:rPr>
          <w:rFonts w:eastAsia="Calibri" w:cs="Times New Roman"/>
          <w:sz w:val="28"/>
          <w:szCs w:val="28"/>
          <w:lang w:eastAsia="ar-SA"/>
        </w:rPr>
        <w:t xml:space="preserve"> plāno </w:t>
      </w:r>
      <w:r w:rsidR="006D2A7C" w:rsidRPr="00877A09">
        <w:rPr>
          <w:rFonts w:eastAsia="Calibri" w:cs="Times New Roman"/>
          <w:sz w:val="28"/>
          <w:szCs w:val="28"/>
          <w:lang w:eastAsia="ar-SA"/>
        </w:rPr>
        <w:t>sagatavot</w:t>
      </w:r>
      <w:r w:rsidR="006D2A7C">
        <w:rPr>
          <w:rFonts w:eastAsia="Calibri" w:cs="Times New Roman"/>
          <w:sz w:val="28"/>
          <w:szCs w:val="28"/>
          <w:lang w:eastAsia="ar-SA"/>
        </w:rPr>
        <w:t>, saskaņot ar SM un FM</w:t>
      </w:r>
      <w:r w:rsidR="006D2A7C" w:rsidRPr="00877A09">
        <w:rPr>
          <w:rFonts w:eastAsia="Calibri" w:cs="Times New Roman"/>
          <w:sz w:val="28"/>
          <w:szCs w:val="28"/>
          <w:lang w:eastAsia="ar-SA"/>
        </w:rPr>
        <w:t xml:space="preserve"> un ievietot SANI2 sistēmā 2017.</w:t>
      </w:r>
      <w:r w:rsidR="00A75F60">
        <w:rPr>
          <w:rFonts w:eastAsia="Calibri" w:cs="Times New Roman"/>
          <w:sz w:val="28"/>
          <w:szCs w:val="28"/>
          <w:lang w:eastAsia="ar-SA"/>
        </w:rPr>
        <w:t> </w:t>
      </w:r>
      <w:r w:rsidR="006D2A7C" w:rsidRPr="00877A09">
        <w:rPr>
          <w:rFonts w:eastAsia="Calibri" w:cs="Times New Roman"/>
          <w:sz w:val="28"/>
          <w:szCs w:val="28"/>
          <w:lang w:eastAsia="ar-SA"/>
        </w:rPr>
        <w:t>gada jūlij</w:t>
      </w:r>
      <w:r w:rsidR="006D2A7C">
        <w:rPr>
          <w:rFonts w:eastAsia="Calibri" w:cs="Times New Roman"/>
          <w:sz w:val="28"/>
          <w:szCs w:val="28"/>
          <w:lang w:eastAsia="ar-SA"/>
        </w:rPr>
        <w:t>ā</w:t>
      </w:r>
      <w:r w:rsidR="006D2A7C" w:rsidRPr="00877A09">
        <w:rPr>
          <w:rFonts w:eastAsia="Calibri" w:cs="Times New Roman"/>
          <w:sz w:val="28"/>
          <w:szCs w:val="28"/>
          <w:lang w:eastAsia="ar-SA"/>
        </w:rPr>
        <w:t>.</w:t>
      </w:r>
    </w:p>
    <w:p w14:paraId="1AA0F7DF" w14:textId="21E263FD" w:rsidR="00F207BB" w:rsidRPr="00A75F60" w:rsidRDefault="006D2A7C" w:rsidP="001116B4">
      <w:pPr>
        <w:pStyle w:val="ListParagraph"/>
        <w:spacing w:before="120" w:after="120"/>
        <w:ind w:left="0"/>
        <w:contextualSpacing w:val="0"/>
        <w:jc w:val="both"/>
        <w:rPr>
          <w:rFonts w:eastAsia="Calibri" w:cs="Times New Roman"/>
          <w:sz w:val="28"/>
          <w:szCs w:val="28"/>
          <w:lang w:eastAsia="ar-SA"/>
        </w:rPr>
      </w:pPr>
      <w:r w:rsidRPr="006D2A7C">
        <w:rPr>
          <w:rFonts w:eastAsia="Calibri" w:cs="Times New Roman"/>
          <w:sz w:val="28"/>
          <w:szCs w:val="28"/>
          <w:lang w:eastAsia="ar-SA"/>
        </w:rPr>
        <w:t>Kā būtiskāko no projekta mērķa sasniegšanas progresa saistībā ar stividoru darbību pārcelšanu uz Krievu salu var atzīmēt 2017.</w:t>
      </w:r>
      <w:r w:rsidR="00A75F60">
        <w:rPr>
          <w:rFonts w:eastAsia="Calibri" w:cs="Times New Roman"/>
          <w:sz w:val="28"/>
          <w:szCs w:val="28"/>
          <w:lang w:eastAsia="ar-SA"/>
        </w:rPr>
        <w:t> </w:t>
      </w:r>
      <w:r w:rsidRPr="006D2A7C">
        <w:rPr>
          <w:rFonts w:eastAsia="Calibri" w:cs="Times New Roman"/>
          <w:sz w:val="28"/>
          <w:szCs w:val="28"/>
          <w:lang w:eastAsia="ar-SA"/>
        </w:rPr>
        <w:t>gada 1.</w:t>
      </w:r>
      <w:r w:rsidR="00A75F60">
        <w:rPr>
          <w:rFonts w:eastAsia="Calibri" w:cs="Times New Roman"/>
          <w:sz w:val="28"/>
          <w:szCs w:val="28"/>
          <w:lang w:eastAsia="ar-SA"/>
        </w:rPr>
        <w:t> </w:t>
      </w:r>
      <w:r w:rsidRPr="006D2A7C">
        <w:rPr>
          <w:rFonts w:eastAsia="Calibri" w:cs="Times New Roman"/>
          <w:sz w:val="28"/>
          <w:szCs w:val="28"/>
          <w:lang w:eastAsia="ar-SA"/>
        </w:rPr>
        <w:t>j</w:t>
      </w:r>
      <w:r>
        <w:rPr>
          <w:rFonts w:eastAsia="Calibri" w:cs="Times New Roman"/>
          <w:sz w:val="28"/>
          <w:szCs w:val="28"/>
          <w:lang w:eastAsia="ar-SA"/>
        </w:rPr>
        <w:t xml:space="preserve">ūnijā Rīgas brīvosta pārvaldes </w:t>
      </w:r>
      <w:r w:rsidRPr="006D2A7C">
        <w:rPr>
          <w:rFonts w:eastAsia="Calibri" w:cs="Times New Roman"/>
          <w:sz w:val="28"/>
          <w:szCs w:val="28"/>
          <w:lang w:eastAsia="ar-SA"/>
        </w:rPr>
        <w:t xml:space="preserve">noslēgto līgumu par Krievu </w:t>
      </w:r>
      <w:r>
        <w:rPr>
          <w:rFonts w:eastAsia="Calibri" w:cs="Times New Roman"/>
          <w:sz w:val="28"/>
          <w:szCs w:val="28"/>
          <w:lang w:eastAsia="ar-SA"/>
        </w:rPr>
        <w:t xml:space="preserve">salas lokalplānojuma izstrādi. </w:t>
      </w:r>
    </w:p>
    <w:p w14:paraId="185C1415" w14:textId="2CE24DFC" w:rsidR="003E5640" w:rsidRPr="00877A09" w:rsidRDefault="00FE63E6" w:rsidP="001116B4">
      <w:pPr>
        <w:spacing w:before="120" w:after="120"/>
        <w:ind w:firstLine="426"/>
        <w:jc w:val="both"/>
        <w:rPr>
          <w:rFonts w:eastAsia="Calibri" w:cs="Times New Roman"/>
          <w:sz w:val="28"/>
          <w:szCs w:val="28"/>
          <w:u w:val="single"/>
          <w:lang w:eastAsia="ar-SA"/>
        </w:rPr>
      </w:pPr>
      <w:r w:rsidRPr="00877A09">
        <w:rPr>
          <w:rFonts w:eastAsia="Calibri" w:cs="Times New Roman"/>
          <w:sz w:val="28"/>
          <w:szCs w:val="28"/>
          <w:u w:val="single"/>
          <w:lang w:eastAsia="ar-SA"/>
        </w:rPr>
        <w:t xml:space="preserve">2) </w:t>
      </w:r>
      <w:r w:rsidR="003E5640" w:rsidRPr="00877A09">
        <w:rPr>
          <w:rFonts w:eastAsia="Calibri" w:cs="Times New Roman"/>
          <w:sz w:val="28"/>
          <w:szCs w:val="28"/>
          <w:u w:val="single"/>
          <w:lang w:eastAsia="ar-SA"/>
        </w:rPr>
        <w:t>Projekta “Latvijas dzelzceļa tīkla elektrifikācija” virzība</w:t>
      </w:r>
      <w:r w:rsidR="003E5640" w:rsidRPr="00877A09">
        <w:rPr>
          <w:rStyle w:val="FootnoteReference"/>
          <w:rFonts w:eastAsia="Calibri" w:cs="Times New Roman"/>
          <w:sz w:val="28"/>
          <w:szCs w:val="28"/>
          <w:u w:val="single"/>
          <w:lang w:eastAsia="ar-SA"/>
        </w:rPr>
        <w:footnoteReference w:id="15"/>
      </w:r>
      <w:r w:rsidR="003E5640" w:rsidRPr="00877A09" w:rsidDel="004138D4">
        <w:rPr>
          <w:rFonts w:eastAsia="Calibri" w:cs="Times New Roman"/>
          <w:sz w:val="28"/>
          <w:szCs w:val="28"/>
          <w:u w:val="single"/>
          <w:lang w:eastAsia="ar-SA"/>
        </w:rPr>
        <w:t xml:space="preserve"> </w:t>
      </w:r>
    </w:p>
    <w:p w14:paraId="02058537" w14:textId="401B1C5A" w:rsidR="008455BD" w:rsidRDefault="008455BD" w:rsidP="001116B4">
      <w:pPr>
        <w:pStyle w:val="ListParagraph"/>
        <w:spacing w:before="120" w:after="120"/>
        <w:ind w:left="0"/>
        <w:contextualSpacing w:val="0"/>
        <w:jc w:val="both"/>
        <w:rPr>
          <w:rFonts w:eastAsia="Calibri" w:cs="Times New Roman"/>
          <w:sz w:val="28"/>
          <w:szCs w:val="28"/>
          <w:lang w:eastAsia="ar-SA"/>
        </w:rPr>
      </w:pPr>
      <w:r w:rsidRPr="008455BD">
        <w:rPr>
          <w:rFonts w:eastAsia="Calibri" w:cs="Times New Roman"/>
          <w:sz w:val="28"/>
          <w:szCs w:val="28"/>
          <w:lang w:eastAsia="ar-SA"/>
        </w:rPr>
        <w:t>2017. gada 6.</w:t>
      </w:r>
      <w:r w:rsidR="00A75F60">
        <w:rPr>
          <w:rFonts w:eastAsia="Calibri" w:cs="Times New Roman"/>
          <w:sz w:val="28"/>
          <w:szCs w:val="28"/>
          <w:lang w:eastAsia="ar-SA"/>
        </w:rPr>
        <w:t> </w:t>
      </w:r>
      <w:r w:rsidRPr="008455BD">
        <w:rPr>
          <w:rFonts w:eastAsia="Calibri" w:cs="Times New Roman"/>
          <w:sz w:val="28"/>
          <w:szCs w:val="28"/>
          <w:lang w:eastAsia="ar-SA"/>
        </w:rPr>
        <w:t xml:space="preserve">jūnijā </w:t>
      </w:r>
      <w:r w:rsidR="00293553">
        <w:rPr>
          <w:rFonts w:eastAsia="Calibri" w:cs="Times New Roman"/>
          <w:sz w:val="28"/>
          <w:szCs w:val="28"/>
          <w:lang w:eastAsia="ar-SA"/>
        </w:rPr>
        <w:t>MK</w:t>
      </w:r>
      <w:r w:rsidRPr="008455BD">
        <w:rPr>
          <w:rFonts w:eastAsia="Calibri" w:cs="Times New Roman"/>
          <w:sz w:val="28"/>
          <w:szCs w:val="28"/>
          <w:lang w:eastAsia="ar-SA"/>
        </w:rPr>
        <w:t xml:space="preserve"> sēdē tika apstiprināti grozījumi MK 2017. gada 31. janvāra noteikumos Nr.69 “Darbības programmas “Izaugsme un nodarbinātība” prioritārā virziena „Ilgtspējīga transporta sistēma” 6.2.1.specifiskā atbalsta mērķa „Nodrošināt konkurētspējīgu un videi draudzīgu TEN-T dzelzceļa tīklu, veicinot tā drošību, kvalitāti un kapacitāti” 6.2.1.1.pasākuma “Latvijas dzelzceļa tīkla elektrifikācija” īstenošanas noteikumi”, ar kuriem tika precizēti iznākuma un rezultātu rādītāji atbilstoši MK 2017. gada 29. marta rīkojumam Nr. 160 “Grozījumi Eiropas Savienības struktūrfondu un Kohēzijas fonda 2014.-2020.gada plānošanas perioda darbības programmā “Izaugsme un nodarbinātība””.</w:t>
      </w:r>
    </w:p>
    <w:p w14:paraId="3D768164" w14:textId="2E920F43" w:rsidR="008455BD" w:rsidRDefault="008455BD" w:rsidP="001116B4">
      <w:pPr>
        <w:pStyle w:val="ListParagraph"/>
        <w:spacing w:before="120" w:after="120"/>
        <w:ind w:left="0"/>
        <w:contextualSpacing w:val="0"/>
        <w:jc w:val="both"/>
        <w:rPr>
          <w:rFonts w:eastAsia="Calibri" w:cs="Times New Roman"/>
          <w:sz w:val="28"/>
          <w:szCs w:val="28"/>
          <w:lang w:eastAsia="ar-SA"/>
        </w:rPr>
      </w:pPr>
      <w:r w:rsidRPr="008455BD">
        <w:rPr>
          <w:rFonts w:eastAsia="Calibri" w:cs="Times New Roman"/>
          <w:sz w:val="28"/>
          <w:szCs w:val="28"/>
          <w:lang w:eastAsia="ar-SA"/>
        </w:rPr>
        <w:t>2017.</w:t>
      </w:r>
      <w:r w:rsidR="00A75F60">
        <w:rPr>
          <w:rFonts w:eastAsia="Calibri" w:cs="Times New Roman"/>
          <w:sz w:val="28"/>
          <w:szCs w:val="28"/>
          <w:lang w:eastAsia="ar-SA"/>
        </w:rPr>
        <w:t> </w:t>
      </w:r>
      <w:r w:rsidRPr="008455BD">
        <w:rPr>
          <w:rFonts w:eastAsia="Calibri" w:cs="Times New Roman"/>
          <w:sz w:val="28"/>
          <w:szCs w:val="28"/>
          <w:lang w:eastAsia="ar-SA"/>
        </w:rPr>
        <w:t>gada 8.</w:t>
      </w:r>
      <w:r w:rsidR="00A75F60">
        <w:rPr>
          <w:rFonts w:eastAsia="Calibri" w:cs="Times New Roman"/>
          <w:sz w:val="28"/>
          <w:szCs w:val="28"/>
          <w:lang w:eastAsia="ar-SA"/>
        </w:rPr>
        <w:t> </w:t>
      </w:r>
      <w:r w:rsidRPr="008455BD">
        <w:rPr>
          <w:rFonts w:eastAsia="Calibri" w:cs="Times New Roman"/>
          <w:sz w:val="28"/>
          <w:szCs w:val="28"/>
          <w:lang w:eastAsia="ar-SA"/>
        </w:rPr>
        <w:t xml:space="preserve">jūnijā notika Centrālās statistikas pārvaldes organizēta sanāksme, kurā piedalījās VAS “Latvijas Dzelzceļš”, Eiropas Savienības Statistikas biroja “Eurostat”, DG ECFIN un Eiropas Centrālās Bankas pārstāvji, lai pārrunātu aktuālos jautājumus par VAS “Latvijas dzelzceļš” izstrādāto koncerna biznesa plānu 2017. - 2036.gadam. </w:t>
      </w:r>
      <w:r w:rsidR="006D2A7C" w:rsidRPr="006D2A7C">
        <w:rPr>
          <w:rFonts w:eastAsia="Calibri" w:cs="Times New Roman"/>
          <w:sz w:val="28"/>
          <w:szCs w:val="28"/>
          <w:lang w:eastAsia="ar-SA"/>
        </w:rPr>
        <w:t>Atbilstoši sanāksmē pārrunātajam Eiropas Savienības institūciju pārstāvji un Centrālā statistikas pārvalde lūgusi papildus informāciju par finanšu informāciju saistībā ar biznesa plānu. VAS “Latvijas dzelzceļš” apņēmies sagatavot informāciju iespējami ātrākā laikā</w:t>
      </w:r>
      <w:r w:rsidR="009F6132">
        <w:rPr>
          <w:rFonts w:eastAsia="Calibri" w:cs="Times New Roman"/>
          <w:sz w:val="28"/>
          <w:szCs w:val="28"/>
          <w:lang w:eastAsia="ar-SA"/>
        </w:rPr>
        <w:t>.</w:t>
      </w:r>
    </w:p>
    <w:p w14:paraId="1D94E574" w14:textId="0280094D" w:rsidR="00C070FD" w:rsidRPr="00AC2FAA" w:rsidRDefault="008455BD" w:rsidP="001116B4">
      <w:pPr>
        <w:pStyle w:val="ListParagraph"/>
        <w:spacing w:before="120" w:after="120"/>
        <w:ind w:left="0"/>
        <w:contextualSpacing w:val="0"/>
        <w:jc w:val="both"/>
        <w:rPr>
          <w:rFonts w:eastAsia="Calibri" w:cs="Times New Roman"/>
          <w:sz w:val="28"/>
          <w:szCs w:val="28"/>
          <w:highlight w:val="yellow"/>
          <w:lang w:eastAsia="ar-SA"/>
        </w:rPr>
      </w:pPr>
      <w:r w:rsidRPr="008455BD">
        <w:rPr>
          <w:rFonts w:eastAsia="Calibri" w:cs="Times New Roman"/>
          <w:sz w:val="28"/>
          <w:szCs w:val="28"/>
          <w:lang w:eastAsia="ar-SA"/>
        </w:rPr>
        <w:t>Tāpat pamatojoties uz Saeimas Publisko izdevumu un revīzijas komisijas 2017.</w:t>
      </w:r>
      <w:r w:rsidR="00A75F60">
        <w:rPr>
          <w:rFonts w:eastAsia="Calibri" w:cs="Times New Roman"/>
          <w:sz w:val="28"/>
          <w:szCs w:val="28"/>
          <w:lang w:eastAsia="ar-SA"/>
        </w:rPr>
        <w:t> </w:t>
      </w:r>
      <w:r w:rsidRPr="008455BD">
        <w:rPr>
          <w:rFonts w:eastAsia="Calibri" w:cs="Times New Roman"/>
          <w:sz w:val="28"/>
          <w:szCs w:val="28"/>
          <w:lang w:eastAsia="ar-SA"/>
        </w:rPr>
        <w:t>gada 11.</w:t>
      </w:r>
      <w:r w:rsidR="00A75F60">
        <w:rPr>
          <w:rFonts w:eastAsia="Calibri" w:cs="Times New Roman"/>
          <w:sz w:val="28"/>
          <w:szCs w:val="28"/>
          <w:lang w:eastAsia="ar-SA"/>
        </w:rPr>
        <w:t> </w:t>
      </w:r>
      <w:r w:rsidRPr="008455BD">
        <w:rPr>
          <w:rFonts w:eastAsia="Calibri" w:cs="Times New Roman"/>
          <w:sz w:val="28"/>
          <w:szCs w:val="28"/>
          <w:lang w:eastAsia="ar-SA"/>
        </w:rPr>
        <w:t xml:space="preserve">maija (turpmāk – SPIRK) lūgumu, </w:t>
      </w:r>
      <w:r w:rsidR="00A75F60">
        <w:rPr>
          <w:rFonts w:eastAsia="Calibri" w:cs="Times New Roman"/>
          <w:sz w:val="28"/>
          <w:szCs w:val="28"/>
          <w:lang w:eastAsia="ar-SA"/>
        </w:rPr>
        <w:t>FM</w:t>
      </w:r>
      <w:r w:rsidRPr="008455BD">
        <w:rPr>
          <w:rFonts w:eastAsia="Calibri" w:cs="Times New Roman"/>
          <w:sz w:val="28"/>
          <w:szCs w:val="28"/>
          <w:lang w:eastAsia="ar-SA"/>
        </w:rPr>
        <w:t xml:space="preserve"> un </w:t>
      </w:r>
      <w:r w:rsidR="00A75F60">
        <w:rPr>
          <w:rFonts w:eastAsia="Calibri" w:cs="Times New Roman"/>
          <w:sz w:val="28"/>
          <w:szCs w:val="28"/>
          <w:lang w:eastAsia="ar-SA"/>
        </w:rPr>
        <w:t>SM</w:t>
      </w:r>
      <w:r w:rsidRPr="008455BD">
        <w:rPr>
          <w:rFonts w:eastAsia="Calibri" w:cs="Times New Roman"/>
          <w:sz w:val="28"/>
          <w:szCs w:val="28"/>
          <w:lang w:eastAsia="ar-SA"/>
        </w:rPr>
        <w:t xml:space="preserve"> atsevišķi iesniedza SPIRK vērtējumu par projekta īstenošanas galvenajiem riskiem un pasākumiem to mazināšanai/novēršanai. </w:t>
      </w:r>
    </w:p>
    <w:p w14:paraId="0780BF40" w14:textId="5B388D07" w:rsidR="00D14239" w:rsidRPr="00D14239" w:rsidRDefault="00550D2D" w:rsidP="001116B4">
      <w:pPr>
        <w:pStyle w:val="ListParagraph"/>
        <w:numPr>
          <w:ilvl w:val="2"/>
          <w:numId w:val="37"/>
        </w:numPr>
        <w:spacing w:before="120" w:after="120"/>
        <w:ind w:left="0" w:firstLine="426"/>
        <w:contextualSpacing w:val="0"/>
        <w:jc w:val="both"/>
        <w:rPr>
          <w:bCs/>
          <w:sz w:val="28"/>
          <w:szCs w:val="28"/>
        </w:rPr>
      </w:pPr>
      <w:r w:rsidRPr="00492CF2">
        <w:rPr>
          <w:rFonts w:eastAsia="Calibri"/>
          <w:sz w:val="28"/>
          <w:szCs w:val="28"/>
          <w:lang w:eastAsia="ar-SA"/>
        </w:rPr>
        <w:t>Jautājumā p</w:t>
      </w:r>
      <w:r w:rsidR="00EA4B56" w:rsidRPr="00492CF2">
        <w:rPr>
          <w:rFonts w:eastAsia="Calibri"/>
          <w:sz w:val="28"/>
          <w:szCs w:val="28"/>
          <w:lang w:eastAsia="ar-SA"/>
        </w:rPr>
        <w:t xml:space="preserve">ar </w:t>
      </w:r>
      <w:r w:rsidR="00E241A6">
        <w:rPr>
          <w:rFonts w:eastAsia="Calibri"/>
          <w:sz w:val="28"/>
          <w:szCs w:val="28"/>
          <w:lang w:eastAsia="ar-SA"/>
        </w:rPr>
        <w:t>risku pilnā apmērā neizmantot J</w:t>
      </w:r>
      <w:r w:rsidR="00E241A6" w:rsidRPr="00CF5672">
        <w:rPr>
          <w:rFonts w:cs="Times New Roman"/>
          <w:sz w:val="28"/>
          <w:szCs w:val="28"/>
        </w:rPr>
        <w:t>auni</w:t>
      </w:r>
      <w:r w:rsidR="00FE77FE">
        <w:rPr>
          <w:rFonts w:cs="Times New Roman"/>
          <w:sz w:val="28"/>
          <w:szCs w:val="28"/>
        </w:rPr>
        <w:t xml:space="preserve">ešu nodarbinātības iniciatīvas </w:t>
      </w:r>
      <w:r w:rsidR="00E241A6" w:rsidRPr="00CF5672">
        <w:rPr>
          <w:rFonts w:cs="Times New Roman"/>
          <w:sz w:val="28"/>
          <w:szCs w:val="28"/>
        </w:rPr>
        <w:t>piešķīrum</w:t>
      </w:r>
      <w:r w:rsidR="00E241A6">
        <w:rPr>
          <w:rFonts w:cs="Times New Roman"/>
          <w:sz w:val="28"/>
          <w:szCs w:val="28"/>
        </w:rPr>
        <w:t xml:space="preserve">u Latvijai, kā arī citām </w:t>
      </w:r>
      <w:r w:rsidR="00E241A6">
        <w:rPr>
          <w:rFonts w:eastAsia="Calibri"/>
          <w:sz w:val="28"/>
          <w:szCs w:val="28"/>
          <w:lang w:eastAsia="ar-SA"/>
        </w:rPr>
        <w:t>ieviešanas problēmām</w:t>
      </w:r>
      <w:r w:rsidR="00C64D09">
        <w:rPr>
          <w:rStyle w:val="FootnoteReference"/>
          <w:rFonts w:eastAsia="Calibri"/>
          <w:sz w:val="28"/>
          <w:szCs w:val="28"/>
          <w:lang w:eastAsia="ar-SA"/>
        </w:rPr>
        <w:footnoteReference w:id="16"/>
      </w:r>
      <w:r w:rsidR="00C64D09">
        <w:rPr>
          <w:rFonts w:eastAsia="Calibri"/>
          <w:sz w:val="28"/>
          <w:szCs w:val="28"/>
          <w:lang w:eastAsia="ar-SA"/>
        </w:rPr>
        <w:t xml:space="preserve"> (</w:t>
      </w:r>
      <w:r w:rsidR="007F23A6" w:rsidRPr="001809DF">
        <w:rPr>
          <w:bCs/>
          <w:sz w:val="28"/>
          <w:szCs w:val="28"/>
        </w:rPr>
        <w:t xml:space="preserve">IZM </w:t>
      </w:r>
      <w:r w:rsidR="00FA6657">
        <w:rPr>
          <w:bCs/>
          <w:sz w:val="28"/>
          <w:szCs w:val="28"/>
        </w:rPr>
        <w:t xml:space="preserve">atsevišķi </w:t>
      </w:r>
      <w:r w:rsidR="00C64D09">
        <w:rPr>
          <w:bCs/>
          <w:sz w:val="28"/>
          <w:szCs w:val="28"/>
        </w:rPr>
        <w:t xml:space="preserve">virza </w:t>
      </w:r>
      <w:r w:rsidR="00FA6657">
        <w:rPr>
          <w:bCs/>
          <w:sz w:val="28"/>
          <w:szCs w:val="28"/>
        </w:rPr>
        <w:t>informatīvo ziņojumu</w:t>
      </w:r>
      <w:r w:rsidR="00FA6657">
        <w:rPr>
          <w:rStyle w:val="FootnoteReference"/>
          <w:bCs/>
          <w:sz w:val="28"/>
          <w:szCs w:val="28"/>
        </w:rPr>
        <w:footnoteReference w:id="17"/>
      </w:r>
      <w:r w:rsidR="00FA6657">
        <w:rPr>
          <w:bCs/>
          <w:sz w:val="28"/>
          <w:szCs w:val="28"/>
        </w:rPr>
        <w:t>, lai</w:t>
      </w:r>
      <w:r w:rsidR="007F23A6" w:rsidRPr="001809DF">
        <w:rPr>
          <w:bCs/>
          <w:sz w:val="28"/>
          <w:szCs w:val="28"/>
        </w:rPr>
        <w:t xml:space="preserve"> informēt</w:t>
      </w:r>
      <w:r w:rsidR="00FA6657">
        <w:rPr>
          <w:bCs/>
          <w:sz w:val="28"/>
          <w:szCs w:val="28"/>
        </w:rPr>
        <w:t>u</w:t>
      </w:r>
      <w:r w:rsidR="007F23A6" w:rsidRPr="001809DF">
        <w:rPr>
          <w:bCs/>
          <w:sz w:val="28"/>
          <w:szCs w:val="28"/>
        </w:rPr>
        <w:t xml:space="preserve"> </w:t>
      </w:r>
      <w:r w:rsidR="00A75F60">
        <w:rPr>
          <w:bCs/>
          <w:sz w:val="28"/>
          <w:szCs w:val="28"/>
        </w:rPr>
        <w:t>MK</w:t>
      </w:r>
      <w:r w:rsidR="00FA6657">
        <w:rPr>
          <w:bCs/>
          <w:sz w:val="28"/>
          <w:szCs w:val="28"/>
        </w:rPr>
        <w:t xml:space="preserve"> un </w:t>
      </w:r>
      <w:r w:rsidR="007F23A6" w:rsidRPr="001809DF">
        <w:rPr>
          <w:bCs/>
          <w:sz w:val="28"/>
          <w:szCs w:val="28"/>
        </w:rPr>
        <w:t xml:space="preserve">lai lemtu par </w:t>
      </w:r>
      <w:r w:rsidR="007F23A6" w:rsidRPr="001809DF">
        <w:rPr>
          <w:bCs/>
          <w:sz w:val="28"/>
          <w:szCs w:val="28"/>
        </w:rPr>
        <w:lastRenderedPageBreak/>
        <w:t>iespējamo labāko risinājumu ident</w:t>
      </w:r>
      <w:r w:rsidR="00A75F60">
        <w:rPr>
          <w:bCs/>
          <w:sz w:val="28"/>
          <w:szCs w:val="28"/>
        </w:rPr>
        <w:t>ificētās situācijas risināšanai)</w:t>
      </w:r>
      <w:r w:rsidR="007F23A6" w:rsidRPr="001809DF">
        <w:rPr>
          <w:bCs/>
          <w:sz w:val="28"/>
          <w:szCs w:val="28"/>
        </w:rPr>
        <w:t xml:space="preserve"> </w:t>
      </w:r>
      <w:r w:rsidR="00E241A6">
        <w:rPr>
          <w:rFonts w:eastAsia="Calibri"/>
          <w:sz w:val="28"/>
          <w:szCs w:val="28"/>
          <w:lang w:eastAsia="ar-SA"/>
        </w:rPr>
        <w:t>plānots izskatīt nākamajā KDG</w:t>
      </w:r>
      <w:r w:rsidR="00A75F60">
        <w:rPr>
          <w:rFonts w:eastAsia="Calibri"/>
          <w:sz w:val="28"/>
          <w:szCs w:val="28"/>
          <w:lang w:eastAsia="ar-SA"/>
        </w:rPr>
        <w:t>.</w:t>
      </w:r>
    </w:p>
    <w:p w14:paraId="796BE453" w14:textId="1F5E80D2" w:rsidR="00E9213D" w:rsidRPr="00D14239" w:rsidRDefault="00E9213D" w:rsidP="001116B4">
      <w:pPr>
        <w:pStyle w:val="ListParagraph"/>
        <w:numPr>
          <w:ilvl w:val="2"/>
          <w:numId w:val="37"/>
        </w:numPr>
        <w:spacing w:before="120" w:after="120"/>
        <w:ind w:left="0" w:firstLine="426"/>
        <w:jc w:val="both"/>
        <w:rPr>
          <w:bCs/>
          <w:sz w:val="28"/>
          <w:szCs w:val="28"/>
        </w:rPr>
      </w:pPr>
      <w:r w:rsidRPr="00D14239">
        <w:rPr>
          <w:sz w:val="28"/>
          <w:szCs w:val="28"/>
        </w:rPr>
        <w:t>4.1.1. SAM “Veicināt efektīvu energoresursu izmantošanu, enerģijas patēriņa samazināšanu un pāreju uz AER apstrādes rūpniecības nozarē” (turpmāk – 4.1.1.</w:t>
      </w:r>
      <w:r w:rsidR="00A75F60" w:rsidRPr="00D14239">
        <w:rPr>
          <w:sz w:val="28"/>
          <w:szCs w:val="28"/>
        </w:rPr>
        <w:t> </w:t>
      </w:r>
      <w:r w:rsidRPr="00D14239">
        <w:rPr>
          <w:sz w:val="28"/>
          <w:szCs w:val="28"/>
        </w:rPr>
        <w:t xml:space="preserve">SAM) pirmā projektu iesniegumu atlases kārta tika organizēta no 2016. gada 13. decembra līdz 2017. gada 31. maijam saskaņā ar Ministru kabineta 2016. gada 6. septembra noteikumiem Nr. 590  “Darbības programmas </w:t>
      </w:r>
      <w:r w:rsidR="00A75F60" w:rsidRPr="00D14239">
        <w:rPr>
          <w:sz w:val="28"/>
          <w:szCs w:val="28"/>
        </w:rPr>
        <w:t>“Izaugsme un nodarbinātība”</w:t>
      </w:r>
      <w:r w:rsidRPr="00D14239">
        <w:rPr>
          <w:sz w:val="28"/>
          <w:szCs w:val="28"/>
        </w:rPr>
        <w:t xml:space="preserve"> 4.1.1. spe</w:t>
      </w:r>
      <w:r w:rsidR="00A75F60" w:rsidRPr="00D14239">
        <w:rPr>
          <w:sz w:val="28"/>
          <w:szCs w:val="28"/>
        </w:rPr>
        <w:t>cifiskā atbalsta mērķa “</w:t>
      </w:r>
      <w:r w:rsidRPr="00D14239">
        <w:rPr>
          <w:sz w:val="28"/>
          <w:szCs w:val="28"/>
        </w:rPr>
        <w:t>Veicināt efektīvu energoresursu izmantošanu, enerģijas patēriņa samazināšanu un pāreju uz A</w:t>
      </w:r>
      <w:r w:rsidR="00A75F60" w:rsidRPr="00D14239">
        <w:rPr>
          <w:sz w:val="28"/>
          <w:szCs w:val="28"/>
        </w:rPr>
        <w:t>ER apstrādes rūpniecības nozarē”</w:t>
      </w:r>
      <w:r w:rsidRPr="00D14239">
        <w:rPr>
          <w:sz w:val="28"/>
          <w:szCs w:val="28"/>
        </w:rPr>
        <w:t xml:space="preserve"> īstenošanas noteikumi” (turpmāk – MK noteikumi Nr.590).</w:t>
      </w:r>
    </w:p>
    <w:p w14:paraId="3B2347A7" w14:textId="0D009373" w:rsidR="00E9213D" w:rsidRPr="00095B56" w:rsidRDefault="00E9213D" w:rsidP="001116B4">
      <w:pPr>
        <w:pStyle w:val="FootnoteText"/>
        <w:spacing w:before="120" w:after="120"/>
        <w:jc w:val="both"/>
        <w:rPr>
          <w:sz w:val="28"/>
          <w:szCs w:val="28"/>
        </w:rPr>
      </w:pPr>
      <w:r w:rsidRPr="00095B56">
        <w:rPr>
          <w:sz w:val="28"/>
          <w:szCs w:val="28"/>
        </w:rPr>
        <w:t>Pirmās projektu iesniegumu atlases kārtas ietvaros tika iesniegti 37 projektu iesniegumi par kopējo</w:t>
      </w:r>
      <w:r w:rsidR="00A75F60">
        <w:rPr>
          <w:sz w:val="28"/>
          <w:szCs w:val="28"/>
        </w:rPr>
        <w:t xml:space="preserve"> KF</w:t>
      </w:r>
      <w:r w:rsidRPr="00095B56">
        <w:rPr>
          <w:sz w:val="28"/>
          <w:szCs w:val="28"/>
        </w:rPr>
        <w:t xml:space="preserve"> finansējumu 9140 874,49 </w:t>
      </w:r>
      <w:r w:rsidRPr="00A75F60">
        <w:rPr>
          <w:i/>
          <w:sz w:val="28"/>
          <w:szCs w:val="28"/>
        </w:rPr>
        <w:t>euro</w:t>
      </w:r>
      <w:r w:rsidRPr="00095B56">
        <w:rPr>
          <w:sz w:val="28"/>
          <w:szCs w:val="28"/>
        </w:rPr>
        <w:t xml:space="preserve"> apmērā</w:t>
      </w:r>
      <w:r>
        <w:rPr>
          <w:sz w:val="28"/>
          <w:szCs w:val="28"/>
        </w:rPr>
        <w:t xml:space="preserve"> (kas ir 30% no </w:t>
      </w:r>
      <w:r w:rsidRPr="00095B56">
        <w:rPr>
          <w:sz w:val="28"/>
          <w:szCs w:val="28"/>
        </w:rPr>
        <w:t>kopēj</w:t>
      </w:r>
      <w:r>
        <w:rPr>
          <w:sz w:val="28"/>
          <w:szCs w:val="28"/>
        </w:rPr>
        <w:t>ā</w:t>
      </w:r>
      <w:r w:rsidRPr="00095B56">
        <w:rPr>
          <w:sz w:val="28"/>
          <w:szCs w:val="28"/>
        </w:rPr>
        <w:t xml:space="preserve"> </w:t>
      </w:r>
      <w:r>
        <w:rPr>
          <w:sz w:val="28"/>
          <w:szCs w:val="28"/>
        </w:rPr>
        <w:t xml:space="preserve">SAM </w:t>
      </w:r>
      <w:r w:rsidRPr="00095B56">
        <w:rPr>
          <w:sz w:val="28"/>
          <w:szCs w:val="28"/>
        </w:rPr>
        <w:t>KF finansējum</w:t>
      </w:r>
      <w:r>
        <w:rPr>
          <w:sz w:val="28"/>
          <w:szCs w:val="28"/>
        </w:rPr>
        <w:t>a</w:t>
      </w:r>
      <w:r w:rsidRPr="00095B56">
        <w:rPr>
          <w:sz w:val="28"/>
          <w:szCs w:val="28"/>
        </w:rPr>
        <w:t xml:space="preserve"> bez snieguma rezerves</w:t>
      </w:r>
      <w:r>
        <w:rPr>
          <w:sz w:val="28"/>
          <w:szCs w:val="28"/>
        </w:rPr>
        <w:t>)</w:t>
      </w:r>
      <w:r w:rsidRPr="00095B56">
        <w:rPr>
          <w:sz w:val="28"/>
          <w:szCs w:val="28"/>
        </w:rPr>
        <w:t xml:space="preserve">, šobrīd ir uzsākta projektu iesniegumu vērtēšana. </w:t>
      </w:r>
    </w:p>
    <w:p w14:paraId="5380A31D" w14:textId="7592771E" w:rsidR="00E9213D" w:rsidRPr="00CF5672" w:rsidRDefault="00E9213D" w:rsidP="001116B4">
      <w:pPr>
        <w:pStyle w:val="FootnoteText"/>
        <w:spacing w:before="120" w:after="120"/>
        <w:jc w:val="both"/>
        <w:rPr>
          <w:sz w:val="28"/>
          <w:szCs w:val="28"/>
        </w:rPr>
      </w:pPr>
      <w:r>
        <w:rPr>
          <w:sz w:val="28"/>
          <w:szCs w:val="28"/>
        </w:rPr>
        <w:t>Pēc tam, kad būs notikusi projekta vērtēšana (</w:t>
      </w:r>
      <w:r w:rsidRPr="00095B56">
        <w:rPr>
          <w:sz w:val="28"/>
          <w:szCs w:val="28"/>
        </w:rPr>
        <w:t>no 2017. gada 1. jūnija līdz 2017. gada 31. augustam</w:t>
      </w:r>
      <w:r>
        <w:rPr>
          <w:sz w:val="28"/>
          <w:szCs w:val="28"/>
        </w:rPr>
        <w:t>)</w:t>
      </w:r>
      <w:r w:rsidRPr="00095B56">
        <w:rPr>
          <w:sz w:val="28"/>
          <w:szCs w:val="28"/>
        </w:rPr>
        <w:t>, EM ierosinā</w:t>
      </w:r>
      <w:r>
        <w:rPr>
          <w:sz w:val="28"/>
          <w:szCs w:val="28"/>
        </w:rPr>
        <w:t>s</w:t>
      </w:r>
      <w:r w:rsidRPr="00095B56">
        <w:rPr>
          <w:sz w:val="28"/>
          <w:szCs w:val="28"/>
        </w:rPr>
        <w:t xml:space="preserve"> nepieciešam</w:t>
      </w:r>
      <w:r>
        <w:rPr>
          <w:sz w:val="28"/>
          <w:szCs w:val="28"/>
        </w:rPr>
        <w:t>os</w:t>
      </w:r>
      <w:r w:rsidRPr="00095B56">
        <w:rPr>
          <w:sz w:val="28"/>
          <w:szCs w:val="28"/>
        </w:rPr>
        <w:t xml:space="preserve"> </w:t>
      </w:r>
      <w:r>
        <w:rPr>
          <w:sz w:val="28"/>
          <w:szCs w:val="28"/>
        </w:rPr>
        <w:t>uzlabojumus</w:t>
      </w:r>
      <w:r w:rsidRPr="00095B56">
        <w:rPr>
          <w:sz w:val="28"/>
          <w:szCs w:val="28"/>
        </w:rPr>
        <w:t xml:space="preserve"> 4.1.1.</w:t>
      </w:r>
      <w:r w:rsidR="00A75F60">
        <w:rPr>
          <w:sz w:val="28"/>
          <w:szCs w:val="28"/>
        </w:rPr>
        <w:t> </w:t>
      </w:r>
      <w:r w:rsidRPr="00095B56">
        <w:rPr>
          <w:sz w:val="28"/>
          <w:szCs w:val="28"/>
        </w:rPr>
        <w:t xml:space="preserve">SAM </w:t>
      </w:r>
      <w:r>
        <w:rPr>
          <w:sz w:val="28"/>
          <w:szCs w:val="28"/>
        </w:rPr>
        <w:t xml:space="preserve">noteiktajos </w:t>
      </w:r>
      <w:r w:rsidRPr="00095B56">
        <w:rPr>
          <w:sz w:val="28"/>
          <w:szCs w:val="28"/>
        </w:rPr>
        <w:t>nosacījumos</w:t>
      </w:r>
      <w:r>
        <w:rPr>
          <w:sz w:val="28"/>
          <w:szCs w:val="28"/>
        </w:rPr>
        <w:t xml:space="preserve">, </w:t>
      </w:r>
      <w:r w:rsidRPr="00CF5672">
        <w:rPr>
          <w:sz w:val="28"/>
          <w:szCs w:val="28"/>
        </w:rPr>
        <w:t xml:space="preserve">analizējot </w:t>
      </w:r>
      <w:r>
        <w:rPr>
          <w:sz w:val="28"/>
          <w:szCs w:val="28"/>
        </w:rPr>
        <w:t>projektu iesniedzēju, iespējams, zemu, aktivitāti un problemātiku nosacījumu izpildes nodrošināšanā.</w:t>
      </w:r>
    </w:p>
    <w:p w14:paraId="25A9DC31" w14:textId="08D478C0" w:rsidR="00E9213D" w:rsidRPr="008C2B3F" w:rsidRDefault="00195F5C" w:rsidP="001116B4">
      <w:pPr>
        <w:pStyle w:val="FootnoteText"/>
        <w:spacing w:before="120" w:after="120"/>
        <w:jc w:val="both"/>
        <w:rPr>
          <w:sz w:val="28"/>
          <w:szCs w:val="28"/>
        </w:rPr>
      </w:pPr>
      <w:r>
        <w:rPr>
          <w:sz w:val="28"/>
          <w:szCs w:val="28"/>
        </w:rPr>
        <w:t xml:space="preserve">EM plānotais </w:t>
      </w:r>
      <w:r w:rsidR="00E9213D" w:rsidRPr="00CF5672">
        <w:rPr>
          <w:sz w:val="28"/>
          <w:szCs w:val="28"/>
        </w:rPr>
        <w:t>4.1.1.</w:t>
      </w:r>
      <w:r w:rsidR="00A75F60">
        <w:rPr>
          <w:sz w:val="28"/>
          <w:szCs w:val="28"/>
        </w:rPr>
        <w:t> </w:t>
      </w:r>
      <w:r w:rsidR="00E9213D" w:rsidRPr="00CF5672">
        <w:rPr>
          <w:sz w:val="28"/>
          <w:szCs w:val="28"/>
        </w:rPr>
        <w:t>SAM nosacījumu grozījumu sagatavošanas laika grafiks:</w:t>
      </w:r>
    </w:p>
    <w:tbl>
      <w:tblPr>
        <w:tblStyle w:val="TableGrid"/>
        <w:tblW w:w="8910" w:type="dxa"/>
        <w:tblLook w:val="04A0" w:firstRow="1" w:lastRow="0" w:firstColumn="1" w:lastColumn="0" w:noHBand="0" w:noVBand="1"/>
      </w:tblPr>
      <w:tblGrid>
        <w:gridCol w:w="3114"/>
        <w:gridCol w:w="4252"/>
        <w:gridCol w:w="1544"/>
      </w:tblGrid>
      <w:tr w:rsidR="00E9213D" w14:paraId="38336225" w14:textId="77777777" w:rsidTr="00E241A6">
        <w:trPr>
          <w:trHeight w:val="283"/>
        </w:trPr>
        <w:tc>
          <w:tcPr>
            <w:tcW w:w="3114" w:type="dxa"/>
          </w:tcPr>
          <w:p w14:paraId="00710E6F" w14:textId="77777777" w:rsidR="00E9213D" w:rsidRDefault="00E9213D" w:rsidP="00E241A6">
            <w:pPr>
              <w:pStyle w:val="NormalWeb"/>
              <w:spacing w:before="0" w:beforeAutospacing="0" w:after="0" w:afterAutospacing="0"/>
              <w:ind w:right="-766"/>
              <w:jc w:val="both"/>
            </w:pPr>
          </w:p>
        </w:tc>
        <w:tc>
          <w:tcPr>
            <w:tcW w:w="4252" w:type="dxa"/>
          </w:tcPr>
          <w:p w14:paraId="0C436882" w14:textId="77777777" w:rsidR="00E9213D" w:rsidRPr="00EB4CC9" w:rsidRDefault="00E9213D" w:rsidP="00E241A6">
            <w:pPr>
              <w:pStyle w:val="NormalWeb"/>
              <w:spacing w:before="0" w:beforeAutospacing="0" w:after="0" w:afterAutospacing="0"/>
              <w:jc w:val="center"/>
              <w:rPr>
                <w:b/>
              </w:rPr>
            </w:pPr>
            <w:r w:rsidRPr="00EB4CC9">
              <w:rPr>
                <w:b/>
              </w:rPr>
              <w:t>Procedūra</w:t>
            </w:r>
          </w:p>
        </w:tc>
        <w:tc>
          <w:tcPr>
            <w:tcW w:w="1544" w:type="dxa"/>
          </w:tcPr>
          <w:p w14:paraId="110CEED7" w14:textId="77777777" w:rsidR="00E9213D" w:rsidRPr="00EB4CC9" w:rsidRDefault="00E9213D" w:rsidP="00E241A6">
            <w:pPr>
              <w:pStyle w:val="NormalWeb"/>
              <w:spacing w:before="0" w:beforeAutospacing="0" w:after="0" w:afterAutospacing="0"/>
              <w:jc w:val="center"/>
              <w:rPr>
                <w:b/>
              </w:rPr>
            </w:pPr>
            <w:r w:rsidRPr="00EB4CC9">
              <w:rPr>
                <w:b/>
              </w:rPr>
              <w:t>Termiņš</w:t>
            </w:r>
          </w:p>
        </w:tc>
      </w:tr>
      <w:tr w:rsidR="00E9213D" w14:paraId="1E3D06AB" w14:textId="77777777" w:rsidTr="00E241A6">
        <w:trPr>
          <w:trHeight w:val="283"/>
        </w:trPr>
        <w:tc>
          <w:tcPr>
            <w:tcW w:w="3114" w:type="dxa"/>
            <w:vMerge w:val="restart"/>
          </w:tcPr>
          <w:p w14:paraId="2648F1D5" w14:textId="77777777" w:rsidR="00E9213D" w:rsidRDefault="00E9213D" w:rsidP="00E241A6">
            <w:pPr>
              <w:pStyle w:val="NormalWeb"/>
              <w:spacing w:before="0" w:beforeAutospacing="0" w:after="0" w:afterAutospacing="0"/>
              <w:jc w:val="both"/>
            </w:pPr>
            <w:r>
              <w:t>MK noteikumu Nr. 590 grozījumi</w:t>
            </w:r>
          </w:p>
        </w:tc>
        <w:tc>
          <w:tcPr>
            <w:tcW w:w="4252" w:type="dxa"/>
          </w:tcPr>
          <w:p w14:paraId="57724601" w14:textId="77777777" w:rsidR="00E9213D" w:rsidRDefault="00E9213D" w:rsidP="00E241A6">
            <w:pPr>
              <w:pStyle w:val="NormalWeb"/>
              <w:spacing w:before="0" w:beforeAutospacing="0" w:after="0" w:afterAutospacing="0"/>
              <w:jc w:val="both"/>
            </w:pPr>
            <w:r>
              <w:t>Izsludināšana Valsts sekretāru sanāksmē</w:t>
            </w:r>
          </w:p>
        </w:tc>
        <w:tc>
          <w:tcPr>
            <w:tcW w:w="1544" w:type="dxa"/>
          </w:tcPr>
          <w:p w14:paraId="55F47518" w14:textId="77777777" w:rsidR="00E9213D" w:rsidRDefault="00E9213D" w:rsidP="00E241A6">
            <w:pPr>
              <w:pStyle w:val="NormalWeb"/>
              <w:spacing w:before="0" w:beforeAutospacing="0" w:after="0" w:afterAutospacing="0"/>
              <w:jc w:val="center"/>
            </w:pPr>
            <w:r>
              <w:t>28.09.2017.</w:t>
            </w:r>
          </w:p>
        </w:tc>
      </w:tr>
      <w:tr w:rsidR="00E9213D" w14:paraId="11AC369E" w14:textId="77777777" w:rsidTr="00E241A6">
        <w:trPr>
          <w:trHeight w:val="283"/>
        </w:trPr>
        <w:tc>
          <w:tcPr>
            <w:tcW w:w="3114" w:type="dxa"/>
            <w:vMerge/>
          </w:tcPr>
          <w:p w14:paraId="263585A5" w14:textId="77777777" w:rsidR="00E9213D" w:rsidRDefault="00E9213D" w:rsidP="00E241A6">
            <w:pPr>
              <w:pStyle w:val="NormalWeb"/>
              <w:spacing w:before="0" w:beforeAutospacing="0" w:after="0" w:afterAutospacing="0"/>
              <w:jc w:val="both"/>
            </w:pPr>
          </w:p>
        </w:tc>
        <w:tc>
          <w:tcPr>
            <w:tcW w:w="4252" w:type="dxa"/>
          </w:tcPr>
          <w:p w14:paraId="6E54D545" w14:textId="77777777" w:rsidR="00E9213D" w:rsidRDefault="00E9213D" w:rsidP="00E241A6">
            <w:pPr>
              <w:pStyle w:val="NormalWeb"/>
              <w:spacing w:before="0" w:beforeAutospacing="0" w:after="0" w:afterAutospacing="0"/>
              <w:jc w:val="both"/>
            </w:pPr>
            <w:r>
              <w:t xml:space="preserve">Iesniegšana Ministru kabinetā </w:t>
            </w:r>
          </w:p>
        </w:tc>
        <w:tc>
          <w:tcPr>
            <w:tcW w:w="1544" w:type="dxa"/>
          </w:tcPr>
          <w:p w14:paraId="47869919" w14:textId="77777777" w:rsidR="00E9213D" w:rsidRDefault="00E9213D" w:rsidP="00E241A6">
            <w:pPr>
              <w:pStyle w:val="NormalWeb"/>
              <w:spacing w:before="0" w:beforeAutospacing="0" w:after="0" w:afterAutospacing="0"/>
              <w:jc w:val="center"/>
            </w:pPr>
            <w:r>
              <w:t>30.11.2017.</w:t>
            </w:r>
          </w:p>
        </w:tc>
      </w:tr>
      <w:tr w:rsidR="00E9213D" w14:paraId="28C1572D" w14:textId="77777777" w:rsidTr="00E241A6">
        <w:trPr>
          <w:trHeight w:val="283"/>
        </w:trPr>
        <w:tc>
          <w:tcPr>
            <w:tcW w:w="3114" w:type="dxa"/>
            <w:vMerge w:val="restart"/>
          </w:tcPr>
          <w:p w14:paraId="16B7F968" w14:textId="77777777" w:rsidR="00E9213D" w:rsidRDefault="00E9213D" w:rsidP="00E241A6">
            <w:pPr>
              <w:pStyle w:val="NormalWeb"/>
              <w:spacing w:before="0" w:beforeAutospacing="0" w:after="0" w:afterAutospacing="0"/>
              <w:ind w:right="-766"/>
              <w:jc w:val="both"/>
            </w:pPr>
            <w:r>
              <w:t>4.1.1.SAM kritēriju grozījumi</w:t>
            </w:r>
          </w:p>
        </w:tc>
        <w:tc>
          <w:tcPr>
            <w:tcW w:w="4252" w:type="dxa"/>
          </w:tcPr>
          <w:p w14:paraId="2AE7D27D" w14:textId="77777777" w:rsidR="00E9213D" w:rsidRDefault="00E9213D" w:rsidP="00E241A6">
            <w:pPr>
              <w:pStyle w:val="NormalWeb"/>
              <w:spacing w:before="0" w:beforeAutospacing="0" w:after="0" w:afterAutospacing="0"/>
              <w:ind w:right="-766"/>
              <w:jc w:val="both"/>
            </w:pPr>
            <w:r>
              <w:t>Iesniegšana AK</w:t>
            </w:r>
          </w:p>
        </w:tc>
        <w:tc>
          <w:tcPr>
            <w:tcW w:w="1544" w:type="dxa"/>
          </w:tcPr>
          <w:p w14:paraId="1A82D8BC" w14:textId="77777777" w:rsidR="00E9213D" w:rsidRDefault="00E9213D" w:rsidP="00E241A6">
            <w:pPr>
              <w:pStyle w:val="NormalWeb"/>
              <w:spacing w:before="0" w:beforeAutospacing="0" w:after="0" w:afterAutospacing="0"/>
              <w:jc w:val="center"/>
            </w:pPr>
            <w:r>
              <w:t>28.09.2017.</w:t>
            </w:r>
          </w:p>
        </w:tc>
      </w:tr>
      <w:tr w:rsidR="00E9213D" w14:paraId="6736E664" w14:textId="77777777" w:rsidTr="00E241A6">
        <w:trPr>
          <w:trHeight w:val="283"/>
        </w:trPr>
        <w:tc>
          <w:tcPr>
            <w:tcW w:w="3114" w:type="dxa"/>
            <w:vMerge/>
          </w:tcPr>
          <w:p w14:paraId="1C3A19A3" w14:textId="77777777" w:rsidR="00E9213D" w:rsidRDefault="00E9213D" w:rsidP="00E241A6">
            <w:pPr>
              <w:pStyle w:val="NormalWeb"/>
              <w:spacing w:before="0" w:beforeAutospacing="0" w:after="0" w:afterAutospacing="0"/>
              <w:ind w:right="-766"/>
              <w:jc w:val="both"/>
            </w:pPr>
          </w:p>
        </w:tc>
        <w:tc>
          <w:tcPr>
            <w:tcW w:w="4252" w:type="dxa"/>
          </w:tcPr>
          <w:p w14:paraId="7BF65635" w14:textId="77777777" w:rsidR="00E9213D" w:rsidRDefault="00E9213D" w:rsidP="00E241A6">
            <w:pPr>
              <w:pStyle w:val="NormalWeb"/>
              <w:spacing w:before="0" w:beforeAutospacing="0" w:after="0" w:afterAutospacing="0"/>
              <w:ind w:right="-766"/>
              <w:jc w:val="both"/>
            </w:pPr>
            <w:r>
              <w:t>Iesniegšana UK</w:t>
            </w:r>
          </w:p>
        </w:tc>
        <w:tc>
          <w:tcPr>
            <w:tcW w:w="1544" w:type="dxa"/>
          </w:tcPr>
          <w:p w14:paraId="345620D9" w14:textId="77777777" w:rsidR="00E9213D" w:rsidRDefault="00E9213D" w:rsidP="00E241A6">
            <w:pPr>
              <w:pStyle w:val="NormalWeb"/>
              <w:spacing w:before="0" w:beforeAutospacing="0" w:after="0" w:afterAutospacing="0"/>
              <w:jc w:val="center"/>
            </w:pPr>
            <w:r>
              <w:t>31.10.2017.</w:t>
            </w:r>
          </w:p>
        </w:tc>
      </w:tr>
    </w:tbl>
    <w:p w14:paraId="1C424C2D" w14:textId="241693C6" w:rsidR="00D80A3A" w:rsidRDefault="00D80A3A" w:rsidP="00655029">
      <w:pPr>
        <w:pStyle w:val="ListParagraph"/>
        <w:suppressAutoHyphens/>
        <w:spacing w:before="120" w:after="120"/>
        <w:ind w:left="0"/>
        <w:jc w:val="both"/>
        <w:rPr>
          <w:sz w:val="28"/>
          <w:szCs w:val="28"/>
        </w:rPr>
      </w:pPr>
    </w:p>
    <w:p w14:paraId="7868C8C8" w14:textId="658747D7" w:rsidR="00D60053" w:rsidRPr="00095B56" w:rsidRDefault="00E31206" w:rsidP="00655029">
      <w:pPr>
        <w:pStyle w:val="ListParagraph"/>
        <w:suppressAutoHyphens/>
        <w:spacing w:before="120" w:after="120"/>
        <w:ind w:left="0"/>
        <w:jc w:val="both"/>
        <w:rPr>
          <w:rFonts w:eastAsia="Times New Roman"/>
          <w:b/>
          <w:bCs/>
          <w:sz w:val="28"/>
          <w:szCs w:val="28"/>
          <w:lang w:eastAsia="lv-LV"/>
        </w:rPr>
      </w:pPr>
      <w:r>
        <w:rPr>
          <w:rFonts w:eastAsia="Times New Roman"/>
          <w:b/>
          <w:bCs/>
          <w:sz w:val="28"/>
          <w:szCs w:val="28"/>
          <w:lang w:eastAsia="lv-LV"/>
        </w:rPr>
        <w:t>9</w:t>
      </w:r>
      <w:r w:rsidR="00C2561E" w:rsidRPr="00095B56">
        <w:rPr>
          <w:rFonts w:eastAsia="Times New Roman"/>
          <w:bCs/>
          <w:sz w:val="28"/>
          <w:szCs w:val="28"/>
          <w:lang w:eastAsia="lv-LV"/>
        </w:rPr>
        <w:t xml:space="preserve">. </w:t>
      </w:r>
      <w:r w:rsidR="00C2561E" w:rsidRPr="00095B56">
        <w:rPr>
          <w:rFonts w:eastAsia="Times New Roman"/>
          <w:b/>
          <w:bCs/>
          <w:sz w:val="28"/>
          <w:szCs w:val="28"/>
          <w:lang w:eastAsia="lv-LV"/>
        </w:rPr>
        <w:t>Turpmākā prioritārā rīcība</w:t>
      </w:r>
      <w:r w:rsidR="00D60053" w:rsidRPr="00095B56">
        <w:rPr>
          <w:rFonts w:eastAsia="Times New Roman"/>
          <w:b/>
          <w:bCs/>
          <w:sz w:val="28"/>
          <w:szCs w:val="28"/>
          <w:lang w:eastAsia="lv-LV"/>
        </w:rPr>
        <w:t>:</w:t>
      </w:r>
    </w:p>
    <w:p w14:paraId="7EDEF3F2" w14:textId="653E5202" w:rsidR="00D60053" w:rsidRPr="00095B56" w:rsidRDefault="00D60053" w:rsidP="004A6FDC">
      <w:pPr>
        <w:pStyle w:val="ListParagraph"/>
        <w:suppressAutoHyphens/>
        <w:spacing w:before="120" w:after="120"/>
        <w:ind w:left="0" w:firstLine="425"/>
        <w:contextualSpacing w:val="0"/>
        <w:jc w:val="both"/>
        <w:rPr>
          <w:rFonts w:eastAsia="Times New Roman"/>
          <w:bCs/>
          <w:sz w:val="28"/>
          <w:szCs w:val="28"/>
          <w:lang w:eastAsia="lv-LV"/>
        </w:rPr>
      </w:pPr>
      <w:r w:rsidRPr="00095B56">
        <w:rPr>
          <w:rFonts w:eastAsia="Times New Roman"/>
          <w:bCs/>
          <w:sz w:val="28"/>
          <w:szCs w:val="28"/>
          <w:lang w:eastAsia="lv-LV"/>
        </w:rPr>
        <w:t>1)</w:t>
      </w:r>
      <w:r w:rsidR="00C2561E" w:rsidRPr="00095B56">
        <w:rPr>
          <w:rFonts w:eastAsia="Times New Roman"/>
          <w:bCs/>
          <w:sz w:val="28"/>
          <w:szCs w:val="28"/>
          <w:lang w:eastAsia="lv-LV"/>
        </w:rPr>
        <w:t xml:space="preserve"> FM un CFLA </w:t>
      </w:r>
      <w:r w:rsidR="00C2561E" w:rsidRPr="00095B56">
        <w:rPr>
          <w:rFonts w:eastAsia="Times New Roman"/>
          <w:bCs/>
          <w:sz w:val="28"/>
          <w:szCs w:val="28"/>
          <w:u w:val="single"/>
          <w:lang w:eastAsia="lv-LV"/>
        </w:rPr>
        <w:t>fokus</w:t>
      </w:r>
      <w:r w:rsidR="00EA4B56" w:rsidRPr="00095B56">
        <w:rPr>
          <w:rFonts w:eastAsia="Times New Roman"/>
          <w:bCs/>
          <w:sz w:val="28"/>
          <w:szCs w:val="28"/>
          <w:u w:val="single"/>
          <w:lang w:eastAsia="lv-LV"/>
        </w:rPr>
        <w:t>s</w:t>
      </w:r>
      <w:r w:rsidR="00C2561E" w:rsidRPr="00095B56">
        <w:rPr>
          <w:rFonts w:eastAsia="Times New Roman"/>
          <w:bCs/>
          <w:sz w:val="28"/>
          <w:szCs w:val="28"/>
          <w:u w:val="single"/>
          <w:lang w:eastAsia="lv-LV"/>
        </w:rPr>
        <w:t xml:space="preserve"> uz projektu ieviešanas veicināšanu</w:t>
      </w:r>
      <w:r w:rsidR="00C2561E" w:rsidRPr="00095B56">
        <w:rPr>
          <w:rFonts w:eastAsia="Times New Roman"/>
          <w:bCs/>
          <w:sz w:val="28"/>
          <w:szCs w:val="28"/>
          <w:lang w:eastAsia="lv-LV"/>
        </w:rPr>
        <w:t xml:space="preserve">, tajā skaitā ikmēneša ieviešanas </w:t>
      </w:r>
      <w:r w:rsidR="00C2561E" w:rsidRPr="00095B56">
        <w:rPr>
          <w:rFonts w:eastAsia="Times New Roman"/>
          <w:bCs/>
          <w:sz w:val="28"/>
          <w:szCs w:val="28"/>
          <w:u w:val="single"/>
          <w:lang w:eastAsia="lv-LV"/>
        </w:rPr>
        <w:t>plānu izpildes disciplīnas stiprināšanu</w:t>
      </w:r>
      <w:r w:rsidR="00C2561E" w:rsidRPr="00095B56">
        <w:rPr>
          <w:rFonts w:eastAsia="Times New Roman"/>
          <w:bCs/>
          <w:sz w:val="28"/>
          <w:szCs w:val="28"/>
          <w:lang w:eastAsia="lv-LV"/>
        </w:rPr>
        <w:t xml:space="preserve">, operatīvi rodot iespēju risināt konstatētos nozīmīgākos arī projektu līmeņa riskus. Ikmēneša ziņojumos FM </w:t>
      </w:r>
      <w:r w:rsidR="005E13D0" w:rsidRPr="00095B56">
        <w:rPr>
          <w:rFonts w:eastAsia="Times New Roman"/>
          <w:bCs/>
          <w:sz w:val="28"/>
          <w:szCs w:val="28"/>
          <w:lang w:eastAsia="lv-LV"/>
        </w:rPr>
        <w:t xml:space="preserve">turpinās </w:t>
      </w:r>
      <w:r w:rsidR="00C2561E" w:rsidRPr="00095B56">
        <w:rPr>
          <w:rFonts w:eastAsia="Times New Roman"/>
          <w:bCs/>
          <w:sz w:val="28"/>
          <w:szCs w:val="28"/>
          <w:lang w:eastAsia="lv-LV"/>
        </w:rPr>
        <w:t>informē</w:t>
      </w:r>
      <w:r w:rsidR="005E13D0" w:rsidRPr="00095B56">
        <w:rPr>
          <w:rFonts w:eastAsia="Times New Roman"/>
          <w:bCs/>
          <w:sz w:val="28"/>
          <w:szCs w:val="28"/>
          <w:lang w:eastAsia="lv-LV"/>
        </w:rPr>
        <w:t>t</w:t>
      </w:r>
      <w:r w:rsidR="00C2561E" w:rsidRPr="00095B56">
        <w:rPr>
          <w:rFonts w:eastAsia="Times New Roman"/>
          <w:bCs/>
          <w:sz w:val="28"/>
          <w:szCs w:val="28"/>
          <w:lang w:eastAsia="lv-LV"/>
        </w:rPr>
        <w:t xml:space="preserve"> valdību </w:t>
      </w:r>
      <w:r w:rsidR="005E13D0" w:rsidRPr="00095B56">
        <w:rPr>
          <w:rFonts w:eastAsia="Times New Roman"/>
          <w:bCs/>
          <w:sz w:val="28"/>
          <w:szCs w:val="28"/>
          <w:lang w:eastAsia="lv-LV"/>
        </w:rPr>
        <w:t>ne tikai par ieviešanas progresu, bet arī p</w:t>
      </w:r>
      <w:r w:rsidR="00C2561E" w:rsidRPr="00095B56">
        <w:rPr>
          <w:rFonts w:eastAsia="Times New Roman"/>
          <w:bCs/>
          <w:sz w:val="28"/>
          <w:szCs w:val="28"/>
          <w:lang w:eastAsia="lv-LV"/>
        </w:rPr>
        <w:t>ar nepieciešamo iesaisti ātrākai lēmumu pieņemšanai.</w:t>
      </w:r>
      <w:r w:rsidRPr="00095B56">
        <w:rPr>
          <w:rFonts w:eastAsia="Times New Roman"/>
          <w:bCs/>
          <w:sz w:val="28"/>
          <w:szCs w:val="28"/>
          <w:lang w:eastAsia="lv-LV"/>
        </w:rPr>
        <w:t xml:space="preserve"> </w:t>
      </w:r>
    </w:p>
    <w:p w14:paraId="649418CA" w14:textId="57AAD626" w:rsidR="009E52B5" w:rsidRDefault="00D60053" w:rsidP="004A6FDC">
      <w:pPr>
        <w:pStyle w:val="ListParagraph"/>
        <w:suppressAutoHyphens/>
        <w:spacing w:before="120" w:after="120"/>
        <w:ind w:left="0" w:firstLine="425"/>
        <w:contextualSpacing w:val="0"/>
        <w:jc w:val="both"/>
        <w:rPr>
          <w:bCs/>
          <w:sz w:val="28"/>
          <w:szCs w:val="28"/>
        </w:rPr>
      </w:pPr>
      <w:r w:rsidRPr="00095B56">
        <w:rPr>
          <w:rFonts w:eastAsia="Times New Roman"/>
          <w:bCs/>
          <w:sz w:val="28"/>
          <w:szCs w:val="28"/>
          <w:lang w:eastAsia="lv-LV"/>
        </w:rPr>
        <w:t xml:space="preserve">2) </w:t>
      </w:r>
      <w:r w:rsidR="00503393">
        <w:rPr>
          <w:rFonts w:eastAsia="Times New Roman"/>
          <w:bCs/>
          <w:sz w:val="28"/>
          <w:szCs w:val="28"/>
          <w:lang w:eastAsia="lv-LV"/>
        </w:rPr>
        <w:t xml:space="preserve">Sadarbībā ar nozaru ministrijām turpinās darbs pie atbilžu sagatavošanas </w:t>
      </w:r>
      <w:r w:rsidRPr="00095B56">
        <w:rPr>
          <w:rFonts w:eastAsia="Times New Roman"/>
          <w:bCs/>
          <w:sz w:val="28"/>
          <w:szCs w:val="28"/>
          <w:lang w:eastAsia="lv-LV"/>
        </w:rPr>
        <w:t xml:space="preserve">uz </w:t>
      </w:r>
      <w:r w:rsidR="00503393">
        <w:rPr>
          <w:rFonts w:eastAsia="Times New Roman"/>
          <w:bCs/>
          <w:sz w:val="28"/>
          <w:szCs w:val="28"/>
          <w:lang w:eastAsia="lv-LV"/>
        </w:rPr>
        <w:t xml:space="preserve">saņemtajiem </w:t>
      </w:r>
      <w:r w:rsidR="00503393" w:rsidRPr="00095B56">
        <w:rPr>
          <w:rFonts w:eastAsia="Times New Roman"/>
          <w:bCs/>
          <w:sz w:val="28"/>
          <w:szCs w:val="28"/>
          <w:lang w:eastAsia="lv-LV"/>
        </w:rPr>
        <w:t>E</w:t>
      </w:r>
      <w:r w:rsidR="00A75F60">
        <w:rPr>
          <w:rFonts w:eastAsia="Times New Roman"/>
          <w:bCs/>
          <w:sz w:val="28"/>
          <w:szCs w:val="28"/>
          <w:lang w:eastAsia="lv-LV"/>
        </w:rPr>
        <w:t xml:space="preserve">iropas </w:t>
      </w:r>
      <w:r w:rsidR="00503393" w:rsidRPr="00095B56">
        <w:rPr>
          <w:rFonts w:eastAsia="Times New Roman"/>
          <w:bCs/>
          <w:sz w:val="28"/>
          <w:szCs w:val="28"/>
          <w:lang w:eastAsia="lv-LV"/>
        </w:rPr>
        <w:t>K</w:t>
      </w:r>
      <w:r w:rsidR="00A75F60">
        <w:rPr>
          <w:rFonts w:eastAsia="Times New Roman"/>
          <w:bCs/>
          <w:sz w:val="28"/>
          <w:szCs w:val="28"/>
          <w:lang w:eastAsia="lv-LV"/>
        </w:rPr>
        <w:t>omisijas</w:t>
      </w:r>
      <w:r w:rsidR="00503393">
        <w:rPr>
          <w:rFonts w:eastAsia="Times New Roman"/>
          <w:bCs/>
          <w:sz w:val="28"/>
          <w:szCs w:val="28"/>
          <w:lang w:eastAsia="lv-LV"/>
        </w:rPr>
        <w:t xml:space="preserve"> komentāriem pie </w:t>
      </w:r>
      <w:r w:rsidRPr="00095B56">
        <w:rPr>
          <w:rFonts w:eastAsia="Times New Roman"/>
          <w:bCs/>
          <w:sz w:val="28"/>
          <w:szCs w:val="28"/>
          <w:lang w:eastAsia="lv-LV"/>
        </w:rPr>
        <w:t xml:space="preserve">kritiski nepieciešamajiem </w:t>
      </w:r>
      <w:r w:rsidR="005710E0" w:rsidRPr="00095B56">
        <w:rPr>
          <w:rFonts w:eastAsia="Times New Roman"/>
          <w:bCs/>
          <w:sz w:val="28"/>
          <w:szCs w:val="28"/>
          <w:u w:val="single"/>
          <w:lang w:eastAsia="lv-LV"/>
        </w:rPr>
        <w:t>DP</w:t>
      </w:r>
      <w:r w:rsidRPr="00095B56">
        <w:rPr>
          <w:rFonts w:eastAsia="Times New Roman"/>
          <w:bCs/>
          <w:sz w:val="28"/>
          <w:szCs w:val="28"/>
          <w:u w:val="single"/>
          <w:lang w:eastAsia="lv-LV"/>
        </w:rPr>
        <w:t xml:space="preserve"> grozījumiem</w:t>
      </w:r>
      <w:r w:rsidRPr="00095B56">
        <w:rPr>
          <w:rFonts w:eastAsia="Times New Roman"/>
          <w:bCs/>
          <w:sz w:val="28"/>
          <w:szCs w:val="28"/>
          <w:lang w:eastAsia="lv-LV"/>
        </w:rPr>
        <w:t xml:space="preserve"> (īpaši par snieguma mērķu samazināšanu, lai Latvija un nozares nezaudētu ES atbalsta iespējas investīcijām)</w:t>
      </w:r>
      <w:r w:rsidR="00503393">
        <w:rPr>
          <w:rFonts w:eastAsia="Times New Roman"/>
          <w:bCs/>
          <w:sz w:val="28"/>
          <w:szCs w:val="28"/>
          <w:lang w:eastAsia="lv-LV"/>
        </w:rPr>
        <w:t>, t.sk. balstoties uz</w:t>
      </w:r>
      <w:r w:rsidRPr="00095B56">
        <w:rPr>
          <w:rFonts w:eastAsia="Times New Roman"/>
          <w:bCs/>
          <w:sz w:val="28"/>
          <w:szCs w:val="28"/>
          <w:lang w:eastAsia="lv-LV"/>
        </w:rPr>
        <w:t xml:space="preserve"> </w:t>
      </w:r>
      <w:r w:rsidR="00A61B1E" w:rsidRPr="00095B56">
        <w:rPr>
          <w:rFonts w:eastAsia="Times New Roman"/>
          <w:bCs/>
          <w:sz w:val="28"/>
          <w:szCs w:val="28"/>
          <w:lang w:eastAsia="lv-LV"/>
        </w:rPr>
        <w:t xml:space="preserve">2017. gada </w:t>
      </w:r>
      <w:r w:rsidR="00503393">
        <w:rPr>
          <w:rFonts w:eastAsia="Times New Roman"/>
          <w:bCs/>
          <w:sz w:val="28"/>
          <w:szCs w:val="28"/>
          <w:lang w:eastAsia="lv-LV"/>
        </w:rPr>
        <w:t xml:space="preserve">12. jūnijā notikušās videokonferences ar </w:t>
      </w:r>
      <w:r w:rsidR="00A61B1E" w:rsidRPr="00095B56">
        <w:rPr>
          <w:bCs/>
          <w:sz w:val="28"/>
          <w:szCs w:val="28"/>
        </w:rPr>
        <w:t>E</w:t>
      </w:r>
      <w:r w:rsidR="00A75F60">
        <w:rPr>
          <w:bCs/>
          <w:sz w:val="28"/>
          <w:szCs w:val="28"/>
        </w:rPr>
        <w:t xml:space="preserve">iropas </w:t>
      </w:r>
      <w:r w:rsidR="00A61B1E" w:rsidRPr="00095B56">
        <w:rPr>
          <w:bCs/>
          <w:sz w:val="28"/>
          <w:szCs w:val="28"/>
        </w:rPr>
        <w:t>K</w:t>
      </w:r>
      <w:r w:rsidR="00A75F60">
        <w:rPr>
          <w:bCs/>
          <w:sz w:val="28"/>
          <w:szCs w:val="28"/>
        </w:rPr>
        <w:t>omisiju</w:t>
      </w:r>
      <w:r w:rsidR="00503393">
        <w:rPr>
          <w:bCs/>
          <w:sz w:val="28"/>
          <w:szCs w:val="28"/>
        </w:rPr>
        <w:t xml:space="preserve"> sarunas rezultātiem</w:t>
      </w:r>
      <w:r w:rsidR="00A61B1E" w:rsidRPr="00095B56">
        <w:rPr>
          <w:bCs/>
          <w:sz w:val="28"/>
          <w:szCs w:val="28"/>
        </w:rPr>
        <w:t xml:space="preserve">, </w:t>
      </w:r>
      <w:r w:rsidR="00503393">
        <w:rPr>
          <w:bCs/>
          <w:sz w:val="28"/>
          <w:szCs w:val="28"/>
        </w:rPr>
        <w:t xml:space="preserve">kuras ietvaros tika pārrunāta </w:t>
      </w:r>
      <w:r w:rsidR="008B1379" w:rsidRPr="00095B56">
        <w:rPr>
          <w:bCs/>
          <w:sz w:val="28"/>
          <w:szCs w:val="28"/>
        </w:rPr>
        <w:t>argumentācij</w:t>
      </w:r>
      <w:r w:rsidR="00503393">
        <w:rPr>
          <w:bCs/>
          <w:sz w:val="28"/>
          <w:szCs w:val="28"/>
        </w:rPr>
        <w:t>a</w:t>
      </w:r>
      <w:r w:rsidR="008B1379" w:rsidRPr="00095B56">
        <w:rPr>
          <w:bCs/>
          <w:sz w:val="28"/>
          <w:szCs w:val="28"/>
        </w:rPr>
        <w:t xml:space="preserve"> snieguma ietvara mērķu samazināšanai veselības, izglītības un sociālās iekļaušanas jomā. </w:t>
      </w:r>
      <w:r w:rsidR="00A61B1E" w:rsidRPr="00095B56">
        <w:rPr>
          <w:bCs/>
          <w:sz w:val="28"/>
          <w:szCs w:val="28"/>
        </w:rPr>
        <w:t xml:space="preserve"> </w:t>
      </w:r>
    </w:p>
    <w:p w14:paraId="6419738B" w14:textId="1094316F" w:rsidR="00F7217B" w:rsidRPr="00095B56" w:rsidRDefault="00F7217B" w:rsidP="004A6FDC">
      <w:pPr>
        <w:pStyle w:val="ListParagraph"/>
        <w:suppressAutoHyphens/>
        <w:spacing w:before="120" w:after="120"/>
        <w:ind w:left="0" w:firstLine="425"/>
        <w:contextualSpacing w:val="0"/>
        <w:jc w:val="both"/>
        <w:rPr>
          <w:rFonts w:eastAsia="Times New Roman"/>
          <w:bCs/>
          <w:sz w:val="28"/>
          <w:szCs w:val="28"/>
          <w:lang w:eastAsia="lv-LV"/>
        </w:rPr>
      </w:pPr>
      <w:r>
        <w:rPr>
          <w:bCs/>
          <w:sz w:val="28"/>
          <w:szCs w:val="28"/>
        </w:rPr>
        <w:t xml:space="preserve">3) </w:t>
      </w:r>
      <w:r w:rsidR="00412381">
        <w:rPr>
          <w:sz w:val="28"/>
          <w:szCs w:val="28"/>
        </w:rPr>
        <w:t xml:space="preserve">FM sadarbībā ar VARAM izvērtēs </w:t>
      </w:r>
      <w:r w:rsidR="00B82DA6">
        <w:rPr>
          <w:sz w:val="28"/>
          <w:szCs w:val="28"/>
        </w:rPr>
        <w:t xml:space="preserve">iespēju un </w:t>
      </w:r>
      <w:r w:rsidR="00412381">
        <w:rPr>
          <w:sz w:val="28"/>
          <w:szCs w:val="28"/>
        </w:rPr>
        <w:t xml:space="preserve">nepieciešamību ES regulējuma ietvaros nacionāli vienkāršot </w:t>
      </w:r>
      <w:r w:rsidR="00062A84">
        <w:rPr>
          <w:sz w:val="28"/>
          <w:szCs w:val="28"/>
        </w:rPr>
        <w:t>i</w:t>
      </w:r>
      <w:r w:rsidR="00412381">
        <w:rPr>
          <w:sz w:val="28"/>
          <w:szCs w:val="28"/>
        </w:rPr>
        <w:t xml:space="preserve">ntegrēto teritoriālo investīciju projektu </w:t>
      </w:r>
      <w:r w:rsidR="00412381">
        <w:rPr>
          <w:sz w:val="28"/>
          <w:szCs w:val="28"/>
        </w:rPr>
        <w:lastRenderedPageBreak/>
        <w:t>vērtēšanas procesu, kuru nodrošina republikas nozīmes pilsētas</w:t>
      </w:r>
      <w:r w:rsidR="00A050F7">
        <w:rPr>
          <w:sz w:val="28"/>
          <w:szCs w:val="28"/>
        </w:rPr>
        <w:t>, ņ</w:t>
      </w:r>
      <w:r w:rsidR="007E1F37">
        <w:rPr>
          <w:sz w:val="28"/>
          <w:szCs w:val="28"/>
        </w:rPr>
        <w:t>emot vērā jautājuma aktualitāti</w:t>
      </w:r>
      <w:r w:rsidR="00B82DA6">
        <w:rPr>
          <w:sz w:val="28"/>
          <w:szCs w:val="28"/>
        </w:rPr>
        <w:t xml:space="preserve"> (</w:t>
      </w:r>
      <w:r w:rsidR="006F4310">
        <w:rPr>
          <w:sz w:val="28"/>
          <w:szCs w:val="28"/>
        </w:rPr>
        <w:t xml:space="preserve">projektu ātrākai uzsākšanai </w:t>
      </w:r>
      <w:r w:rsidR="00B82DA6">
        <w:rPr>
          <w:sz w:val="28"/>
          <w:szCs w:val="28"/>
        </w:rPr>
        <w:t xml:space="preserve">pēc iespējas jārod laika  </w:t>
      </w:r>
      <w:r w:rsidR="007C76EF">
        <w:rPr>
          <w:sz w:val="28"/>
          <w:szCs w:val="28"/>
        </w:rPr>
        <w:t xml:space="preserve">un administratīvo resursu ietaupījums </w:t>
      </w:r>
      <w:r w:rsidR="00B82DA6">
        <w:rPr>
          <w:sz w:val="28"/>
          <w:szCs w:val="28"/>
        </w:rPr>
        <w:t>kopējā vērtēšanas procesā)</w:t>
      </w:r>
      <w:r w:rsidR="00412381">
        <w:rPr>
          <w:sz w:val="28"/>
          <w:szCs w:val="28"/>
        </w:rPr>
        <w:t xml:space="preserve">. </w:t>
      </w:r>
    </w:p>
    <w:p w14:paraId="3674B5B7" w14:textId="77777777" w:rsidR="009E52B5" w:rsidRPr="00AC2FAA" w:rsidRDefault="009E52B5" w:rsidP="00655029">
      <w:pPr>
        <w:pStyle w:val="ListParagraph"/>
        <w:suppressAutoHyphens/>
        <w:spacing w:before="120" w:after="120"/>
        <w:ind w:left="0"/>
        <w:jc w:val="both"/>
        <w:rPr>
          <w:rFonts w:eastAsia="Times New Roman"/>
          <w:bCs/>
          <w:sz w:val="28"/>
          <w:szCs w:val="28"/>
          <w:highlight w:val="yellow"/>
          <w:lang w:eastAsia="lv-LV"/>
        </w:rPr>
      </w:pPr>
    </w:p>
    <w:p w14:paraId="0D5FDD96" w14:textId="4B7106C2" w:rsidR="00B364B9" w:rsidRPr="00FF74EE" w:rsidRDefault="00B364B9" w:rsidP="00D00B46">
      <w:pPr>
        <w:pStyle w:val="ListParagraph"/>
        <w:suppressAutoHyphens/>
        <w:spacing w:before="120" w:after="120"/>
        <w:ind w:left="7920"/>
        <w:jc w:val="both"/>
        <w:rPr>
          <w:rFonts w:eastAsia="Times New Roman" w:cs="Times New Roman"/>
          <w:color w:val="000000"/>
          <w:sz w:val="28"/>
          <w:szCs w:val="28"/>
        </w:rPr>
      </w:pPr>
    </w:p>
    <w:p w14:paraId="4E487FB2" w14:textId="77777777" w:rsidR="007869AB" w:rsidRPr="00FF74EE" w:rsidRDefault="007869AB" w:rsidP="004C4333">
      <w:pPr>
        <w:spacing w:before="120" w:after="120"/>
        <w:jc w:val="both"/>
        <w:rPr>
          <w:rFonts w:eastAsia="Times New Roman" w:cs="Times New Roman"/>
          <w:color w:val="000000"/>
          <w:sz w:val="28"/>
          <w:szCs w:val="28"/>
        </w:rPr>
      </w:pPr>
    </w:p>
    <w:p w14:paraId="1A9DE14C" w14:textId="77777777" w:rsidR="009D310D" w:rsidRPr="00FF74EE" w:rsidRDefault="009D310D" w:rsidP="004C4333">
      <w:pPr>
        <w:spacing w:before="120" w:after="120"/>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940B2" w:rsidRPr="009D3376" w14:paraId="2B83EFEB" w14:textId="77777777" w:rsidTr="00CB5E84">
        <w:tc>
          <w:tcPr>
            <w:tcW w:w="4530" w:type="dxa"/>
          </w:tcPr>
          <w:p w14:paraId="6D072ECC" w14:textId="59743D84" w:rsidR="00FA6A3A" w:rsidRPr="009D3376" w:rsidRDefault="00F940B2" w:rsidP="004C4333">
            <w:pPr>
              <w:tabs>
                <w:tab w:val="right" w:pos="9072"/>
              </w:tabs>
              <w:suppressAutoHyphens/>
              <w:rPr>
                <w:rFonts w:eastAsia="Calibri" w:cs="Times New Roman"/>
                <w:sz w:val="28"/>
                <w:szCs w:val="24"/>
                <w:lang w:eastAsia="ar-SA"/>
              </w:rPr>
            </w:pPr>
            <w:r w:rsidRPr="009D3376">
              <w:rPr>
                <w:rFonts w:eastAsia="Calibri" w:cs="Times New Roman"/>
                <w:sz w:val="28"/>
                <w:szCs w:val="24"/>
                <w:lang w:eastAsia="ar-SA"/>
              </w:rPr>
              <w:t>Finanšu ministre</w:t>
            </w:r>
          </w:p>
          <w:p w14:paraId="25527D11" w14:textId="02065291" w:rsidR="0042754E" w:rsidRPr="009D3376" w:rsidRDefault="0042754E" w:rsidP="004C4333">
            <w:pPr>
              <w:tabs>
                <w:tab w:val="right" w:pos="9072"/>
              </w:tabs>
              <w:suppressAutoHyphens/>
              <w:rPr>
                <w:rFonts w:eastAsia="Calibri" w:cs="Times New Roman"/>
                <w:sz w:val="28"/>
                <w:szCs w:val="24"/>
                <w:lang w:eastAsia="ar-SA"/>
              </w:rPr>
            </w:pPr>
          </w:p>
        </w:tc>
        <w:tc>
          <w:tcPr>
            <w:tcW w:w="4531" w:type="dxa"/>
          </w:tcPr>
          <w:p w14:paraId="6894B22A" w14:textId="5D691A93" w:rsidR="00F940B2" w:rsidRPr="009D3376" w:rsidRDefault="00765270" w:rsidP="00765270">
            <w:pPr>
              <w:tabs>
                <w:tab w:val="left" w:pos="1234"/>
                <w:tab w:val="right" w:pos="4315"/>
                <w:tab w:val="right" w:pos="9072"/>
              </w:tabs>
              <w:suppressAutoHyphens/>
              <w:rPr>
                <w:rFonts w:eastAsia="Calibri" w:cs="Times New Roman"/>
                <w:sz w:val="28"/>
                <w:szCs w:val="24"/>
                <w:lang w:eastAsia="ar-SA"/>
              </w:rPr>
            </w:pPr>
            <w:r w:rsidRPr="009D3376">
              <w:rPr>
                <w:rFonts w:eastAsia="Calibri" w:cs="Times New Roman"/>
                <w:sz w:val="28"/>
                <w:szCs w:val="24"/>
                <w:lang w:eastAsia="ar-SA"/>
              </w:rPr>
              <w:tab/>
            </w:r>
            <w:r w:rsidRPr="009D3376">
              <w:rPr>
                <w:rFonts w:eastAsia="Calibri" w:cs="Times New Roman"/>
                <w:sz w:val="28"/>
                <w:szCs w:val="24"/>
                <w:lang w:eastAsia="ar-SA"/>
              </w:rPr>
              <w:tab/>
            </w:r>
            <w:r w:rsidR="00FA6A3A" w:rsidRPr="009D3376">
              <w:rPr>
                <w:rFonts w:eastAsia="Calibri" w:cs="Times New Roman"/>
                <w:sz w:val="28"/>
                <w:szCs w:val="24"/>
                <w:lang w:eastAsia="ar-SA"/>
              </w:rPr>
              <w:t>D.</w:t>
            </w:r>
            <w:r w:rsidR="00BD0807" w:rsidRPr="009D3376">
              <w:rPr>
                <w:rFonts w:eastAsia="Calibri" w:cs="Times New Roman"/>
                <w:sz w:val="28"/>
                <w:szCs w:val="24"/>
                <w:lang w:eastAsia="ar-SA"/>
              </w:rPr>
              <w:t xml:space="preserve"> </w:t>
            </w:r>
            <w:r w:rsidR="00FA6A3A" w:rsidRPr="009D3376">
              <w:rPr>
                <w:rFonts w:eastAsia="Calibri" w:cs="Times New Roman"/>
                <w:sz w:val="28"/>
                <w:szCs w:val="24"/>
                <w:lang w:eastAsia="ar-SA"/>
              </w:rPr>
              <w:t>Reizniece-Ozola</w:t>
            </w:r>
          </w:p>
        </w:tc>
      </w:tr>
      <w:tr w:rsidR="00CB5E84" w:rsidRPr="009D3376" w14:paraId="38983214" w14:textId="77777777" w:rsidTr="00CB5E84">
        <w:tc>
          <w:tcPr>
            <w:tcW w:w="4530" w:type="dxa"/>
          </w:tcPr>
          <w:p w14:paraId="344501FC" w14:textId="77777777" w:rsidR="00CB5E84" w:rsidRPr="009D3376" w:rsidRDefault="00CB5E84" w:rsidP="004C4333">
            <w:pPr>
              <w:tabs>
                <w:tab w:val="right" w:pos="9072"/>
              </w:tabs>
              <w:suppressAutoHyphens/>
              <w:rPr>
                <w:rFonts w:eastAsia="Calibri" w:cs="Times New Roman"/>
                <w:sz w:val="28"/>
                <w:szCs w:val="24"/>
                <w:lang w:eastAsia="ar-SA"/>
              </w:rPr>
            </w:pPr>
          </w:p>
        </w:tc>
        <w:tc>
          <w:tcPr>
            <w:tcW w:w="4531" w:type="dxa"/>
          </w:tcPr>
          <w:p w14:paraId="5669EC39" w14:textId="77777777" w:rsidR="00CB5E84" w:rsidRPr="009D3376" w:rsidRDefault="00CB5E84" w:rsidP="00765270">
            <w:pPr>
              <w:tabs>
                <w:tab w:val="left" w:pos="1234"/>
                <w:tab w:val="right" w:pos="4315"/>
                <w:tab w:val="right" w:pos="9072"/>
              </w:tabs>
              <w:suppressAutoHyphens/>
              <w:rPr>
                <w:rFonts w:eastAsia="Calibri" w:cs="Times New Roman"/>
                <w:sz w:val="28"/>
                <w:szCs w:val="24"/>
                <w:lang w:eastAsia="ar-SA"/>
              </w:rPr>
            </w:pPr>
          </w:p>
        </w:tc>
      </w:tr>
      <w:tr w:rsidR="00556B24" w:rsidRPr="00FF74EE" w14:paraId="4682633F" w14:textId="77777777" w:rsidTr="00CB5E84">
        <w:tc>
          <w:tcPr>
            <w:tcW w:w="4530" w:type="dxa"/>
          </w:tcPr>
          <w:p w14:paraId="3B28A9C3" w14:textId="77777777" w:rsidR="00556B24" w:rsidRPr="00FF74EE" w:rsidRDefault="00556B24" w:rsidP="004C4333">
            <w:pPr>
              <w:tabs>
                <w:tab w:val="right" w:pos="9072"/>
              </w:tabs>
              <w:suppressAutoHyphens/>
              <w:rPr>
                <w:rFonts w:eastAsia="Calibri" w:cs="Times New Roman"/>
                <w:sz w:val="28"/>
                <w:szCs w:val="24"/>
                <w:lang w:eastAsia="ar-SA"/>
              </w:rPr>
            </w:pPr>
          </w:p>
        </w:tc>
        <w:tc>
          <w:tcPr>
            <w:tcW w:w="4531" w:type="dxa"/>
          </w:tcPr>
          <w:p w14:paraId="220575BC" w14:textId="77777777" w:rsidR="00556B24" w:rsidRPr="00FF74EE" w:rsidRDefault="00556B24" w:rsidP="00765270">
            <w:pPr>
              <w:tabs>
                <w:tab w:val="left" w:pos="1234"/>
                <w:tab w:val="right" w:pos="4315"/>
                <w:tab w:val="right" w:pos="9072"/>
              </w:tabs>
              <w:suppressAutoHyphens/>
              <w:rPr>
                <w:rFonts w:eastAsia="Calibri" w:cs="Times New Roman"/>
                <w:sz w:val="28"/>
                <w:szCs w:val="24"/>
                <w:lang w:eastAsia="ar-SA"/>
              </w:rPr>
            </w:pPr>
          </w:p>
        </w:tc>
      </w:tr>
    </w:tbl>
    <w:p w14:paraId="3E069E1E" w14:textId="56CDE2F1" w:rsidR="001D15A2" w:rsidRPr="00FF74EE" w:rsidRDefault="00556B24" w:rsidP="004C4333">
      <w:pPr>
        <w:tabs>
          <w:tab w:val="right" w:pos="9072"/>
        </w:tabs>
        <w:suppressAutoHyphens/>
        <w:rPr>
          <w:rFonts w:eastAsia="Calibri" w:cs="Times New Roman"/>
          <w:szCs w:val="24"/>
          <w:lang w:eastAsia="ar-SA"/>
        </w:rPr>
      </w:pPr>
      <w:r w:rsidRPr="00FF74EE">
        <w:rPr>
          <w:rFonts w:eastAsia="Calibri" w:cs="Times New Roman"/>
          <w:szCs w:val="24"/>
          <w:lang w:eastAsia="ar-SA"/>
        </w:rPr>
        <w:tab/>
      </w:r>
    </w:p>
    <w:p w14:paraId="3E44A82C" w14:textId="77777777" w:rsidR="002E28C2" w:rsidRPr="00FF74EE" w:rsidRDefault="002E28C2" w:rsidP="004C4333">
      <w:pPr>
        <w:tabs>
          <w:tab w:val="left" w:pos="1725"/>
        </w:tabs>
        <w:rPr>
          <w:color w:val="000000" w:themeColor="text1"/>
          <w:sz w:val="18"/>
        </w:rPr>
      </w:pPr>
    </w:p>
    <w:p w14:paraId="5EBB30B5" w14:textId="77777777" w:rsidR="007869AB" w:rsidRPr="00FF74EE" w:rsidRDefault="007869AB" w:rsidP="004C4333">
      <w:pPr>
        <w:tabs>
          <w:tab w:val="left" w:pos="1725"/>
        </w:tabs>
        <w:rPr>
          <w:color w:val="000000" w:themeColor="text1"/>
          <w:sz w:val="18"/>
        </w:rPr>
      </w:pPr>
    </w:p>
    <w:p w14:paraId="45759D4E" w14:textId="77777777" w:rsidR="009D310D" w:rsidRPr="00FF74EE" w:rsidRDefault="009D310D" w:rsidP="004C4333">
      <w:pPr>
        <w:tabs>
          <w:tab w:val="left" w:pos="1725"/>
        </w:tabs>
        <w:rPr>
          <w:color w:val="000000" w:themeColor="text1"/>
          <w:sz w:val="18"/>
        </w:rPr>
      </w:pPr>
    </w:p>
    <w:p w14:paraId="2EE69E98" w14:textId="77777777" w:rsidR="00684ADB" w:rsidRPr="00FF74EE" w:rsidRDefault="00684ADB" w:rsidP="004C4333">
      <w:pPr>
        <w:tabs>
          <w:tab w:val="left" w:pos="1725"/>
        </w:tabs>
        <w:rPr>
          <w:color w:val="000000" w:themeColor="text1"/>
          <w:szCs w:val="24"/>
        </w:rPr>
      </w:pPr>
    </w:p>
    <w:p w14:paraId="7CDE1E77" w14:textId="0B426F5B" w:rsidR="006D55C0" w:rsidRPr="00FF74EE" w:rsidRDefault="00AE34D2" w:rsidP="004C4333">
      <w:pPr>
        <w:tabs>
          <w:tab w:val="center" w:pos="4153"/>
          <w:tab w:val="right" w:pos="8306"/>
        </w:tabs>
        <w:rPr>
          <w:color w:val="000000"/>
          <w:szCs w:val="24"/>
        </w:rPr>
      </w:pPr>
      <w:r w:rsidRPr="00FF74EE">
        <w:rPr>
          <w:color w:val="000000"/>
          <w:szCs w:val="24"/>
        </w:rPr>
        <w:t>Ziepniece 67095614</w:t>
      </w:r>
    </w:p>
    <w:p w14:paraId="732D946A" w14:textId="085E6193" w:rsidR="00942AB5" w:rsidRDefault="004A6FDC" w:rsidP="004C4333">
      <w:pPr>
        <w:pStyle w:val="Header"/>
        <w:rPr>
          <w:szCs w:val="24"/>
        </w:rPr>
      </w:pPr>
      <w:hyperlink r:id="rId11" w:history="1">
        <w:r w:rsidR="00CA79EA" w:rsidRPr="00FF74EE">
          <w:rPr>
            <w:rStyle w:val="Hyperlink"/>
            <w:szCs w:val="24"/>
          </w:rPr>
          <w:t>Ieva.Ziepniece@fm.gov.lv</w:t>
        </w:r>
      </w:hyperlink>
    </w:p>
    <w:p w14:paraId="5F673906" w14:textId="77777777" w:rsidR="00CA79EA" w:rsidRDefault="00CA79EA" w:rsidP="004C4333">
      <w:pPr>
        <w:pStyle w:val="Header"/>
        <w:rPr>
          <w:szCs w:val="24"/>
        </w:rPr>
      </w:pPr>
    </w:p>
    <w:p w14:paraId="211C8D35" w14:textId="77777777" w:rsidR="00CA79EA" w:rsidRPr="009E245B" w:rsidRDefault="00CA79EA" w:rsidP="004C4333">
      <w:pPr>
        <w:pStyle w:val="Header"/>
      </w:pPr>
    </w:p>
    <w:sectPr w:rsidR="00CA79EA" w:rsidRPr="009E245B" w:rsidSect="00AA6AE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9CE2" w14:textId="77777777" w:rsidR="00E241A6" w:rsidRDefault="00E241A6" w:rsidP="00684ADB">
      <w:r>
        <w:separator/>
      </w:r>
    </w:p>
  </w:endnote>
  <w:endnote w:type="continuationSeparator" w:id="0">
    <w:p w14:paraId="6BBC542C" w14:textId="77777777" w:rsidR="00E241A6" w:rsidRDefault="00E241A6" w:rsidP="00684ADB">
      <w:r>
        <w:continuationSeparator/>
      </w:r>
    </w:p>
  </w:endnote>
  <w:endnote w:type="continuationNotice" w:id="1">
    <w:p w14:paraId="4B6625D4" w14:textId="77777777" w:rsidR="00E241A6" w:rsidRDefault="00E24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602167C3" w:rsidR="00E241A6" w:rsidRPr="0038735F" w:rsidRDefault="00E241A6" w:rsidP="00947BBB">
    <w:pPr>
      <w:pStyle w:val="Footer"/>
      <w:jc w:val="both"/>
      <w:rPr>
        <w:sz w:val="20"/>
      </w:rPr>
    </w:pPr>
    <w:r>
      <w:rPr>
        <w:sz w:val="20"/>
      </w:rPr>
      <w:t>FMzin_270617_ES_fondi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BE59" w14:textId="5FE7638E" w:rsidR="00E241A6" w:rsidRPr="0038735F" w:rsidRDefault="00E241A6" w:rsidP="00947BBB">
    <w:pPr>
      <w:pStyle w:val="Footer"/>
      <w:jc w:val="both"/>
      <w:rPr>
        <w:sz w:val="20"/>
      </w:rPr>
    </w:pPr>
    <w:r>
      <w:rPr>
        <w:sz w:val="20"/>
      </w:rPr>
      <w:t>FMzin_270617</w:t>
    </w:r>
    <w:r w:rsidRPr="002E1DBF">
      <w:rPr>
        <w:sz w:val="20"/>
      </w:rPr>
      <w:t>_ES_fondi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8AB3" w14:textId="77777777" w:rsidR="00E241A6" w:rsidRDefault="00E241A6" w:rsidP="00684ADB">
      <w:r>
        <w:separator/>
      </w:r>
    </w:p>
  </w:footnote>
  <w:footnote w:type="continuationSeparator" w:id="0">
    <w:p w14:paraId="11D8E947" w14:textId="77777777" w:rsidR="00E241A6" w:rsidRDefault="00E241A6" w:rsidP="00684ADB">
      <w:r>
        <w:continuationSeparator/>
      </w:r>
    </w:p>
  </w:footnote>
  <w:footnote w:type="continuationNotice" w:id="1">
    <w:p w14:paraId="105BAB47" w14:textId="77777777" w:rsidR="00E241A6" w:rsidRDefault="00E241A6"/>
  </w:footnote>
  <w:footnote w:id="2">
    <w:p w14:paraId="36EC2AFA" w14:textId="5E348F26" w:rsidR="00E241A6" w:rsidRDefault="00E241A6">
      <w:pPr>
        <w:pStyle w:val="FootnoteText"/>
      </w:pPr>
      <w:r>
        <w:rPr>
          <w:rStyle w:val="FootnoteReference"/>
        </w:rPr>
        <w:footnoteRef/>
      </w:r>
      <w:r>
        <w:t xml:space="preserve"> </w:t>
      </w:r>
      <w:r w:rsidRPr="00A04E1B">
        <w:t xml:space="preserve">Ziņojumā tiek sniegta informācija par datu un informācijas apkopojumiem uz dažādiem atskaites datumiem ar mērķi sniegt aktuālo </w:t>
      </w:r>
      <w:r w:rsidRPr="001F61CC">
        <w:t>informāciju.</w:t>
      </w:r>
    </w:p>
  </w:footnote>
  <w:footnote w:id="3">
    <w:p w14:paraId="17FF6F9E" w14:textId="12212E4D" w:rsidR="00E241A6" w:rsidRPr="00A04E1B" w:rsidRDefault="00E241A6" w:rsidP="00ED78FB">
      <w:pPr>
        <w:pStyle w:val="FootnoteText"/>
        <w:jc w:val="both"/>
      </w:pPr>
      <w:r w:rsidRPr="001F61CC">
        <w:rPr>
          <w:rStyle w:val="FootnoteReference"/>
        </w:rPr>
        <w:footnoteRef/>
      </w:r>
      <w:r w:rsidRPr="001F61CC">
        <w:t xml:space="preserve"> Finanšu rādītāju plāni un to izpilde </w:t>
      </w:r>
      <w:hyperlink r:id="rId1" w:history="1">
        <w:r w:rsidRPr="001F61CC">
          <w:rPr>
            <w:rStyle w:val="Hyperlink"/>
          </w:rPr>
          <w:t>http://www.esfondi.lv/finansu-un-raditaju-plani-to-izpilde</w:t>
        </w:r>
      </w:hyperlink>
      <w:r w:rsidRPr="001F61CC">
        <w:t xml:space="preserve"> </w:t>
      </w:r>
    </w:p>
  </w:footnote>
  <w:footnote w:id="4">
    <w:p w14:paraId="1DB58BB9" w14:textId="77777777" w:rsidR="00E241A6" w:rsidRDefault="00E241A6" w:rsidP="00736F78">
      <w:pPr>
        <w:pStyle w:val="FootnoteText"/>
      </w:pPr>
      <w:r>
        <w:rPr>
          <w:rStyle w:val="FootnoteReference"/>
        </w:rPr>
        <w:footnoteRef/>
      </w:r>
      <w:r>
        <w:t xml:space="preserve"> A</w:t>
      </w:r>
      <w:r w:rsidRPr="00876B0D">
        <w:rPr>
          <w:rStyle w:val="Hyperlink"/>
          <w:color w:val="auto"/>
          <w:u w:val="none"/>
        </w:rPr>
        <w:t>ktuālā CFLA atlašu informācija pieejama CFLA tīmekļa vietnē:</w:t>
      </w:r>
      <w:r w:rsidRPr="00876B0D">
        <w:rPr>
          <w:rStyle w:val="Hyperlink"/>
          <w:color w:val="auto"/>
        </w:rPr>
        <w:t xml:space="preserve"> </w:t>
      </w:r>
      <w:hyperlink r:id="rId2" w:history="1">
        <w:r w:rsidRPr="00C97022">
          <w:rPr>
            <w:rStyle w:val="Hyperlink"/>
          </w:rPr>
          <w:t>http://www.cfla.gov.lv/lv/es-fondi-2014-2020/projektu-iesniegumu-atlase</w:t>
        </w:r>
      </w:hyperlink>
      <w:r w:rsidRPr="00C97022">
        <w:t xml:space="preserve"> </w:t>
      </w:r>
    </w:p>
  </w:footnote>
  <w:footnote w:id="5">
    <w:p w14:paraId="30ABB484" w14:textId="68C2ABEA" w:rsidR="0039488E" w:rsidRPr="001A4EDE" w:rsidRDefault="0039488E" w:rsidP="0039488E">
      <w:pPr>
        <w:pStyle w:val="FootnoteText"/>
        <w:jc w:val="both"/>
      </w:pPr>
      <w:r w:rsidRPr="001A4EDE">
        <w:rPr>
          <w:rStyle w:val="FootnoteReference"/>
        </w:rPr>
        <w:footnoteRef/>
      </w:r>
      <w:r w:rsidRPr="001A4EDE">
        <w:t xml:space="preserve"> </w:t>
      </w:r>
      <w:r w:rsidRPr="002B7B79">
        <w:rPr>
          <w:rFonts w:cs="Times New Roman"/>
        </w:rPr>
        <w:t>Kopējais 2017. </w:t>
      </w:r>
      <w:r w:rsidRPr="002B7B79">
        <w:rPr>
          <w:rFonts w:cs="Times New Roman"/>
        </w:rPr>
        <w:t xml:space="preserve">gada plāns </w:t>
      </w:r>
      <w:bookmarkStart w:id="0" w:name="_GoBack"/>
      <w:bookmarkEnd w:id="0"/>
      <w:r w:rsidRPr="002B7B79">
        <w:rPr>
          <w:rFonts w:cs="Times New Roman"/>
        </w:rPr>
        <w:t>ma</w:t>
      </w:r>
      <w:r w:rsidR="004A6FDC">
        <w:rPr>
          <w:rFonts w:cs="Times New Roman"/>
        </w:rPr>
        <w:t xml:space="preserve">ksājumu finansējuma saņēmējiem </w:t>
      </w:r>
      <w:r w:rsidRPr="002B7B79">
        <w:rPr>
          <w:rFonts w:cs="Times New Roman"/>
        </w:rPr>
        <w:t>plāns iekļauts FM pusgada ziņojumā par ES fondu ieviešanas progresu un ikmēneša izpildes statuss pieejams ES fondu tīmekļa vietnē</w:t>
      </w:r>
      <w:r>
        <w:rPr>
          <w:rFonts w:cs="Times New Roman"/>
        </w:rPr>
        <w:t xml:space="preserve">: </w:t>
      </w:r>
      <w:hyperlink r:id="rId3" w:history="1">
        <w:r w:rsidRPr="001A4EDE">
          <w:rPr>
            <w:rStyle w:val="Hyperlink"/>
          </w:rPr>
          <w:t>http://www.esfondi.lv/finansu-un-raditaju-plani-to-izpilde</w:t>
        </w:r>
      </w:hyperlink>
      <w:r w:rsidRPr="001A4EDE">
        <w:t xml:space="preserve"> </w:t>
      </w:r>
    </w:p>
  </w:footnote>
  <w:footnote w:id="6">
    <w:p w14:paraId="38955A87" w14:textId="466C98CE" w:rsidR="00E241A6" w:rsidRDefault="00E241A6" w:rsidP="00680525">
      <w:pPr>
        <w:pStyle w:val="FootnoteText"/>
        <w:jc w:val="both"/>
      </w:pPr>
      <w:r>
        <w:rPr>
          <w:rStyle w:val="FootnoteReference"/>
        </w:rPr>
        <w:footnoteRef/>
      </w:r>
      <w:r>
        <w:t xml:space="preserve"> </w:t>
      </w:r>
      <w:r>
        <w:rPr>
          <w:rFonts w:cs="Times New Roman"/>
        </w:rPr>
        <w:t>Ierobežotās projektu iesniegumu atlasēs ir noteikti potenciālie projektu īstenotāji un finanšu sadalījums, kas kopā veido i</w:t>
      </w:r>
      <w:r w:rsidRPr="004221F5">
        <w:rPr>
          <w:rFonts w:cs="Times New Roman"/>
        </w:rPr>
        <w:t>ndik</w:t>
      </w:r>
      <w:r>
        <w:rPr>
          <w:rFonts w:cs="Times New Roman"/>
        </w:rPr>
        <w:t>.</w:t>
      </w:r>
      <w:r w:rsidRPr="004221F5">
        <w:rPr>
          <w:rFonts w:cs="Times New Roman"/>
        </w:rPr>
        <w:t xml:space="preserve"> 90% no kopējā ES finansējum</w:t>
      </w:r>
      <w:r>
        <w:rPr>
          <w:rFonts w:cs="Times New Roman"/>
        </w:rPr>
        <w:t>a</w:t>
      </w:r>
      <w:r w:rsidRPr="004221F5">
        <w:rPr>
          <w:rFonts w:cs="Times New Roman"/>
        </w:rPr>
        <w:t xml:space="preserve"> </w:t>
      </w:r>
      <w:r>
        <w:rPr>
          <w:rFonts w:cs="Times New Roman"/>
        </w:rPr>
        <w:t xml:space="preserve">Latvijai (4,4, mljrd. </w:t>
      </w:r>
      <w:r w:rsidRPr="00C2534E">
        <w:rPr>
          <w:rFonts w:cs="Times New Roman"/>
          <w:i/>
        </w:rPr>
        <w:t>euro</w:t>
      </w:r>
      <w:r>
        <w:rPr>
          <w:rFonts w:cs="Times New Roman"/>
        </w:rPr>
        <w:t xml:space="preserve">) </w:t>
      </w:r>
      <w:r w:rsidRPr="004221F5">
        <w:rPr>
          <w:rFonts w:cs="Times New Roman"/>
        </w:rPr>
        <w:t>plānoš</w:t>
      </w:r>
      <w:r>
        <w:rPr>
          <w:rFonts w:cs="Times New Roman"/>
        </w:rPr>
        <w:t>a</w:t>
      </w:r>
      <w:r w:rsidRPr="004221F5">
        <w:rPr>
          <w:rFonts w:cs="Times New Roman"/>
        </w:rPr>
        <w:t>nas period</w:t>
      </w:r>
      <w:r>
        <w:rPr>
          <w:rFonts w:cs="Times New Roman"/>
        </w:rPr>
        <w:t>ā</w:t>
      </w:r>
      <w:r w:rsidRPr="004221F5">
        <w:rPr>
          <w:rFonts w:cs="Times New Roman"/>
        </w:rPr>
        <w:t>.</w:t>
      </w:r>
    </w:p>
  </w:footnote>
  <w:footnote w:id="7">
    <w:p w14:paraId="1A8A407B" w14:textId="3F9CAF12" w:rsidR="00E241A6" w:rsidRDefault="00E241A6" w:rsidP="00A754D6">
      <w:pPr>
        <w:pStyle w:val="FootnoteText"/>
      </w:pPr>
      <w:r>
        <w:rPr>
          <w:rStyle w:val="FootnoteReference"/>
        </w:rPr>
        <w:footnoteRef/>
      </w:r>
      <w:r>
        <w:t xml:space="preserve"> </w:t>
      </w:r>
      <w:hyperlink r:id="rId4" w:history="1">
        <w:r w:rsidRPr="00E00D05">
          <w:rPr>
            <w:rStyle w:val="Hyperlink"/>
          </w:rPr>
          <w:t>http://www.esfondi.lv/finansu-un-raditaju-plani-to-izpilde</w:t>
        </w:r>
      </w:hyperlink>
      <w:r>
        <w:t xml:space="preserve"> </w:t>
      </w:r>
      <w:r w:rsidR="00A754D6">
        <w:t>sadaļā “</w:t>
      </w:r>
      <w:r w:rsidR="00A754D6" w:rsidRPr="00BB1339">
        <w:t>Maksājumu un projektu iesniegšanas plānu izpildes ierobežotu projektu iesniegumu atlašu projektos</w:t>
      </w:r>
      <w:r w:rsidR="00A754D6">
        <w:t>”</w:t>
      </w:r>
    </w:p>
  </w:footnote>
  <w:footnote w:id="8">
    <w:p w14:paraId="63E37A02" w14:textId="159C2C97" w:rsidR="00696620" w:rsidRDefault="00696620">
      <w:pPr>
        <w:pStyle w:val="FootnoteText"/>
      </w:pPr>
      <w:r>
        <w:rPr>
          <w:rStyle w:val="FootnoteReference"/>
        </w:rPr>
        <w:footnoteRef/>
      </w:r>
      <w:r>
        <w:t xml:space="preserve"> </w:t>
      </w:r>
      <w:r w:rsidRPr="00696620">
        <w:t>http://tap.mk.gov.lv/lv/mk/tap/?pid=40427784&amp;mode=mk&amp;date=2017-06-20</w:t>
      </w:r>
    </w:p>
  </w:footnote>
  <w:footnote w:id="9">
    <w:p w14:paraId="1C49D2C4" w14:textId="77777777" w:rsidR="00E241A6" w:rsidRDefault="00E241A6" w:rsidP="006F7622">
      <w:pPr>
        <w:pStyle w:val="FootnoteText"/>
      </w:pPr>
      <w:r>
        <w:rPr>
          <w:rStyle w:val="FootnoteReference"/>
        </w:rPr>
        <w:footnoteRef/>
      </w:r>
      <w:r>
        <w:t xml:space="preserve"> </w:t>
      </w:r>
      <w:r>
        <w:t>6.1.1. specifiskais atbalsta mērķis “</w:t>
      </w:r>
      <w:r w:rsidRPr="00CF7F3A">
        <w:t>Palielināt lielo ostu drošības līmeni un uzlabot transporta tīkla mobilitāti</w:t>
      </w:r>
      <w:r>
        <w:t>”</w:t>
      </w:r>
    </w:p>
  </w:footnote>
  <w:footnote w:id="10">
    <w:p w14:paraId="57277435" w14:textId="77777777" w:rsidR="00E241A6" w:rsidRDefault="00E241A6" w:rsidP="006F7622">
      <w:pPr>
        <w:pStyle w:val="FootnoteText"/>
      </w:pPr>
      <w:r>
        <w:rPr>
          <w:rStyle w:val="FootnoteReference"/>
        </w:rPr>
        <w:footnoteRef/>
      </w:r>
      <w:r>
        <w:t xml:space="preserve"> 6.1.4.2.pasākums “</w:t>
      </w:r>
      <w:r w:rsidRPr="00CF7F3A">
        <w:t>Nacionālas nozīmes attīstības centru integrēšana TEN-T tīklā</w:t>
      </w:r>
      <w:r>
        <w:t>”</w:t>
      </w:r>
    </w:p>
  </w:footnote>
  <w:footnote w:id="11">
    <w:p w14:paraId="54D6F7E7" w14:textId="77777777" w:rsidR="00E241A6" w:rsidRDefault="00E241A6" w:rsidP="00430BC5">
      <w:pPr>
        <w:pStyle w:val="FootnoteText"/>
      </w:pPr>
      <w:r>
        <w:rPr>
          <w:rStyle w:val="FootnoteReference"/>
        </w:rPr>
        <w:footnoteRef/>
      </w:r>
      <w:r>
        <w:t xml:space="preserve"> </w:t>
      </w:r>
      <w:r w:rsidRPr="00F03100">
        <w:t>2.2.1.specifiskā atbalsta mērķ</w:t>
      </w:r>
      <w:r>
        <w:t>a</w:t>
      </w:r>
      <w:r w:rsidRPr="00F03100">
        <w:t xml:space="preserve"> “Nodrošināt publisko datu </w:t>
      </w:r>
      <w:proofErr w:type="spellStart"/>
      <w:r w:rsidRPr="00F03100">
        <w:t>atkalizmantošanas</w:t>
      </w:r>
      <w:proofErr w:type="spellEnd"/>
      <w:r w:rsidRPr="00F03100">
        <w:t xml:space="preserve"> pieaugumu un efektīvu publiskās pārvaldes un privātā sektora mijiedarbību”</w:t>
      </w:r>
      <w:r>
        <w:t xml:space="preserve"> ietvaros plānotie informācijas un komunikācijas tehnoloģiju projekti</w:t>
      </w:r>
    </w:p>
  </w:footnote>
  <w:footnote w:id="12">
    <w:p w14:paraId="4281C0F2" w14:textId="77777777" w:rsidR="005468FE" w:rsidRPr="00951C18" w:rsidRDefault="005468FE" w:rsidP="005468FE">
      <w:pPr>
        <w:pStyle w:val="FootnoteText"/>
        <w:jc w:val="both"/>
        <w:rPr>
          <w:rFonts w:cs="Times New Roman"/>
        </w:rPr>
      </w:pPr>
      <w:r w:rsidRPr="00951C18">
        <w:rPr>
          <w:rStyle w:val="FootnoteReference"/>
          <w:rFonts w:cs="Times New Roman"/>
        </w:rPr>
        <w:footnoteRef/>
      </w:r>
      <w:r w:rsidRPr="00951C18">
        <w:rPr>
          <w:rFonts w:cs="Times New Roman"/>
        </w:rPr>
        <w:t xml:space="preserve"> Ministru kabineta 2016.gada 10.februāra rīkojums Nr.136 “Par informācijas sabiedrības attīstības pamatnostādņu ieviešanu publiskās pārvaldes informācijas sistēmu jomā””</w:t>
      </w:r>
    </w:p>
  </w:footnote>
  <w:footnote w:id="13">
    <w:p w14:paraId="3FB68393" w14:textId="77777777" w:rsidR="00E241A6" w:rsidRDefault="00E241A6" w:rsidP="00C40E9D">
      <w:pPr>
        <w:pStyle w:val="FootnoteText"/>
      </w:pPr>
      <w:r>
        <w:rPr>
          <w:rStyle w:val="FootnoteReference"/>
        </w:rPr>
        <w:footnoteRef/>
      </w:r>
      <w:r>
        <w:t xml:space="preserve"> </w:t>
      </w:r>
      <w:r w:rsidRPr="00236E65">
        <w:rPr>
          <w:rFonts w:cs="Times New Roman"/>
        </w:rPr>
        <w:t>5.5.1.SAM “Saglabāt, aizsargāt un attīstīt nozīmīgu kultūras un dabas mantojumu, kā arī attīstīt ar to saistītos pakalpojumus”</w:t>
      </w:r>
    </w:p>
  </w:footnote>
  <w:footnote w:id="14">
    <w:p w14:paraId="6DF0B6A4" w14:textId="707A12DE" w:rsidR="00E241A6" w:rsidRDefault="00E241A6">
      <w:pPr>
        <w:pStyle w:val="FootnoteText"/>
      </w:pPr>
      <w:r>
        <w:rPr>
          <w:rStyle w:val="FootnoteReference"/>
        </w:rPr>
        <w:footnoteRef/>
      </w:r>
      <w:r>
        <w:t xml:space="preserve"> </w:t>
      </w:r>
      <w:r w:rsidRPr="00E05749">
        <w:t xml:space="preserve">Atbilstoši MK 2017. gada 14. marta sēdes protokola Nr. 12. 43§ noteiktajiem uzdevumiem ES fondu ietvaros: </w:t>
      </w:r>
      <w:hyperlink r:id="rId5" w:history="1">
        <w:r w:rsidRPr="00E05749">
          <w:rPr>
            <w:rStyle w:val="Hyperlink"/>
          </w:rPr>
          <w:t>http://www.esfondi.lv/upload/mk-protokollemums.pdf</w:t>
        </w:r>
      </w:hyperlink>
      <w:r w:rsidRPr="00E05749">
        <w:t>.</w:t>
      </w:r>
    </w:p>
  </w:footnote>
  <w:footnote w:id="15">
    <w:p w14:paraId="7CCFAF31" w14:textId="77777777" w:rsidR="00E241A6" w:rsidRPr="000923D8" w:rsidRDefault="00E241A6" w:rsidP="003E5640">
      <w:pPr>
        <w:pStyle w:val="FootnoteText"/>
        <w:jc w:val="both"/>
      </w:pPr>
      <w:r w:rsidRPr="000923D8">
        <w:rPr>
          <w:rStyle w:val="FootnoteReference"/>
        </w:rPr>
        <w:footnoteRef/>
      </w:r>
      <w:r w:rsidRPr="000923D8">
        <w:t xml:space="preserve"> </w:t>
      </w:r>
      <w:r w:rsidRPr="000923D8">
        <w:t xml:space="preserve">Atbilstoši MK 2017. gada 17. janvāra sēdes protokola Nr.3 39.§ “Informatīvais ziņojums “Par lielā projekta “Latvijas dzelzceļa tīkla elektrifikācija” sagatavošanas progresu, izmaksu un ieguvumu analīzes rezultātiem un projekta īstenošanas risinājumiem”” 10. punktā noteiktajam </w:t>
      </w:r>
    </w:p>
  </w:footnote>
  <w:footnote w:id="16">
    <w:p w14:paraId="44B8F154" w14:textId="4578713C" w:rsidR="00C64D09" w:rsidRPr="00C64D09" w:rsidRDefault="00C64D09" w:rsidP="005B0794">
      <w:pPr>
        <w:pStyle w:val="FootnoteText"/>
        <w:jc w:val="both"/>
      </w:pPr>
      <w:r>
        <w:rPr>
          <w:rStyle w:val="FootnoteReference"/>
        </w:rPr>
        <w:footnoteRef/>
      </w:r>
      <w:r>
        <w:t xml:space="preserve"> </w:t>
      </w:r>
      <w:r w:rsidRPr="005B0794">
        <w:rPr>
          <w:rFonts w:eastAsia="Calibri"/>
          <w:lang w:eastAsia="ar-SA"/>
        </w:rPr>
        <w:t>Īpaši aktuāli IZM 7.2.1.2. pasākumā “Sākotnējās profesionālās izglītības programmu īstenošana Jauniešu garantijas ietvaros”</w:t>
      </w:r>
    </w:p>
  </w:footnote>
  <w:footnote w:id="17">
    <w:p w14:paraId="3932D6C5" w14:textId="0E68FA76" w:rsidR="00FA6657" w:rsidRDefault="00FA6657">
      <w:pPr>
        <w:pStyle w:val="FootnoteText"/>
      </w:pPr>
      <w:r>
        <w:rPr>
          <w:rStyle w:val="FootnoteReference"/>
        </w:rPr>
        <w:footnoteRef/>
      </w:r>
      <w:r>
        <w:t xml:space="preserve"> 26.06.2017.IZM nosūtījusi ziņojuma projektu FM, LM un Tieslietu ministrijai saskaņošanai.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00518"/>
      <w:docPartObj>
        <w:docPartGallery w:val="Page Numbers (Top of Page)"/>
        <w:docPartUnique/>
      </w:docPartObj>
    </w:sdtPr>
    <w:sdtEndPr>
      <w:rPr>
        <w:noProof/>
      </w:rPr>
    </w:sdtEndPr>
    <w:sdtContent>
      <w:p w14:paraId="7885E5AC" w14:textId="38F6C8EA" w:rsidR="00E241A6" w:rsidRDefault="00E241A6">
        <w:pPr>
          <w:pStyle w:val="Header"/>
          <w:jc w:val="center"/>
        </w:pPr>
        <w:r>
          <w:fldChar w:fldCharType="begin"/>
        </w:r>
        <w:r>
          <w:instrText xml:space="preserve"> PAGE   \* MERGEFORMAT </w:instrText>
        </w:r>
        <w:r>
          <w:fldChar w:fldCharType="separate"/>
        </w:r>
        <w:r w:rsidR="004A6FDC">
          <w:rPr>
            <w:noProof/>
          </w:rPr>
          <w:t>9</w:t>
        </w:r>
        <w:r>
          <w:rPr>
            <w:noProof/>
          </w:rPr>
          <w:fldChar w:fldCharType="end"/>
        </w:r>
      </w:p>
    </w:sdtContent>
  </w:sdt>
  <w:p w14:paraId="0C8E0C95" w14:textId="26BB3FA8" w:rsidR="00E241A6" w:rsidRDefault="00E241A6" w:rsidP="00947B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C87"/>
    <w:multiLevelType w:val="hybridMultilevel"/>
    <w:tmpl w:val="66FE8A78"/>
    <w:lvl w:ilvl="0" w:tplc="A3DA8CC0">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D38F0"/>
    <w:multiLevelType w:val="hybridMultilevel"/>
    <w:tmpl w:val="7F72CCD4"/>
    <w:lvl w:ilvl="0" w:tplc="9CACFB6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4AA1D60"/>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D05F43"/>
    <w:multiLevelType w:val="hybridMultilevel"/>
    <w:tmpl w:val="9A08D062"/>
    <w:lvl w:ilvl="0" w:tplc="C978ADFE">
      <w:start w:val="1"/>
      <w:numFmt w:val="decimal"/>
      <w:lvlText w:val="(%1)"/>
      <w:lvlJc w:val="left"/>
      <w:pPr>
        <w:ind w:left="891" w:hanging="46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4A2CF8"/>
    <w:multiLevelType w:val="hybridMultilevel"/>
    <w:tmpl w:val="B6FC6F74"/>
    <w:lvl w:ilvl="0" w:tplc="0426000F">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5" w15:restartNumberingAfterBreak="0">
    <w:nsid w:val="0FBA7308"/>
    <w:multiLevelType w:val="hybridMultilevel"/>
    <w:tmpl w:val="9DE8398E"/>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5656B7F4">
      <w:start w:val="1"/>
      <w:numFmt w:val="decimal"/>
      <w:lvlText w:val="%4)"/>
      <w:lvlJc w:val="left"/>
      <w:pPr>
        <w:ind w:left="2880" w:hanging="360"/>
      </w:pPr>
      <w:rPr>
        <w:rFonts w:eastAsia="Calibri"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0544CF"/>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105068"/>
    <w:multiLevelType w:val="hybridMultilevel"/>
    <w:tmpl w:val="941443CC"/>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118D0C20"/>
    <w:multiLevelType w:val="hybridMultilevel"/>
    <w:tmpl w:val="4A120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A6264"/>
    <w:multiLevelType w:val="multilevel"/>
    <w:tmpl w:val="C33E9836"/>
    <w:lvl w:ilvl="0">
      <w:start w:val="2"/>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0" w15:restartNumberingAfterBreak="0">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87475"/>
    <w:multiLevelType w:val="hybridMultilevel"/>
    <w:tmpl w:val="01CEBE2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855EC7"/>
    <w:multiLevelType w:val="hybridMultilevel"/>
    <w:tmpl w:val="922655C4"/>
    <w:lvl w:ilvl="0" w:tplc="04260001">
      <w:start w:val="1"/>
      <w:numFmt w:val="bullet"/>
      <w:lvlText w:val=""/>
      <w:lvlJc w:val="left"/>
      <w:pPr>
        <w:ind w:left="2160" w:hanging="360"/>
      </w:pPr>
      <w:rPr>
        <w:rFonts w:ascii="Symbol" w:hAnsi="Symbol" w:hint="default"/>
        <w:b/>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15:restartNumberingAfterBreak="0">
    <w:nsid w:val="19185A88"/>
    <w:multiLevelType w:val="hybridMultilevel"/>
    <w:tmpl w:val="F5402864"/>
    <w:lvl w:ilvl="0" w:tplc="5AD28000">
      <w:start w:val="1"/>
      <w:numFmt w:val="lowerLetter"/>
      <w:lvlText w:val="%1)"/>
      <w:lvlJc w:val="left"/>
      <w:pPr>
        <w:ind w:left="1353" w:hanging="36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4" w15:restartNumberingAfterBreak="0">
    <w:nsid w:val="19D5471A"/>
    <w:multiLevelType w:val="hybridMultilevel"/>
    <w:tmpl w:val="12E0A2C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EF14012"/>
    <w:multiLevelType w:val="hybridMultilevel"/>
    <w:tmpl w:val="3E8E17B4"/>
    <w:lvl w:ilvl="0" w:tplc="F40032E8">
      <w:start w:val="1"/>
      <w:numFmt w:val="decimal"/>
      <w:lvlText w:val="(%1)"/>
      <w:lvlJc w:val="left"/>
      <w:pPr>
        <w:ind w:left="1473" w:hanging="405"/>
      </w:pPr>
      <w:rPr>
        <w:rFonts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16" w15:restartNumberingAfterBreak="0">
    <w:nsid w:val="211A2D9D"/>
    <w:multiLevelType w:val="hybridMultilevel"/>
    <w:tmpl w:val="5628D3E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2680241B"/>
    <w:multiLevelType w:val="hybridMultilevel"/>
    <w:tmpl w:val="C97E8478"/>
    <w:lvl w:ilvl="0" w:tplc="74E27924">
      <w:start w:val="1"/>
      <w:numFmt w:val="lowerLetter"/>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8C3771B"/>
    <w:multiLevelType w:val="hybridMultilevel"/>
    <w:tmpl w:val="5366EC0A"/>
    <w:lvl w:ilvl="0" w:tplc="F1CE2E3A">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BB86799"/>
    <w:multiLevelType w:val="hybridMultilevel"/>
    <w:tmpl w:val="51EC2EB2"/>
    <w:lvl w:ilvl="0" w:tplc="BC4666D4">
      <w:start w:val="1"/>
      <w:numFmt w:val="decimal"/>
      <w:lvlText w:val="%1)"/>
      <w:lvlJc w:val="left"/>
      <w:pPr>
        <w:ind w:left="720" w:hanging="360"/>
      </w:pPr>
      <w:rPr>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9A3BA7"/>
    <w:multiLevelType w:val="hybridMultilevel"/>
    <w:tmpl w:val="5BB48924"/>
    <w:lvl w:ilvl="0" w:tplc="84B6D694">
      <w:start w:val="1"/>
      <w:numFmt w:val="decimal"/>
      <w:lvlText w:val="%1."/>
      <w:lvlJc w:val="left"/>
      <w:pPr>
        <w:ind w:left="786" w:hanging="360"/>
      </w:pPr>
      <w:rPr>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E6152B"/>
    <w:multiLevelType w:val="hybridMultilevel"/>
    <w:tmpl w:val="7E96E13E"/>
    <w:lvl w:ilvl="0" w:tplc="042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B6FCB"/>
    <w:multiLevelType w:val="hybridMultilevel"/>
    <w:tmpl w:val="25BE5102"/>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39622B9F"/>
    <w:multiLevelType w:val="hybridMultilevel"/>
    <w:tmpl w:val="94D68158"/>
    <w:lvl w:ilvl="0" w:tplc="34D8A0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C5E25C1"/>
    <w:multiLevelType w:val="hybridMultilevel"/>
    <w:tmpl w:val="1C94D600"/>
    <w:lvl w:ilvl="0" w:tplc="4DD68210">
      <w:start w:val="5"/>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40BE70C9"/>
    <w:multiLevelType w:val="hybridMultilevel"/>
    <w:tmpl w:val="8B3C20C4"/>
    <w:lvl w:ilvl="0" w:tplc="5A7CD1DC">
      <w:start w:val="1"/>
      <w:numFmt w:val="decimal"/>
      <w:lvlText w:val="%1."/>
      <w:lvlJc w:val="left"/>
      <w:pPr>
        <w:ind w:left="1440" w:hanging="360"/>
      </w:pPr>
      <w:rPr>
        <w:i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79F6D0B"/>
    <w:multiLevelType w:val="hybridMultilevel"/>
    <w:tmpl w:val="CBB443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3F3386"/>
    <w:multiLevelType w:val="hybridMultilevel"/>
    <w:tmpl w:val="3EA80F9C"/>
    <w:lvl w:ilvl="0" w:tplc="2D5EFBF2">
      <w:start w:val="1"/>
      <w:numFmt w:val="decimal"/>
      <w:lvlText w:val="%1."/>
      <w:lvlJc w:val="left"/>
      <w:pPr>
        <w:ind w:left="804" w:hanging="44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0322C3"/>
    <w:multiLevelType w:val="hybridMultilevel"/>
    <w:tmpl w:val="7D1E43BC"/>
    <w:lvl w:ilvl="0" w:tplc="04260001">
      <w:start w:val="1"/>
      <w:numFmt w:val="bullet"/>
      <w:lvlText w:val=""/>
      <w:lvlJc w:val="left"/>
      <w:pPr>
        <w:ind w:left="720" w:hanging="360"/>
      </w:pPr>
      <w:rPr>
        <w:rFonts w:ascii="Symbol" w:hAnsi="Symbol" w:hint="default"/>
        <w:b/>
      </w:rPr>
    </w:lvl>
    <w:lvl w:ilvl="1" w:tplc="19F2AD1C">
      <w:start w:val="1"/>
      <w:numFmt w:val="decimal"/>
      <w:lvlText w:val="%2."/>
      <w:lvlJc w:val="left"/>
      <w:pPr>
        <w:ind w:left="1440" w:hanging="360"/>
      </w:pPr>
      <w:rPr>
        <w:rFonts w:hint="default"/>
        <w:b w:val="0"/>
        <w:i w:val="0"/>
        <w:sz w:val="28"/>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2D66EE"/>
    <w:multiLevelType w:val="hybridMultilevel"/>
    <w:tmpl w:val="3020B7AC"/>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7814C5"/>
    <w:multiLevelType w:val="hybridMultilevel"/>
    <w:tmpl w:val="C03EBCEC"/>
    <w:lvl w:ilvl="0" w:tplc="5D8C3934">
      <w:start w:val="1"/>
      <w:numFmt w:val="decimal"/>
      <w:lvlText w:val="%1)"/>
      <w:lvlJc w:val="left"/>
      <w:pPr>
        <w:ind w:left="360" w:hanging="360"/>
      </w:pPr>
      <w:rPr>
        <w:rFonts w:ascii="Times New Roman" w:eastAsiaTheme="minorHAnsi" w:hAnsi="Times New Roman" w:cstheme="minorBidi"/>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7F1FE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7F1E42"/>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3561EF"/>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0701BE"/>
    <w:multiLevelType w:val="hybridMultilevel"/>
    <w:tmpl w:val="DD1AD5F4"/>
    <w:lvl w:ilvl="0" w:tplc="ED52F170">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A911C9"/>
    <w:multiLevelType w:val="hybridMultilevel"/>
    <w:tmpl w:val="029A1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157F89"/>
    <w:multiLevelType w:val="hybridMultilevel"/>
    <w:tmpl w:val="C150909E"/>
    <w:lvl w:ilvl="0" w:tplc="6A827972">
      <w:start w:val="1"/>
      <w:numFmt w:val="lowerLetter"/>
      <w:lvlText w:val="%1)"/>
      <w:lvlJc w:val="left"/>
      <w:pPr>
        <w:ind w:left="720" w:hanging="360"/>
      </w:pPr>
      <w:rPr>
        <w:rFonts w:ascii="Times New Roman" w:eastAsiaTheme="minorHAnsi" w:hAnsi="Times New Roman" w:cs="Times New Roman"/>
      </w:rPr>
    </w:lvl>
    <w:lvl w:ilvl="1" w:tplc="04260011">
      <w:start w:val="1"/>
      <w:numFmt w:val="decimal"/>
      <w:lvlText w:val="%2)"/>
      <w:lvlJc w:val="left"/>
      <w:pPr>
        <w:ind w:left="1440" w:hanging="360"/>
      </w:pPr>
    </w:lvl>
    <w:lvl w:ilvl="2" w:tplc="7174DC56">
      <w:start w:val="3"/>
      <w:numFmt w:val="decimal"/>
      <w:lvlText w:val="%3)"/>
      <w:lvlJc w:val="left"/>
      <w:pPr>
        <w:ind w:left="2340" w:hanging="360"/>
      </w:pPr>
      <w:rPr>
        <w:rFonts w:cstheme="minorBidi"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AA41FA"/>
    <w:multiLevelType w:val="hybridMultilevel"/>
    <w:tmpl w:val="C97E8478"/>
    <w:lvl w:ilvl="0" w:tplc="74E27924">
      <w:start w:val="1"/>
      <w:numFmt w:val="lowerLetter"/>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69176537"/>
    <w:multiLevelType w:val="hybridMultilevel"/>
    <w:tmpl w:val="C392295C"/>
    <w:lvl w:ilvl="0" w:tplc="82AC9E98">
      <w:start w:val="1"/>
      <w:numFmt w:val="decimal"/>
      <w:lvlText w:val="%1."/>
      <w:lvlJc w:val="left"/>
      <w:pPr>
        <w:ind w:left="1146" w:hanging="360"/>
      </w:pPr>
      <w:rPr>
        <w:rFonts w:hint="default"/>
        <w:u w:val="single"/>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9" w15:restartNumberingAfterBreak="0">
    <w:nsid w:val="6D1F0517"/>
    <w:multiLevelType w:val="hybridMultilevel"/>
    <w:tmpl w:val="D02230CC"/>
    <w:lvl w:ilvl="0" w:tplc="6BA2893E">
      <w:start w:val="1"/>
      <w:numFmt w:val="lowerLetter"/>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E60CBF"/>
    <w:multiLevelType w:val="hybridMultilevel"/>
    <w:tmpl w:val="38767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234359"/>
    <w:multiLevelType w:val="hybridMultilevel"/>
    <w:tmpl w:val="1104207C"/>
    <w:lvl w:ilvl="0" w:tplc="A81CEDE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4B33D9F"/>
    <w:multiLevelType w:val="hybridMultilevel"/>
    <w:tmpl w:val="62EC7D92"/>
    <w:lvl w:ilvl="0" w:tplc="04260001">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4A442D"/>
    <w:multiLevelType w:val="hybridMultilevel"/>
    <w:tmpl w:val="485EB6EC"/>
    <w:lvl w:ilvl="0" w:tplc="E274FD68">
      <w:start w:val="14"/>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4" w15:restartNumberingAfterBreak="0">
    <w:nsid w:val="76BB321A"/>
    <w:multiLevelType w:val="multilevel"/>
    <w:tmpl w:val="1EF603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5" w15:restartNumberingAfterBreak="0">
    <w:nsid w:val="77791C8C"/>
    <w:multiLevelType w:val="hybridMultilevel"/>
    <w:tmpl w:val="E24AB1FC"/>
    <w:lvl w:ilvl="0" w:tplc="41CEE2B6">
      <w:start w:val="1"/>
      <w:numFmt w:val="decimal"/>
      <w:lvlText w:val="%1)"/>
      <w:lvlJc w:val="left"/>
      <w:pPr>
        <w:ind w:left="1204" w:hanging="49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6" w15:restartNumberingAfterBreak="0">
    <w:nsid w:val="79D666F1"/>
    <w:multiLevelType w:val="hybridMultilevel"/>
    <w:tmpl w:val="D9D8AB4A"/>
    <w:lvl w:ilvl="0" w:tplc="19F2AD1C">
      <w:start w:val="1"/>
      <w:numFmt w:val="decimal"/>
      <w:lvlText w:val="%1."/>
      <w:lvlJc w:val="left"/>
      <w:pPr>
        <w:ind w:left="644" w:hanging="360"/>
      </w:pPr>
      <w:rPr>
        <w:b w:val="0"/>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9E12CE"/>
    <w:multiLevelType w:val="hybridMultilevel"/>
    <w:tmpl w:val="5D10C54E"/>
    <w:lvl w:ilvl="0" w:tplc="04260011">
      <w:start w:val="1"/>
      <w:numFmt w:val="decimal"/>
      <w:lvlText w:val="%1)"/>
      <w:lvlJc w:val="left"/>
      <w:pPr>
        <w:ind w:left="786" w:hanging="360"/>
      </w:pPr>
      <w:rPr>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E506A9"/>
    <w:multiLevelType w:val="multilevel"/>
    <w:tmpl w:val="AC12E288"/>
    <w:lvl w:ilvl="0">
      <w:start w:val="1"/>
      <w:numFmt w:val="decimal"/>
      <w:lvlText w:val="%1)"/>
      <w:lvlJc w:val="left"/>
      <w:pPr>
        <w:ind w:left="360" w:hanging="360"/>
      </w:pPr>
      <w:rPr>
        <w:i w:val="0"/>
        <w:color w:val="auto"/>
      </w:rPr>
    </w:lvl>
    <w:lvl w:ilvl="1">
      <w:start w:val="1"/>
      <w:numFmt w:val="decimal"/>
      <w:lvlText w:val="(%2)"/>
      <w:lvlJc w:val="left"/>
      <w:pPr>
        <w:ind w:left="720" w:hanging="360"/>
      </w:pPr>
      <w:rPr>
        <w:rFonts w:ascii="Times New Roman" w:eastAsiaTheme="minorHAnsi" w:hAnsi="Times New Roman"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E55498A"/>
    <w:multiLevelType w:val="hybridMultilevel"/>
    <w:tmpl w:val="91C472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6"/>
  </w:num>
  <w:num w:numId="2">
    <w:abstractNumId w:val="47"/>
  </w:num>
  <w:num w:numId="3">
    <w:abstractNumId w:val="29"/>
  </w:num>
  <w:num w:numId="4">
    <w:abstractNumId w:val="18"/>
  </w:num>
  <w:num w:numId="5">
    <w:abstractNumId w:val="0"/>
  </w:num>
  <w:num w:numId="6">
    <w:abstractNumId w:val="30"/>
  </w:num>
  <w:num w:numId="7">
    <w:abstractNumId w:val="1"/>
  </w:num>
  <w:num w:numId="8">
    <w:abstractNumId w:val="10"/>
  </w:num>
  <w:num w:numId="9">
    <w:abstractNumId w:val="43"/>
  </w:num>
  <w:num w:numId="10">
    <w:abstractNumId w:val="25"/>
  </w:num>
  <w:num w:numId="11">
    <w:abstractNumId w:val="14"/>
  </w:num>
  <w:num w:numId="12">
    <w:abstractNumId w:val="40"/>
  </w:num>
  <w:num w:numId="13">
    <w:abstractNumId w:val="16"/>
  </w:num>
  <w:num w:numId="14">
    <w:abstractNumId w:val="48"/>
  </w:num>
  <w:num w:numId="15">
    <w:abstractNumId w:val="33"/>
  </w:num>
  <w:num w:numId="16">
    <w:abstractNumId w:val="2"/>
  </w:num>
  <w:num w:numId="17">
    <w:abstractNumId w:val="32"/>
  </w:num>
  <w:num w:numId="18">
    <w:abstractNumId w:val="6"/>
  </w:num>
  <w:num w:numId="19">
    <w:abstractNumId w:val="31"/>
  </w:num>
  <w:num w:numId="20">
    <w:abstractNumId w:val="38"/>
  </w:num>
  <w:num w:numId="21">
    <w:abstractNumId w:val="49"/>
  </w:num>
  <w:num w:numId="22">
    <w:abstractNumId w:val="13"/>
  </w:num>
  <w:num w:numId="23">
    <w:abstractNumId w:val="22"/>
  </w:num>
  <w:num w:numId="24">
    <w:abstractNumId w:val="34"/>
  </w:num>
  <w:num w:numId="25">
    <w:abstractNumId w:val="15"/>
  </w:num>
  <w:num w:numId="26">
    <w:abstractNumId w:val="11"/>
  </w:num>
  <w:num w:numId="27">
    <w:abstractNumId w:val="20"/>
  </w:num>
  <w:num w:numId="28">
    <w:abstractNumId w:val="9"/>
  </w:num>
  <w:num w:numId="29">
    <w:abstractNumId w:val="23"/>
  </w:num>
  <w:num w:numId="30">
    <w:abstractNumId w:val="3"/>
  </w:num>
  <w:num w:numId="31">
    <w:abstractNumId w:val="26"/>
  </w:num>
  <w:num w:numId="32">
    <w:abstractNumId w:val="7"/>
  </w:num>
  <w:num w:numId="33">
    <w:abstractNumId w:val="8"/>
  </w:num>
  <w:num w:numId="34">
    <w:abstractNumId w:val="35"/>
  </w:num>
  <w:num w:numId="35">
    <w:abstractNumId w:val="19"/>
  </w:num>
  <w:num w:numId="36">
    <w:abstractNumId w:val="44"/>
  </w:num>
  <w:num w:numId="37">
    <w:abstractNumId w:val="36"/>
  </w:num>
  <w:num w:numId="38">
    <w:abstractNumId w:val="4"/>
  </w:num>
  <w:num w:numId="39">
    <w:abstractNumId w:val="17"/>
  </w:num>
  <w:num w:numId="40">
    <w:abstractNumId w:val="27"/>
  </w:num>
  <w:num w:numId="41">
    <w:abstractNumId w:val="21"/>
  </w:num>
  <w:num w:numId="42">
    <w:abstractNumId w:val="39"/>
  </w:num>
  <w:num w:numId="43">
    <w:abstractNumId w:val="24"/>
  </w:num>
  <w:num w:numId="44">
    <w:abstractNumId w:val="41"/>
  </w:num>
  <w:num w:numId="45">
    <w:abstractNumId w:val="45"/>
  </w:num>
  <w:num w:numId="46">
    <w:abstractNumId w:val="37"/>
  </w:num>
  <w:num w:numId="47">
    <w:abstractNumId w:val="28"/>
  </w:num>
  <w:num w:numId="48">
    <w:abstractNumId w:val="12"/>
  </w:num>
  <w:num w:numId="49">
    <w:abstractNumId w:val="42"/>
  </w:num>
  <w:num w:numId="5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95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5C5"/>
    <w:rsid w:val="000033F3"/>
    <w:rsid w:val="00004BBD"/>
    <w:rsid w:val="00007B08"/>
    <w:rsid w:val="00007B61"/>
    <w:rsid w:val="00011C73"/>
    <w:rsid w:val="00011FF7"/>
    <w:rsid w:val="000131E3"/>
    <w:rsid w:val="00014601"/>
    <w:rsid w:val="00014A9B"/>
    <w:rsid w:val="000177C8"/>
    <w:rsid w:val="000201F0"/>
    <w:rsid w:val="00023924"/>
    <w:rsid w:val="0002446C"/>
    <w:rsid w:val="00024601"/>
    <w:rsid w:val="00025A42"/>
    <w:rsid w:val="00027639"/>
    <w:rsid w:val="00030757"/>
    <w:rsid w:val="000314B6"/>
    <w:rsid w:val="000323AC"/>
    <w:rsid w:val="0003345C"/>
    <w:rsid w:val="00034E24"/>
    <w:rsid w:val="00034E6C"/>
    <w:rsid w:val="00035523"/>
    <w:rsid w:val="00035D19"/>
    <w:rsid w:val="00035FF6"/>
    <w:rsid w:val="00037205"/>
    <w:rsid w:val="0004087E"/>
    <w:rsid w:val="0004200D"/>
    <w:rsid w:val="000438BB"/>
    <w:rsid w:val="00044366"/>
    <w:rsid w:val="00044522"/>
    <w:rsid w:val="000449F1"/>
    <w:rsid w:val="00045429"/>
    <w:rsid w:val="000503A0"/>
    <w:rsid w:val="000507D2"/>
    <w:rsid w:val="00050E23"/>
    <w:rsid w:val="000512E7"/>
    <w:rsid w:val="00051948"/>
    <w:rsid w:val="00051CE6"/>
    <w:rsid w:val="00051FB0"/>
    <w:rsid w:val="0005214B"/>
    <w:rsid w:val="00055112"/>
    <w:rsid w:val="0005603B"/>
    <w:rsid w:val="00057E29"/>
    <w:rsid w:val="00057EB0"/>
    <w:rsid w:val="00060B70"/>
    <w:rsid w:val="000612F4"/>
    <w:rsid w:val="000617E1"/>
    <w:rsid w:val="00061833"/>
    <w:rsid w:val="0006216B"/>
    <w:rsid w:val="00062A84"/>
    <w:rsid w:val="0006455E"/>
    <w:rsid w:val="000663DA"/>
    <w:rsid w:val="00071F4A"/>
    <w:rsid w:val="00072420"/>
    <w:rsid w:val="0007245C"/>
    <w:rsid w:val="000730F5"/>
    <w:rsid w:val="00073BE5"/>
    <w:rsid w:val="000741A6"/>
    <w:rsid w:val="000747D7"/>
    <w:rsid w:val="00074C3F"/>
    <w:rsid w:val="00074F36"/>
    <w:rsid w:val="00080827"/>
    <w:rsid w:val="00080B39"/>
    <w:rsid w:val="00080B4F"/>
    <w:rsid w:val="00081457"/>
    <w:rsid w:val="0008164B"/>
    <w:rsid w:val="000821ED"/>
    <w:rsid w:val="00082963"/>
    <w:rsid w:val="00082FD4"/>
    <w:rsid w:val="000844FA"/>
    <w:rsid w:val="00084ECB"/>
    <w:rsid w:val="00086B7B"/>
    <w:rsid w:val="0009129F"/>
    <w:rsid w:val="000923D8"/>
    <w:rsid w:val="000939E6"/>
    <w:rsid w:val="00094601"/>
    <w:rsid w:val="00095B56"/>
    <w:rsid w:val="000973A6"/>
    <w:rsid w:val="00097784"/>
    <w:rsid w:val="00097E4D"/>
    <w:rsid w:val="000A047B"/>
    <w:rsid w:val="000A267D"/>
    <w:rsid w:val="000A302E"/>
    <w:rsid w:val="000A376D"/>
    <w:rsid w:val="000A3FED"/>
    <w:rsid w:val="000A507D"/>
    <w:rsid w:val="000A5AD1"/>
    <w:rsid w:val="000A5C17"/>
    <w:rsid w:val="000A734C"/>
    <w:rsid w:val="000A76BE"/>
    <w:rsid w:val="000B07C0"/>
    <w:rsid w:val="000B0997"/>
    <w:rsid w:val="000B12FE"/>
    <w:rsid w:val="000B1E6F"/>
    <w:rsid w:val="000B1EAF"/>
    <w:rsid w:val="000B4053"/>
    <w:rsid w:val="000B68A0"/>
    <w:rsid w:val="000B68CF"/>
    <w:rsid w:val="000B7995"/>
    <w:rsid w:val="000C293C"/>
    <w:rsid w:val="000C2A23"/>
    <w:rsid w:val="000C2AA0"/>
    <w:rsid w:val="000C39BB"/>
    <w:rsid w:val="000C3DB7"/>
    <w:rsid w:val="000C3F05"/>
    <w:rsid w:val="000C7125"/>
    <w:rsid w:val="000D0D79"/>
    <w:rsid w:val="000D38C6"/>
    <w:rsid w:val="000D545F"/>
    <w:rsid w:val="000D65C7"/>
    <w:rsid w:val="000E0932"/>
    <w:rsid w:val="000E1ABA"/>
    <w:rsid w:val="000E1E49"/>
    <w:rsid w:val="000E3126"/>
    <w:rsid w:val="000E5CF0"/>
    <w:rsid w:val="000E671B"/>
    <w:rsid w:val="000F1127"/>
    <w:rsid w:val="000F1CBF"/>
    <w:rsid w:val="000F4DAE"/>
    <w:rsid w:val="000F4EA7"/>
    <w:rsid w:val="000F55CB"/>
    <w:rsid w:val="000F5F73"/>
    <w:rsid w:val="00101539"/>
    <w:rsid w:val="00103BBD"/>
    <w:rsid w:val="00105813"/>
    <w:rsid w:val="001075D3"/>
    <w:rsid w:val="00110071"/>
    <w:rsid w:val="001116B4"/>
    <w:rsid w:val="00114473"/>
    <w:rsid w:val="001151A7"/>
    <w:rsid w:val="00115ED2"/>
    <w:rsid w:val="00116673"/>
    <w:rsid w:val="00117945"/>
    <w:rsid w:val="00120D7F"/>
    <w:rsid w:val="0012127F"/>
    <w:rsid w:val="00124C05"/>
    <w:rsid w:val="0012511F"/>
    <w:rsid w:val="00125246"/>
    <w:rsid w:val="00125587"/>
    <w:rsid w:val="001269CA"/>
    <w:rsid w:val="0012795B"/>
    <w:rsid w:val="001311C0"/>
    <w:rsid w:val="00132C0B"/>
    <w:rsid w:val="00132DD7"/>
    <w:rsid w:val="00134B26"/>
    <w:rsid w:val="00134D0B"/>
    <w:rsid w:val="001374A3"/>
    <w:rsid w:val="001379A5"/>
    <w:rsid w:val="0014051E"/>
    <w:rsid w:val="00140E27"/>
    <w:rsid w:val="00140E5F"/>
    <w:rsid w:val="00141BF7"/>
    <w:rsid w:val="00142206"/>
    <w:rsid w:val="0014261F"/>
    <w:rsid w:val="001429D2"/>
    <w:rsid w:val="00142AB0"/>
    <w:rsid w:val="0014377D"/>
    <w:rsid w:val="00143CFE"/>
    <w:rsid w:val="00144D48"/>
    <w:rsid w:val="001453CA"/>
    <w:rsid w:val="00145646"/>
    <w:rsid w:val="00146443"/>
    <w:rsid w:val="0014737B"/>
    <w:rsid w:val="00147F40"/>
    <w:rsid w:val="00150060"/>
    <w:rsid w:val="0015008D"/>
    <w:rsid w:val="00150389"/>
    <w:rsid w:val="00150DAA"/>
    <w:rsid w:val="00151961"/>
    <w:rsid w:val="00152166"/>
    <w:rsid w:val="0015353D"/>
    <w:rsid w:val="00156756"/>
    <w:rsid w:val="00157926"/>
    <w:rsid w:val="00157B77"/>
    <w:rsid w:val="00161E7B"/>
    <w:rsid w:val="00161E9A"/>
    <w:rsid w:val="0016211C"/>
    <w:rsid w:val="0016220F"/>
    <w:rsid w:val="001635F5"/>
    <w:rsid w:val="00164685"/>
    <w:rsid w:val="00164DEB"/>
    <w:rsid w:val="00166EC6"/>
    <w:rsid w:val="00167119"/>
    <w:rsid w:val="00170349"/>
    <w:rsid w:val="00170486"/>
    <w:rsid w:val="00170B4E"/>
    <w:rsid w:val="0017151E"/>
    <w:rsid w:val="00172C2D"/>
    <w:rsid w:val="0017593E"/>
    <w:rsid w:val="00175E83"/>
    <w:rsid w:val="001764D2"/>
    <w:rsid w:val="001767DE"/>
    <w:rsid w:val="001809DF"/>
    <w:rsid w:val="00180AC8"/>
    <w:rsid w:val="00181803"/>
    <w:rsid w:val="00182514"/>
    <w:rsid w:val="00184427"/>
    <w:rsid w:val="00184621"/>
    <w:rsid w:val="0018469C"/>
    <w:rsid w:val="0018493C"/>
    <w:rsid w:val="00184B4D"/>
    <w:rsid w:val="00184E4F"/>
    <w:rsid w:val="0018571E"/>
    <w:rsid w:val="001876AD"/>
    <w:rsid w:val="00190237"/>
    <w:rsid w:val="00190EE6"/>
    <w:rsid w:val="001910CA"/>
    <w:rsid w:val="001931CB"/>
    <w:rsid w:val="00195F5C"/>
    <w:rsid w:val="0019650B"/>
    <w:rsid w:val="001A12F4"/>
    <w:rsid w:val="001A3627"/>
    <w:rsid w:val="001A4EB4"/>
    <w:rsid w:val="001A4EDE"/>
    <w:rsid w:val="001A5514"/>
    <w:rsid w:val="001A66F4"/>
    <w:rsid w:val="001B1566"/>
    <w:rsid w:val="001B160F"/>
    <w:rsid w:val="001B16EB"/>
    <w:rsid w:val="001B349F"/>
    <w:rsid w:val="001B5E0C"/>
    <w:rsid w:val="001B70A4"/>
    <w:rsid w:val="001C015C"/>
    <w:rsid w:val="001C1C6A"/>
    <w:rsid w:val="001C1D8F"/>
    <w:rsid w:val="001C220D"/>
    <w:rsid w:val="001C28C7"/>
    <w:rsid w:val="001C2A27"/>
    <w:rsid w:val="001C2E1E"/>
    <w:rsid w:val="001C5AB9"/>
    <w:rsid w:val="001C72FD"/>
    <w:rsid w:val="001D118B"/>
    <w:rsid w:val="001D11AC"/>
    <w:rsid w:val="001D15A2"/>
    <w:rsid w:val="001D176A"/>
    <w:rsid w:val="001D17AA"/>
    <w:rsid w:val="001D31EB"/>
    <w:rsid w:val="001D5725"/>
    <w:rsid w:val="001D57FD"/>
    <w:rsid w:val="001D58A3"/>
    <w:rsid w:val="001D5A0B"/>
    <w:rsid w:val="001D5A6C"/>
    <w:rsid w:val="001D773D"/>
    <w:rsid w:val="001D796F"/>
    <w:rsid w:val="001E305A"/>
    <w:rsid w:val="001E4FD4"/>
    <w:rsid w:val="001E6E20"/>
    <w:rsid w:val="001F254D"/>
    <w:rsid w:val="001F2CE3"/>
    <w:rsid w:val="001F303D"/>
    <w:rsid w:val="001F3510"/>
    <w:rsid w:val="001F5182"/>
    <w:rsid w:val="001F61CC"/>
    <w:rsid w:val="001F69B3"/>
    <w:rsid w:val="001F70F2"/>
    <w:rsid w:val="001F7824"/>
    <w:rsid w:val="001F7B21"/>
    <w:rsid w:val="00207285"/>
    <w:rsid w:val="00210227"/>
    <w:rsid w:val="002106A9"/>
    <w:rsid w:val="00210951"/>
    <w:rsid w:val="00210D87"/>
    <w:rsid w:val="0021144E"/>
    <w:rsid w:val="00211614"/>
    <w:rsid w:val="00211A23"/>
    <w:rsid w:val="00211FF5"/>
    <w:rsid w:val="002125EA"/>
    <w:rsid w:val="00212A72"/>
    <w:rsid w:val="002138EB"/>
    <w:rsid w:val="00214522"/>
    <w:rsid w:val="0021489C"/>
    <w:rsid w:val="00217654"/>
    <w:rsid w:val="00217B2D"/>
    <w:rsid w:val="00221687"/>
    <w:rsid w:val="00222BF3"/>
    <w:rsid w:val="00222FDE"/>
    <w:rsid w:val="00225792"/>
    <w:rsid w:val="00230D17"/>
    <w:rsid w:val="002314A2"/>
    <w:rsid w:val="002314FA"/>
    <w:rsid w:val="0023196F"/>
    <w:rsid w:val="0023336C"/>
    <w:rsid w:val="0024034B"/>
    <w:rsid w:val="00241FA6"/>
    <w:rsid w:val="0024760D"/>
    <w:rsid w:val="002504A0"/>
    <w:rsid w:val="0025053F"/>
    <w:rsid w:val="002505A2"/>
    <w:rsid w:val="00252B85"/>
    <w:rsid w:val="00253006"/>
    <w:rsid w:val="00255636"/>
    <w:rsid w:val="00256B61"/>
    <w:rsid w:val="002605AC"/>
    <w:rsid w:val="002610C9"/>
    <w:rsid w:val="002615E6"/>
    <w:rsid w:val="00261E1F"/>
    <w:rsid w:val="0026513D"/>
    <w:rsid w:val="00265C0B"/>
    <w:rsid w:val="0026656C"/>
    <w:rsid w:val="00266973"/>
    <w:rsid w:val="002671C8"/>
    <w:rsid w:val="0027168C"/>
    <w:rsid w:val="00272742"/>
    <w:rsid w:val="0027451B"/>
    <w:rsid w:val="00274C3D"/>
    <w:rsid w:val="0027503A"/>
    <w:rsid w:val="00276E9B"/>
    <w:rsid w:val="0027775E"/>
    <w:rsid w:val="00282189"/>
    <w:rsid w:val="00282EA0"/>
    <w:rsid w:val="002857E0"/>
    <w:rsid w:val="00285B73"/>
    <w:rsid w:val="00286EF0"/>
    <w:rsid w:val="002904EE"/>
    <w:rsid w:val="00291E27"/>
    <w:rsid w:val="00293553"/>
    <w:rsid w:val="00294C72"/>
    <w:rsid w:val="0029527F"/>
    <w:rsid w:val="0029635E"/>
    <w:rsid w:val="00297198"/>
    <w:rsid w:val="002A1670"/>
    <w:rsid w:val="002A2343"/>
    <w:rsid w:val="002A39E2"/>
    <w:rsid w:val="002A41D5"/>
    <w:rsid w:val="002A44D6"/>
    <w:rsid w:val="002A4E2E"/>
    <w:rsid w:val="002A54AE"/>
    <w:rsid w:val="002A6954"/>
    <w:rsid w:val="002B061F"/>
    <w:rsid w:val="002B0C8F"/>
    <w:rsid w:val="002B1C6E"/>
    <w:rsid w:val="002B5A10"/>
    <w:rsid w:val="002B5C81"/>
    <w:rsid w:val="002B702E"/>
    <w:rsid w:val="002B73DE"/>
    <w:rsid w:val="002C193B"/>
    <w:rsid w:val="002C2B17"/>
    <w:rsid w:val="002C4B6C"/>
    <w:rsid w:val="002C7032"/>
    <w:rsid w:val="002C7B83"/>
    <w:rsid w:val="002C7E4F"/>
    <w:rsid w:val="002D10B0"/>
    <w:rsid w:val="002D126D"/>
    <w:rsid w:val="002D18B1"/>
    <w:rsid w:val="002D235F"/>
    <w:rsid w:val="002D2FC7"/>
    <w:rsid w:val="002D3C02"/>
    <w:rsid w:val="002D5302"/>
    <w:rsid w:val="002D6160"/>
    <w:rsid w:val="002D79F5"/>
    <w:rsid w:val="002E0F8A"/>
    <w:rsid w:val="002E2841"/>
    <w:rsid w:val="002E28C2"/>
    <w:rsid w:val="002E2F0B"/>
    <w:rsid w:val="002E330F"/>
    <w:rsid w:val="002E437A"/>
    <w:rsid w:val="002E4E4B"/>
    <w:rsid w:val="002E535A"/>
    <w:rsid w:val="002E5A7F"/>
    <w:rsid w:val="002E6C4E"/>
    <w:rsid w:val="002E70E7"/>
    <w:rsid w:val="002F020D"/>
    <w:rsid w:val="002F2BD9"/>
    <w:rsid w:val="002F352B"/>
    <w:rsid w:val="002F3DF0"/>
    <w:rsid w:val="002F41D0"/>
    <w:rsid w:val="002F7603"/>
    <w:rsid w:val="00300122"/>
    <w:rsid w:val="003001F8"/>
    <w:rsid w:val="003002B1"/>
    <w:rsid w:val="00301E10"/>
    <w:rsid w:val="003067DC"/>
    <w:rsid w:val="00307031"/>
    <w:rsid w:val="00307494"/>
    <w:rsid w:val="003079E3"/>
    <w:rsid w:val="00310428"/>
    <w:rsid w:val="00310772"/>
    <w:rsid w:val="00310C87"/>
    <w:rsid w:val="00311599"/>
    <w:rsid w:val="003116CC"/>
    <w:rsid w:val="00311E9A"/>
    <w:rsid w:val="00312B70"/>
    <w:rsid w:val="0031302A"/>
    <w:rsid w:val="00313E86"/>
    <w:rsid w:val="00314DC7"/>
    <w:rsid w:val="0031621B"/>
    <w:rsid w:val="003171C5"/>
    <w:rsid w:val="00317812"/>
    <w:rsid w:val="00317C3B"/>
    <w:rsid w:val="003203D9"/>
    <w:rsid w:val="0032049A"/>
    <w:rsid w:val="0032140D"/>
    <w:rsid w:val="00322054"/>
    <w:rsid w:val="003232BA"/>
    <w:rsid w:val="0032381A"/>
    <w:rsid w:val="00326786"/>
    <w:rsid w:val="00326D5E"/>
    <w:rsid w:val="003274DF"/>
    <w:rsid w:val="00330305"/>
    <w:rsid w:val="003304A5"/>
    <w:rsid w:val="00330F20"/>
    <w:rsid w:val="00330FDD"/>
    <w:rsid w:val="0033366C"/>
    <w:rsid w:val="0033379E"/>
    <w:rsid w:val="00333CC6"/>
    <w:rsid w:val="00334E96"/>
    <w:rsid w:val="00335562"/>
    <w:rsid w:val="00340086"/>
    <w:rsid w:val="003409B1"/>
    <w:rsid w:val="00341AC2"/>
    <w:rsid w:val="00343E98"/>
    <w:rsid w:val="00343FC8"/>
    <w:rsid w:val="00344595"/>
    <w:rsid w:val="00345C5B"/>
    <w:rsid w:val="00345C8D"/>
    <w:rsid w:val="003465BA"/>
    <w:rsid w:val="00347166"/>
    <w:rsid w:val="00347408"/>
    <w:rsid w:val="00347995"/>
    <w:rsid w:val="00347D1B"/>
    <w:rsid w:val="00347FFA"/>
    <w:rsid w:val="003532D6"/>
    <w:rsid w:val="00353646"/>
    <w:rsid w:val="003540F6"/>
    <w:rsid w:val="00355097"/>
    <w:rsid w:val="00355B6D"/>
    <w:rsid w:val="00357546"/>
    <w:rsid w:val="00357620"/>
    <w:rsid w:val="00357A62"/>
    <w:rsid w:val="00357ED9"/>
    <w:rsid w:val="0036021C"/>
    <w:rsid w:val="00360655"/>
    <w:rsid w:val="00360804"/>
    <w:rsid w:val="00360FE0"/>
    <w:rsid w:val="00361815"/>
    <w:rsid w:val="00361D88"/>
    <w:rsid w:val="003623F3"/>
    <w:rsid w:val="00362FA4"/>
    <w:rsid w:val="003633B4"/>
    <w:rsid w:val="0036342A"/>
    <w:rsid w:val="00363657"/>
    <w:rsid w:val="003639A8"/>
    <w:rsid w:val="00365AF3"/>
    <w:rsid w:val="00365B91"/>
    <w:rsid w:val="0036722E"/>
    <w:rsid w:val="003700D3"/>
    <w:rsid w:val="00371362"/>
    <w:rsid w:val="00371B70"/>
    <w:rsid w:val="00375BAB"/>
    <w:rsid w:val="0037637C"/>
    <w:rsid w:val="00376BAF"/>
    <w:rsid w:val="00376D11"/>
    <w:rsid w:val="00380508"/>
    <w:rsid w:val="00381432"/>
    <w:rsid w:val="00382D40"/>
    <w:rsid w:val="00383EA8"/>
    <w:rsid w:val="003853F9"/>
    <w:rsid w:val="00385ED5"/>
    <w:rsid w:val="003863BB"/>
    <w:rsid w:val="00387644"/>
    <w:rsid w:val="003930EF"/>
    <w:rsid w:val="003940E4"/>
    <w:rsid w:val="0039488E"/>
    <w:rsid w:val="0039564B"/>
    <w:rsid w:val="00395931"/>
    <w:rsid w:val="003A048F"/>
    <w:rsid w:val="003A0E1F"/>
    <w:rsid w:val="003A13B9"/>
    <w:rsid w:val="003A2759"/>
    <w:rsid w:val="003A2A5A"/>
    <w:rsid w:val="003A3EBF"/>
    <w:rsid w:val="003A4217"/>
    <w:rsid w:val="003A532E"/>
    <w:rsid w:val="003A6C7C"/>
    <w:rsid w:val="003A6D9A"/>
    <w:rsid w:val="003A76FB"/>
    <w:rsid w:val="003B01E1"/>
    <w:rsid w:val="003B09B0"/>
    <w:rsid w:val="003B15D7"/>
    <w:rsid w:val="003B273B"/>
    <w:rsid w:val="003B7086"/>
    <w:rsid w:val="003C0311"/>
    <w:rsid w:val="003C15F5"/>
    <w:rsid w:val="003C1C0D"/>
    <w:rsid w:val="003C3903"/>
    <w:rsid w:val="003C41E9"/>
    <w:rsid w:val="003C4A80"/>
    <w:rsid w:val="003C50FB"/>
    <w:rsid w:val="003C6907"/>
    <w:rsid w:val="003C7CE4"/>
    <w:rsid w:val="003D06D3"/>
    <w:rsid w:val="003D288F"/>
    <w:rsid w:val="003D2E39"/>
    <w:rsid w:val="003D38B0"/>
    <w:rsid w:val="003D3AC0"/>
    <w:rsid w:val="003D4154"/>
    <w:rsid w:val="003D4272"/>
    <w:rsid w:val="003D433B"/>
    <w:rsid w:val="003D785B"/>
    <w:rsid w:val="003D7CF9"/>
    <w:rsid w:val="003E0804"/>
    <w:rsid w:val="003E09B1"/>
    <w:rsid w:val="003E1722"/>
    <w:rsid w:val="003E3146"/>
    <w:rsid w:val="003E5640"/>
    <w:rsid w:val="003E6E22"/>
    <w:rsid w:val="003E7B6C"/>
    <w:rsid w:val="003F0369"/>
    <w:rsid w:val="003F11A9"/>
    <w:rsid w:val="003F2F1F"/>
    <w:rsid w:val="003F5458"/>
    <w:rsid w:val="003F640D"/>
    <w:rsid w:val="003F6EEF"/>
    <w:rsid w:val="00400A2B"/>
    <w:rsid w:val="00400BD2"/>
    <w:rsid w:val="004015DD"/>
    <w:rsid w:val="004016F6"/>
    <w:rsid w:val="00401808"/>
    <w:rsid w:val="00401F63"/>
    <w:rsid w:val="00402000"/>
    <w:rsid w:val="00402106"/>
    <w:rsid w:val="00402200"/>
    <w:rsid w:val="004023E9"/>
    <w:rsid w:val="00403637"/>
    <w:rsid w:val="0040373E"/>
    <w:rsid w:val="004043F7"/>
    <w:rsid w:val="0040462C"/>
    <w:rsid w:val="0040480C"/>
    <w:rsid w:val="00405972"/>
    <w:rsid w:val="00406781"/>
    <w:rsid w:val="00407918"/>
    <w:rsid w:val="00410D43"/>
    <w:rsid w:val="00411140"/>
    <w:rsid w:val="00412381"/>
    <w:rsid w:val="00412450"/>
    <w:rsid w:val="0041320C"/>
    <w:rsid w:val="004138D4"/>
    <w:rsid w:val="00413E15"/>
    <w:rsid w:val="0041553D"/>
    <w:rsid w:val="00415DF2"/>
    <w:rsid w:val="004167CE"/>
    <w:rsid w:val="00417761"/>
    <w:rsid w:val="00422750"/>
    <w:rsid w:val="00424B1B"/>
    <w:rsid w:val="004257E1"/>
    <w:rsid w:val="0042678E"/>
    <w:rsid w:val="0042690E"/>
    <w:rsid w:val="0042754E"/>
    <w:rsid w:val="00427EAD"/>
    <w:rsid w:val="0043065B"/>
    <w:rsid w:val="00430988"/>
    <w:rsid w:val="00430BC5"/>
    <w:rsid w:val="00430F99"/>
    <w:rsid w:val="00432E55"/>
    <w:rsid w:val="004335DA"/>
    <w:rsid w:val="00435E61"/>
    <w:rsid w:val="004405F6"/>
    <w:rsid w:val="004436DC"/>
    <w:rsid w:val="00443818"/>
    <w:rsid w:val="00443E64"/>
    <w:rsid w:val="00444353"/>
    <w:rsid w:val="0044479A"/>
    <w:rsid w:val="0044606A"/>
    <w:rsid w:val="004464D2"/>
    <w:rsid w:val="00446CEC"/>
    <w:rsid w:val="00447E7F"/>
    <w:rsid w:val="00450933"/>
    <w:rsid w:val="00451C5C"/>
    <w:rsid w:val="00452781"/>
    <w:rsid w:val="0045289A"/>
    <w:rsid w:val="00452E22"/>
    <w:rsid w:val="00453692"/>
    <w:rsid w:val="0045474B"/>
    <w:rsid w:val="00454A38"/>
    <w:rsid w:val="00455AAF"/>
    <w:rsid w:val="00455ACE"/>
    <w:rsid w:val="00456F50"/>
    <w:rsid w:val="00457C5A"/>
    <w:rsid w:val="00457CE3"/>
    <w:rsid w:val="004601AF"/>
    <w:rsid w:val="0046059F"/>
    <w:rsid w:val="0046129F"/>
    <w:rsid w:val="004614D7"/>
    <w:rsid w:val="00462E61"/>
    <w:rsid w:val="004639CF"/>
    <w:rsid w:val="0046528C"/>
    <w:rsid w:val="00465983"/>
    <w:rsid w:val="00465F17"/>
    <w:rsid w:val="00466007"/>
    <w:rsid w:val="00466F2D"/>
    <w:rsid w:val="004672F9"/>
    <w:rsid w:val="004678F2"/>
    <w:rsid w:val="00467CA1"/>
    <w:rsid w:val="0047130B"/>
    <w:rsid w:val="004716D8"/>
    <w:rsid w:val="00471DE9"/>
    <w:rsid w:val="0047271D"/>
    <w:rsid w:val="00472B35"/>
    <w:rsid w:val="00472F42"/>
    <w:rsid w:val="00473293"/>
    <w:rsid w:val="004738B6"/>
    <w:rsid w:val="00474753"/>
    <w:rsid w:val="0047478A"/>
    <w:rsid w:val="00474ACB"/>
    <w:rsid w:val="00475785"/>
    <w:rsid w:val="00476C9A"/>
    <w:rsid w:val="00477A56"/>
    <w:rsid w:val="00480519"/>
    <w:rsid w:val="00481166"/>
    <w:rsid w:val="00482B45"/>
    <w:rsid w:val="00483A1D"/>
    <w:rsid w:val="00483EF6"/>
    <w:rsid w:val="0048442F"/>
    <w:rsid w:val="00484FA6"/>
    <w:rsid w:val="0048532E"/>
    <w:rsid w:val="00486F24"/>
    <w:rsid w:val="004909D3"/>
    <w:rsid w:val="00492CF2"/>
    <w:rsid w:val="004930E1"/>
    <w:rsid w:val="00493C72"/>
    <w:rsid w:val="00493E6E"/>
    <w:rsid w:val="00495FE9"/>
    <w:rsid w:val="004A0E4B"/>
    <w:rsid w:val="004A12AC"/>
    <w:rsid w:val="004A1F15"/>
    <w:rsid w:val="004A304D"/>
    <w:rsid w:val="004A3A91"/>
    <w:rsid w:val="004A4292"/>
    <w:rsid w:val="004A4997"/>
    <w:rsid w:val="004A49C5"/>
    <w:rsid w:val="004A54B3"/>
    <w:rsid w:val="004A68EE"/>
    <w:rsid w:val="004A6B4F"/>
    <w:rsid w:val="004A6D36"/>
    <w:rsid w:val="004A6DB4"/>
    <w:rsid w:val="004A6FDC"/>
    <w:rsid w:val="004B0E64"/>
    <w:rsid w:val="004B129C"/>
    <w:rsid w:val="004B2EE1"/>
    <w:rsid w:val="004B33B0"/>
    <w:rsid w:val="004B759B"/>
    <w:rsid w:val="004B76CE"/>
    <w:rsid w:val="004B7DF3"/>
    <w:rsid w:val="004C09ED"/>
    <w:rsid w:val="004C2839"/>
    <w:rsid w:val="004C2E76"/>
    <w:rsid w:val="004C34C8"/>
    <w:rsid w:val="004C41E4"/>
    <w:rsid w:val="004C4333"/>
    <w:rsid w:val="004C60BB"/>
    <w:rsid w:val="004C7622"/>
    <w:rsid w:val="004C7CA1"/>
    <w:rsid w:val="004D0E20"/>
    <w:rsid w:val="004D245C"/>
    <w:rsid w:val="004D3614"/>
    <w:rsid w:val="004D3A6C"/>
    <w:rsid w:val="004D43CA"/>
    <w:rsid w:val="004D54FB"/>
    <w:rsid w:val="004D58CC"/>
    <w:rsid w:val="004D5BDC"/>
    <w:rsid w:val="004D7B53"/>
    <w:rsid w:val="004E188E"/>
    <w:rsid w:val="004E1BDE"/>
    <w:rsid w:val="004E2D4E"/>
    <w:rsid w:val="004E36CB"/>
    <w:rsid w:val="004E4079"/>
    <w:rsid w:val="004E60A3"/>
    <w:rsid w:val="004F1C70"/>
    <w:rsid w:val="004F1DD6"/>
    <w:rsid w:val="004F2A7B"/>
    <w:rsid w:val="004F42B6"/>
    <w:rsid w:val="004F4C76"/>
    <w:rsid w:val="004F5936"/>
    <w:rsid w:val="004F6423"/>
    <w:rsid w:val="00500CC3"/>
    <w:rsid w:val="00501A39"/>
    <w:rsid w:val="00501F87"/>
    <w:rsid w:val="00503393"/>
    <w:rsid w:val="00503B15"/>
    <w:rsid w:val="00504090"/>
    <w:rsid w:val="00506D7D"/>
    <w:rsid w:val="00506F68"/>
    <w:rsid w:val="0050763C"/>
    <w:rsid w:val="00507865"/>
    <w:rsid w:val="0051077F"/>
    <w:rsid w:val="005113BD"/>
    <w:rsid w:val="00512453"/>
    <w:rsid w:val="00512769"/>
    <w:rsid w:val="00512C0B"/>
    <w:rsid w:val="005138CB"/>
    <w:rsid w:val="00513E63"/>
    <w:rsid w:val="00514155"/>
    <w:rsid w:val="00514F6F"/>
    <w:rsid w:val="0051545F"/>
    <w:rsid w:val="00515723"/>
    <w:rsid w:val="00516573"/>
    <w:rsid w:val="00516EA8"/>
    <w:rsid w:val="005171BC"/>
    <w:rsid w:val="0052029C"/>
    <w:rsid w:val="005223B3"/>
    <w:rsid w:val="00523A90"/>
    <w:rsid w:val="00524729"/>
    <w:rsid w:val="005250FD"/>
    <w:rsid w:val="00525170"/>
    <w:rsid w:val="00525AC5"/>
    <w:rsid w:val="00527624"/>
    <w:rsid w:val="00527E8B"/>
    <w:rsid w:val="00530498"/>
    <w:rsid w:val="00530A45"/>
    <w:rsid w:val="0053115C"/>
    <w:rsid w:val="00531AD3"/>
    <w:rsid w:val="00531BA1"/>
    <w:rsid w:val="00531CF5"/>
    <w:rsid w:val="00531E9B"/>
    <w:rsid w:val="00531F6C"/>
    <w:rsid w:val="00532AB6"/>
    <w:rsid w:val="00535857"/>
    <w:rsid w:val="00535EC2"/>
    <w:rsid w:val="00537632"/>
    <w:rsid w:val="005410B8"/>
    <w:rsid w:val="0054133D"/>
    <w:rsid w:val="0054192D"/>
    <w:rsid w:val="00542A52"/>
    <w:rsid w:val="00545C2F"/>
    <w:rsid w:val="005468FE"/>
    <w:rsid w:val="00546DD5"/>
    <w:rsid w:val="00550D2D"/>
    <w:rsid w:val="00550E3F"/>
    <w:rsid w:val="0055170B"/>
    <w:rsid w:val="0055244F"/>
    <w:rsid w:val="00552551"/>
    <w:rsid w:val="005533D5"/>
    <w:rsid w:val="00553A2F"/>
    <w:rsid w:val="00556831"/>
    <w:rsid w:val="00556B24"/>
    <w:rsid w:val="00557883"/>
    <w:rsid w:val="00557D0B"/>
    <w:rsid w:val="00562930"/>
    <w:rsid w:val="00562B26"/>
    <w:rsid w:val="005632A2"/>
    <w:rsid w:val="005635C8"/>
    <w:rsid w:val="0056489B"/>
    <w:rsid w:val="0056525C"/>
    <w:rsid w:val="00567322"/>
    <w:rsid w:val="005703EE"/>
    <w:rsid w:val="0057093A"/>
    <w:rsid w:val="005710E0"/>
    <w:rsid w:val="00574D7A"/>
    <w:rsid w:val="00574FB6"/>
    <w:rsid w:val="00577D72"/>
    <w:rsid w:val="005817D9"/>
    <w:rsid w:val="005834AF"/>
    <w:rsid w:val="0058531C"/>
    <w:rsid w:val="00587228"/>
    <w:rsid w:val="005905FA"/>
    <w:rsid w:val="0059166E"/>
    <w:rsid w:val="00591AEC"/>
    <w:rsid w:val="0059206A"/>
    <w:rsid w:val="0059251D"/>
    <w:rsid w:val="00592804"/>
    <w:rsid w:val="00592C4E"/>
    <w:rsid w:val="0059443D"/>
    <w:rsid w:val="005958C6"/>
    <w:rsid w:val="00597569"/>
    <w:rsid w:val="005A0106"/>
    <w:rsid w:val="005A048C"/>
    <w:rsid w:val="005A05BF"/>
    <w:rsid w:val="005A29CA"/>
    <w:rsid w:val="005A3C7B"/>
    <w:rsid w:val="005A7923"/>
    <w:rsid w:val="005A79B6"/>
    <w:rsid w:val="005B0794"/>
    <w:rsid w:val="005B0B44"/>
    <w:rsid w:val="005B1DFF"/>
    <w:rsid w:val="005B3C62"/>
    <w:rsid w:val="005B512F"/>
    <w:rsid w:val="005B5E70"/>
    <w:rsid w:val="005C0085"/>
    <w:rsid w:val="005C03AA"/>
    <w:rsid w:val="005C06A1"/>
    <w:rsid w:val="005C2E75"/>
    <w:rsid w:val="005C3132"/>
    <w:rsid w:val="005C5E34"/>
    <w:rsid w:val="005C64D0"/>
    <w:rsid w:val="005C667D"/>
    <w:rsid w:val="005C676B"/>
    <w:rsid w:val="005C6F76"/>
    <w:rsid w:val="005D28E3"/>
    <w:rsid w:val="005D3540"/>
    <w:rsid w:val="005D54A5"/>
    <w:rsid w:val="005D5BE5"/>
    <w:rsid w:val="005D5D84"/>
    <w:rsid w:val="005D5F6C"/>
    <w:rsid w:val="005E1053"/>
    <w:rsid w:val="005E13D0"/>
    <w:rsid w:val="005E195F"/>
    <w:rsid w:val="005E3870"/>
    <w:rsid w:val="005E414D"/>
    <w:rsid w:val="005E4276"/>
    <w:rsid w:val="005E46F8"/>
    <w:rsid w:val="005E6FD3"/>
    <w:rsid w:val="005E7B9C"/>
    <w:rsid w:val="005F0C91"/>
    <w:rsid w:val="005F1EDA"/>
    <w:rsid w:val="005F2DC7"/>
    <w:rsid w:val="005F3308"/>
    <w:rsid w:val="005F50B0"/>
    <w:rsid w:val="005F5EC2"/>
    <w:rsid w:val="005F6521"/>
    <w:rsid w:val="005F66FF"/>
    <w:rsid w:val="005F7F51"/>
    <w:rsid w:val="00602293"/>
    <w:rsid w:val="0060298A"/>
    <w:rsid w:val="00602A23"/>
    <w:rsid w:val="00603407"/>
    <w:rsid w:val="00603AAF"/>
    <w:rsid w:val="00605A1F"/>
    <w:rsid w:val="00605A35"/>
    <w:rsid w:val="00605AB2"/>
    <w:rsid w:val="006060AA"/>
    <w:rsid w:val="0061083B"/>
    <w:rsid w:val="006111EF"/>
    <w:rsid w:val="00612214"/>
    <w:rsid w:val="00614193"/>
    <w:rsid w:val="00615B7A"/>
    <w:rsid w:val="00615DE9"/>
    <w:rsid w:val="00616289"/>
    <w:rsid w:val="00616570"/>
    <w:rsid w:val="00617527"/>
    <w:rsid w:val="006175F0"/>
    <w:rsid w:val="00617EF8"/>
    <w:rsid w:val="00620483"/>
    <w:rsid w:val="0062052E"/>
    <w:rsid w:val="00621D6C"/>
    <w:rsid w:val="006237BD"/>
    <w:rsid w:val="00624251"/>
    <w:rsid w:val="00624895"/>
    <w:rsid w:val="006251D9"/>
    <w:rsid w:val="00625A9A"/>
    <w:rsid w:val="006265CD"/>
    <w:rsid w:val="00626A0E"/>
    <w:rsid w:val="006306A5"/>
    <w:rsid w:val="00630757"/>
    <w:rsid w:val="006320C7"/>
    <w:rsid w:val="00633243"/>
    <w:rsid w:val="0063484F"/>
    <w:rsid w:val="00634B92"/>
    <w:rsid w:val="00637DFE"/>
    <w:rsid w:val="00641DAF"/>
    <w:rsid w:val="00644FD8"/>
    <w:rsid w:val="006474E4"/>
    <w:rsid w:val="006504FF"/>
    <w:rsid w:val="00650D5B"/>
    <w:rsid w:val="00650EA7"/>
    <w:rsid w:val="006528A8"/>
    <w:rsid w:val="00653BFF"/>
    <w:rsid w:val="00654EBE"/>
    <w:rsid w:val="00655029"/>
    <w:rsid w:val="0065556D"/>
    <w:rsid w:val="006567CC"/>
    <w:rsid w:val="00657060"/>
    <w:rsid w:val="00657E6A"/>
    <w:rsid w:val="00660235"/>
    <w:rsid w:val="00662016"/>
    <w:rsid w:val="0066274D"/>
    <w:rsid w:val="006632FF"/>
    <w:rsid w:val="00664C3A"/>
    <w:rsid w:val="00665276"/>
    <w:rsid w:val="00667AD0"/>
    <w:rsid w:val="00673178"/>
    <w:rsid w:val="006737F3"/>
    <w:rsid w:val="00673EE3"/>
    <w:rsid w:val="00674610"/>
    <w:rsid w:val="006746E3"/>
    <w:rsid w:val="006752E4"/>
    <w:rsid w:val="006758F6"/>
    <w:rsid w:val="00676D5C"/>
    <w:rsid w:val="006770C3"/>
    <w:rsid w:val="00680525"/>
    <w:rsid w:val="006806A4"/>
    <w:rsid w:val="00680DD0"/>
    <w:rsid w:val="006810B6"/>
    <w:rsid w:val="00683E81"/>
    <w:rsid w:val="00684747"/>
    <w:rsid w:val="00684ADB"/>
    <w:rsid w:val="00684B52"/>
    <w:rsid w:val="00685C64"/>
    <w:rsid w:val="006869D3"/>
    <w:rsid w:val="0068783F"/>
    <w:rsid w:val="00692292"/>
    <w:rsid w:val="0069241C"/>
    <w:rsid w:val="00693241"/>
    <w:rsid w:val="0069476E"/>
    <w:rsid w:val="00694EE4"/>
    <w:rsid w:val="006952FC"/>
    <w:rsid w:val="0069621C"/>
    <w:rsid w:val="00696620"/>
    <w:rsid w:val="00697306"/>
    <w:rsid w:val="006974EA"/>
    <w:rsid w:val="00697ECC"/>
    <w:rsid w:val="00697FFD"/>
    <w:rsid w:val="006A04B2"/>
    <w:rsid w:val="006A0799"/>
    <w:rsid w:val="006A0B3C"/>
    <w:rsid w:val="006A150E"/>
    <w:rsid w:val="006A15CD"/>
    <w:rsid w:val="006A2B45"/>
    <w:rsid w:val="006A38C6"/>
    <w:rsid w:val="006A4072"/>
    <w:rsid w:val="006A4607"/>
    <w:rsid w:val="006A4AD4"/>
    <w:rsid w:val="006A6441"/>
    <w:rsid w:val="006A65E3"/>
    <w:rsid w:val="006A6888"/>
    <w:rsid w:val="006A7630"/>
    <w:rsid w:val="006B033A"/>
    <w:rsid w:val="006B098A"/>
    <w:rsid w:val="006B280A"/>
    <w:rsid w:val="006B2DEF"/>
    <w:rsid w:val="006B2E90"/>
    <w:rsid w:val="006B33B1"/>
    <w:rsid w:val="006B34F7"/>
    <w:rsid w:val="006B3E34"/>
    <w:rsid w:val="006B3FFE"/>
    <w:rsid w:val="006B4AE0"/>
    <w:rsid w:val="006B4D1E"/>
    <w:rsid w:val="006B5C2F"/>
    <w:rsid w:val="006B7616"/>
    <w:rsid w:val="006C12F3"/>
    <w:rsid w:val="006C2DBF"/>
    <w:rsid w:val="006C2F9D"/>
    <w:rsid w:val="006C5916"/>
    <w:rsid w:val="006C61C9"/>
    <w:rsid w:val="006C643D"/>
    <w:rsid w:val="006C69D6"/>
    <w:rsid w:val="006C6F3D"/>
    <w:rsid w:val="006D0668"/>
    <w:rsid w:val="006D1770"/>
    <w:rsid w:val="006D1ADA"/>
    <w:rsid w:val="006D2A7C"/>
    <w:rsid w:val="006D2ACC"/>
    <w:rsid w:val="006D3928"/>
    <w:rsid w:val="006D4772"/>
    <w:rsid w:val="006D55C0"/>
    <w:rsid w:val="006D65C3"/>
    <w:rsid w:val="006D6956"/>
    <w:rsid w:val="006E1296"/>
    <w:rsid w:val="006E225E"/>
    <w:rsid w:val="006E5893"/>
    <w:rsid w:val="006E6122"/>
    <w:rsid w:val="006E7B21"/>
    <w:rsid w:val="006F32E9"/>
    <w:rsid w:val="006F3437"/>
    <w:rsid w:val="006F4310"/>
    <w:rsid w:val="006F48F5"/>
    <w:rsid w:val="006F5AD3"/>
    <w:rsid w:val="006F5D1E"/>
    <w:rsid w:val="006F5D7B"/>
    <w:rsid w:val="006F653D"/>
    <w:rsid w:val="006F668B"/>
    <w:rsid w:val="006F7622"/>
    <w:rsid w:val="00702CDB"/>
    <w:rsid w:val="0070655A"/>
    <w:rsid w:val="00707A9E"/>
    <w:rsid w:val="007101BF"/>
    <w:rsid w:val="00711452"/>
    <w:rsid w:val="00711CDB"/>
    <w:rsid w:val="0071263B"/>
    <w:rsid w:val="00712BD6"/>
    <w:rsid w:val="00712C06"/>
    <w:rsid w:val="00712CEC"/>
    <w:rsid w:val="007138C2"/>
    <w:rsid w:val="00716137"/>
    <w:rsid w:val="00716796"/>
    <w:rsid w:val="007216B2"/>
    <w:rsid w:val="00723899"/>
    <w:rsid w:val="0072394F"/>
    <w:rsid w:val="00723A3A"/>
    <w:rsid w:val="0072496F"/>
    <w:rsid w:val="00724D33"/>
    <w:rsid w:val="00724F17"/>
    <w:rsid w:val="00725454"/>
    <w:rsid w:val="00725A62"/>
    <w:rsid w:val="00725FE1"/>
    <w:rsid w:val="00726E33"/>
    <w:rsid w:val="00727D44"/>
    <w:rsid w:val="00732253"/>
    <w:rsid w:val="00732FD3"/>
    <w:rsid w:val="00733D0D"/>
    <w:rsid w:val="00733F8A"/>
    <w:rsid w:val="00734F39"/>
    <w:rsid w:val="00735586"/>
    <w:rsid w:val="00735B40"/>
    <w:rsid w:val="00735E0A"/>
    <w:rsid w:val="00736706"/>
    <w:rsid w:val="00736F78"/>
    <w:rsid w:val="007401A5"/>
    <w:rsid w:val="007410A6"/>
    <w:rsid w:val="007411F1"/>
    <w:rsid w:val="0074142C"/>
    <w:rsid w:val="00742792"/>
    <w:rsid w:val="00743F75"/>
    <w:rsid w:val="0074454F"/>
    <w:rsid w:val="00744652"/>
    <w:rsid w:val="00746187"/>
    <w:rsid w:val="007463DC"/>
    <w:rsid w:val="007468B3"/>
    <w:rsid w:val="00746A81"/>
    <w:rsid w:val="00746E41"/>
    <w:rsid w:val="00746ECD"/>
    <w:rsid w:val="00747F1D"/>
    <w:rsid w:val="007516E8"/>
    <w:rsid w:val="00752848"/>
    <w:rsid w:val="00752E44"/>
    <w:rsid w:val="00753EEC"/>
    <w:rsid w:val="007540CF"/>
    <w:rsid w:val="00754CDF"/>
    <w:rsid w:val="007550A5"/>
    <w:rsid w:val="007561E6"/>
    <w:rsid w:val="00756BC1"/>
    <w:rsid w:val="00756EA0"/>
    <w:rsid w:val="007574DE"/>
    <w:rsid w:val="007579C8"/>
    <w:rsid w:val="007579F7"/>
    <w:rsid w:val="007635F8"/>
    <w:rsid w:val="007639CD"/>
    <w:rsid w:val="00765270"/>
    <w:rsid w:val="00765F80"/>
    <w:rsid w:val="00766463"/>
    <w:rsid w:val="00766B39"/>
    <w:rsid w:val="0076745A"/>
    <w:rsid w:val="00767A5C"/>
    <w:rsid w:val="00770650"/>
    <w:rsid w:val="00770D8F"/>
    <w:rsid w:val="007716FC"/>
    <w:rsid w:val="00771841"/>
    <w:rsid w:val="00773E87"/>
    <w:rsid w:val="00776944"/>
    <w:rsid w:val="00777090"/>
    <w:rsid w:val="00780EC1"/>
    <w:rsid w:val="00781D8C"/>
    <w:rsid w:val="007822D3"/>
    <w:rsid w:val="0078284D"/>
    <w:rsid w:val="0078298C"/>
    <w:rsid w:val="00782D81"/>
    <w:rsid w:val="007834EF"/>
    <w:rsid w:val="00784413"/>
    <w:rsid w:val="007844C1"/>
    <w:rsid w:val="0078555D"/>
    <w:rsid w:val="00785AA6"/>
    <w:rsid w:val="007866C2"/>
    <w:rsid w:val="007869AB"/>
    <w:rsid w:val="00790A91"/>
    <w:rsid w:val="0079252C"/>
    <w:rsid w:val="0079264C"/>
    <w:rsid w:val="00792FBE"/>
    <w:rsid w:val="00793E22"/>
    <w:rsid w:val="00794D49"/>
    <w:rsid w:val="00795B50"/>
    <w:rsid w:val="00796D7B"/>
    <w:rsid w:val="007972BD"/>
    <w:rsid w:val="00797B8A"/>
    <w:rsid w:val="007A0DB3"/>
    <w:rsid w:val="007A0E38"/>
    <w:rsid w:val="007A1F5C"/>
    <w:rsid w:val="007A25AE"/>
    <w:rsid w:val="007A3134"/>
    <w:rsid w:val="007A4CDE"/>
    <w:rsid w:val="007A582C"/>
    <w:rsid w:val="007A61C6"/>
    <w:rsid w:val="007A70B5"/>
    <w:rsid w:val="007B00A3"/>
    <w:rsid w:val="007B092D"/>
    <w:rsid w:val="007B0CE0"/>
    <w:rsid w:val="007B1FE4"/>
    <w:rsid w:val="007B3381"/>
    <w:rsid w:val="007B3DD7"/>
    <w:rsid w:val="007B43D5"/>
    <w:rsid w:val="007B5C42"/>
    <w:rsid w:val="007B650B"/>
    <w:rsid w:val="007B7485"/>
    <w:rsid w:val="007B7BA4"/>
    <w:rsid w:val="007C040D"/>
    <w:rsid w:val="007C0A56"/>
    <w:rsid w:val="007C10D4"/>
    <w:rsid w:val="007C28B3"/>
    <w:rsid w:val="007C3117"/>
    <w:rsid w:val="007C3C22"/>
    <w:rsid w:val="007C51CC"/>
    <w:rsid w:val="007C76EF"/>
    <w:rsid w:val="007C7AD8"/>
    <w:rsid w:val="007D208D"/>
    <w:rsid w:val="007D3567"/>
    <w:rsid w:val="007E0943"/>
    <w:rsid w:val="007E0A08"/>
    <w:rsid w:val="007E1699"/>
    <w:rsid w:val="007E1F37"/>
    <w:rsid w:val="007E241E"/>
    <w:rsid w:val="007E3C78"/>
    <w:rsid w:val="007E502E"/>
    <w:rsid w:val="007E6376"/>
    <w:rsid w:val="007E68A5"/>
    <w:rsid w:val="007E6A59"/>
    <w:rsid w:val="007E7D8C"/>
    <w:rsid w:val="007F208F"/>
    <w:rsid w:val="007F23A6"/>
    <w:rsid w:val="007F2A2A"/>
    <w:rsid w:val="007F3724"/>
    <w:rsid w:val="007F50ED"/>
    <w:rsid w:val="007F789A"/>
    <w:rsid w:val="007F7B16"/>
    <w:rsid w:val="008000C4"/>
    <w:rsid w:val="008007DA"/>
    <w:rsid w:val="008010F6"/>
    <w:rsid w:val="00801281"/>
    <w:rsid w:val="00803ED2"/>
    <w:rsid w:val="008049C5"/>
    <w:rsid w:val="00804CD7"/>
    <w:rsid w:val="008057C5"/>
    <w:rsid w:val="00805DCC"/>
    <w:rsid w:val="008078E5"/>
    <w:rsid w:val="0081039C"/>
    <w:rsid w:val="00812CA4"/>
    <w:rsid w:val="008142FA"/>
    <w:rsid w:val="00814FD3"/>
    <w:rsid w:val="00815199"/>
    <w:rsid w:val="00816076"/>
    <w:rsid w:val="00820FBF"/>
    <w:rsid w:val="00823B4E"/>
    <w:rsid w:val="00825EC8"/>
    <w:rsid w:val="008265CB"/>
    <w:rsid w:val="0082689D"/>
    <w:rsid w:val="008300C7"/>
    <w:rsid w:val="00831B8D"/>
    <w:rsid w:val="0083240E"/>
    <w:rsid w:val="00832912"/>
    <w:rsid w:val="00832EE2"/>
    <w:rsid w:val="008365C2"/>
    <w:rsid w:val="00836809"/>
    <w:rsid w:val="00836F06"/>
    <w:rsid w:val="008370B2"/>
    <w:rsid w:val="008455BD"/>
    <w:rsid w:val="00847E10"/>
    <w:rsid w:val="008510E3"/>
    <w:rsid w:val="0085116C"/>
    <w:rsid w:val="00851F18"/>
    <w:rsid w:val="00853EF2"/>
    <w:rsid w:val="008567A1"/>
    <w:rsid w:val="0085714A"/>
    <w:rsid w:val="0086090F"/>
    <w:rsid w:val="008622BE"/>
    <w:rsid w:val="00863C5A"/>
    <w:rsid w:val="00864371"/>
    <w:rsid w:val="00866F27"/>
    <w:rsid w:val="008676BC"/>
    <w:rsid w:val="008704B3"/>
    <w:rsid w:val="00871BDB"/>
    <w:rsid w:val="00872911"/>
    <w:rsid w:val="00872DB7"/>
    <w:rsid w:val="00873B7C"/>
    <w:rsid w:val="00876B0D"/>
    <w:rsid w:val="00877A09"/>
    <w:rsid w:val="00881107"/>
    <w:rsid w:val="00883BD9"/>
    <w:rsid w:val="00886DD2"/>
    <w:rsid w:val="008900DF"/>
    <w:rsid w:val="00892443"/>
    <w:rsid w:val="00893E1D"/>
    <w:rsid w:val="0089417B"/>
    <w:rsid w:val="00895502"/>
    <w:rsid w:val="00895A37"/>
    <w:rsid w:val="008A0324"/>
    <w:rsid w:val="008A2734"/>
    <w:rsid w:val="008A3CEC"/>
    <w:rsid w:val="008A42A3"/>
    <w:rsid w:val="008A590B"/>
    <w:rsid w:val="008B1379"/>
    <w:rsid w:val="008B1F93"/>
    <w:rsid w:val="008B32B2"/>
    <w:rsid w:val="008B3537"/>
    <w:rsid w:val="008B38EE"/>
    <w:rsid w:val="008B4694"/>
    <w:rsid w:val="008B5B0D"/>
    <w:rsid w:val="008B6F93"/>
    <w:rsid w:val="008C1F76"/>
    <w:rsid w:val="008C21E4"/>
    <w:rsid w:val="008C2B3F"/>
    <w:rsid w:val="008C41A9"/>
    <w:rsid w:val="008C5DE4"/>
    <w:rsid w:val="008C5E2A"/>
    <w:rsid w:val="008C613E"/>
    <w:rsid w:val="008C6958"/>
    <w:rsid w:val="008C6B48"/>
    <w:rsid w:val="008C7F9D"/>
    <w:rsid w:val="008D0394"/>
    <w:rsid w:val="008D09BA"/>
    <w:rsid w:val="008D1069"/>
    <w:rsid w:val="008D149E"/>
    <w:rsid w:val="008D32FA"/>
    <w:rsid w:val="008D41E7"/>
    <w:rsid w:val="008D508E"/>
    <w:rsid w:val="008D578B"/>
    <w:rsid w:val="008E002E"/>
    <w:rsid w:val="008E01A1"/>
    <w:rsid w:val="008E0D80"/>
    <w:rsid w:val="008E2127"/>
    <w:rsid w:val="008E259E"/>
    <w:rsid w:val="008E2F04"/>
    <w:rsid w:val="008E3023"/>
    <w:rsid w:val="008E30D9"/>
    <w:rsid w:val="008E47F6"/>
    <w:rsid w:val="008E4B6B"/>
    <w:rsid w:val="008E58FB"/>
    <w:rsid w:val="008E5CA4"/>
    <w:rsid w:val="008E7D90"/>
    <w:rsid w:val="008F0024"/>
    <w:rsid w:val="008F2668"/>
    <w:rsid w:val="008F2DF2"/>
    <w:rsid w:val="008F2EB4"/>
    <w:rsid w:val="008F34B0"/>
    <w:rsid w:val="008F3A9B"/>
    <w:rsid w:val="008F4226"/>
    <w:rsid w:val="008F4C48"/>
    <w:rsid w:val="008F5A35"/>
    <w:rsid w:val="008F7405"/>
    <w:rsid w:val="00901698"/>
    <w:rsid w:val="00901A83"/>
    <w:rsid w:val="00902BC6"/>
    <w:rsid w:val="00904986"/>
    <w:rsid w:val="009074E1"/>
    <w:rsid w:val="00907EA0"/>
    <w:rsid w:val="009113B1"/>
    <w:rsid w:val="00911585"/>
    <w:rsid w:val="00912039"/>
    <w:rsid w:val="00912CD0"/>
    <w:rsid w:val="0091481D"/>
    <w:rsid w:val="00915DED"/>
    <w:rsid w:val="00916EAB"/>
    <w:rsid w:val="00917D1D"/>
    <w:rsid w:val="0092027F"/>
    <w:rsid w:val="009219B5"/>
    <w:rsid w:val="00921F60"/>
    <w:rsid w:val="0092268E"/>
    <w:rsid w:val="00923539"/>
    <w:rsid w:val="009241E3"/>
    <w:rsid w:val="0092550B"/>
    <w:rsid w:val="00925BF3"/>
    <w:rsid w:val="00925FD5"/>
    <w:rsid w:val="00926151"/>
    <w:rsid w:val="00927C6C"/>
    <w:rsid w:val="00927F55"/>
    <w:rsid w:val="00930694"/>
    <w:rsid w:val="00931E29"/>
    <w:rsid w:val="00932755"/>
    <w:rsid w:val="00933BDD"/>
    <w:rsid w:val="009349F2"/>
    <w:rsid w:val="00934FE7"/>
    <w:rsid w:val="00936306"/>
    <w:rsid w:val="00936B44"/>
    <w:rsid w:val="009403E0"/>
    <w:rsid w:val="009404B9"/>
    <w:rsid w:val="009404EF"/>
    <w:rsid w:val="0094086D"/>
    <w:rsid w:val="00940E47"/>
    <w:rsid w:val="00941CC9"/>
    <w:rsid w:val="00942AB5"/>
    <w:rsid w:val="00942B42"/>
    <w:rsid w:val="00944EC7"/>
    <w:rsid w:val="009466DB"/>
    <w:rsid w:val="00947BBB"/>
    <w:rsid w:val="0095051D"/>
    <w:rsid w:val="00950532"/>
    <w:rsid w:val="009513C1"/>
    <w:rsid w:val="009539FA"/>
    <w:rsid w:val="009543AD"/>
    <w:rsid w:val="009557A2"/>
    <w:rsid w:val="009563F3"/>
    <w:rsid w:val="00957DB0"/>
    <w:rsid w:val="0096090F"/>
    <w:rsid w:val="009624A8"/>
    <w:rsid w:val="009627FD"/>
    <w:rsid w:val="00962AFF"/>
    <w:rsid w:val="0096398C"/>
    <w:rsid w:val="00964993"/>
    <w:rsid w:val="00964A48"/>
    <w:rsid w:val="00964C78"/>
    <w:rsid w:val="00966441"/>
    <w:rsid w:val="009667A7"/>
    <w:rsid w:val="00966A14"/>
    <w:rsid w:val="00966F47"/>
    <w:rsid w:val="0096746E"/>
    <w:rsid w:val="00967AFB"/>
    <w:rsid w:val="00967C9D"/>
    <w:rsid w:val="00967F42"/>
    <w:rsid w:val="009737BF"/>
    <w:rsid w:val="00974039"/>
    <w:rsid w:val="009740E3"/>
    <w:rsid w:val="00977F6E"/>
    <w:rsid w:val="00980605"/>
    <w:rsid w:val="0098250D"/>
    <w:rsid w:val="009825BA"/>
    <w:rsid w:val="00985C95"/>
    <w:rsid w:val="00985E93"/>
    <w:rsid w:val="009869A6"/>
    <w:rsid w:val="009875FF"/>
    <w:rsid w:val="00987EC3"/>
    <w:rsid w:val="009905E1"/>
    <w:rsid w:val="00991855"/>
    <w:rsid w:val="00992717"/>
    <w:rsid w:val="00993E63"/>
    <w:rsid w:val="00993FB1"/>
    <w:rsid w:val="009977CE"/>
    <w:rsid w:val="009A01AE"/>
    <w:rsid w:val="009A0686"/>
    <w:rsid w:val="009A06B4"/>
    <w:rsid w:val="009A0CA1"/>
    <w:rsid w:val="009A289D"/>
    <w:rsid w:val="009A6598"/>
    <w:rsid w:val="009A776F"/>
    <w:rsid w:val="009A7799"/>
    <w:rsid w:val="009A7E58"/>
    <w:rsid w:val="009B02DD"/>
    <w:rsid w:val="009B0EE9"/>
    <w:rsid w:val="009B0FAB"/>
    <w:rsid w:val="009B2776"/>
    <w:rsid w:val="009B2930"/>
    <w:rsid w:val="009B58FD"/>
    <w:rsid w:val="009B6CAF"/>
    <w:rsid w:val="009B6E7C"/>
    <w:rsid w:val="009B707F"/>
    <w:rsid w:val="009C1605"/>
    <w:rsid w:val="009C1B7E"/>
    <w:rsid w:val="009C3EE9"/>
    <w:rsid w:val="009C4394"/>
    <w:rsid w:val="009C6B5C"/>
    <w:rsid w:val="009C7573"/>
    <w:rsid w:val="009C7F4B"/>
    <w:rsid w:val="009D007A"/>
    <w:rsid w:val="009D0BB1"/>
    <w:rsid w:val="009D277D"/>
    <w:rsid w:val="009D310D"/>
    <w:rsid w:val="009D3376"/>
    <w:rsid w:val="009D5BE5"/>
    <w:rsid w:val="009D7411"/>
    <w:rsid w:val="009D7E62"/>
    <w:rsid w:val="009E1C78"/>
    <w:rsid w:val="009E1E00"/>
    <w:rsid w:val="009E245B"/>
    <w:rsid w:val="009E2ABE"/>
    <w:rsid w:val="009E3558"/>
    <w:rsid w:val="009E4C10"/>
    <w:rsid w:val="009E52B5"/>
    <w:rsid w:val="009F0BDF"/>
    <w:rsid w:val="009F0C5F"/>
    <w:rsid w:val="009F2427"/>
    <w:rsid w:val="009F3B98"/>
    <w:rsid w:val="009F45FC"/>
    <w:rsid w:val="009F4715"/>
    <w:rsid w:val="009F491E"/>
    <w:rsid w:val="009F496D"/>
    <w:rsid w:val="009F5465"/>
    <w:rsid w:val="009F5596"/>
    <w:rsid w:val="009F6132"/>
    <w:rsid w:val="009F6504"/>
    <w:rsid w:val="00A00E50"/>
    <w:rsid w:val="00A02041"/>
    <w:rsid w:val="00A029ED"/>
    <w:rsid w:val="00A04E1B"/>
    <w:rsid w:val="00A050F7"/>
    <w:rsid w:val="00A103B8"/>
    <w:rsid w:val="00A11081"/>
    <w:rsid w:val="00A130F2"/>
    <w:rsid w:val="00A13540"/>
    <w:rsid w:val="00A145B1"/>
    <w:rsid w:val="00A15832"/>
    <w:rsid w:val="00A15A55"/>
    <w:rsid w:val="00A15E1C"/>
    <w:rsid w:val="00A16137"/>
    <w:rsid w:val="00A17716"/>
    <w:rsid w:val="00A17F80"/>
    <w:rsid w:val="00A20114"/>
    <w:rsid w:val="00A20951"/>
    <w:rsid w:val="00A21A5F"/>
    <w:rsid w:val="00A21E6A"/>
    <w:rsid w:val="00A237A5"/>
    <w:rsid w:val="00A2547D"/>
    <w:rsid w:val="00A25997"/>
    <w:rsid w:val="00A25EDE"/>
    <w:rsid w:val="00A2616B"/>
    <w:rsid w:val="00A27079"/>
    <w:rsid w:val="00A31B08"/>
    <w:rsid w:val="00A326D3"/>
    <w:rsid w:val="00A32702"/>
    <w:rsid w:val="00A32AAD"/>
    <w:rsid w:val="00A332C8"/>
    <w:rsid w:val="00A33F26"/>
    <w:rsid w:val="00A34826"/>
    <w:rsid w:val="00A35118"/>
    <w:rsid w:val="00A363C7"/>
    <w:rsid w:val="00A3732B"/>
    <w:rsid w:val="00A37952"/>
    <w:rsid w:val="00A37FAF"/>
    <w:rsid w:val="00A416C8"/>
    <w:rsid w:val="00A4213A"/>
    <w:rsid w:val="00A4220C"/>
    <w:rsid w:val="00A43CD1"/>
    <w:rsid w:val="00A44155"/>
    <w:rsid w:val="00A441A2"/>
    <w:rsid w:val="00A44763"/>
    <w:rsid w:val="00A53BE0"/>
    <w:rsid w:val="00A5453E"/>
    <w:rsid w:val="00A5606B"/>
    <w:rsid w:val="00A564B5"/>
    <w:rsid w:val="00A56FE2"/>
    <w:rsid w:val="00A5713B"/>
    <w:rsid w:val="00A61922"/>
    <w:rsid w:val="00A61B1E"/>
    <w:rsid w:val="00A62396"/>
    <w:rsid w:val="00A63C44"/>
    <w:rsid w:val="00A63E93"/>
    <w:rsid w:val="00A64596"/>
    <w:rsid w:val="00A646B3"/>
    <w:rsid w:val="00A64EBA"/>
    <w:rsid w:val="00A65F34"/>
    <w:rsid w:val="00A66422"/>
    <w:rsid w:val="00A664E4"/>
    <w:rsid w:val="00A67CE7"/>
    <w:rsid w:val="00A708CF"/>
    <w:rsid w:val="00A71F18"/>
    <w:rsid w:val="00A73C91"/>
    <w:rsid w:val="00A743F8"/>
    <w:rsid w:val="00A754D6"/>
    <w:rsid w:val="00A75F60"/>
    <w:rsid w:val="00A760F1"/>
    <w:rsid w:val="00A761E5"/>
    <w:rsid w:val="00A7668D"/>
    <w:rsid w:val="00A7706D"/>
    <w:rsid w:val="00A81658"/>
    <w:rsid w:val="00A81976"/>
    <w:rsid w:val="00A8218D"/>
    <w:rsid w:val="00A82242"/>
    <w:rsid w:val="00A8379C"/>
    <w:rsid w:val="00A842FA"/>
    <w:rsid w:val="00A84976"/>
    <w:rsid w:val="00A855AF"/>
    <w:rsid w:val="00A85A1D"/>
    <w:rsid w:val="00A8632C"/>
    <w:rsid w:val="00A90223"/>
    <w:rsid w:val="00A9165D"/>
    <w:rsid w:val="00A92019"/>
    <w:rsid w:val="00A930B8"/>
    <w:rsid w:val="00A9361D"/>
    <w:rsid w:val="00A93C28"/>
    <w:rsid w:val="00A93E70"/>
    <w:rsid w:val="00A95A80"/>
    <w:rsid w:val="00AA07C3"/>
    <w:rsid w:val="00AA1B24"/>
    <w:rsid w:val="00AA2B96"/>
    <w:rsid w:val="00AA4A7A"/>
    <w:rsid w:val="00AA68BB"/>
    <w:rsid w:val="00AA6AEA"/>
    <w:rsid w:val="00AA7392"/>
    <w:rsid w:val="00AB04DB"/>
    <w:rsid w:val="00AB0DF6"/>
    <w:rsid w:val="00AB1338"/>
    <w:rsid w:val="00AB1721"/>
    <w:rsid w:val="00AB1820"/>
    <w:rsid w:val="00AB2C11"/>
    <w:rsid w:val="00AB3208"/>
    <w:rsid w:val="00AB3893"/>
    <w:rsid w:val="00AB6020"/>
    <w:rsid w:val="00AB612E"/>
    <w:rsid w:val="00AB708D"/>
    <w:rsid w:val="00AB771C"/>
    <w:rsid w:val="00AB78B5"/>
    <w:rsid w:val="00AB7CC9"/>
    <w:rsid w:val="00AC0CCA"/>
    <w:rsid w:val="00AC1553"/>
    <w:rsid w:val="00AC1934"/>
    <w:rsid w:val="00AC20BA"/>
    <w:rsid w:val="00AC2BC9"/>
    <w:rsid w:val="00AC2FAA"/>
    <w:rsid w:val="00AC3FB1"/>
    <w:rsid w:val="00AC4FC3"/>
    <w:rsid w:val="00AC5763"/>
    <w:rsid w:val="00AC60AD"/>
    <w:rsid w:val="00AC640B"/>
    <w:rsid w:val="00AC6B28"/>
    <w:rsid w:val="00AC7758"/>
    <w:rsid w:val="00AD3BE6"/>
    <w:rsid w:val="00AD5017"/>
    <w:rsid w:val="00AD606E"/>
    <w:rsid w:val="00AE04A1"/>
    <w:rsid w:val="00AE118E"/>
    <w:rsid w:val="00AE34D2"/>
    <w:rsid w:val="00AE39EB"/>
    <w:rsid w:val="00AE4B29"/>
    <w:rsid w:val="00AE524D"/>
    <w:rsid w:val="00AE5BCF"/>
    <w:rsid w:val="00AE6991"/>
    <w:rsid w:val="00AE709D"/>
    <w:rsid w:val="00AE7793"/>
    <w:rsid w:val="00AE7827"/>
    <w:rsid w:val="00AE79A0"/>
    <w:rsid w:val="00AF0314"/>
    <w:rsid w:val="00AF0FE1"/>
    <w:rsid w:val="00AF24A8"/>
    <w:rsid w:val="00AF2E5F"/>
    <w:rsid w:val="00AF43D1"/>
    <w:rsid w:val="00AF5C6A"/>
    <w:rsid w:val="00AF64FC"/>
    <w:rsid w:val="00AF6EA3"/>
    <w:rsid w:val="00B0014E"/>
    <w:rsid w:val="00B028F5"/>
    <w:rsid w:val="00B02BAE"/>
    <w:rsid w:val="00B03A9A"/>
    <w:rsid w:val="00B04C7E"/>
    <w:rsid w:val="00B051BC"/>
    <w:rsid w:val="00B05FDF"/>
    <w:rsid w:val="00B0721A"/>
    <w:rsid w:val="00B11908"/>
    <w:rsid w:val="00B12C2D"/>
    <w:rsid w:val="00B14618"/>
    <w:rsid w:val="00B14C41"/>
    <w:rsid w:val="00B2076B"/>
    <w:rsid w:val="00B23FDF"/>
    <w:rsid w:val="00B24105"/>
    <w:rsid w:val="00B2546E"/>
    <w:rsid w:val="00B2684D"/>
    <w:rsid w:val="00B26883"/>
    <w:rsid w:val="00B279A1"/>
    <w:rsid w:val="00B30A86"/>
    <w:rsid w:val="00B30FA1"/>
    <w:rsid w:val="00B32030"/>
    <w:rsid w:val="00B32310"/>
    <w:rsid w:val="00B34A8A"/>
    <w:rsid w:val="00B35AF6"/>
    <w:rsid w:val="00B364B9"/>
    <w:rsid w:val="00B36F5E"/>
    <w:rsid w:val="00B372A3"/>
    <w:rsid w:val="00B37632"/>
    <w:rsid w:val="00B41FF2"/>
    <w:rsid w:val="00B427AF"/>
    <w:rsid w:val="00B42F59"/>
    <w:rsid w:val="00B44161"/>
    <w:rsid w:val="00B4703B"/>
    <w:rsid w:val="00B508CB"/>
    <w:rsid w:val="00B5095D"/>
    <w:rsid w:val="00B509A6"/>
    <w:rsid w:val="00B50E02"/>
    <w:rsid w:val="00B5136C"/>
    <w:rsid w:val="00B51BCE"/>
    <w:rsid w:val="00B51D49"/>
    <w:rsid w:val="00B52F1F"/>
    <w:rsid w:val="00B535B2"/>
    <w:rsid w:val="00B55875"/>
    <w:rsid w:val="00B605F2"/>
    <w:rsid w:val="00B61459"/>
    <w:rsid w:val="00B61A9A"/>
    <w:rsid w:val="00B61B8B"/>
    <w:rsid w:val="00B62953"/>
    <w:rsid w:val="00B62CE4"/>
    <w:rsid w:val="00B63293"/>
    <w:rsid w:val="00B63A45"/>
    <w:rsid w:val="00B63C72"/>
    <w:rsid w:val="00B64E55"/>
    <w:rsid w:val="00B65B4A"/>
    <w:rsid w:val="00B66210"/>
    <w:rsid w:val="00B66935"/>
    <w:rsid w:val="00B66F71"/>
    <w:rsid w:val="00B67C23"/>
    <w:rsid w:val="00B67E2B"/>
    <w:rsid w:val="00B70C38"/>
    <w:rsid w:val="00B7100B"/>
    <w:rsid w:val="00B752B2"/>
    <w:rsid w:val="00B75C4D"/>
    <w:rsid w:val="00B76D55"/>
    <w:rsid w:val="00B77DEA"/>
    <w:rsid w:val="00B8194C"/>
    <w:rsid w:val="00B82DA6"/>
    <w:rsid w:val="00B854C0"/>
    <w:rsid w:val="00B857EF"/>
    <w:rsid w:val="00B87760"/>
    <w:rsid w:val="00B92235"/>
    <w:rsid w:val="00B926EE"/>
    <w:rsid w:val="00B93310"/>
    <w:rsid w:val="00B950BB"/>
    <w:rsid w:val="00B9639B"/>
    <w:rsid w:val="00B9731F"/>
    <w:rsid w:val="00B974C2"/>
    <w:rsid w:val="00BA22AA"/>
    <w:rsid w:val="00BA243A"/>
    <w:rsid w:val="00BA3C0F"/>
    <w:rsid w:val="00BA51AB"/>
    <w:rsid w:val="00BA56E3"/>
    <w:rsid w:val="00BB0753"/>
    <w:rsid w:val="00BB12BF"/>
    <w:rsid w:val="00BB15C2"/>
    <w:rsid w:val="00BB2408"/>
    <w:rsid w:val="00BB24CC"/>
    <w:rsid w:val="00BB2C13"/>
    <w:rsid w:val="00BB3B0F"/>
    <w:rsid w:val="00BB4280"/>
    <w:rsid w:val="00BB493C"/>
    <w:rsid w:val="00BB4E2D"/>
    <w:rsid w:val="00BB5D81"/>
    <w:rsid w:val="00BB6131"/>
    <w:rsid w:val="00BB7276"/>
    <w:rsid w:val="00BB7BC6"/>
    <w:rsid w:val="00BC1D2F"/>
    <w:rsid w:val="00BC24CF"/>
    <w:rsid w:val="00BC26D9"/>
    <w:rsid w:val="00BC443F"/>
    <w:rsid w:val="00BC7597"/>
    <w:rsid w:val="00BC7BE5"/>
    <w:rsid w:val="00BC7C8C"/>
    <w:rsid w:val="00BD0807"/>
    <w:rsid w:val="00BD2B4B"/>
    <w:rsid w:val="00BD32ED"/>
    <w:rsid w:val="00BD4158"/>
    <w:rsid w:val="00BD4945"/>
    <w:rsid w:val="00BD59BD"/>
    <w:rsid w:val="00BD604A"/>
    <w:rsid w:val="00BE0951"/>
    <w:rsid w:val="00BE20A6"/>
    <w:rsid w:val="00BE5F8C"/>
    <w:rsid w:val="00BE7417"/>
    <w:rsid w:val="00BE7DC9"/>
    <w:rsid w:val="00BF05E3"/>
    <w:rsid w:val="00BF2C08"/>
    <w:rsid w:val="00BF566F"/>
    <w:rsid w:val="00C00259"/>
    <w:rsid w:val="00C0054E"/>
    <w:rsid w:val="00C00937"/>
    <w:rsid w:val="00C010EA"/>
    <w:rsid w:val="00C02BA8"/>
    <w:rsid w:val="00C02C8A"/>
    <w:rsid w:val="00C044D7"/>
    <w:rsid w:val="00C070FD"/>
    <w:rsid w:val="00C07899"/>
    <w:rsid w:val="00C079DE"/>
    <w:rsid w:val="00C07B0A"/>
    <w:rsid w:val="00C12A77"/>
    <w:rsid w:val="00C133C7"/>
    <w:rsid w:val="00C14257"/>
    <w:rsid w:val="00C15002"/>
    <w:rsid w:val="00C151FB"/>
    <w:rsid w:val="00C1551D"/>
    <w:rsid w:val="00C15570"/>
    <w:rsid w:val="00C1641E"/>
    <w:rsid w:val="00C17E19"/>
    <w:rsid w:val="00C200B5"/>
    <w:rsid w:val="00C22B46"/>
    <w:rsid w:val="00C22EFE"/>
    <w:rsid w:val="00C2310D"/>
    <w:rsid w:val="00C23363"/>
    <w:rsid w:val="00C23BC7"/>
    <w:rsid w:val="00C23DD6"/>
    <w:rsid w:val="00C24ABE"/>
    <w:rsid w:val="00C2534E"/>
    <w:rsid w:val="00C2561E"/>
    <w:rsid w:val="00C26E12"/>
    <w:rsid w:val="00C277DB"/>
    <w:rsid w:val="00C31BD5"/>
    <w:rsid w:val="00C31E3D"/>
    <w:rsid w:val="00C31FC6"/>
    <w:rsid w:val="00C327A8"/>
    <w:rsid w:val="00C32FC2"/>
    <w:rsid w:val="00C334D3"/>
    <w:rsid w:val="00C33CAE"/>
    <w:rsid w:val="00C33E8D"/>
    <w:rsid w:val="00C3651F"/>
    <w:rsid w:val="00C40E9D"/>
    <w:rsid w:val="00C40FF3"/>
    <w:rsid w:val="00C41D5A"/>
    <w:rsid w:val="00C43419"/>
    <w:rsid w:val="00C4423E"/>
    <w:rsid w:val="00C44D4B"/>
    <w:rsid w:val="00C46EF0"/>
    <w:rsid w:val="00C509F0"/>
    <w:rsid w:val="00C51BB0"/>
    <w:rsid w:val="00C5210A"/>
    <w:rsid w:val="00C52467"/>
    <w:rsid w:val="00C52942"/>
    <w:rsid w:val="00C52BD5"/>
    <w:rsid w:val="00C52EAE"/>
    <w:rsid w:val="00C54C89"/>
    <w:rsid w:val="00C5535C"/>
    <w:rsid w:val="00C56F7B"/>
    <w:rsid w:val="00C6059D"/>
    <w:rsid w:val="00C628C6"/>
    <w:rsid w:val="00C639CC"/>
    <w:rsid w:val="00C648FF"/>
    <w:rsid w:val="00C64D09"/>
    <w:rsid w:val="00C670E4"/>
    <w:rsid w:val="00C70F7C"/>
    <w:rsid w:val="00C72F7F"/>
    <w:rsid w:val="00C74DE6"/>
    <w:rsid w:val="00C758BE"/>
    <w:rsid w:val="00C800C7"/>
    <w:rsid w:val="00C80259"/>
    <w:rsid w:val="00C80D75"/>
    <w:rsid w:val="00C814E3"/>
    <w:rsid w:val="00C82791"/>
    <w:rsid w:val="00C8339C"/>
    <w:rsid w:val="00C84146"/>
    <w:rsid w:val="00C84DFF"/>
    <w:rsid w:val="00C84F64"/>
    <w:rsid w:val="00C856E1"/>
    <w:rsid w:val="00C8683A"/>
    <w:rsid w:val="00C87058"/>
    <w:rsid w:val="00C8760B"/>
    <w:rsid w:val="00C8787F"/>
    <w:rsid w:val="00C91159"/>
    <w:rsid w:val="00C91C51"/>
    <w:rsid w:val="00C9355E"/>
    <w:rsid w:val="00C9361B"/>
    <w:rsid w:val="00C939DC"/>
    <w:rsid w:val="00C94C05"/>
    <w:rsid w:val="00C94C54"/>
    <w:rsid w:val="00C9522C"/>
    <w:rsid w:val="00C962F9"/>
    <w:rsid w:val="00C97022"/>
    <w:rsid w:val="00C974A3"/>
    <w:rsid w:val="00CA0E6F"/>
    <w:rsid w:val="00CA183B"/>
    <w:rsid w:val="00CA2978"/>
    <w:rsid w:val="00CA46D1"/>
    <w:rsid w:val="00CA46DD"/>
    <w:rsid w:val="00CA518F"/>
    <w:rsid w:val="00CA5571"/>
    <w:rsid w:val="00CA5E1B"/>
    <w:rsid w:val="00CA5F72"/>
    <w:rsid w:val="00CA6DB1"/>
    <w:rsid w:val="00CA79EA"/>
    <w:rsid w:val="00CA7A60"/>
    <w:rsid w:val="00CA7F1E"/>
    <w:rsid w:val="00CB12E9"/>
    <w:rsid w:val="00CB1451"/>
    <w:rsid w:val="00CB16D0"/>
    <w:rsid w:val="00CB1E34"/>
    <w:rsid w:val="00CB2614"/>
    <w:rsid w:val="00CB31E3"/>
    <w:rsid w:val="00CB5E84"/>
    <w:rsid w:val="00CB667E"/>
    <w:rsid w:val="00CB7115"/>
    <w:rsid w:val="00CB7A24"/>
    <w:rsid w:val="00CB7BFD"/>
    <w:rsid w:val="00CC191D"/>
    <w:rsid w:val="00CC36E2"/>
    <w:rsid w:val="00CC5FE3"/>
    <w:rsid w:val="00CC673D"/>
    <w:rsid w:val="00CC7A2A"/>
    <w:rsid w:val="00CD142E"/>
    <w:rsid w:val="00CD1553"/>
    <w:rsid w:val="00CD3C2B"/>
    <w:rsid w:val="00CD42C5"/>
    <w:rsid w:val="00CD5291"/>
    <w:rsid w:val="00CD5ADD"/>
    <w:rsid w:val="00CD6333"/>
    <w:rsid w:val="00CD7452"/>
    <w:rsid w:val="00CE0FE2"/>
    <w:rsid w:val="00CE5088"/>
    <w:rsid w:val="00CE5114"/>
    <w:rsid w:val="00CE6E81"/>
    <w:rsid w:val="00CF067B"/>
    <w:rsid w:val="00CF11F9"/>
    <w:rsid w:val="00CF1225"/>
    <w:rsid w:val="00CF1D99"/>
    <w:rsid w:val="00CF1E3C"/>
    <w:rsid w:val="00CF2E35"/>
    <w:rsid w:val="00CF3DE8"/>
    <w:rsid w:val="00CF4A93"/>
    <w:rsid w:val="00CF4E58"/>
    <w:rsid w:val="00CF5672"/>
    <w:rsid w:val="00CF6234"/>
    <w:rsid w:val="00CF7F3A"/>
    <w:rsid w:val="00D00B46"/>
    <w:rsid w:val="00D011AE"/>
    <w:rsid w:val="00D01F40"/>
    <w:rsid w:val="00D035F6"/>
    <w:rsid w:val="00D03BBC"/>
    <w:rsid w:val="00D04A72"/>
    <w:rsid w:val="00D059D4"/>
    <w:rsid w:val="00D0658C"/>
    <w:rsid w:val="00D066BB"/>
    <w:rsid w:val="00D06A41"/>
    <w:rsid w:val="00D070EA"/>
    <w:rsid w:val="00D10C40"/>
    <w:rsid w:val="00D111B2"/>
    <w:rsid w:val="00D120A6"/>
    <w:rsid w:val="00D14239"/>
    <w:rsid w:val="00D14907"/>
    <w:rsid w:val="00D14B20"/>
    <w:rsid w:val="00D15BD0"/>
    <w:rsid w:val="00D1696B"/>
    <w:rsid w:val="00D17A84"/>
    <w:rsid w:val="00D20061"/>
    <w:rsid w:val="00D2011E"/>
    <w:rsid w:val="00D203D0"/>
    <w:rsid w:val="00D20BC2"/>
    <w:rsid w:val="00D217BA"/>
    <w:rsid w:val="00D22DA1"/>
    <w:rsid w:val="00D23B7C"/>
    <w:rsid w:val="00D264E0"/>
    <w:rsid w:val="00D307DE"/>
    <w:rsid w:val="00D309B8"/>
    <w:rsid w:val="00D30EE6"/>
    <w:rsid w:val="00D31E6C"/>
    <w:rsid w:val="00D32CD5"/>
    <w:rsid w:val="00D3429E"/>
    <w:rsid w:val="00D376CB"/>
    <w:rsid w:val="00D43243"/>
    <w:rsid w:val="00D43630"/>
    <w:rsid w:val="00D44C9B"/>
    <w:rsid w:val="00D4737E"/>
    <w:rsid w:val="00D47858"/>
    <w:rsid w:val="00D50741"/>
    <w:rsid w:val="00D50E44"/>
    <w:rsid w:val="00D522DE"/>
    <w:rsid w:val="00D531AA"/>
    <w:rsid w:val="00D535F1"/>
    <w:rsid w:val="00D53A16"/>
    <w:rsid w:val="00D543D6"/>
    <w:rsid w:val="00D546BF"/>
    <w:rsid w:val="00D57168"/>
    <w:rsid w:val="00D60053"/>
    <w:rsid w:val="00D61340"/>
    <w:rsid w:val="00D614D2"/>
    <w:rsid w:val="00D61601"/>
    <w:rsid w:val="00D62335"/>
    <w:rsid w:val="00D62622"/>
    <w:rsid w:val="00D637B2"/>
    <w:rsid w:val="00D70303"/>
    <w:rsid w:val="00D72B23"/>
    <w:rsid w:val="00D752F8"/>
    <w:rsid w:val="00D75364"/>
    <w:rsid w:val="00D7627D"/>
    <w:rsid w:val="00D7660D"/>
    <w:rsid w:val="00D76D23"/>
    <w:rsid w:val="00D7792A"/>
    <w:rsid w:val="00D80A3A"/>
    <w:rsid w:val="00D833DD"/>
    <w:rsid w:val="00D850DF"/>
    <w:rsid w:val="00D871F8"/>
    <w:rsid w:val="00D87DA4"/>
    <w:rsid w:val="00D91030"/>
    <w:rsid w:val="00D913C9"/>
    <w:rsid w:val="00D93AD3"/>
    <w:rsid w:val="00D93B83"/>
    <w:rsid w:val="00D946DA"/>
    <w:rsid w:val="00D96336"/>
    <w:rsid w:val="00D964ED"/>
    <w:rsid w:val="00D96FAE"/>
    <w:rsid w:val="00D97FD9"/>
    <w:rsid w:val="00DA03B0"/>
    <w:rsid w:val="00DA0896"/>
    <w:rsid w:val="00DA14F3"/>
    <w:rsid w:val="00DA33AB"/>
    <w:rsid w:val="00DA47D4"/>
    <w:rsid w:val="00DA6510"/>
    <w:rsid w:val="00DA775F"/>
    <w:rsid w:val="00DA7D6D"/>
    <w:rsid w:val="00DA7F97"/>
    <w:rsid w:val="00DB10F9"/>
    <w:rsid w:val="00DB203A"/>
    <w:rsid w:val="00DB4EAD"/>
    <w:rsid w:val="00DB5817"/>
    <w:rsid w:val="00DB64EB"/>
    <w:rsid w:val="00DB75CB"/>
    <w:rsid w:val="00DB7E3E"/>
    <w:rsid w:val="00DC058E"/>
    <w:rsid w:val="00DC0A95"/>
    <w:rsid w:val="00DC1349"/>
    <w:rsid w:val="00DC209F"/>
    <w:rsid w:val="00DC32DE"/>
    <w:rsid w:val="00DC6ABC"/>
    <w:rsid w:val="00DC6BE5"/>
    <w:rsid w:val="00DC6C63"/>
    <w:rsid w:val="00DD00E7"/>
    <w:rsid w:val="00DD0E5B"/>
    <w:rsid w:val="00DD21B0"/>
    <w:rsid w:val="00DD28E1"/>
    <w:rsid w:val="00DD407C"/>
    <w:rsid w:val="00DD4093"/>
    <w:rsid w:val="00DD40C8"/>
    <w:rsid w:val="00DD49A2"/>
    <w:rsid w:val="00DD4D51"/>
    <w:rsid w:val="00DD51B1"/>
    <w:rsid w:val="00DD553B"/>
    <w:rsid w:val="00DD63EB"/>
    <w:rsid w:val="00DD6BA9"/>
    <w:rsid w:val="00DD72D5"/>
    <w:rsid w:val="00DE24F3"/>
    <w:rsid w:val="00DE30E6"/>
    <w:rsid w:val="00DE3FE6"/>
    <w:rsid w:val="00DE638C"/>
    <w:rsid w:val="00DE667B"/>
    <w:rsid w:val="00DF0286"/>
    <w:rsid w:val="00DF02C0"/>
    <w:rsid w:val="00DF074D"/>
    <w:rsid w:val="00DF0FAF"/>
    <w:rsid w:val="00DF52B1"/>
    <w:rsid w:val="00E0017E"/>
    <w:rsid w:val="00E01228"/>
    <w:rsid w:val="00E0125F"/>
    <w:rsid w:val="00E0201B"/>
    <w:rsid w:val="00E0257E"/>
    <w:rsid w:val="00E052AE"/>
    <w:rsid w:val="00E0571B"/>
    <w:rsid w:val="00E05749"/>
    <w:rsid w:val="00E06C5D"/>
    <w:rsid w:val="00E06F40"/>
    <w:rsid w:val="00E113BE"/>
    <w:rsid w:val="00E114D9"/>
    <w:rsid w:val="00E143A9"/>
    <w:rsid w:val="00E14C26"/>
    <w:rsid w:val="00E1565B"/>
    <w:rsid w:val="00E15670"/>
    <w:rsid w:val="00E20C87"/>
    <w:rsid w:val="00E22B2F"/>
    <w:rsid w:val="00E241A6"/>
    <w:rsid w:val="00E26270"/>
    <w:rsid w:val="00E27072"/>
    <w:rsid w:val="00E27AF6"/>
    <w:rsid w:val="00E303E6"/>
    <w:rsid w:val="00E305B3"/>
    <w:rsid w:val="00E30E23"/>
    <w:rsid w:val="00E31206"/>
    <w:rsid w:val="00E31794"/>
    <w:rsid w:val="00E31DE6"/>
    <w:rsid w:val="00E32E32"/>
    <w:rsid w:val="00E34FCE"/>
    <w:rsid w:val="00E36ECA"/>
    <w:rsid w:val="00E3729B"/>
    <w:rsid w:val="00E37861"/>
    <w:rsid w:val="00E37958"/>
    <w:rsid w:val="00E411BF"/>
    <w:rsid w:val="00E41942"/>
    <w:rsid w:val="00E4395E"/>
    <w:rsid w:val="00E446C4"/>
    <w:rsid w:val="00E45D2F"/>
    <w:rsid w:val="00E45F2F"/>
    <w:rsid w:val="00E46679"/>
    <w:rsid w:val="00E475C4"/>
    <w:rsid w:val="00E478C4"/>
    <w:rsid w:val="00E52E30"/>
    <w:rsid w:val="00E55821"/>
    <w:rsid w:val="00E577C3"/>
    <w:rsid w:val="00E57C9D"/>
    <w:rsid w:val="00E60B1B"/>
    <w:rsid w:val="00E66F06"/>
    <w:rsid w:val="00E72755"/>
    <w:rsid w:val="00E72DA3"/>
    <w:rsid w:val="00E7516F"/>
    <w:rsid w:val="00E76168"/>
    <w:rsid w:val="00E763C2"/>
    <w:rsid w:val="00E76BA7"/>
    <w:rsid w:val="00E77AD6"/>
    <w:rsid w:val="00E77B3A"/>
    <w:rsid w:val="00E8012A"/>
    <w:rsid w:val="00E83915"/>
    <w:rsid w:val="00E84873"/>
    <w:rsid w:val="00E84EBE"/>
    <w:rsid w:val="00E85428"/>
    <w:rsid w:val="00E85DA3"/>
    <w:rsid w:val="00E90488"/>
    <w:rsid w:val="00E908B9"/>
    <w:rsid w:val="00E9213D"/>
    <w:rsid w:val="00E93C16"/>
    <w:rsid w:val="00E96908"/>
    <w:rsid w:val="00E973B5"/>
    <w:rsid w:val="00EA0202"/>
    <w:rsid w:val="00EA3006"/>
    <w:rsid w:val="00EA320D"/>
    <w:rsid w:val="00EA3414"/>
    <w:rsid w:val="00EA3415"/>
    <w:rsid w:val="00EA4B56"/>
    <w:rsid w:val="00EA669E"/>
    <w:rsid w:val="00EA7E77"/>
    <w:rsid w:val="00EB05CB"/>
    <w:rsid w:val="00EB1278"/>
    <w:rsid w:val="00EB23D6"/>
    <w:rsid w:val="00EB276A"/>
    <w:rsid w:val="00EB3612"/>
    <w:rsid w:val="00EB3F7E"/>
    <w:rsid w:val="00EB4011"/>
    <w:rsid w:val="00EB4CBB"/>
    <w:rsid w:val="00EB5C06"/>
    <w:rsid w:val="00EB7884"/>
    <w:rsid w:val="00EB7B73"/>
    <w:rsid w:val="00EB7D71"/>
    <w:rsid w:val="00EC09E0"/>
    <w:rsid w:val="00EC0A33"/>
    <w:rsid w:val="00EC1CEE"/>
    <w:rsid w:val="00EC34DC"/>
    <w:rsid w:val="00EC3CE4"/>
    <w:rsid w:val="00EC42BD"/>
    <w:rsid w:val="00EC6753"/>
    <w:rsid w:val="00EC72E2"/>
    <w:rsid w:val="00EC7E58"/>
    <w:rsid w:val="00ED23C8"/>
    <w:rsid w:val="00ED2A2B"/>
    <w:rsid w:val="00ED37B4"/>
    <w:rsid w:val="00ED4A44"/>
    <w:rsid w:val="00ED5232"/>
    <w:rsid w:val="00ED52FA"/>
    <w:rsid w:val="00ED5376"/>
    <w:rsid w:val="00ED60F3"/>
    <w:rsid w:val="00ED78FB"/>
    <w:rsid w:val="00EE049C"/>
    <w:rsid w:val="00EE17F1"/>
    <w:rsid w:val="00EE18A8"/>
    <w:rsid w:val="00EE1A65"/>
    <w:rsid w:val="00EE1F67"/>
    <w:rsid w:val="00EE2D7C"/>
    <w:rsid w:val="00EE3878"/>
    <w:rsid w:val="00EE440C"/>
    <w:rsid w:val="00EE50F4"/>
    <w:rsid w:val="00EE51B0"/>
    <w:rsid w:val="00EE523A"/>
    <w:rsid w:val="00EE7908"/>
    <w:rsid w:val="00EF0CBB"/>
    <w:rsid w:val="00EF1387"/>
    <w:rsid w:val="00EF1654"/>
    <w:rsid w:val="00EF17EB"/>
    <w:rsid w:val="00EF1850"/>
    <w:rsid w:val="00EF20AA"/>
    <w:rsid w:val="00EF2395"/>
    <w:rsid w:val="00EF5799"/>
    <w:rsid w:val="00EF6232"/>
    <w:rsid w:val="00EF6E3D"/>
    <w:rsid w:val="00F0099B"/>
    <w:rsid w:val="00F03100"/>
    <w:rsid w:val="00F04DEE"/>
    <w:rsid w:val="00F05109"/>
    <w:rsid w:val="00F05996"/>
    <w:rsid w:val="00F05AEC"/>
    <w:rsid w:val="00F068FF"/>
    <w:rsid w:val="00F070D4"/>
    <w:rsid w:val="00F07333"/>
    <w:rsid w:val="00F10D42"/>
    <w:rsid w:val="00F1186C"/>
    <w:rsid w:val="00F12A91"/>
    <w:rsid w:val="00F14EBC"/>
    <w:rsid w:val="00F157B3"/>
    <w:rsid w:val="00F15CF6"/>
    <w:rsid w:val="00F203A3"/>
    <w:rsid w:val="00F207BB"/>
    <w:rsid w:val="00F21A12"/>
    <w:rsid w:val="00F2289A"/>
    <w:rsid w:val="00F243BA"/>
    <w:rsid w:val="00F26067"/>
    <w:rsid w:val="00F261A8"/>
    <w:rsid w:val="00F307FB"/>
    <w:rsid w:val="00F30A40"/>
    <w:rsid w:val="00F31430"/>
    <w:rsid w:val="00F31925"/>
    <w:rsid w:val="00F35743"/>
    <w:rsid w:val="00F35E7E"/>
    <w:rsid w:val="00F35F3C"/>
    <w:rsid w:val="00F36769"/>
    <w:rsid w:val="00F4023A"/>
    <w:rsid w:val="00F41503"/>
    <w:rsid w:val="00F45274"/>
    <w:rsid w:val="00F46364"/>
    <w:rsid w:val="00F465A3"/>
    <w:rsid w:val="00F46C2F"/>
    <w:rsid w:val="00F5184A"/>
    <w:rsid w:val="00F52083"/>
    <w:rsid w:val="00F52B3F"/>
    <w:rsid w:val="00F532DA"/>
    <w:rsid w:val="00F53BBA"/>
    <w:rsid w:val="00F544A8"/>
    <w:rsid w:val="00F55AEC"/>
    <w:rsid w:val="00F55EFE"/>
    <w:rsid w:val="00F57FF7"/>
    <w:rsid w:val="00F61187"/>
    <w:rsid w:val="00F639E8"/>
    <w:rsid w:val="00F63A98"/>
    <w:rsid w:val="00F65FED"/>
    <w:rsid w:val="00F66657"/>
    <w:rsid w:val="00F66A9C"/>
    <w:rsid w:val="00F671CB"/>
    <w:rsid w:val="00F67AAE"/>
    <w:rsid w:val="00F70363"/>
    <w:rsid w:val="00F7217B"/>
    <w:rsid w:val="00F72D20"/>
    <w:rsid w:val="00F7302E"/>
    <w:rsid w:val="00F77EBF"/>
    <w:rsid w:val="00F81208"/>
    <w:rsid w:val="00F83675"/>
    <w:rsid w:val="00F84BFB"/>
    <w:rsid w:val="00F87F1D"/>
    <w:rsid w:val="00F92EBE"/>
    <w:rsid w:val="00F9316A"/>
    <w:rsid w:val="00F93FDD"/>
    <w:rsid w:val="00F940B2"/>
    <w:rsid w:val="00F95A93"/>
    <w:rsid w:val="00F966F6"/>
    <w:rsid w:val="00F96C81"/>
    <w:rsid w:val="00FA0008"/>
    <w:rsid w:val="00FA09F4"/>
    <w:rsid w:val="00FA0C8D"/>
    <w:rsid w:val="00FA0CFD"/>
    <w:rsid w:val="00FA2BD8"/>
    <w:rsid w:val="00FA6657"/>
    <w:rsid w:val="00FA6A3A"/>
    <w:rsid w:val="00FA710C"/>
    <w:rsid w:val="00FA7825"/>
    <w:rsid w:val="00FA7D97"/>
    <w:rsid w:val="00FB031F"/>
    <w:rsid w:val="00FB1502"/>
    <w:rsid w:val="00FB187A"/>
    <w:rsid w:val="00FB2EBC"/>
    <w:rsid w:val="00FB4D5E"/>
    <w:rsid w:val="00FB7202"/>
    <w:rsid w:val="00FC1CE1"/>
    <w:rsid w:val="00FC7020"/>
    <w:rsid w:val="00FD3316"/>
    <w:rsid w:val="00FD4959"/>
    <w:rsid w:val="00FD78DF"/>
    <w:rsid w:val="00FE32D3"/>
    <w:rsid w:val="00FE63E6"/>
    <w:rsid w:val="00FE77FE"/>
    <w:rsid w:val="00FF1C83"/>
    <w:rsid w:val="00FF1FFC"/>
    <w:rsid w:val="00FF2989"/>
    <w:rsid w:val="00FF4970"/>
    <w:rsid w:val="00FF4F5A"/>
    <w:rsid w:val="00FF6574"/>
    <w:rsid w:val="00FF6865"/>
    <w:rsid w:val="00FF6D64"/>
    <w:rsid w:val="00FF74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Ziepniece@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finansu-un-raditaju-plani-to-izpilde" TargetMode="External"/><Relationship Id="rId2" Type="http://schemas.openxmlformats.org/officeDocument/2006/relationships/hyperlink" Target="http://www.cfla.gov.lv/lv/es-fondi-2014-2020/projektu-iesniegumu-atlase" TargetMode="External"/><Relationship Id="rId1" Type="http://schemas.openxmlformats.org/officeDocument/2006/relationships/hyperlink" Target="http://www.esfondi.lv/finansu-un-raditaju-plani-to-izpilde" TargetMode="External"/><Relationship Id="rId5" Type="http://schemas.openxmlformats.org/officeDocument/2006/relationships/hyperlink" Target="http://www.esfondi.lv/upload/mk-protokollemums.pdf" TargetMode="External"/><Relationship Id="rId4" Type="http://schemas.openxmlformats.org/officeDocument/2006/relationships/hyperlink" Target="http://www.esfondi.lv/finansu-un-raditaju-plani-to-izpild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Fs\esfd\IEVIE&#352;ANAS%20UZRAUDZ&#298;BA\ZI&#325;OJUMI_MAKS&#256;JUMU%20PROGNOZES%20EK\VI_regularie_zinojumi_MK_ES_fondi\1%20-%20MK\2017.gads\Ikm&#275;ne&#353;a%20informat&#299;vie%20zi&#326;ojumi\3_apr&#299;lis_iesn_MK_lidz_28.04.2017\darba%20mape\MKprogress_ikm&#275;ne&#353;a_201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s\esfd\IEVIE&#352;ANAS%20UZRAUDZ&#298;BA\ZI&#325;OJUMI_MAKS&#256;JUMU%20PROGNOZES%20EK\VI_regularie_zinojumi_MK_ES_fondi\1%20-%20MK\2017.gads\Ikm&#275;ne&#353;a%20informat&#299;vie%20zi&#326;ojumi\5_j&#363;nijs_iesn_MK_lidz_30.06.2017\darba%20materi&#257;li\ieviesana_31.05.2017_IZ.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847831238601511E-2"/>
          <c:y val="5.1546391752577317E-2"/>
          <c:w val="0.88425031922271979"/>
          <c:h val="0.57259923695105119"/>
        </c:manualLayout>
      </c:layout>
      <c:barChart>
        <c:barDir val="col"/>
        <c:grouping val="clustered"/>
        <c:varyColors val="0"/>
        <c:ser>
          <c:idx val="0"/>
          <c:order val="0"/>
          <c:tx>
            <c:strRef>
              <c:f>'Kopā (4)'!$A$3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(4)'!$B$3:$N$3</c:f>
              <c:numCache>
                <c:formatCode>General</c:formatCode>
                <c:ptCount val="13"/>
                <c:pt idx="0">
                  <c:v>1</c:v>
                </c:pt>
                <c:pt idx="1">
                  <c:v>4</c:v>
                </c:pt>
                <c:pt idx="2">
                  <c:v>5</c:v>
                </c:pt>
                <c:pt idx="3">
                  <c:v>6</c:v>
                </c:pt>
                <c:pt idx="4">
                  <c:v>9</c:v>
                </c:pt>
                <c:pt idx="5">
                  <c:v>12</c:v>
                </c:pt>
                <c:pt idx="6">
                  <c:v>13</c:v>
                </c:pt>
                <c:pt idx="7">
                  <c:v>15</c:v>
                </c:pt>
                <c:pt idx="8">
                  <c:v>16</c:v>
                </c:pt>
                <c:pt idx="9">
                  <c:v>17</c:v>
                </c:pt>
                <c:pt idx="10">
                  <c:v>19</c:v>
                </c:pt>
                <c:pt idx="11">
                  <c:v>19</c:v>
                </c:pt>
                <c:pt idx="12">
                  <c:v>26</c:v>
                </c:pt>
              </c:numCache>
            </c:numRef>
          </c:val>
          <c:extLst>
            <c:ext xmlns:c16="http://schemas.microsoft.com/office/drawing/2014/chart" uri="{C3380CC4-5D6E-409C-BE32-E72D297353CC}">
              <c16:uniqueId val="{00000000-775B-41AF-B1A3-9F77BD513EBB}"/>
            </c:ext>
          </c:extLst>
        </c:ser>
        <c:ser>
          <c:idx val="2"/>
          <c:order val="2"/>
          <c:tx>
            <c:strRef>
              <c:f>'Kopā (4)'!$A$5</c:f>
              <c:strCache>
                <c:ptCount val="1"/>
                <c:pt idx="0">
                  <c:v>Apstiprināto MK noteikumu skaits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(4)'!$B$5:$N$5</c:f>
              <c:numCache>
                <c:formatCode>#,##0</c:formatCode>
                <c:ptCount val="13"/>
                <c:pt idx="0" formatCode="General">
                  <c:v>1</c:v>
                </c:pt>
                <c:pt idx="1">
                  <c:v>1</c:v>
                </c:pt>
                <c:pt idx="2">
                  <c:v>4</c:v>
                </c:pt>
                <c:pt idx="3">
                  <c:v>5</c:v>
                </c:pt>
                <c:pt idx="4">
                  <c:v>5</c:v>
                </c:pt>
                <c:pt idx="5">
                  <c:v>6</c:v>
                </c:pt>
              </c:numCache>
            </c:numRef>
          </c:val>
          <c:extLst>
            <c:ext xmlns:c16="http://schemas.microsoft.com/office/drawing/2014/chart" uri="{C3380CC4-5D6E-409C-BE32-E72D297353CC}">
              <c16:uniqueId val="{00000000-668B-4EDC-89AA-0FF0081C8057}"/>
            </c:ext>
          </c:extLst>
        </c:ser>
        <c:dLbls>
          <c:showLegendKey val="0"/>
          <c:showVal val="0"/>
          <c:showCatName val="0"/>
          <c:showSerName val="0"/>
          <c:showPercent val="0"/>
          <c:showBubbleSize val="0"/>
        </c:dLbls>
        <c:gapWidth val="150"/>
        <c:axId val="277960424"/>
        <c:axId val="277960816"/>
      </c:barChart>
      <c:lineChart>
        <c:grouping val="standard"/>
        <c:varyColors val="0"/>
        <c:ser>
          <c:idx val="1"/>
          <c:order val="1"/>
          <c:tx>
            <c:strRef>
              <c:f>'Kopā (4)'!$A$4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(4)'!$B$4:$N$4</c:f>
              <c:numCache>
                <c:formatCode>#,##0</c:formatCode>
                <c:ptCount val="13"/>
                <c:pt idx="0">
                  <c:v>346639348</c:v>
                </c:pt>
                <c:pt idx="1">
                  <c:v>397198775</c:v>
                </c:pt>
                <c:pt idx="2">
                  <c:v>408798775</c:v>
                </c:pt>
                <c:pt idx="3">
                  <c:v>436468643</c:v>
                </c:pt>
                <c:pt idx="4">
                  <c:v>461759989</c:v>
                </c:pt>
                <c:pt idx="5">
                  <c:v>514898142</c:v>
                </c:pt>
                <c:pt idx="6">
                  <c:v>525314657</c:v>
                </c:pt>
                <c:pt idx="7">
                  <c:v>572409151</c:v>
                </c:pt>
                <c:pt idx="8">
                  <c:v>589668265</c:v>
                </c:pt>
                <c:pt idx="9">
                  <c:v>598861015</c:v>
                </c:pt>
                <c:pt idx="10">
                  <c:v>631638607</c:v>
                </c:pt>
                <c:pt idx="11">
                  <c:v>631638607</c:v>
                </c:pt>
                <c:pt idx="12">
                  <c:v>699825066</c:v>
                </c:pt>
              </c:numCache>
            </c:numRef>
          </c:val>
          <c:smooth val="0"/>
          <c:extLst>
            <c:ext xmlns:c16="http://schemas.microsoft.com/office/drawing/2014/chart" uri="{C3380CC4-5D6E-409C-BE32-E72D297353CC}">
              <c16:uniqueId val="{00000002-775B-41AF-B1A3-9F77BD513EBB}"/>
            </c:ext>
          </c:extLst>
        </c:ser>
        <c:ser>
          <c:idx val="3"/>
          <c:order val="3"/>
          <c:tx>
            <c:strRef>
              <c:f>'Kopā (4)'!$A$6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2"/>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extLst>
                <c:ext xmlns:c16="http://schemas.microsoft.com/office/drawing/2014/chart" uri="{C3380CC4-5D6E-409C-BE32-E72D297353CC}">
                  <c16:uniqueId val="{00000000-5F74-4BF4-B58C-DD8491526CA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(4)'!$B$6:$N$6</c:f>
              <c:numCache>
                <c:formatCode>#,##0</c:formatCode>
                <c:ptCount val="13"/>
                <c:pt idx="0">
                  <c:v>346639348</c:v>
                </c:pt>
                <c:pt idx="1">
                  <c:v>346639348</c:v>
                </c:pt>
                <c:pt idx="2" formatCode="General">
                  <c:v>401705435</c:v>
                </c:pt>
                <c:pt idx="3">
                  <c:v>408798775</c:v>
                </c:pt>
                <c:pt idx="4">
                  <c:v>408798775</c:v>
                </c:pt>
                <c:pt idx="5">
                  <c:v>436468643</c:v>
                </c:pt>
              </c:numCache>
            </c:numRef>
          </c:val>
          <c:smooth val="0"/>
          <c:extLst>
            <c:ext xmlns:c16="http://schemas.microsoft.com/office/drawing/2014/chart" uri="{C3380CC4-5D6E-409C-BE32-E72D297353CC}">
              <c16:uniqueId val="{00000002-668B-4EDC-89AA-0FF0081C8057}"/>
            </c:ext>
          </c:extLst>
        </c:ser>
        <c:dLbls>
          <c:showLegendKey val="0"/>
          <c:showVal val="0"/>
          <c:showCatName val="0"/>
          <c:showSerName val="0"/>
          <c:showPercent val="0"/>
          <c:showBubbleSize val="0"/>
        </c:dLbls>
        <c:marker val="1"/>
        <c:smooth val="0"/>
        <c:axId val="277961600"/>
        <c:axId val="277961208"/>
      </c:lineChart>
      <c:catAx>
        <c:axId val="27796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77960816"/>
        <c:crosses val="autoZero"/>
        <c:auto val="1"/>
        <c:lblAlgn val="ctr"/>
        <c:lblOffset val="100"/>
        <c:noMultiLvlLbl val="0"/>
      </c:catAx>
      <c:valAx>
        <c:axId val="27796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77960424"/>
        <c:crosses val="autoZero"/>
        <c:crossBetween val="between"/>
      </c:valAx>
      <c:valAx>
        <c:axId val="27796120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77961600"/>
        <c:crosses val="max"/>
        <c:crossBetween val="between"/>
        <c:dispUnits>
          <c:builtInUnit val="millions"/>
        </c:dispUnits>
      </c:valAx>
      <c:catAx>
        <c:axId val="277961600"/>
        <c:scaling>
          <c:orientation val="minMax"/>
        </c:scaling>
        <c:delete val="1"/>
        <c:axPos val="b"/>
        <c:numFmt formatCode="General" sourceLinked="1"/>
        <c:majorTickMark val="out"/>
        <c:minorTickMark val="none"/>
        <c:tickLblPos val="nextTo"/>
        <c:crossAx val="277961208"/>
        <c:crosses val="autoZero"/>
        <c:auto val="1"/>
        <c:lblAlgn val="ctr"/>
        <c:lblOffset val="100"/>
        <c:noMultiLvlLbl val="0"/>
      </c:catAx>
      <c:spPr>
        <a:noFill/>
        <a:ln>
          <a:noFill/>
        </a:ln>
        <a:effectLst/>
      </c:spPr>
    </c:plotArea>
    <c:legend>
      <c:legendPos val="b"/>
      <c:layout>
        <c:manualLayout>
          <c:xMode val="edge"/>
          <c:yMode val="edge"/>
          <c:x val="0"/>
          <c:y val="0.85703089831671697"/>
          <c:w val="1"/>
          <c:h val="0.1289109948416710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4 484,5 (101,5%)</a:t>
            </a:r>
          </a:p>
        </c:rich>
      </c:tx>
      <c:layout>
        <c:manualLayout>
          <c:xMode val="edge"/>
          <c:yMode val="edge"/>
          <c:x val="0.77682288359575336"/>
          <c:y val="4.647571661843402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39907900664660328"/>
          <c:y val="0.11736111111111111"/>
          <c:w val="0.35067295013875666"/>
          <c:h val="0.73239118547681548"/>
        </c:manualLayout>
      </c:layout>
      <c:barChart>
        <c:barDir val="bar"/>
        <c:grouping val="stacked"/>
        <c:varyColors val="0"/>
        <c:ser>
          <c:idx val="0"/>
          <c:order val="0"/>
          <c:tx>
            <c:strRef>
              <c:f>'maijs,junijs'!$P$3</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('maijs,junijs'!$D$3:$J$3,'maijs,junijs'!$P$3:$Q$3)</c:f>
              <c:strCache>
                <c:ptCount val="9"/>
                <c:pt idx="0">
                  <c:v>Veikti maksājumi projektos</c:v>
                </c:pt>
                <c:pt idx="1">
                  <c:v>Noslēgti līgumi, skaits - 423</c:v>
                </c:pt>
                <c:pt idx="2">
                  <c:v>Apstiprināti projekti, skaits - 481</c:v>
                </c:pt>
                <c:pt idx="3">
                  <c:v>Apstīdēti projekti, skaits - 95</c:v>
                </c:pt>
                <c:pt idx="4">
                  <c:v>Noraidīti/atsaukti projekti, skaits - 339</c:v>
                </c:pt>
                <c:pt idx="5">
                  <c:v>Iesniegti projekti, skaits - 1002</c:v>
                </c:pt>
                <c:pt idx="6">
                  <c:v>MK noteikumi, t.sk. par ES fondu "virssaistību" daļu</c:v>
                </c:pt>
                <c:pt idx="7">
                  <c:v>Pieejamais ES fondu finansējums</c:v>
                </c:pt>
                <c:pt idx="8">
                  <c:v>Pieejamais ''virssaistību'' apjoms</c:v>
                </c:pt>
              </c:strCache>
              <c:extLst/>
            </c:strRef>
          </c:cat>
          <c:val>
            <c:numRef>
              <c:f>('maijs,junijs'!$D$4:$J$4,'maijs,junijs'!$P$4)</c:f>
              <c:numCache>
                <c:formatCode>General</c:formatCode>
                <c:ptCount val="8"/>
              </c:numCache>
              <c:extLst/>
            </c:numRef>
          </c:val>
          <c:extLst>
            <c:ext xmlns:c16="http://schemas.microsoft.com/office/drawing/2014/chart" uri="{C3380CC4-5D6E-409C-BE32-E72D297353CC}">
              <c16:uniqueId val="{00000000-951C-4A18-9432-DDDADDA3226A}"/>
            </c:ext>
          </c:extLst>
        </c:ser>
        <c:ser>
          <c:idx val="1"/>
          <c:order val="1"/>
          <c:tx>
            <c:strRef>
              <c:f>'maijs,junijs'!$C$5:$C$9</c:f>
              <c:strCache>
                <c:ptCount val="1"/>
                <c:pt idx="0">
                  <c:v>Mil EUR Esošais mēnesis (31.05.)/ % 30.04.2017.</c:v>
                </c:pt>
              </c:strCache>
            </c:strRef>
          </c:tx>
          <c:spPr>
            <a:solidFill>
              <a:schemeClr val="accent2"/>
            </a:solidFill>
            <a:ln>
              <a:noFill/>
            </a:ln>
            <a:effectLst/>
          </c:spPr>
          <c:invertIfNegative val="0"/>
          <c:dPt>
            <c:idx val="0"/>
            <c:invertIfNegative val="0"/>
            <c:bubble3D val="0"/>
            <c:spPr>
              <a:solidFill>
                <a:srgbClr val="FFD966"/>
              </a:solidFill>
              <a:ln>
                <a:noFill/>
              </a:ln>
              <a:effectLst/>
            </c:spPr>
            <c:extLst>
              <c:ext xmlns:c16="http://schemas.microsoft.com/office/drawing/2014/chart" uri="{C3380CC4-5D6E-409C-BE32-E72D297353CC}">
                <c16:uniqueId val="{00000002-951C-4A18-9432-DDDADDA3226A}"/>
              </c:ext>
            </c:extLst>
          </c:dPt>
          <c:dPt>
            <c:idx val="1"/>
            <c:invertIfNegative val="0"/>
            <c:bubble3D val="0"/>
            <c:spPr>
              <a:solidFill>
                <a:srgbClr val="C9C9C9"/>
              </a:solidFill>
              <a:ln>
                <a:noFill/>
              </a:ln>
              <a:effectLst/>
            </c:spPr>
            <c:extLst>
              <c:ext xmlns:c16="http://schemas.microsoft.com/office/drawing/2014/chart" uri="{C3380CC4-5D6E-409C-BE32-E72D297353CC}">
                <c16:uniqueId val="{00000004-951C-4A18-9432-DDDADDA3226A}"/>
              </c:ext>
            </c:extLst>
          </c:dPt>
          <c:dPt>
            <c:idx val="2"/>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6-951C-4A18-9432-DDDADDA3226A}"/>
              </c:ext>
            </c:extLst>
          </c:dPt>
          <c:dPt>
            <c:idx val="4"/>
            <c:invertIfNegative val="0"/>
            <c:bubble3D val="0"/>
            <c:spPr>
              <a:solidFill>
                <a:schemeClr val="accent2">
                  <a:lumMod val="75000"/>
                </a:schemeClr>
              </a:solidFill>
              <a:ln>
                <a:noFill/>
              </a:ln>
              <a:effectLst/>
            </c:spPr>
            <c:extLst>
              <c:ext xmlns:c16="http://schemas.microsoft.com/office/drawing/2014/chart" uri="{C3380CC4-5D6E-409C-BE32-E72D297353CC}">
                <c16:uniqueId val="{00000008-951C-4A18-9432-DDDADDA3226A}"/>
              </c:ext>
            </c:extLst>
          </c:dPt>
          <c:dPt>
            <c:idx val="5"/>
            <c:invertIfNegative val="0"/>
            <c:bubble3D val="0"/>
            <c:spPr>
              <a:solidFill>
                <a:schemeClr val="accent3">
                  <a:lumMod val="75000"/>
                </a:schemeClr>
              </a:solidFill>
              <a:ln>
                <a:noFill/>
              </a:ln>
              <a:effectLst/>
            </c:spPr>
            <c:extLst>
              <c:ext xmlns:c16="http://schemas.microsoft.com/office/drawing/2014/chart" uri="{C3380CC4-5D6E-409C-BE32-E72D297353CC}">
                <c16:uniqueId val="{0000000A-951C-4A18-9432-DDDADDA3226A}"/>
              </c:ext>
            </c:extLst>
          </c:dPt>
          <c:dPt>
            <c:idx val="6"/>
            <c:invertIfNegative val="0"/>
            <c:bubble3D val="0"/>
            <c:spPr>
              <a:solidFill>
                <a:srgbClr val="A9D18E"/>
              </a:solidFill>
              <a:ln>
                <a:noFill/>
              </a:ln>
              <a:effectLst/>
            </c:spPr>
            <c:extLst>
              <c:ext xmlns:c16="http://schemas.microsoft.com/office/drawing/2014/chart" uri="{C3380CC4-5D6E-409C-BE32-E72D297353CC}">
                <c16:uniqueId val="{0000000C-951C-4A18-9432-DDDADDA3226A}"/>
              </c:ext>
            </c:extLst>
          </c:dPt>
          <c:dPt>
            <c:idx val="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E-951C-4A18-9432-DDDADDA3226A}"/>
              </c:ext>
            </c:extLst>
          </c:dPt>
          <c:dLbls>
            <c:dLbl>
              <c:idx val="0"/>
              <c:layout>
                <c:manualLayout>
                  <c:x val="0.13023601214218192"/>
                  <c:y val="-2.542104111986129E-3"/>
                </c:manualLayout>
              </c:layout>
              <c:tx>
                <c:rich>
                  <a:bodyPr/>
                  <a:lstStyle/>
                  <a:p>
                    <a:fld id="{489F327E-AEEF-46CE-B86F-88FCE2FAE9F5}" type="VALUE">
                      <a:rPr lang="en-US"/>
                      <a:pPr/>
                      <a:t>[VALUE]</a:t>
                    </a:fld>
                    <a:r>
                      <a:rPr lang="en-US"/>
                      <a:t> (7,8%) </a:t>
                    </a:r>
                    <a:r>
                      <a:rPr lang="en-US">
                        <a:latin typeface="Times New Roman" panose="02020603050405020304" pitchFamily="18" charset="0"/>
                        <a:cs typeface="Times New Roman" panose="02020603050405020304" pitchFamily="18" charset="0"/>
                      </a:rPr>
                      <a:t>↑0,7%</a:t>
                    </a:r>
                  </a:p>
                </c:rich>
              </c:tx>
              <c:showLegendKey val="0"/>
              <c:showVal val="1"/>
              <c:showCatName val="0"/>
              <c:showSerName val="0"/>
              <c:showPercent val="0"/>
              <c:showBubbleSize val="0"/>
              <c:extLst>
                <c:ext xmlns:c15="http://schemas.microsoft.com/office/drawing/2012/chart" uri="{CE6537A1-D6FC-4f65-9D91-7224C49458BB}">
                  <c15:layout>
                    <c:manualLayout>
                      <c:w val="0.24417382729595133"/>
                      <c:h val="9.8229166666666673E-2"/>
                    </c:manualLayout>
                  </c15:layout>
                  <c15:dlblFieldTable/>
                  <c15:showDataLabelsRange val="0"/>
                </c:ext>
                <c:ext xmlns:c16="http://schemas.microsoft.com/office/drawing/2014/chart" uri="{C3380CC4-5D6E-409C-BE32-E72D297353CC}">
                  <c16:uniqueId val="{00000002-951C-4A18-9432-DDDADDA3226A}"/>
                </c:ext>
              </c:extLst>
            </c:dLbl>
            <c:dLbl>
              <c:idx val="1"/>
              <c:layout>
                <c:manualLayout>
                  <c:x val="0.16627584488770564"/>
                  <c:y val="4.4023403324583155E-3"/>
                </c:manualLayout>
              </c:layout>
              <c:tx>
                <c:rich>
                  <a:bodyPr/>
                  <a:lstStyle/>
                  <a:p>
                    <a:fld id="{5FA50F4E-52FE-4052-AA61-C6665E5C0E21}" type="VALUE">
                      <a:rPr lang="en-US"/>
                      <a:pPr/>
                      <a:t>[VALUE]</a:t>
                    </a:fld>
                    <a:r>
                      <a:rPr lang="en-US"/>
                      <a:t> (40,3%) </a:t>
                    </a:r>
                    <a:r>
                      <a:rPr lang="en-US">
                        <a:latin typeface="Times New Roman" panose="02020603050405020304" pitchFamily="18" charset="0"/>
                        <a:cs typeface="Times New Roman" panose="02020603050405020304" pitchFamily="18" charset="0"/>
                      </a:rPr>
                      <a:t>↑3,0%</a:t>
                    </a:r>
                  </a:p>
                </c:rich>
              </c:tx>
              <c:showLegendKey val="0"/>
              <c:showVal val="1"/>
              <c:showCatName val="0"/>
              <c:showSerName val="0"/>
              <c:showPercent val="0"/>
              <c:showBubbleSize val="0"/>
              <c:extLst>
                <c:ext xmlns:c15="http://schemas.microsoft.com/office/drawing/2012/chart" uri="{CE6537A1-D6FC-4f65-9D91-7224C49458BB}">
                  <c15:layout>
                    <c:manualLayout>
                      <c:w val="0.25244176084207093"/>
                      <c:h val="9.8229166666666673E-2"/>
                    </c:manualLayout>
                  </c15:layout>
                  <c15:dlblFieldTable/>
                  <c15:showDataLabelsRange val="0"/>
                </c:ext>
                <c:ext xmlns:c16="http://schemas.microsoft.com/office/drawing/2014/chart" uri="{C3380CC4-5D6E-409C-BE32-E72D297353CC}">
                  <c16:uniqueId val="{00000004-951C-4A18-9432-DDDADDA3226A}"/>
                </c:ext>
              </c:extLst>
            </c:dLbl>
            <c:dLbl>
              <c:idx val="2"/>
              <c:layout>
                <c:manualLayout>
                  <c:x val="0.18793550789615085"/>
                  <c:y val="-1.4591535433070865E-3"/>
                </c:manualLayout>
              </c:layout>
              <c:tx>
                <c:rich>
                  <a:bodyPr/>
                  <a:lstStyle/>
                  <a:p>
                    <a:fld id="{5C685BE9-56FF-4DE9-BE00-C617ED8DBE3A}" type="VALUE">
                      <a:rPr lang="en-US"/>
                      <a:pPr/>
                      <a:t>[VALUE]</a:t>
                    </a:fld>
                    <a:r>
                      <a:rPr lang="en-US" baseline="0"/>
                      <a:t> (42,0%) </a:t>
                    </a:r>
                    <a:r>
                      <a:rPr lang="en-US" baseline="0">
                        <a:latin typeface="Times New Roman" panose="02020603050405020304" pitchFamily="18" charset="0"/>
                        <a:cs typeface="Times New Roman" panose="02020603050405020304" pitchFamily="18" charset="0"/>
                      </a:rPr>
                      <a:t>↑0,7%</a:t>
                    </a:r>
                  </a:p>
                </c:rich>
              </c:tx>
              <c:showLegendKey val="0"/>
              <c:showVal val="1"/>
              <c:showCatName val="0"/>
              <c:showSerName val="0"/>
              <c:showPercent val="0"/>
              <c:showBubbleSize val="0"/>
              <c:extLst>
                <c:ext xmlns:c15="http://schemas.microsoft.com/office/drawing/2012/chart" uri="{CE6537A1-D6FC-4f65-9D91-7224C49458BB}">
                  <c15:layout>
                    <c:manualLayout>
                      <c:w val="0.26126107514038416"/>
                      <c:h val="9.8229166666666673E-2"/>
                    </c:manualLayout>
                  </c15:layout>
                  <c15:dlblFieldTable/>
                  <c15:showDataLabelsRange val="0"/>
                </c:ext>
                <c:ext xmlns:c16="http://schemas.microsoft.com/office/drawing/2014/chart" uri="{C3380CC4-5D6E-409C-BE32-E72D297353CC}">
                  <c16:uniqueId val="{00000006-951C-4A18-9432-DDDADDA3226A}"/>
                </c:ext>
              </c:extLst>
            </c:dLbl>
            <c:dLbl>
              <c:idx val="3"/>
              <c:layout>
                <c:manualLayout>
                  <c:x val="0.27203053427162965"/>
                  <c:y val="-7.6850940507437208E-3"/>
                </c:manualLayout>
              </c:layout>
              <c:tx>
                <c:rich>
                  <a:bodyPr/>
                  <a:lstStyle/>
                  <a:p>
                    <a:fld id="{B47A0D2E-FDBB-49DB-A366-D7D3237E8174}" type="VALUE">
                      <a:rPr lang="en-US"/>
                      <a:pPr/>
                      <a:t>[VALUE]</a:t>
                    </a:fld>
                    <a:r>
                      <a:rPr lang="en-US"/>
                      <a:t> (32,1% no noraidītajiem/atsauktajiem projektiem)</a:t>
                    </a:r>
                  </a:p>
                </c:rich>
              </c:tx>
              <c:showLegendKey val="0"/>
              <c:showVal val="1"/>
              <c:showCatName val="0"/>
              <c:showSerName val="0"/>
              <c:showPercent val="0"/>
              <c:showBubbleSize val="0"/>
              <c:extLst>
                <c:ext xmlns:c15="http://schemas.microsoft.com/office/drawing/2012/chart" uri="{CE6537A1-D6FC-4f65-9D91-7224C49458BB}">
                  <c15:layout>
                    <c:manualLayout>
                      <c:w val="0.54946914845874673"/>
                      <c:h val="9.5811734470691162E-2"/>
                    </c:manualLayout>
                  </c15:layout>
                  <c15:dlblFieldTable/>
                  <c15:showDataLabelsRange val="0"/>
                </c:ext>
                <c:ext xmlns:c16="http://schemas.microsoft.com/office/drawing/2014/chart" uri="{C3380CC4-5D6E-409C-BE32-E72D297353CC}">
                  <c16:uniqueId val="{0000000F-951C-4A18-9432-DDDADDA3226A}"/>
                </c:ext>
              </c:extLst>
            </c:dLbl>
            <c:dLbl>
              <c:idx val="4"/>
              <c:layout>
                <c:manualLayout>
                  <c:x val="0.24002139335067368"/>
                  <c:y val="6.2798781771514853E-3"/>
                </c:manualLayout>
              </c:layout>
              <c:tx>
                <c:rich>
                  <a:bodyPr/>
                  <a:lstStyle/>
                  <a:p>
                    <a:fld id="{3A7F3F90-B631-4989-9B3D-A825AC04F2D3}" type="VALUE">
                      <a:rPr lang="en-US"/>
                      <a:pPr/>
                      <a:t>[VALUE]</a:t>
                    </a:fld>
                    <a:r>
                      <a:rPr lang="en-US"/>
                      <a:t> (7,4% no iesniegtajiem projektiem)</a:t>
                    </a:r>
                  </a:p>
                </c:rich>
              </c:tx>
              <c:showLegendKey val="0"/>
              <c:showVal val="1"/>
              <c:showCatName val="0"/>
              <c:showSerName val="0"/>
              <c:showPercent val="0"/>
              <c:showBubbleSize val="0"/>
              <c:extLst>
                <c:ext xmlns:c15="http://schemas.microsoft.com/office/drawing/2012/chart" uri="{CE6537A1-D6FC-4f65-9D91-7224C49458BB}">
                  <c15:layout>
                    <c:manualLayout>
                      <c:w val="0.48710704789946674"/>
                      <c:h val="5.207294400699912E-2"/>
                    </c:manualLayout>
                  </c15:layout>
                  <c15:dlblFieldTable/>
                  <c15:showDataLabelsRange val="0"/>
                </c:ext>
                <c:ext xmlns:c16="http://schemas.microsoft.com/office/drawing/2014/chart" uri="{C3380CC4-5D6E-409C-BE32-E72D297353CC}">
                  <c16:uniqueId val="{00000008-951C-4A18-9432-DDDADDA3226A}"/>
                </c:ext>
              </c:extLst>
            </c:dLbl>
            <c:dLbl>
              <c:idx val="5"/>
              <c:layout>
                <c:manualLayout>
                  <c:x val="0.21872784863417813"/>
                  <c:y val="-6.3656672040099962E-17"/>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A55BCF39-AE0E-455F-8CFE-D7E922C439AF}" type="VALUE">
                      <a:rPr lang="en-US"/>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t>[VALUE]</a:t>
                    </a:fld>
                    <a:r>
                      <a:rPr lang="en-US"/>
                      <a:t> (63,0%)</a:t>
                    </a:r>
                    <a:r>
                      <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rPr>
                      <a:t> ↑3,6%</a:t>
                    </a:r>
                    <a:r>
                      <a:rPr lang="en-US"/>
                      <a:t> </a:t>
                    </a:r>
                  </a:p>
                </c:rich>
              </c:tx>
              <c:numFmt formatCode="#,##0.0" sourceLinked="0"/>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8211302437377228"/>
                      <c:h val="0.10870324803149606"/>
                    </c:manualLayout>
                  </c15:layout>
                  <c15:dlblFieldTable/>
                  <c15:showDataLabelsRange val="0"/>
                </c:ext>
                <c:ext xmlns:c16="http://schemas.microsoft.com/office/drawing/2014/chart" uri="{C3380CC4-5D6E-409C-BE32-E72D297353CC}">
                  <c16:uniqueId val="{0000000A-951C-4A18-9432-DDDADDA3226A}"/>
                </c:ext>
              </c:extLst>
            </c:dLbl>
            <c:dLbl>
              <c:idx val="6"/>
              <c:layout>
                <c:manualLayout>
                  <c:x val="0.26183988604334824"/>
                  <c:y val="-1.1588746719160136E-2"/>
                </c:manualLayout>
              </c:layout>
              <c:tx>
                <c:rich>
                  <a:bodyPr/>
                  <a:lstStyle/>
                  <a:p>
                    <a:fld id="{24243CAE-B4D2-401D-B9BA-E772618E40DC}" type="VALUE">
                      <a:rPr lang="en-US"/>
                      <a:pPr/>
                      <a:t>[VALUE]</a:t>
                    </a:fld>
                    <a:r>
                      <a:rPr lang="en-US"/>
                      <a:t> (95,1%) </a:t>
                    </a:r>
                    <a:r>
                      <a:rPr lang="en-US">
                        <a:latin typeface="Times New Roman" panose="02020603050405020304" pitchFamily="18" charset="0"/>
                        <a:cs typeface="Times New Roman" panose="02020603050405020304" pitchFamily="18" charset="0"/>
                      </a:rPr>
                      <a:t>↑0,6%</a:t>
                    </a:r>
                  </a:p>
                </c:rich>
              </c:tx>
              <c:showLegendKey val="0"/>
              <c:showVal val="1"/>
              <c:showCatName val="0"/>
              <c:showSerName val="0"/>
              <c:showPercent val="0"/>
              <c:showBubbleSize val="0"/>
              <c:extLst>
                <c:ext xmlns:c15="http://schemas.microsoft.com/office/drawing/2012/chart" uri="{CE6537A1-D6FC-4f65-9D91-7224C49458BB}">
                  <c15:layout>
                    <c:manualLayout>
                      <c:w val="0.26176367189025856"/>
                      <c:h val="9.8229166666666673E-2"/>
                    </c:manualLayout>
                  </c15:layout>
                  <c15:dlblFieldTable/>
                  <c15:showDataLabelsRange val="0"/>
                </c:ext>
                <c:ext xmlns:c16="http://schemas.microsoft.com/office/drawing/2014/chart" uri="{C3380CC4-5D6E-409C-BE32-E72D297353CC}">
                  <c16:uniqueId val="{0000000C-951C-4A18-9432-DDDADDA3226A}"/>
                </c:ext>
              </c:extLst>
            </c:dLbl>
            <c:dLbl>
              <c:idx val="7"/>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951C-4A18-9432-DDDADDA3226A}"/>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('maijs,junijs'!$D$3:$J$3,'maijs,junijs'!$P$3:$Q$3)</c:f>
              <c:strCache>
                <c:ptCount val="9"/>
                <c:pt idx="0">
                  <c:v>Veikti maksājumi projektos</c:v>
                </c:pt>
                <c:pt idx="1">
                  <c:v>Noslēgti līgumi, skaits - 423</c:v>
                </c:pt>
                <c:pt idx="2">
                  <c:v>Apstiprināti projekti, skaits - 481</c:v>
                </c:pt>
                <c:pt idx="3">
                  <c:v>Apstīdēti projekti, skaits - 95</c:v>
                </c:pt>
                <c:pt idx="4">
                  <c:v>Noraidīti/atsaukti projekti, skaits - 339</c:v>
                </c:pt>
                <c:pt idx="5">
                  <c:v>Iesniegti projekti, skaits - 1002</c:v>
                </c:pt>
                <c:pt idx="6">
                  <c:v>MK noteikumi, t.sk. par ES fondu "virssaistību" daļu</c:v>
                </c:pt>
                <c:pt idx="7">
                  <c:v>Pieejamais ES fondu finansējums</c:v>
                </c:pt>
                <c:pt idx="8">
                  <c:v>Pieejamais ''virssaistību'' apjoms</c:v>
                </c:pt>
              </c:strCache>
              <c:extLst/>
            </c:strRef>
          </c:cat>
          <c:val>
            <c:numRef>
              <c:f>('maijs,junijs'!$D$5:$J$5,'maijs,junijs'!$P$5)</c:f>
              <c:numCache>
                <c:formatCode>#,##0</c:formatCode>
                <c:ptCount val="8"/>
                <c:pt idx="0">
                  <c:v>344230698.47999996</c:v>
                </c:pt>
                <c:pt idx="1">
                  <c:v>1781482524.76</c:v>
                </c:pt>
                <c:pt idx="2">
                  <c:v>1855215786.9200003</c:v>
                </c:pt>
                <c:pt idx="3">
                  <c:v>66077909.289999999</c:v>
                </c:pt>
                <c:pt idx="4">
                  <c:v>205689019.69999999</c:v>
                </c:pt>
                <c:pt idx="5">
                  <c:v>2785114471.79</c:v>
                </c:pt>
                <c:pt idx="6">
                  <c:v>4200790135</c:v>
                </c:pt>
                <c:pt idx="7">
                  <c:v>4418233214</c:v>
                </c:pt>
              </c:numCache>
              <c:extLst/>
            </c:numRef>
          </c:val>
          <c:extLst>
            <c:ext xmlns:c16="http://schemas.microsoft.com/office/drawing/2014/chart" uri="{C3380CC4-5D6E-409C-BE32-E72D297353CC}">
              <c16:uniqueId val="{00000010-951C-4A18-9432-DDDADDA3226A}"/>
            </c:ext>
          </c:extLst>
        </c:ser>
        <c:ser>
          <c:idx val="2"/>
          <c:order val="2"/>
          <c:tx>
            <c:strRef>
              <c:f>'maijs,junijs'!$Q$3</c:f>
              <c:strCache>
                <c:ptCount val="1"/>
                <c:pt idx="0">
                  <c:v>Pieejamais ''virssaistību'' apjoms</c:v>
                </c:pt>
              </c:strCache>
            </c:strRef>
          </c:tx>
          <c:spPr>
            <a:solidFill>
              <a:srgbClr val="FF0000"/>
            </a:solidFill>
            <a:ln>
              <a:noFill/>
            </a:ln>
            <a:effectLst/>
          </c:spPr>
          <c:invertIfNegative val="0"/>
          <c:dLbls>
            <c:dLbl>
              <c:idx val="7"/>
              <c:layout>
                <c:manualLayout>
                  <c:x val="6.8477982529771622E-2"/>
                  <c:y val="-3.1828336020049981E-17"/>
                </c:manualLayout>
              </c:layout>
              <c:tx>
                <c:rich>
                  <a:bodyPr/>
                  <a:lstStyle/>
                  <a:p>
                    <a:fld id="{2A33641C-09A9-41A5-88F1-67B7E35E633C}" type="VALUE">
                      <a:rPr lang="en-US"/>
                      <a:pPr/>
                      <a:t>[VALUE]</a:t>
                    </a:fld>
                    <a:r>
                      <a:rPr lang="en-US"/>
                      <a:t> (1,5%)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951C-4A18-9432-DDDADDA3226A}"/>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('maijs,junijs'!$D$3:$J$3,'maijs,junijs'!$P$3:$Q$3)</c:f>
              <c:strCache>
                <c:ptCount val="9"/>
                <c:pt idx="0">
                  <c:v>Veikti maksājumi projektos</c:v>
                </c:pt>
                <c:pt idx="1">
                  <c:v>Noslēgti līgumi, skaits - 423</c:v>
                </c:pt>
                <c:pt idx="2">
                  <c:v>Apstiprināti projekti, skaits - 481</c:v>
                </c:pt>
                <c:pt idx="3">
                  <c:v>Apstīdēti projekti, skaits - 95</c:v>
                </c:pt>
                <c:pt idx="4">
                  <c:v>Noraidīti/atsaukti projekti, skaits - 339</c:v>
                </c:pt>
                <c:pt idx="5">
                  <c:v>Iesniegti projekti, skaits - 1002</c:v>
                </c:pt>
                <c:pt idx="6">
                  <c:v>MK noteikumi, t.sk. par ES fondu "virssaistību" daļu</c:v>
                </c:pt>
                <c:pt idx="7">
                  <c:v>Pieejamais ES fondu finansējums</c:v>
                </c:pt>
                <c:pt idx="8">
                  <c:v>Pieejamais ''virssaistību'' apjoms</c:v>
                </c:pt>
              </c:strCache>
              <c:extLst/>
            </c:strRef>
          </c:cat>
          <c:val>
            <c:numRef>
              <c:f>('maijs,junijs'!$D$6:$J$6,'maijs,junijs'!$P$6)</c:f>
              <c:numCache>
                <c:formatCode>General</c:formatCode>
                <c:ptCount val="8"/>
                <c:pt idx="7" formatCode="#,##0">
                  <c:v>66269088</c:v>
                </c:pt>
              </c:numCache>
              <c:extLst/>
            </c:numRef>
          </c:val>
          <c:extLst>
            <c:ext xmlns:c16="http://schemas.microsoft.com/office/drawing/2014/chart" uri="{C3380CC4-5D6E-409C-BE32-E72D297353CC}">
              <c16:uniqueId val="{00000012-951C-4A18-9432-DDDADDA3226A}"/>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('maijs,junijs'!$D$3:$J$3,'maijs,junijs'!$P$3:$Q$3)</c:f>
              <c:strCache>
                <c:ptCount val="9"/>
                <c:pt idx="0">
                  <c:v>Veikti maksājumi projektos</c:v>
                </c:pt>
                <c:pt idx="1">
                  <c:v>Noslēgti līgumi, skaits - 423</c:v>
                </c:pt>
                <c:pt idx="2">
                  <c:v>Apstiprināti projekti, skaits - 481</c:v>
                </c:pt>
                <c:pt idx="3">
                  <c:v>Apstīdēti projekti, skaits - 95</c:v>
                </c:pt>
                <c:pt idx="4">
                  <c:v>Noraidīti/atsaukti projekti, skaits - 339</c:v>
                </c:pt>
                <c:pt idx="5">
                  <c:v>Iesniegti projekti, skaits - 1002</c:v>
                </c:pt>
                <c:pt idx="6">
                  <c:v>MK noteikumi, t.sk. par ES fondu "virssaistību" daļu</c:v>
                </c:pt>
                <c:pt idx="7">
                  <c:v>Pieejamais ES fondu finansējums</c:v>
                </c:pt>
                <c:pt idx="8">
                  <c:v>Pieejamais ''virssaistību'' apjoms</c:v>
                </c:pt>
              </c:strCache>
              <c:extLst/>
            </c:strRef>
          </c:cat>
          <c:val>
            <c:numRef>
              <c:f>'Ikmēneša ziņojumam - lielais gr'!#REF!</c:f>
              <c:numCache>
                <c:formatCode>General</c:formatCode>
                <c:ptCount val="1"/>
                <c:pt idx="0">
                  <c:v>1</c:v>
                </c:pt>
              </c:numCache>
            </c:numRef>
          </c:val>
          <c:extLst>
            <c:ext xmlns:c16="http://schemas.microsoft.com/office/drawing/2014/chart" uri="{C3380CC4-5D6E-409C-BE32-E72D297353CC}">
              <c16:uniqueId val="{00000013-951C-4A18-9432-DDDADDA3226A}"/>
            </c:ext>
          </c:extLst>
        </c:ser>
        <c:ser>
          <c:idx val="4"/>
          <c:order val="4"/>
          <c:tx>
            <c:strRef>
              <c:f>'maijs,junijs'!$C$7</c:f>
              <c:strCache>
                <c:ptCount val="1"/>
                <c:pt idx="0">
                  <c:v>Esošais mēnesis (31.05.)/ %</c:v>
                </c:pt>
              </c:strCache>
            </c:strRef>
          </c:tx>
          <c:spPr>
            <a:solidFill>
              <a:schemeClr val="accent5"/>
            </a:solidFill>
            <a:ln>
              <a:noFill/>
            </a:ln>
            <a:effectLst/>
          </c:spPr>
          <c:invertIfNegative val="0"/>
          <c:cat>
            <c:strRef>
              <c:f>('maijs,junijs'!$D$3:$J$3,'maijs,junijs'!$P$3:$Q$3)</c:f>
              <c:strCache>
                <c:ptCount val="9"/>
                <c:pt idx="0">
                  <c:v>Veikti maksājumi projektos</c:v>
                </c:pt>
                <c:pt idx="1">
                  <c:v>Noslēgti līgumi, skaits - 423</c:v>
                </c:pt>
                <c:pt idx="2">
                  <c:v>Apstiprināti projekti, skaits - 481</c:v>
                </c:pt>
                <c:pt idx="3">
                  <c:v>Apstīdēti projekti, skaits - 95</c:v>
                </c:pt>
                <c:pt idx="4">
                  <c:v>Noraidīti/atsaukti projekti, skaits - 339</c:v>
                </c:pt>
                <c:pt idx="5">
                  <c:v>Iesniegti projekti, skaits - 1002</c:v>
                </c:pt>
                <c:pt idx="6">
                  <c:v>MK noteikumi, t.sk. par ES fondu "virssaistību" daļu</c:v>
                </c:pt>
                <c:pt idx="7">
                  <c:v>Pieejamais ES fondu finansējums</c:v>
                </c:pt>
                <c:pt idx="8">
                  <c:v>Pieejamais ''virssaistību'' apjoms</c:v>
                </c:pt>
              </c:strCache>
              <c:extLst/>
            </c:strRef>
          </c:cat>
          <c:val>
            <c:numRef>
              <c:f>('maijs,junijs'!$D$7:$J$7,'maijs,junijs'!$P$7)</c:f>
              <c:numCache>
                <c:formatCode>0.0%</c:formatCode>
                <c:ptCount val="8"/>
                <c:pt idx="0">
                  <c:v>7.7911391682367617E-2</c:v>
                </c:pt>
                <c:pt idx="1">
                  <c:v>0.40321151882952638</c:v>
                </c:pt>
                <c:pt idx="2">
                  <c:v>0.41989992312796015</c:v>
                </c:pt>
                <c:pt idx="3">
                  <c:v>0.32125151544975739</c:v>
                </c:pt>
                <c:pt idx="4">
                  <c:v>7.3852985858711639E-2</c:v>
                </c:pt>
                <c:pt idx="5">
                  <c:v>0.63036837054342054</c:v>
                </c:pt>
                <c:pt idx="6">
                  <c:v>0.95078506079964475</c:v>
                </c:pt>
              </c:numCache>
              <c:extLst/>
            </c:numRef>
          </c:val>
          <c:extLst>
            <c:ext xmlns:c16="http://schemas.microsoft.com/office/drawing/2014/chart" uri="{C3380CC4-5D6E-409C-BE32-E72D297353CC}">
              <c16:uniqueId val="{00000014-951C-4A18-9432-DDDADDA3226A}"/>
            </c:ext>
          </c:extLst>
        </c:ser>
        <c:ser>
          <c:idx val="5"/>
          <c:order val="5"/>
          <c:tx>
            <c:strRef>
              <c:f>'maijs,junijs'!$C$8</c:f>
              <c:strCache>
                <c:ptCount val="1"/>
              </c:strCache>
            </c:strRef>
          </c:tx>
          <c:spPr>
            <a:solidFill>
              <a:schemeClr val="accent6"/>
            </a:solidFill>
            <a:ln>
              <a:noFill/>
            </a:ln>
            <a:effectLst/>
          </c:spPr>
          <c:invertIfNegative val="0"/>
          <c:cat>
            <c:strRef>
              <c:f>('maijs,junijs'!$D$3:$J$3,'maijs,junijs'!$P$3:$Q$3)</c:f>
              <c:strCache>
                <c:ptCount val="9"/>
                <c:pt idx="0">
                  <c:v>Veikti maksājumi projektos</c:v>
                </c:pt>
                <c:pt idx="1">
                  <c:v>Noslēgti līgumi, skaits - 423</c:v>
                </c:pt>
                <c:pt idx="2">
                  <c:v>Apstiprināti projekti, skaits - 481</c:v>
                </c:pt>
                <c:pt idx="3">
                  <c:v>Apstīdēti projekti, skaits - 95</c:v>
                </c:pt>
                <c:pt idx="4">
                  <c:v>Noraidīti/atsaukti projekti, skaits - 339</c:v>
                </c:pt>
                <c:pt idx="5">
                  <c:v>Iesniegti projekti, skaits - 1002</c:v>
                </c:pt>
                <c:pt idx="6">
                  <c:v>MK noteikumi, t.sk. par ES fondu "virssaistību" daļu</c:v>
                </c:pt>
                <c:pt idx="7">
                  <c:v>Pieejamais ES fondu finansējums</c:v>
                </c:pt>
                <c:pt idx="8">
                  <c:v>Pieejamais ''virssaistību'' apjoms</c:v>
                </c:pt>
              </c:strCache>
              <c:extLst/>
            </c:strRef>
          </c:cat>
          <c:val>
            <c:numRef>
              <c:f>('maijs,junijs'!$D$8:$J$8,'maijs,junijs'!$P$8)</c:f>
              <c:numCache>
                <c:formatCode>General</c:formatCode>
                <c:ptCount val="8"/>
              </c:numCache>
              <c:extLst/>
            </c:numRef>
          </c:val>
          <c:extLst>
            <c:ext xmlns:c16="http://schemas.microsoft.com/office/drawing/2014/chart" uri="{C3380CC4-5D6E-409C-BE32-E72D297353CC}">
              <c16:uniqueId val="{00000015-951C-4A18-9432-DDDADDA3226A}"/>
            </c:ext>
          </c:extLst>
        </c:ser>
        <c:ser>
          <c:idx val="6"/>
          <c:order val="6"/>
          <c:tx>
            <c:strRef>
              <c:f>'maijs,junijs'!$C$9</c:f>
              <c:strCache>
                <c:ptCount val="1"/>
                <c:pt idx="0">
                  <c:v>30.04.2017.</c:v>
                </c:pt>
              </c:strCache>
            </c:strRef>
          </c:tx>
          <c:spPr>
            <a:solidFill>
              <a:schemeClr val="accent1">
                <a:lumMod val="60000"/>
              </a:schemeClr>
            </a:solidFill>
            <a:ln>
              <a:noFill/>
            </a:ln>
            <a:effectLst/>
          </c:spPr>
          <c:invertIfNegative val="0"/>
          <c:cat>
            <c:strRef>
              <c:f>('maijs,junijs'!$D$3:$J$3,'maijs,junijs'!$P$3:$Q$3)</c:f>
              <c:strCache>
                <c:ptCount val="9"/>
                <c:pt idx="0">
                  <c:v>Veikti maksājumi projektos</c:v>
                </c:pt>
                <c:pt idx="1">
                  <c:v>Noslēgti līgumi, skaits - 423</c:v>
                </c:pt>
                <c:pt idx="2">
                  <c:v>Apstiprināti projekti, skaits - 481</c:v>
                </c:pt>
                <c:pt idx="3">
                  <c:v>Apstīdēti projekti, skaits - 95</c:v>
                </c:pt>
                <c:pt idx="4">
                  <c:v>Noraidīti/atsaukti projekti, skaits - 339</c:v>
                </c:pt>
                <c:pt idx="5">
                  <c:v>Iesniegti projekti, skaits - 1002</c:v>
                </c:pt>
                <c:pt idx="6">
                  <c:v>MK noteikumi, t.sk. par ES fondu "virssaistību" daļu</c:v>
                </c:pt>
                <c:pt idx="7">
                  <c:v>Pieejamais ES fondu finansējums</c:v>
                </c:pt>
                <c:pt idx="8">
                  <c:v>Pieejamais ''virssaistību'' apjoms</c:v>
                </c:pt>
              </c:strCache>
              <c:extLst/>
            </c:strRef>
          </c:cat>
          <c:val>
            <c:numRef>
              <c:f>('maijs,junijs'!$D$9:$J$9,'maijs,junijs'!$P$9)</c:f>
              <c:numCache>
                <c:formatCode>0.0%</c:formatCode>
                <c:ptCount val="8"/>
                <c:pt idx="0">
                  <c:v>7.0859796363388614E-2</c:v>
                </c:pt>
                <c:pt idx="1">
                  <c:v>0.37273009741354951</c:v>
                </c:pt>
                <c:pt idx="2">
                  <c:v>0.41287702758870254</c:v>
                </c:pt>
                <c:pt idx="3">
                  <c:v>0.3396695655072024</c:v>
                </c:pt>
                <c:pt idx="4">
                  <c:v>7.3765929764136082E-2</c:v>
                </c:pt>
                <c:pt idx="5">
                  <c:v>0.59392089804021786</c:v>
                </c:pt>
                <c:pt idx="6">
                  <c:v>0.94452240632673856</c:v>
                </c:pt>
                <c:pt idx="7">
                  <c:v>1.4999001815932661E-2</c:v>
                </c:pt>
              </c:numCache>
              <c:extLst/>
            </c:numRef>
          </c:val>
          <c:extLst>
            <c:ext xmlns:c16="http://schemas.microsoft.com/office/drawing/2014/chart" uri="{C3380CC4-5D6E-409C-BE32-E72D297353CC}">
              <c16:uniqueId val="{00000016-951C-4A18-9432-DDDADDA3226A}"/>
            </c:ext>
          </c:extLst>
        </c:ser>
        <c:ser>
          <c:idx val="7"/>
          <c:order val="7"/>
          <c:tx>
            <c:strRef>
              <c:f>'maijs,junijs'!$O$3</c:f>
              <c:strCache>
                <c:ptCount val="1"/>
                <c:pt idx="0">
                  <c:v>MK noteikumi, t.sk. par ES fondu "virssaistību" daļu</c:v>
                </c:pt>
              </c:strCache>
            </c:strRef>
          </c:tx>
          <c:spPr>
            <a:solidFill>
              <a:schemeClr val="accent2">
                <a:lumMod val="60000"/>
              </a:schemeClr>
            </a:solidFill>
            <a:ln>
              <a:noFill/>
            </a:ln>
            <a:effectLst/>
          </c:spPr>
          <c:invertIfNegative val="0"/>
          <c:val>
            <c:numRef>
              <c:f>'maijs,junijs'!$O$5</c:f>
            </c:numRef>
          </c:val>
          <c:extLst>
            <c:ext xmlns:c16="http://schemas.microsoft.com/office/drawing/2014/chart" uri="{C3380CC4-5D6E-409C-BE32-E72D297353CC}">
              <c16:uniqueId val="{00000017-951C-4A18-9432-DDDADDA3226A}"/>
            </c:ext>
          </c:extLst>
        </c:ser>
        <c:dLbls>
          <c:showLegendKey val="0"/>
          <c:showVal val="0"/>
          <c:showCatName val="0"/>
          <c:showSerName val="0"/>
          <c:showPercent val="0"/>
          <c:showBubbleSize val="0"/>
        </c:dLbls>
        <c:gapWidth val="150"/>
        <c:overlap val="100"/>
        <c:axId val="277962384"/>
        <c:axId val="277962776"/>
      </c:barChart>
      <c:catAx>
        <c:axId val="27796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77962776"/>
        <c:crosses val="autoZero"/>
        <c:auto val="1"/>
        <c:lblAlgn val="ctr"/>
        <c:lblOffset val="100"/>
        <c:noMultiLvlLbl val="0"/>
      </c:catAx>
      <c:valAx>
        <c:axId val="277962776"/>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7796238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Maksājumi_nozare!$G$3</c:f>
              <c:strCache>
                <c:ptCount val="1"/>
                <c:pt idx="0">
                  <c:v>02.02.2017. maksājumu plāns 2017.gadam, kumulatīvi, milj. euro</c:v>
                </c:pt>
              </c:strCache>
            </c:strRef>
          </c:tx>
          <c:spPr>
            <a:ln w="28575" cap="rnd">
              <a:solidFill>
                <a:srgbClr val="C00000"/>
              </a:solidFill>
              <a:round/>
            </a:ln>
            <a:effectLst/>
          </c:spPr>
          <c:marker>
            <c:symbol val="none"/>
          </c:marker>
          <c:dLbls>
            <c:dLbl>
              <c:idx val="0"/>
              <c:layout>
                <c:manualLayout>
                  <c:x val="-2.6672564414464247E-2"/>
                  <c:y val="-4.7856253617844596E-2"/>
                </c:manualLayout>
              </c:layout>
              <c:tx>
                <c:rich>
                  <a:bodyPr/>
                  <a:lstStyle/>
                  <a:p>
                    <a:fld id="{EC4ED1B6-9366-46E1-A20D-4064C0D368FE}" type="VALUE">
                      <a:rPr lang="en-US"/>
                      <a:pPr/>
                      <a:t>[VALUE]</a:t>
                    </a:fld>
                    <a:endParaRPr lang="lv-LV"/>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E5B9-42A6-9087-9236D50ADB24}"/>
                </c:ext>
              </c:extLst>
            </c:dLbl>
            <c:dLbl>
              <c:idx val="1"/>
              <c:layout>
                <c:manualLayout>
                  <c:x val="-2.4460908990379299E-2"/>
                  <c:y val="-5.39051550595011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5B9-42A6-9087-9236D50ADB24}"/>
                </c:ext>
              </c:extLst>
            </c:dLbl>
            <c:spPr>
              <a:noFill/>
              <a:ln>
                <a:noFill/>
              </a:ln>
              <a:effectLst/>
            </c:spPr>
            <c:txPr>
              <a:bodyPr rot="0" spcFirstLastPara="1" vertOverflow="ellipsis" vert="horz" wrap="square" anchor="ctr" anchorCtr="1"/>
              <a:lstStyle/>
              <a:p>
                <a:pPr>
                  <a:defRPr sz="11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Maksājumi_nozare!$H$3:$S$3</c:f>
              <c:numCache>
                <c:formatCode>#,##0</c:formatCode>
                <c:ptCount val="12"/>
                <c:pt idx="0">
                  <c:v>21006825.32</c:v>
                </c:pt>
                <c:pt idx="1">
                  <c:v>36710583.60047432</c:v>
                </c:pt>
                <c:pt idx="2">
                  <c:v>60312620.56062109</c:v>
                </c:pt>
                <c:pt idx="3">
                  <c:v>75786566.037745759</c:v>
                </c:pt>
                <c:pt idx="4">
                  <c:v>102467589.03988157</c:v>
                </c:pt>
                <c:pt idx="5">
                  <c:v>138707583.76979274</c:v>
                </c:pt>
                <c:pt idx="6">
                  <c:v>163512483.14626953</c:v>
                </c:pt>
                <c:pt idx="7">
                  <c:v>207800114.46574247</c:v>
                </c:pt>
                <c:pt idx="8">
                  <c:v>257462013.94002852</c:v>
                </c:pt>
                <c:pt idx="9">
                  <c:v>289271057.25654769</c:v>
                </c:pt>
                <c:pt idx="10">
                  <c:v>351636291.78088665</c:v>
                </c:pt>
                <c:pt idx="11">
                  <c:v>435614585.53199911</c:v>
                </c:pt>
              </c:numCache>
            </c:numRef>
          </c:val>
          <c:smooth val="0"/>
          <c:extLst>
            <c:ext xmlns:c16="http://schemas.microsoft.com/office/drawing/2014/chart" uri="{C3380CC4-5D6E-409C-BE32-E72D297353CC}">
              <c16:uniqueId val="{00000000-D84A-4DE5-8301-C8244F8F28E2}"/>
            </c:ext>
          </c:extLst>
        </c:ser>
        <c:ser>
          <c:idx val="1"/>
          <c:order val="1"/>
          <c:tx>
            <c:strRef>
              <c:f>Maksājumi_nozare!$G$4</c:f>
              <c:strCache>
                <c:ptCount val="1"/>
                <c:pt idx="0">
                  <c:v>01.06.2017. maksājumu plāna 2017.gadā izpilde, kumulatīvi, milj. euro</c:v>
                </c:pt>
              </c:strCache>
            </c:strRef>
          </c:tx>
          <c:spPr>
            <a:ln w="25400" cap="rnd">
              <a:solidFill>
                <a:srgbClr val="4472C4"/>
              </a:solidFill>
              <a:prstDash val="sysDash"/>
              <a:round/>
            </a:ln>
            <a:effectLst/>
          </c:spPr>
          <c:marker>
            <c:symbol val="circle"/>
            <c:size val="5"/>
            <c:spPr>
              <a:solidFill>
                <a:srgbClr val="4472C4"/>
              </a:solidFill>
              <a:ln w="9525">
                <a:solidFill>
                  <a:srgbClr val="4472C4"/>
                </a:solidFill>
              </a:ln>
              <a:effectLst/>
            </c:spPr>
          </c:marker>
          <c:dLbls>
            <c:dLbl>
              <c:idx val="0"/>
              <c:layout>
                <c:manualLayout>
                  <c:x val="-2.2116554240849275E-2"/>
                  <c:y val="3.62537764350453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FC3-4B0D-9E61-C4C657430472}"/>
                </c:ext>
              </c:extLst>
            </c:dLbl>
            <c:dLbl>
              <c:idx val="1"/>
              <c:layout>
                <c:manualLayout>
                  <c:x val="-2.2116554240849295E-2"/>
                  <c:y val="4.02819738167170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FC3-4B0D-9E61-C4C657430472}"/>
                </c:ext>
              </c:extLst>
            </c:dLbl>
            <c:dLbl>
              <c:idx val="2"/>
              <c:layout>
                <c:manualLayout>
                  <c:x val="-3.1175059952038415E-2"/>
                  <c:y val="4.23280423280422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73D-42F3-9930-1D244E90BDDA}"/>
                </c:ext>
              </c:extLst>
            </c:dLbl>
            <c:dLbl>
              <c:idx val="3"/>
              <c:layout>
                <c:manualLayout>
                  <c:x val="-3.0803080308030802E-2"/>
                  <c:y val="4.7619047619047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E9F-4701-A232-B13E8134D62A}"/>
                </c:ext>
              </c:extLst>
            </c:dLbl>
            <c:dLbl>
              <c:idx val="4"/>
              <c:layout>
                <c:manualLayout>
                  <c:x val="-3.3003300330033E-2"/>
                  <c:y val="5.29100529100529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275-401D-BDDA-21E0A22B9988}"/>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Maksājumi_nozare!$H$4:$S$4</c:f>
              <c:numCache>
                <c:formatCode>#,##0</c:formatCode>
                <c:ptCount val="12"/>
                <c:pt idx="0">
                  <c:v>21006825.32</c:v>
                </c:pt>
                <c:pt idx="1">
                  <c:v>40619639.560000002</c:v>
                </c:pt>
                <c:pt idx="2">
                  <c:v>59687997.010000005</c:v>
                </c:pt>
                <c:pt idx="3">
                  <c:v>71661962.220000029</c:v>
                </c:pt>
                <c:pt idx="4">
                  <c:v>102817554.87000003</c:v>
                </c:pt>
              </c:numCache>
            </c:numRef>
          </c:val>
          <c:smooth val="0"/>
          <c:extLst>
            <c:ext xmlns:c16="http://schemas.microsoft.com/office/drawing/2014/chart" uri="{C3380CC4-5D6E-409C-BE32-E72D297353CC}">
              <c16:uniqueId val="{00000003-E5B9-42A6-9087-9236D50ADB24}"/>
            </c:ext>
          </c:extLst>
        </c:ser>
        <c:dLbls>
          <c:showLegendKey val="0"/>
          <c:showVal val="0"/>
          <c:showCatName val="0"/>
          <c:showSerName val="0"/>
          <c:showPercent val="0"/>
          <c:showBubbleSize val="0"/>
        </c:dLbls>
        <c:smooth val="0"/>
        <c:axId val="277963560"/>
        <c:axId val="277963952"/>
      </c:lineChart>
      <c:catAx>
        <c:axId val="277963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77963952"/>
        <c:crosses val="autoZero"/>
        <c:auto val="1"/>
        <c:lblAlgn val="ctr"/>
        <c:lblOffset val="100"/>
        <c:noMultiLvlLbl val="0"/>
      </c:catAx>
      <c:valAx>
        <c:axId val="277963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77963560"/>
        <c:crosses val="autoZero"/>
        <c:crossBetween val="between"/>
        <c:dispUnits>
          <c:builtInUnit val="million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0.07441</cdr:x>
      <cdr:y>0.67674</cdr:y>
    </cdr:from>
    <cdr:to>
      <cdr:x>0.73807</cdr:x>
      <cdr:y>0.76007</cdr:y>
    </cdr:to>
    <cdr:sp macro="" textlink="">
      <cdr:nvSpPr>
        <cdr:cNvPr id="2" name="Rounded Rectangle 1"/>
        <cdr:cNvSpPr/>
      </cdr:nvSpPr>
      <cdr:spPr>
        <a:xfrm xmlns:a="http://schemas.openxmlformats.org/drawingml/2006/main">
          <a:off x="428625" y="2475230"/>
          <a:ext cx="3822700" cy="304800"/>
        </a:xfrm>
        <a:prstGeom xmlns:a="http://schemas.openxmlformats.org/drawingml/2006/main" prst="roundRect">
          <a:avLst/>
        </a:prstGeom>
        <a:noFill xmlns:a="http://schemas.openxmlformats.org/drawingml/2006/main"/>
        <a:ln xmlns:a="http://schemas.openxmlformats.org/drawingml/2006/main" w="28575">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lv-LV"/>
        </a:p>
      </cdr:txBody>
    </cdr:sp>
  </cdr:relSizeAnchor>
  <cdr:relSizeAnchor xmlns:cdr="http://schemas.openxmlformats.org/drawingml/2006/chartDrawing">
    <cdr:from>
      <cdr:x>0.72594</cdr:x>
      <cdr:y>0.64204</cdr:y>
    </cdr:from>
    <cdr:to>
      <cdr:x>1</cdr:x>
      <cdr:y>0.86979</cdr:y>
    </cdr:to>
    <cdr:sp macro="" textlink="">
      <cdr:nvSpPr>
        <cdr:cNvPr id="3" name="Rectangle 2"/>
        <cdr:cNvSpPr/>
      </cdr:nvSpPr>
      <cdr:spPr>
        <a:xfrm xmlns:a="http://schemas.openxmlformats.org/drawingml/2006/main">
          <a:off x="4181476" y="2348327"/>
          <a:ext cx="1578609" cy="833023"/>
        </a:xfrm>
        <a:prstGeom xmlns:a="http://schemas.openxmlformats.org/drawingml/2006/main" prst="rect">
          <a:avLst/>
        </a:prstGeom>
      </cdr:spPr>
      <cdr:txBody>
        <a:bodyPr xmlns:a="http://schemas.openxmlformats.org/drawingml/2006/main" wrap="square">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300" b="1" u="sng" dirty="0" smtClean="0"/>
            <a:t>Jūnijā uz 26.06.17.:</a:t>
          </a:r>
          <a:endParaRPr lang="lv-LV" sz="1300" b="1" u="sng" dirty="0"/>
        </a:p>
        <a:p xmlns:a="http://schemas.openxmlformats.org/drawingml/2006/main">
          <a:r>
            <a:rPr lang="lv-LV" sz="1300" dirty="0"/>
            <a:t>Apstiprināti </a:t>
          </a:r>
          <a:r>
            <a:rPr lang="lv-LV" sz="1300" b="1" dirty="0" smtClean="0">
              <a:solidFill>
                <a:srgbClr val="00B050"/>
              </a:solidFill>
            </a:rPr>
            <a:t>+70</a:t>
          </a:r>
          <a:r>
            <a:rPr lang="lv-LV" sz="1300" dirty="0" smtClean="0"/>
            <a:t>;</a:t>
          </a:r>
          <a:endParaRPr lang="lv-LV" sz="1300" dirty="0"/>
        </a:p>
        <a:p xmlns:a="http://schemas.openxmlformats.org/drawingml/2006/main">
          <a:r>
            <a:rPr lang="lv-LV" sz="1300" dirty="0"/>
            <a:t>Līgumi </a:t>
          </a:r>
          <a:r>
            <a:rPr lang="lv-LV" sz="1300" b="1" dirty="0" smtClean="0">
              <a:solidFill>
                <a:srgbClr val="00B050"/>
              </a:solidFill>
            </a:rPr>
            <a:t>+50</a:t>
          </a:r>
          <a:r>
            <a:rPr lang="lv-LV" sz="1300" dirty="0" smtClean="0"/>
            <a:t>;</a:t>
          </a:r>
          <a:endParaRPr lang="lv-LV" sz="1300" dirty="0"/>
        </a:p>
        <a:p xmlns:a="http://schemas.openxmlformats.org/drawingml/2006/main">
          <a:r>
            <a:rPr lang="lv-LV" sz="1300" dirty="0"/>
            <a:t>Maksājumi </a:t>
          </a:r>
          <a:r>
            <a:rPr lang="lv-LV" sz="1300" b="1" dirty="0" smtClean="0">
              <a:solidFill>
                <a:srgbClr val="00B050"/>
              </a:solidFill>
            </a:rPr>
            <a:t>+20</a:t>
          </a:r>
          <a:endParaRPr lang="lv-LV" sz="13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705E-6A25-4C7A-92E8-5BFBA96D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6277</TotalTime>
  <Pages>9</Pages>
  <Words>11806</Words>
  <Characters>6730</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Ieva Ziepniece</dc:creator>
  <cp:keywords/>
  <dc:description>67095614, ieva.ziepniece@fm.gov.lv</dc:description>
  <cp:lastModifiedBy>Ieva Ziepniece</cp:lastModifiedBy>
  <cp:revision>949</cp:revision>
  <cp:lastPrinted>2017-06-26T07:50:00Z</cp:lastPrinted>
  <dcterms:created xsi:type="dcterms:W3CDTF">2017-02-20T11:55:00Z</dcterms:created>
  <dcterms:modified xsi:type="dcterms:W3CDTF">2017-06-28T05:53:00Z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