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AB" w:rsidRPr="00EE42AB" w:rsidRDefault="00EE42AB" w:rsidP="00EE42AB">
      <w:pPr>
        <w:spacing w:after="0" w:line="240" w:lineRule="auto"/>
        <w:jc w:val="center"/>
        <w:rPr>
          <w:rFonts w:ascii="Times New Roman" w:eastAsia="Times New Roman" w:hAnsi="Times New Roman" w:cs="Times New Roman"/>
          <w:b/>
          <w:sz w:val="28"/>
          <w:szCs w:val="28"/>
          <w:lang w:eastAsia="lv-LV"/>
        </w:rPr>
      </w:pPr>
      <w:r w:rsidRPr="00EE42AB">
        <w:rPr>
          <w:rFonts w:ascii="Times New Roman" w:eastAsia="Times New Roman" w:hAnsi="Times New Roman" w:cs="Times New Roman"/>
          <w:b/>
          <w:sz w:val="28"/>
          <w:szCs w:val="28"/>
          <w:lang w:eastAsia="lv-LV"/>
        </w:rPr>
        <w:t xml:space="preserve">Ministru kabineta noteikumu projekta „Noteikumi par civilās aizsardzības plānu struktūru un tajos iekļaujamo informāciju” sākotnējās ietekmes novērtējuma </w:t>
      </w:r>
      <w:smartTag w:uri="schemas-tilde-lv/tildestengine" w:element="veidnes">
        <w:smartTagPr>
          <w:attr w:name="text" w:val="ziņojums"/>
          <w:attr w:name="baseform" w:val="ziņojums"/>
          <w:attr w:name="id" w:val="-1"/>
        </w:smartTagPr>
        <w:r w:rsidRPr="00EE42AB">
          <w:rPr>
            <w:rFonts w:ascii="Times New Roman" w:eastAsia="Times New Roman" w:hAnsi="Times New Roman" w:cs="Times New Roman"/>
            <w:b/>
            <w:sz w:val="28"/>
            <w:szCs w:val="28"/>
            <w:lang w:eastAsia="lv-LV"/>
          </w:rPr>
          <w:t>ziņojums</w:t>
        </w:r>
      </w:smartTag>
      <w:r w:rsidRPr="00EE42AB">
        <w:rPr>
          <w:rFonts w:ascii="Times New Roman" w:eastAsia="Times New Roman" w:hAnsi="Times New Roman" w:cs="Times New Roman"/>
          <w:b/>
          <w:sz w:val="28"/>
          <w:szCs w:val="28"/>
          <w:lang w:eastAsia="lv-LV"/>
        </w:rPr>
        <w:t xml:space="preserve"> (anotācija)</w:t>
      </w:r>
    </w:p>
    <w:p w:rsidR="00EE42AB" w:rsidRPr="00EE42AB" w:rsidRDefault="00EE42AB" w:rsidP="00EE42AB">
      <w:pPr>
        <w:spacing w:after="0" w:line="240" w:lineRule="auto"/>
        <w:jc w:val="center"/>
        <w:outlineLvl w:val="0"/>
        <w:rPr>
          <w:rFonts w:ascii="Times New Roman" w:eastAsia="Times New Roman" w:hAnsi="Times New Roman" w:cs="Times New Roman"/>
          <w:b/>
          <w:sz w:val="28"/>
          <w:szCs w:val="28"/>
          <w:lang w:eastAsia="lv-LV"/>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881"/>
        <w:gridCol w:w="656"/>
        <w:gridCol w:w="154"/>
        <w:gridCol w:w="1621"/>
        <w:gridCol w:w="1621"/>
        <w:gridCol w:w="810"/>
        <w:gridCol w:w="2432"/>
      </w:tblGrid>
      <w:tr w:rsidR="00EE42AB" w:rsidRPr="00EE42AB" w:rsidTr="00B20CF1">
        <w:trPr>
          <w:jc w:val="center"/>
        </w:trPr>
        <w:tc>
          <w:tcPr>
            <w:tcW w:w="9725" w:type="dxa"/>
            <w:gridSpan w:val="8"/>
            <w:vAlign w:val="center"/>
          </w:tcPr>
          <w:p w:rsidR="00EE42AB" w:rsidRPr="00EE42AB" w:rsidRDefault="00EE42AB" w:rsidP="00EE42AB">
            <w:pPr>
              <w:spacing w:after="0" w:line="240" w:lineRule="auto"/>
              <w:jc w:val="center"/>
              <w:rPr>
                <w:rFonts w:ascii="Times New Roman" w:eastAsia="Times New Roman" w:hAnsi="Times New Roman" w:cs="Times New Roman"/>
                <w:b/>
                <w:bCs/>
                <w:sz w:val="26"/>
                <w:szCs w:val="26"/>
                <w:lang w:eastAsia="lv-LV"/>
              </w:rPr>
            </w:pPr>
            <w:r w:rsidRPr="00EE42AB">
              <w:rPr>
                <w:rFonts w:ascii="Times New Roman" w:eastAsia="Times New Roman" w:hAnsi="Times New Roman" w:cs="Times New Roman"/>
                <w:b/>
                <w:bCs/>
                <w:sz w:val="26"/>
                <w:szCs w:val="26"/>
                <w:lang w:eastAsia="lv-LV"/>
              </w:rPr>
              <w:t>I. Tiesību akta projekta izstrādes nepieciešamība</w:t>
            </w:r>
          </w:p>
        </w:tc>
      </w:tr>
      <w:tr w:rsidR="00EE42AB" w:rsidRPr="00EE42AB" w:rsidTr="00B20CF1">
        <w:trPr>
          <w:trHeight w:val="630"/>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ind w:hanging="10"/>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Pamatojums</w:t>
            </w:r>
          </w:p>
        </w:tc>
        <w:tc>
          <w:tcPr>
            <w:tcW w:w="6638" w:type="dxa"/>
            <w:gridSpan w:val="5"/>
          </w:tcPr>
          <w:p w:rsidR="00EE42AB" w:rsidRPr="00EE42AB" w:rsidRDefault="00EE42AB" w:rsidP="00EE42AB">
            <w:pPr>
              <w:spacing w:after="0" w:line="240" w:lineRule="auto"/>
              <w:ind w:firstLine="382"/>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Civilās aizsardzības un katastrofas pārvaldīšanas likuma 15.panta otrā daļa. </w:t>
            </w:r>
          </w:p>
        </w:tc>
      </w:tr>
      <w:tr w:rsidR="00EE42AB" w:rsidRPr="00EE42AB" w:rsidTr="00B20CF1">
        <w:trPr>
          <w:trHeight w:val="472"/>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tabs>
                <w:tab w:val="left" w:pos="170"/>
              </w:tabs>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638" w:type="dxa"/>
            <w:gridSpan w:val="5"/>
          </w:tcPr>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Ņemot vērā Civilās aizsardzības un katastrofas pārvaldīšanas likuma deleģējumu tika izstrādāts</w:t>
            </w:r>
            <w:r w:rsidRPr="00EE42AB">
              <w:rPr>
                <w:rFonts w:ascii="Times New Roman" w:eastAsia="Times New Roman" w:hAnsi="Times New Roman" w:cs="Times New Roman"/>
                <w:b/>
                <w:sz w:val="28"/>
                <w:szCs w:val="28"/>
                <w:lang w:eastAsia="lv-LV"/>
              </w:rPr>
              <w:t xml:space="preserve"> </w:t>
            </w:r>
            <w:r w:rsidRPr="00EE42AB">
              <w:rPr>
                <w:rFonts w:ascii="Times New Roman" w:eastAsia="Times New Roman" w:hAnsi="Times New Roman" w:cs="Times New Roman"/>
                <w:sz w:val="26"/>
                <w:szCs w:val="26"/>
                <w:lang w:eastAsia="lv-LV"/>
              </w:rPr>
              <w:t>Ministru kabineta noteikumu projekts „Noteikumi par civilās aizsardzības plānu struktūru un tajos iekļaujamo informāciju”  (turpmāk – projekts).</w:t>
            </w:r>
          </w:p>
          <w:p w:rsidR="00EE42AB" w:rsidRPr="00EE42AB" w:rsidRDefault="00EE42AB" w:rsidP="00EE42AB">
            <w:pPr>
              <w:spacing w:after="0" w:line="240" w:lineRule="auto"/>
              <w:ind w:firstLine="420"/>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Uz doto brīdi Ministru kabineta 2007.gada 26.jūnija noteikumi Nr.423 “</w:t>
            </w:r>
            <w:r w:rsidRPr="00EE42AB">
              <w:rPr>
                <w:rFonts w:ascii="Times New Roman" w:eastAsia="Times New Roman" w:hAnsi="Times New Roman" w:cs="Times New Roman"/>
                <w:bCs/>
                <w:sz w:val="26"/>
                <w:szCs w:val="26"/>
                <w:shd w:val="clear" w:color="auto" w:fill="FFFFFF"/>
                <w:lang w:eastAsia="lv-LV"/>
              </w:rPr>
              <w:t>Pašvaldības, komersanta un iestādes civilās aizsardzības plāna struktūra, tā izstrādāšanas un apstiprināšanas kārtība</w:t>
            </w:r>
            <w:r w:rsidRPr="00EE42AB">
              <w:rPr>
                <w:rFonts w:ascii="Times New Roman" w:eastAsia="Times New Roman" w:hAnsi="Times New Roman" w:cs="Times New Roman"/>
                <w:sz w:val="26"/>
                <w:szCs w:val="26"/>
                <w:lang w:eastAsia="lv-LV"/>
              </w:rPr>
              <w:t xml:space="preserve">” nosaka pašvaldību civilās aizsardzības plānu, objektu un paaugstinātas bīstamības objektu civilās aizsardzības plānu struktūru un tajos iekļaujamo informāciju.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Vienlaikus ar Ministru kabineta 2011.gada </w:t>
            </w:r>
            <w:r w:rsidRPr="00EE42AB">
              <w:rPr>
                <w:rFonts w:ascii="Times New Roman" w:eastAsia="Times New Roman" w:hAnsi="Times New Roman" w:cs="Times New Roman"/>
                <w:sz w:val="28"/>
                <w:szCs w:val="24"/>
                <w:lang w:eastAsia="lv-LV"/>
              </w:rPr>
              <w:t>9</w:t>
            </w:r>
            <w:r w:rsidRPr="00EE42AB">
              <w:rPr>
                <w:rFonts w:ascii="Times New Roman" w:eastAsia="Times New Roman" w:hAnsi="Times New Roman" w:cs="Times New Roman"/>
                <w:sz w:val="26"/>
                <w:szCs w:val="26"/>
                <w:lang w:eastAsia="lv-LV"/>
              </w:rPr>
              <w:t xml:space="preserve">.augusta rīkojumu Nr.369 „Par Valsts civilās aizsardzības plānu” ir apstiprināts Valsts civilās aizsardzības plāns, kas katru gadu tiek precizēts iesniedzot Ministru kabinetā attiecīgo Ministru kabineta rīkojuma projektu par grozījumiem valsts civilās aizsardzības plānā. Ar valsts civilās aizsardzības plāna redakciju var iepazīties izmantojot šo hipersaiti: </w:t>
            </w:r>
            <w:hyperlink r:id="rId4" w:history="1">
              <w:r w:rsidRPr="00EE42AB">
                <w:rPr>
                  <w:rFonts w:ascii="Times New Roman" w:eastAsia="Times New Roman" w:hAnsi="Times New Roman" w:cs="Times New Roman"/>
                  <w:color w:val="0000FF"/>
                  <w:sz w:val="26"/>
                  <w:szCs w:val="26"/>
                  <w:u w:val="single"/>
                  <w:lang w:eastAsia="lv-LV"/>
                </w:rPr>
                <w:t>http://polsis.mk.gov.lv/documents/3736</w:t>
              </w:r>
            </w:hyperlink>
            <w:r w:rsidRPr="00EE42AB">
              <w:rPr>
                <w:rFonts w:ascii="Times New Roman" w:eastAsia="Times New Roman" w:hAnsi="Times New Roman" w:cs="Times New Roman"/>
                <w:sz w:val="26"/>
                <w:szCs w:val="26"/>
                <w:lang w:eastAsia="lv-LV"/>
              </w:rPr>
              <w:t xml:space="preserve">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Projekts paredz, ka valsts civilās aizsardzības plānā tiks iekļauta informācija par risku novērtēšanu, kā arī veicamajiem preventīvajiem, gatavības, reaģēšanas un seku likvidēšanas pasākumiem, kas tiks sagatavota pamatojoties uz ministriju iesniegto informāciju Valsts ugunsdzēsības un glābšanas dienestam izpildot katastrofu pārvaldīšanas koordinēšanas uzdevumus (</w:t>
            </w:r>
            <w:r w:rsidRPr="00EE42AB">
              <w:rPr>
                <w:rFonts w:ascii="Times New Roman" w:eastAsia="Times New Roman" w:hAnsi="Times New Roman" w:cs="Times New Roman"/>
                <w:i/>
                <w:sz w:val="26"/>
                <w:szCs w:val="26"/>
                <w:lang w:eastAsia="lv-LV"/>
              </w:rPr>
              <w:t>Civilās aizsardzības un katastrofas pārvaldīšanas likuma (turpmāk – likums) 6.panta otrā daļa</w:t>
            </w:r>
            <w:r w:rsidRPr="00EE42AB">
              <w:rPr>
                <w:rFonts w:ascii="Times New Roman" w:eastAsia="Times New Roman" w:hAnsi="Times New Roman" w:cs="Times New Roman"/>
                <w:sz w:val="26"/>
                <w:szCs w:val="26"/>
                <w:lang w:eastAsia="lv-LV"/>
              </w:rPr>
              <w:t xml:space="preserve">).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 Reaģēšanas un seku likvidēšanas darbu vadītājs atkarībā no katastrofas veida tiks noteikts valsts civilās aizsardzības plānā un sadarbības teritorijas civilās aizsardzības plānos (</w:t>
            </w:r>
            <w:r w:rsidRPr="00EE42AB">
              <w:rPr>
                <w:rFonts w:ascii="Times New Roman" w:eastAsia="Times New Roman" w:hAnsi="Times New Roman" w:cs="Times New Roman"/>
                <w:i/>
                <w:sz w:val="26"/>
                <w:szCs w:val="26"/>
                <w:lang w:eastAsia="lv-LV"/>
              </w:rPr>
              <w:t>likuma 6.panta trešā daļa</w:t>
            </w:r>
            <w:r w:rsidRPr="00EE42AB">
              <w:rPr>
                <w:rFonts w:ascii="Times New Roman" w:eastAsia="Times New Roman" w:hAnsi="Times New Roman" w:cs="Times New Roman"/>
                <w:sz w:val="26"/>
                <w:szCs w:val="26"/>
                <w:lang w:eastAsia="lv-LV"/>
              </w:rPr>
              <w:t xml:space="preserve">). Valsts civilās aizsardzības plānā būs atsevišķs pielikums kur būs norādīti visi reaģēšanas un seku likvidēšanas darbu vadītāji. Šāds princips ir noteikts, jo dažādi tiesību akti jau nosaka, kura institūcija vada un veic attiecīgos pasākumus, piemēram, Jūrlietu pārvaldes un jūras drošības likuma 7.panta pirmā daļa nosaka, ka cilvēku glābšanu un meklēšanu jūrā, kā arī avāriju seku likvidēšanu veic Nacionālo bruņoto spēku Krasta apsardzes dienests, ugunsgrēku dzēšanu un glābšanas darbus atbilstoši  Ministru kabineta 2010.gada 27.aprīļa noteikumu Nr.398 “Valsts ugunsdzēsības un glābšanas dienesta nolikums” 4.4. un 4.5.apakšpunktā noteiktajam veic un </w:t>
            </w:r>
            <w:r w:rsidRPr="00EE42AB">
              <w:rPr>
                <w:rFonts w:ascii="Times New Roman" w:eastAsia="Times New Roman" w:hAnsi="Times New Roman" w:cs="Times New Roman"/>
                <w:sz w:val="26"/>
                <w:szCs w:val="26"/>
                <w:lang w:eastAsia="lv-LV"/>
              </w:rPr>
              <w:lastRenderedPageBreak/>
              <w:t>vada Valsts ugunsdzēsības un glābšanas dienests,  Ministru kabineta 2013.gada 30.jūlijā noteikumu Nr.449 “Valsts meža dienesta nolikums” 3.3.apakšpunkts nosaka, ka Valts meža dienests īsteno meža ugunsdzēsību. Ņemot vērā minēto plānošanas dokumentā (valsts civilās aizsardzības plānā un sadarbības teritorijas civilās aizsardzības plānā) šī informācija ir jāapkopo, lai tā būtu pieejama vienkopus.</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Vienlaikus valsts civilās aizsardzības plānā tiks iekļauta informācija par valsts agrīnās brīdināšanas sistēmu, tās aktivizēšanu, tās savstarpējo darbību ar agrīnās brīdināšanas sistēmām, kas ir izveidotas valstī, kā arī informācijas apmaiņas platformām (CECIS, CoOL, ECURIE u.c.), kuras izmanto katastrofas vai katastrofas draudu gadījumā.</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Savukārt sadarbības teritorijas civilās aizsardzības plānā būs jānorāda sadarbības teritorijā iespējamie riski, kas ir nozīmīgi, vidēji, augsti un ļoti augsti, ņemot vērā valsts civilās aizsardzības plānā norādīto informāciju, riski, kas attiecas uz pašvaldību kompetenci, kā arī preventīvie, gatavības, reaģēšanas un seku likvidēšanas pasākumi. Projekts arī paredz, ka sadarbības teritorijas civilās aizsardzības plānam nevajadzētu dublēt valsts civilās aizsardzības plānu, bet, ja nepieciešams attiecīgam riskam nosakot detalizētākus pasākumus, kā arī iespējamo evakuācijas kārtību, ņemot vērā attiecīgā apdraudējuma iespējamās sekas.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Vienlaikus projektā ir iekļautas Eiropas Parlamenta un Padomes 2006. gada 15. marta Direktīvas 2006/21/EK par ieguves rūpniecības atkritumu apsaimniekošanu un par grozījumiem Direktīvā 2004/35/EK atsevišķas normas, kas tika ieviestas ar Ministru kabineta 2007.gada 26.jūnija noteikumiem Nr.423 “Pašvaldības, komersanta un iestādes civilās aizsardzības plāna struktūra, tā izstrādāšanas un apstiprināšanas kārtība” un tās ir saistītas ar civilās aizsardzības plānu nepieciešamību objektos, kur tiek veiktas darbības ar derīgo izrakteņu ieguves atkritumu apsaimniekošanu. Ņemot vērā to, ka pie A kategorijas ieguves atkritumu glabāšanas objektiem ir pieskaitāmi tie objekti, kuros atrodas atkritumi, ķīmiskas vielas vai ķīmiski maisījumi, ko atzīst par bīstamiem tie var būt pieskaitāmi pie paaugstinātas bīstamības objektiem un saskaņā ar Civilās aizsardzības un katastrofas pārvaldīšanas likuma 14.panta ceturto daļu tiem ir jāizstrādā civilās aizsardzības plāns.</w:t>
            </w:r>
          </w:p>
        </w:tc>
      </w:tr>
      <w:tr w:rsidR="00EE42AB" w:rsidRPr="00EE42AB" w:rsidTr="00B20CF1">
        <w:trPr>
          <w:trHeight w:val="635"/>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izstrādē iesaistītās institūcijas</w:t>
            </w:r>
          </w:p>
        </w:tc>
        <w:tc>
          <w:tcPr>
            <w:tcW w:w="6638" w:type="dxa"/>
            <w:gridSpan w:val="5"/>
          </w:tcPr>
          <w:p w:rsidR="00EE42AB" w:rsidRPr="00EE42AB" w:rsidRDefault="00EE42AB" w:rsidP="00EE42AB">
            <w:pPr>
              <w:spacing w:after="0" w:line="240" w:lineRule="auto"/>
              <w:ind w:firstLine="382"/>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Iekšlietu ministrija, Valsts ugunsdzēsības un glābšanas dienests.</w:t>
            </w:r>
          </w:p>
        </w:tc>
      </w:tr>
      <w:tr w:rsidR="00EE42AB" w:rsidRPr="00EE42AB" w:rsidTr="00B20CF1">
        <w:trPr>
          <w:trHeight w:val="261"/>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310"/>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84"/>
          <w:jc w:val="center"/>
        </w:trPr>
        <w:tc>
          <w:tcPr>
            <w:tcW w:w="9725" w:type="dxa"/>
            <w:gridSpan w:val="8"/>
          </w:tcPr>
          <w:p w:rsidR="00EE42AB" w:rsidRPr="00EE42AB" w:rsidRDefault="00EE42AB" w:rsidP="00EE42AB">
            <w:pPr>
              <w:spacing w:after="0" w:line="240" w:lineRule="auto"/>
              <w:ind w:left="310"/>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Sabiedrības mērķgrupas, kuras tiesiskais regulējums </w:t>
            </w:r>
            <w:r w:rsidRPr="00EE42AB">
              <w:rPr>
                <w:rFonts w:ascii="Times New Roman" w:eastAsia="Times New Roman" w:hAnsi="Times New Roman" w:cs="Times New Roman"/>
                <w:sz w:val="26"/>
                <w:szCs w:val="26"/>
                <w:lang w:eastAsia="lv-LV"/>
              </w:rPr>
              <w:lastRenderedPageBreak/>
              <w:t>ietekmē vai varētu ietekmēt</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 xml:space="preserve">Atbilstoši projektā noteiktajā prasībām tiks pārstrādāti valsts civilās aizsardzības plāns, pašvaldību civilās aizsardzība </w:t>
            </w:r>
            <w:r w:rsidRPr="00EE42AB">
              <w:rPr>
                <w:rFonts w:ascii="Times New Roman" w:eastAsia="Times New Roman" w:hAnsi="Times New Roman" w:cs="Times New Roman"/>
                <w:sz w:val="26"/>
                <w:szCs w:val="26"/>
                <w:lang w:eastAsia="lv-LV"/>
              </w:rPr>
              <w:lastRenderedPageBreak/>
              <w:t xml:space="preserve">plāni, paaugstinātas bīstamības objektu un objektu civilās aizsardzības plāni. </w:t>
            </w:r>
          </w:p>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Minēto plānu izpildē tiks iesaistītas valsts un pašvaldību institūcijas, kā arī komersanti, kuriem ir noteikti uzdevumi civilās aizsardzības un katastrofu pārvaldīšanas jomā. </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2.</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Tiesiskā regulējuma ietekme uz tautsaimniecību un administratīvo slogu</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Administratīvais slogs samazinās, jo tiek samazināts to objektu skaits kuriem būs jāizstrādā civilās aizsardzības plāni. Vienlaikus samazinās arī pašvaldību civilās aizsardzības plānu  skaits. Informācija, kas iekļaujama civilās aizsardzības plānos saglabāsies esošajā apjomā.    </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Administratīvo izmaksu monetārs novērtējums</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Administratīvās izmaksas (naudas izteiksmē) gada laikā mērķgrupai, ko veido fiziskas personas nepārsniedz 200 </w:t>
            </w:r>
            <w:r w:rsidRPr="00EE42AB">
              <w:rPr>
                <w:rFonts w:ascii="Times New Roman" w:eastAsia="Times New Roman" w:hAnsi="Times New Roman" w:cs="Times New Roman"/>
                <w:i/>
                <w:sz w:val="26"/>
                <w:szCs w:val="26"/>
                <w:lang w:eastAsia="lv-LV"/>
              </w:rPr>
              <w:t>euro</w:t>
            </w:r>
            <w:r w:rsidRPr="00EE42AB">
              <w:rPr>
                <w:rFonts w:ascii="Times New Roman" w:eastAsia="Times New Roman" w:hAnsi="Times New Roman" w:cs="Times New Roman"/>
                <w:sz w:val="26"/>
                <w:szCs w:val="26"/>
                <w:lang w:eastAsia="lv-LV"/>
              </w:rPr>
              <w:t xml:space="preserve">, bet mērķgrupai, kuru veido juridiskas personas nepārsniedz 2000 </w:t>
            </w:r>
            <w:r w:rsidRPr="00EE42AB">
              <w:rPr>
                <w:rFonts w:ascii="Times New Roman" w:eastAsia="Times New Roman" w:hAnsi="Times New Roman" w:cs="Times New Roman"/>
                <w:i/>
                <w:sz w:val="26"/>
                <w:szCs w:val="26"/>
                <w:lang w:eastAsia="lv-LV"/>
              </w:rPr>
              <w:t>euro</w:t>
            </w:r>
            <w:r w:rsidRPr="00EE42AB">
              <w:rPr>
                <w:rFonts w:ascii="Times New Roman" w:eastAsia="Times New Roman" w:hAnsi="Times New Roman" w:cs="Times New Roman"/>
                <w:sz w:val="26"/>
                <w:szCs w:val="26"/>
                <w:lang w:eastAsia="lv-LV"/>
              </w:rPr>
              <w:t xml:space="preserve">. </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34"/>
          <w:jc w:val="center"/>
        </w:trPr>
        <w:tc>
          <w:tcPr>
            <w:tcW w:w="9725" w:type="dxa"/>
            <w:gridSpan w:val="8"/>
          </w:tcPr>
          <w:p w:rsidR="00EE42AB" w:rsidRPr="00EE42AB" w:rsidRDefault="00EE42AB" w:rsidP="00EE42AB">
            <w:pPr>
              <w:tabs>
                <w:tab w:val="left" w:pos="3900"/>
              </w:tabs>
              <w:spacing w:after="0" w:line="240" w:lineRule="auto"/>
              <w:ind w:left="27" w:firstLine="425"/>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V. Tiesību akta projekta atbilstība Latvijas Republikas starptautiskajām saistībām</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Saistības pret Eiropas Savienību</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Eiropas Parlamenta un Padomes 2006. gada 15. marta Direktīva 2006/21/EK par ieguves rūpniecības atkritumu apsaimniekošanu un par grozījumiem Direktīvā 2004/35/EK</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Citas starptautiskās saistības</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34"/>
          <w:jc w:val="center"/>
        </w:trPr>
        <w:tc>
          <w:tcPr>
            <w:tcW w:w="9725" w:type="dxa"/>
            <w:gridSpan w:val="8"/>
          </w:tcPr>
          <w:p w:rsidR="00EE42AB" w:rsidRPr="00EE42AB" w:rsidRDefault="00EE42AB" w:rsidP="00EE42AB">
            <w:pPr>
              <w:spacing w:after="0" w:line="240" w:lineRule="auto"/>
              <w:ind w:left="27" w:firstLine="425"/>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1.tabula</w:t>
            </w:r>
            <w:r w:rsidRPr="00EE42AB">
              <w:rPr>
                <w:rFonts w:ascii="Times New Roman" w:eastAsia="Times New Roman" w:hAnsi="Times New Roman" w:cs="Times New Roman"/>
                <w:b/>
                <w:bCs/>
                <w:sz w:val="26"/>
                <w:szCs w:val="26"/>
                <w:lang w:eastAsia="lv-LV"/>
              </w:rPr>
              <w:br/>
              <w:t>Tiesību akta projekta atbilstība ES tiesību aktiem</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Attiecīgā ES tiesību akta datums, numurs un nosaukums</w:t>
            </w:r>
          </w:p>
        </w:tc>
        <w:tc>
          <w:tcPr>
            <w:tcW w:w="7294" w:type="dxa"/>
            <w:gridSpan w:val="6"/>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Eiropas Parlamenta un Padomes Direktīva 2006/21/EK ( 2006. gada 15. marts ) par ieguves rūpniecības atkritumu apsaimniekošanu un par grozījumiem Direktīvā 2004/35/EK - Eiropas Parlamenta, Padomes un Komisijas deklarācija (OV L 102, 11/04/2006 Lpp. 0015-0034)</w:t>
            </w:r>
          </w:p>
        </w:tc>
      </w:tr>
      <w:tr w:rsidR="00EE42AB" w:rsidRPr="00EE42AB" w:rsidTr="00B20CF1">
        <w:trPr>
          <w:trHeight w:val="334"/>
          <w:jc w:val="center"/>
        </w:trPr>
        <w:tc>
          <w:tcPr>
            <w:tcW w:w="2431" w:type="dxa"/>
            <w:gridSpan w:val="2"/>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w:t>
            </w:r>
          </w:p>
        </w:tc>
        <w:tc>
          <w:tcPr>
            <w:tcW w:w="2431" w:type="dxa"/>
            <w:gridSpan w:val="3"/>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B</w:t>
            </w:r>
          </w:p>
        </w:tc>
        <w:tc>
          <w:tcPr>
            <w:tcW w:w="2431" w:type="dxa"/>
            <w:gridSpan w:val="2"/>
            <w:vAlign w:val="center"/>
          </w:tcPr>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w:t>
            </w:r>
          </w:p>
        </w:tc>
        <w:tc>
          <w:tcPr>
            <w:tcW w:w="2432" w:type="dxa"/>
            <w:vAlign w:val="center"/>
          </w:tcPr>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a)punkts</w:t>
            </w:r>
          </w:p>
        </w:tc>
        <w:tc>
          <w:tcPr>
            <w:tcW w:w="2431" w:type="dxa"/>
            <w:gridSpan w:val="3"/>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5.3.apakšpunkts, 5.4.apakšpunkts, 5.5.4.apakšpunkts un 5.6.apakšpunkts</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b)punkts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5.9.apakšpunkts, 5.10.apakšpunkts, 5.11.apakšpunkts un 5.12.apakšpunkts</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c)punkts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5.15.apakšpunkts un 5.16.5.4.apakšpunkts</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d)punkts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5.11.7.apakšpunkts</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Tabulas A ailē minētās ES tiesību akta </w:t>
            </w:r>
            <w:r w:rsidRPr="00EE42AB">
              <w:rPr>
                <w:rFonts w:ascii="Times New Roman" w:eastAsia="Times New Roman" w:hAnsi="Times New Roman" w:cs="Times New Roman"/>
                <w:sz w:val="26"/>
                <w:szCs w:val="26"/>
                <w:lang w:eastAsia="lv-LV"/>
              </w:rPr>
              <w:lastRenderedPageBreak/>
              <w:t>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 xml:space="preserve">Tabulas B ailē minētās projekta vienības </w:t>
            </w:r>
            <w:r w:rsidRPr="00EE42AB">
              <w:rPr>
                <w:rFonts w:ascii="Times New Roman" w:eastAsia="Times New Roman" w:hAnsi="Times New Roman" w:cs="Times New Roman"/>
                <w:sz w:val="26"/>
                <w:szCs w:val="26"/>
                <w:lang w:eastAsia="lv-LV"/>
              </w:rPr>
              <w:lastRenderedPageBreak/>
              <w:t>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Direktīvas 2006/21/EK</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I pielikuma 1.iedaļa</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IV.nodaļa</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 Kādēļ?</w:t>
            </w:r>
          </w:p>
        </w:tc>
        <w:tc>
          <w:tcPr>
            <w:tcW w:w="7294" w:type="dxa"/>
            <w:gridSpan w:val="6"/>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94" w:type="dxa"/>
            <w:gridSpan w:val="6"/>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Cita informācija </w:t>
            </w:r>
          </w:p>
        </w:tc>
        <w:tc>
          <w:tcPr>
            <w:tcW w:w="7294" w:type="dxa"/>
            <w:gridSpan w:val="6"/>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34"/>
          <w:jc w:val="center"/>
        </w:trPr>
        <w:tc>
          <w:tcPr>
            <w:tcW w:w="9725" w:type="dxa"/>
            <w:gridSpan w:val="8"/>
          </w:tcPr>
          <w:p w:rsidR="00EE42AB" w:rsidRPr="00EE42AB" w:rsidRDefault="00EE42AB" w:rsidP="00EE42AB">
            <w:pPr>
              <w:spacing w:after="0" w:line="240" w:lineRule="auto"/>
              <w:ind w:left="27" w:hanging="27"/>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2.tabula</w:t>
            </w:r>
          </w:p>
          <w:p w:rsidR="00EE42AB" w:rsidRPr="00EE42AB" w:rsidRDefault="00EE42AB" w:rsidP="00EE42AB">
            <w:pPr>
              <w:spacing w:after="0" w:line="240" w:lineRule="auto"/>
              <w:ind w:left="27" w:hanging="27"/>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Ar tiesību akta projektu izpildītās vai uzņemtās saistības, kas izriet no starptautiskajiem tiesību aktiem vai starptautiskas institūcijas vai organizācijas dokumentiem.</w:t>
            </w:r>
          </w:p>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sz w:val="26"/>
                <w:szCs w:val="26"/>
                <w:lang w:eastAsia="lv-LV"/>
              </w:rPr>
              <w:t>Pasākumi šo saistību izpildei</w:t>
            </w:r>
          </w:p>
        </w:tc>
      </w:tr>
      <w:tr w:rsidR="00EE42AB" w:rsidRPr="00EE42AB" w:rsidTr="00B20CF1">
        <w:trPr>
          <w:trHeight w:val="334"/>
          <w:jc w:val="center"/>
        </w:trPr>
        <w:tc>
          <w:tcPr>
            <w:tcW w:w="3241" w:type="dxa"/>
            <w:gridSpan w:val="4"/>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Attiecīgā starptautiskā tiesību akta vai starptautiskas institūcijas vai organizācijas dokumenta (turpmāk – starptautiskais dokuments) datums, numurs un nosaukums</w:t>
            </w:r>
          </w:p>
        </w:tc>
        <w:tc>
          <w:tcPr>
            <w:tcW w:w="6484" w:type="dxa"/>
            <w:gridSpan w:val="4"/>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3241" w:type="dxa"/>
            <w:gridSpan w:val="4"/>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w:t>
            </w:r>
          </w:p>
        </w:tc>
        <w:tc>
          <w:tcPr>
            <w:tcW w:w="3242" w:type="dxa"/>
            <w:gridSpan w:val="2"/>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B</w:t>
            </w:r>
          </w:p>
        </w:tc>
        <w:tc>
          <w:tcPr>
            <w:tcW w:w="3242" w:type="dxa"/>
            <w:gridSpan w:val="2"/>
            <w:vAlign w:val="center"/>
          </w:tcPr>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w:t>
            </w:r>
          </w:p>
        </w:tc>
      </w:tr>
      <w:tr w:rsidR="00EE42AB" w:rsidRPr="00EE42AB" w:rsidTr="00B20CF1">
        <w:trPr>
          <w:trHeight w:val="334"/>
          <w:jc w:val="center"/>
        </w:trPr>
        <w:tc>
          <w:tcPr>
            <w:tcW w:w="3241" w:type="dxa"/>
            <w:gridSpan w:val="4"/>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c>
          <w:tcPr>
            <w:tcW w:w="3242"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c>
          <w:tcPr>
            <w:tcW w:w="3242" w:type="dxa"/>
            <w:gridSpan w:val="2"/>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3241" w:type="dxa"/>
            <w:gridSpan w:val="4"/>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Vai starptautiskajā dokumentā paredzētās saistības nav pretrunā ar jau esošajām Latvijas Republikas starptautiskajām saistībām</w:t>
            </w:r>
          </w:p>
        </w:tc>
        <w:tc>
          <w:tcPr>
            <w:tcW w:w="6484" w:type="dxa"/>
            <w:gridSpan w:val="4"/>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3241" w:type="dxa"/>
            <w:gridSpan w:val="4"/>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484" w:type="dxa"/>
            <w:gridSpan w:val="4"/>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84"/>
          <w:jc w:val="center"/>
        </w:trPr>
        <w:tc>
          <w:tcPr>
            <w:tcW w:w="9725" w:type="dxa"/>
            <w:gridSpan w:val="8"/>
          </w:tcPr>
          <w:p w:rsidR="00EE42AB" w:rsidRPr="00EE42AB" w:rsidRDefault="00EE42AB" w:rsidP="00EE42AB">
            <w:pPr>
              <w:spacing w:after="0" w:line="240" w:lineRule="auto"/>
              <w:ind w:left="310"/>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VI. Sabiedrības līdzdalība un komunikācijas aktivitātes</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1.</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Plānotās sabiedrības līdzdalības un komunikācijas aktivitātes saistībā ar projektu</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Projekts 2017.gada 31.maijā tika publicēts Iekšlietu ministrijas mājas lapas sadaļā “Diskusiju dokumenti”, kur līdz </w:t>
            </w:r>
            <w:r w:rsidRPr="00EE42AB">
              <w:rPr>
                <w:rFonts w:ascii="Times New Roman" w:eastAsia="Times New Roman" w:hAnsi="Times New Roman" w:cs="Times New Roman"/>
                <w:bCs/>
                <w:sz w:val="26"/>
                <w:szCs w:val="26"/>
                <w:lang w:eastAsia="lv-LV"/>
              </w:rPr>
              <w:t>2017.gada 12.jūnijam tika aicināts izteikt viedokli, iebildumus vai priekšlikums par projektu.</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Sabiedrības līdzdalība projekta izstrādē</w:t>
            </w:r>
          </w:p>
        </w:tc>
        <w:tc>
          <w:tcPr>
            <w:tcW w:w="6638" w:type="dxa"/>
            <w:gridSpan w:val="5"/>
          </w:tcPr>
          <w:p w:rsidR="00EE42AB" w:rsidRPr="00EE42AB" w:rsidRDefault="00EE42AB" w:rsidP="00EE42AB">
            <w:pPr>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Viedokļi, iebildumi vai priekšlikumi par projektu netika saņemti.</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Sabiedrības līdzdalības rezultāti</w:t>
            </w:r>
          </w:p>
        </w:tc>
        <w:tc>
          <w:tcPr>
            <w:tcW w:w="6638" w:type="dxa"/>
            <w:gridSpan w:val="5"/>
          </w:tcPr>
          <w:p w:rsidR="00EE42AB" w:rsidRPr="00EE42AB" w:rsidRDefault="00EE42AB" w:rsidP="00EE42AB">
            <w:pPr>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Viedokļi, iebildumi vai priekšlikumi par projektu netika saņemti.</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84"/>
          <w:jc w:val="center"/>
        </w:trPr>
        <w:tc>
          <w:tcPr>
            <w:tcW w:w="9725" w:type="dxa"/>
            <w:gridSpan w:val="8"/>
          </w:tcPr>
          <w:p w:rsidR="00EE42AB" w:rsidRPr="00EE42AB" w:rsidRDefault="00EE42AB" w:rsidP="00EE42AB">
            <w:pPr>
              <w:spacing w:after="0" w:line="240" w:lineRule="auto"/>
              <w:ind w:left="27" w:firstLine="425"/>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Projekta izpildē iesaistītās institūcijas</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Valsts civilās aizsardzības plānu izstrādās Valsts ugunsdzēsības un glābšanas dienests sadarbībā ar citām institūcijām, sadarbības teritorijas civilās aizsardzības plāna izstrādi sadarbībā ar citām institūcijām nodrošinās sadarbības teritorijas civilās aizsardzības komisijas priekšsēdētājs. Objekta vai paaugstinātas bīstamības objekta civilās aizsardzības plānu izstrādās objekta īpašnieks vai tiesiskais valdītājs, to saskaņojot ar Valsts ugunsdzēsības un glābšanas dienestu.</w:t>
            </w:r>
          </w:p>
          <w:p w:rsidR="00EE42AB" w:rsidRPr="00EE42AB" w:rsidRDefault="00EE42AB" w:rsidP="00EE42AB">
            <w:pPr>
              <w:spacing w:after="0" w:line="240" w:lineRule="auto"/>
              <w:ind w:left="27" w:firstLine="425"/>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Līdz ar to, projekta izpildē tiks iesaistītas ministrijas, republikas pilsētas vai novada pašvaldības, Valsts ugunsdzēsības un glābšanas dienests, Neatliekamās medicīniskās palīdzības dienests, Veselības inspekcija, Slimību profilakses un kontroles centrs, Pārtikas un veterinārā dienests, Valsts policija, Pašvaldības policijas, Valsts robežsardze, Nacionālie bruņotie spēki, Valsts meža dienests, Valsts vides dienests, akciju sabiedrības “Latvenergo“, akciju sabiedrības “Sadales tīkls”, akciju sabiedrības “Augstsprieguma tīkls”, ārstniecības iestādes un pašvaldības sociālās institūcijas, citas institūcijas, ja tām tiks noteikti uzdevumi minētajos plānos, kā arī komersanti kuru objekti būs noteikti par paaugstinātas bīstamības objektiem vai kuri ir iekļauti kritiskās infrastruktūras kopumā un kuros var atrasties vairāk par 100 cilvēkiem.</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spacing w:before="75" w:after="75" w:line="240" w:lineRule="auto"/>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 xml:space="preserve">Projekta izpildes ietekme uz pārvaldes funkcijām un institucionālo struktūru. </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Jaunu institūciju izveide, esošu institūciju likvidācija vai reorganizācija, to ietekme uz institūcijas cilvēkresursiem</w:t>
            </w:r>
          </w:p>
        </w:tc>
        <w:tc>
          <w:tcPr>
            <w:tcW w:w="6638" w:type="dxa"/>
            <w:gridSpan w:val="5"/>
          </w:tcPr>
          <w:p w:rsidR="00EE42AB" w:rsidRPr="00EE42AB" w:rsidRDefault="00EE42AB" w:rsidP="00EE42AB">
            <w:pPr>
              <w:spacing w:after="0" w:line="240" w:lineRule="auto"/>
              <w:ind w:firstLine="452"/>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Projekta izpildē netiek ietekmētas institūciju funkcijas un uzdevumi.</w:t>
            </w:r>
          </w:p>
          <w:p w:rsidR="00EE42AB" w:rsidRPr="00EE42AB" w:rsidRDefault="00EE42AB" w:rsidP="00EE42AB">
            <w:pPr>
              <w:spacing w:after="0" w:line="240" w:lineRule="auto"/>
              <w:ind w:firstLine="452"/>
              <w:jc w:val="both"/>
              <w:rPr>
                <w:rFonts w:ascii="Times New Roman" w:eastAsia="Times New Roman" w:hAnsi="Times New Roman" w:cs="Times New Roman"/>
                <w:color w:val="000000"/>
                <w:sz w:val="26"/>
                <w:szCs w:val="26"/>
                <w:lang w:eastAsia="lv-LV"/>
              </w:rPr>
            </w:pP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w:t>
            </w:r>
          </w:p>
        </w:tc>
      </w:tr>
    </w:tbl>
    <w:p w:rsidR="00EE42AB" w:rsidRPr="00EE42AB" w:rsidRDefault="00EE42AB" w:rsidP="00EE42AB">
      <w:pPr>
        <w:spacing w:after="0" w:line="240" w:lineRule="auto"/>
        <w:jc w:val="both"/>
        <w:rPr>
          <w:rFonts w:ascii="Times New Roman" w:eastAsia="Times New Roman" w:hAnsi="Times New Roman" w:cs="Times New Roman"/>
          <w:color w:val="000000"/>
          <w:sz w:val="24"/>
          <w:szCs w:val="24"/>
          <w:lang w:eastAsia="lv-LV"/>
        </w:rPr>
      </w:pPr>
    </w:p>
    <w:p w:rsidR="00EE42AB" w:rsidRPr="00EE42AB" w:rsidRDefault="00EE42AB" w:rsidP="00EE42AB">
      <w:pPr>
        <w:spacing w:after="0" w:line="240" w:lineRule="auto"/>
        <w:jc w:val="both"/>
        <w:rPr>
          <w:rFonts w:ascii="Times New Roman" w:eastAsia="Times New Roman" w:hAnsi="Times New Roman" w:cs="Times New Roman"/>
          <w:sz w:val="24"/>
          <w:szCs w:val="24"/>
          <w:lang w:eastAsia="lv-LV"/>
        </w:rPr>
      </w:pPr>
      <w:r w:rsidRPr="00EE42AB">
        <w:rPr>
          <w:rFonts w:ascii="Times New Roman" w:eastAsia="Times New Roman" w:hAnsi="Times New Roman" w:cs="Times New Roman"/>
          <w:color w:val="000000"/>
          <w:sz w:val="24"/>
          <w:szCs w:val="24"/>
          <w:lang w:eastAsia="lv-LV"/>
        </w:rPr>
        <w:t xml:space="preserve">Anotācijas III un IV sadaļa – </w:t>
      </w:r>
      <w:r w:rsidRPr="00EE42AB">
        <w:rPr>
          <w:rFonts w:ascii="Times New Roman" w:eastAsia="Times New Roman" w:hAnsi="Times New Roman" w:cs="Times New Roman"/>
          <w:iCs/>
          <w:sz w:val="24"/>
          <w:szCs w:val="24"/>
          <w:lang w:eastAsia="lv-LV"/>
        </w:rPr>
        <w:t>projekts šīs jomas neskar.</w:t>
      </w:r>
    </w:p>
    <w:p w:rsidR="00EE42AB" w:rsidRPr="00EE42AB" w:rsidRDefault="00EE42AB" w:rsidP="00EE42AB">
      <w:pPr>
        <w:spacing w:after="0" w:line="240" w:lineRule="auto"/>
        <w:jc w:val="both"/>
        <w:rPr>
          <w:rFonts w:ascii="Times New Roman" w:eastAsia="Times New Roman" w:hAnsi="Times New Roman" w:cs="Times New Roman"/>
          <w:sz w:val="24"/>
          <w:szCs w:val="24"/>
          <w:lang w:eastAsia="lv-LV"/>
        </w:rPr>
      </w:pPr>
    </w:p>
    <w:p w:rsidR="00EE42AB" w:rsidRPr="00EE42AB" w:rsidRDefault="00EE42AB" w:rsidP="00EE42AB">
      <w:pPr>
        <w:spacing w:after="0" w:line="240" w:lineRule="auto"/>
        <w:jc w:val="both"/>
        <w:rPr>
          <w:rFonts w:ascii="Times New Roman" w:eastAsia="Times New Roman" w:hAnsi="Times New Roman" w:cs="Times New Roman"/>
          <w:sz w:val="24"/>
          <w:szCs w:val="24"/>
          <w:lang w:eastAsia="lv-LV"/>
        </w:rPr>
      </w:pPr>
    </w:p>
    <w:p w:rsidR="00EE42AB" w:rsidRPr="00EE42AB" w:rsidRDefault="00EE42AB" w:rsidP="00EE42AB">
      <w:pPr>
        <w:spacing w:after="0" w:line="240" w:lineRule="auto"/>
        <w:jc w:val="both"/>
        <w:rPr>
          <w:rFonts w:ascii="Times New Roman" w:eastAsia="Times New Roman" w:hAnsi="Times New Roman" w:cs="Times New Roman"/>
          <w:sz w:val="28"/>
          <w:szCs w:val="28"/>
          <w:lang w:eastAsia="lv-LV"/>
        </w:rPr>
      </w:pPr>
      <w:r w:rsidRPr="00EE42AB">
        <w:rPr>
          <w:rFonts w:ascii="Times New Roman" w:eastAsia="Times New Roman" w:hAnsi="Times New Roman" w:cs="Times New Roman"/>
          <w:sz w:val="28"/>
          <w:szCs w:val="28"/>
          <w:lang w:eastAsia="lv-LV"/>
        </w:rPr>
        <w:t>Iekšlietu ministrs</w:t>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t>R.Kozlovskis</w:t>
      </w:r>
    </w:p>
    <w:p w:rsidR="00EE42AB" w:rsidRPr="00EE42AB" w:rsidRDefault="00EE42AB" w:rsidP="00EE42AB">
      <w:pPr>
        <w:tabs>
          <w:tab w:val="center" w:pos="-142"/>
          <w:tab w:val="left" w:pos="7088"/>
        </w:tabs>
        <w:spacing w:after="0" w:line="240" w:lineRule="auto"/>
        <w:rPr>
          <w:rFonts w:ascii="Times New Roman" w:eastAsia="Times New Roman" w:hAnsi="Times New Roman" w:cs="Times New Roman"/>
          <w:sz w:val="28"/>
          <w:szCs w:val="28"/>
          <w:lang w:eastAsia="lv-LV"/>
        </w:rPr>
      </w:pPr>
    </w:p>
    <w:p w:rsidR="00EE42AB" w:rsidRPr="00EE42AB" w:rsidRDefault="00EE42AB" w:rsidP="00EE42AB">
      <w:pPr>
        <w:spacing w:after="0" w:line="240" w:lineRule="auto"/>
        <w:jc w:val="both"/>
        <w:rPr>
          <w:rFonts w:ascii="Times New Roman" w:eastAsia="Times New Roman" w:hAnsi="Times New Roman" w:cs="Times New Roman"/>
          <w:sz w:val="28"/>
          <w:szCs w:val="28"/>
          <w:lang w:eastAsia="lv-LV"/>
        </w:rPr>
      </w:pPr>
      <w:r w:rsidRPr="00EE42AB">
        <w:rPr>
          <w:rFonts w:ascii="Times New Roman" w:eastAsia="Times New Roman" w:hAnsi="Times New Roman" w:cs="Times New Roman"/>
          <w:sz w:val="28"/>
          <w:szCs w:val="28"/>
          <w:lang w:eastAsia="lv-LV"/>
        </w:rPr>
        <w:t xml:space="preserve">Vīza: </w:t>
      </w:r>
    </w:p>
    <w:p w:rsidR="00EE42AB" w:rsidRPr="00EE42AB" w:rsidRDefault="00EE42AB" w:rsidP="00EE42AB">
      <w:pPr>
        <w:spacing w:after="0" w:line="240" w:lineRule="auto"/>
        <w:jc w:val="both"/>
        <w:rPr>
          <w:rFonts w:ascii="Times New Roman" w:eastAsia="Times New Roman" w:hAnsi="Times New Roman" w:cs="Times New Roman"/>
          <w:color w:val="000000"/>
          <w:sz w:val="20"/>
          <w:szCs w:val="20"/>
          <w:lang w:eastAsia="lv-LV"/>
        </w:rPr>
      </w:pPr>
      <w:r w:rsidRPr="00EE42AB">
        <w:rPr>
          <w:rFonts w:ascii="Times New Roman" w:eastAsia="Times New Roman" w:hAnsi="Times New Roman" w:cs="Times New Roman"/>
          <w:sz w:val="28"/>
          <w:szCs w:val="28"/>
          <w:lang w:eastAsia="lv-LV"/>
        </w:rPr>
        <w:t>valsts sekretāra pienākumu izpildītājs</w:t>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t>D.Trofimovs</w:t>
      </w: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3720"/>
        </w:tabs>
        <w:spacing w:after="0" w:line="240" w:lineRule="auto"/>
        <w:rPr>
          <w:rFonts w:ascii="Times New Roman" w:eastAsia="Times New Roman" w:hAnsi="Times New Roman" w:cs="Times New Roman"/>
          <w:color w:val="000000"/>
          <w:sz w:val="20"/>
          <w:szCs w:val="20"/>
          <w:lang w:eastAsia="lv-LV"/>
        </w:rPr>
      </w:pPr>
    </w:p>
    <w:p w:rsidR="00EE42AB" w:rsidRPr="00EE42AB" w:rsidRDefault="00EE42AB" w:rsidP="00EE42AB">
      <w:pPr>
        <w:tabs>
          <w:tab w:val="center" w:pos="-142"/>
          <w:tab w:val="left" w:pos="7088"/>
        </w:tabs>
        <w:spacing w:after="0" w:line="240" w:lineRule="auto"/>
        <w:rPr>
          <w:rFonts w:ascii="Times New Roman" w:eastAsia="Times New Roman" w:hAnsi="Times New Roman" w:cs="Times New Roman"/>
          <w:sz w:val="20"/>
          <w:szCs w:val="20"/>
          <w:lang w:eastAsia="lv-LV"/>
        </w:rPr>
      </w:pPr>
      <w:r w:rsidRPr="00EE42AB">
        <w:rPr>
          <w:rFonts w:ascii="Times New Roman" w:eastAsia="Times New Roman" w:hAnsi="Times New Roman" w:cs="Times New Roman"/>
          <w:sz w:val="20"/>
          <w:szCs w:val="20"/>
          <w:lang w:eastAsia="lv-LV"/>
        </w:rPr>
        <w:t>Baltmanis</w:t>
      </w:r>
    </w:p>
    <w:p w:rsidR="00EE42AB" w:rsidRPr="00EE42AB" w:rsidRDefault="00EE42AB" w:rsidP="00EE42AB">
      <w:pPr>
        <w:tabs>
          <w:tab w:val="center" w:pos="-142"/>
          <w:tab w:val="left" w:pos="7088"/>
        </w:tabs>
        <w:spacing w:after="0" w:line="240" w:lineRule="auto"/>
        <w:rPr>
          <w:rFonts w:ascii="Times New Roman" w:eastAsia="Times New Roman" w:hAnsi="Times New Roman" w:cs="Times New Roman"/>
          <w:sz w:val="20"/>
          <w:szCs w:val="20"/>
          <w:lang w:eastAsia="lv-LV"/>
        </w:rPr>
      </w:pPr>
      <w:r w:rsidRPr="00EE42AB">
        <w:rPr>
          <w:rFonts w:ascii="Times New Roman" w:eastAsia="Times New Roman" w:hAnsi="Times New Roman" w:cs="Times New Roman"/>
          <w:sz w:val="20"/>
          <w:szCs w:val="20"/>
          <w:lang w:eastAsia="lv-LV"/>
        </w:rPr>
        <w:t xml:space="preserve">67075818, </w:t>
      </w:r>
      <w:hyperlink r:id="rId5" w:history="1">
        <w:r w:rsidRPr="00EE42AB">
          <w:rPr>
            <w:rFonts w:ascii="Times New Roman" w:eastAsia="Times New Roman" w:hAnsi="Times New Roman" w:cs="Times New Roman"/>
            <w:color w:val="0000FF"/>
            <w:sz w:val="20"/>
            <w:szCs w:val="20"/>
            <w:u w:val="single"/>
            <w:lang w:eastAsia="lv-LV"/>
          </w:rPr>
          <w:t>martins.baltmanis@vugd.gov.lv</w:t>
        </w:r>
      </w:hyperlink>
    </w:p>
    <w:p w:rsidR="009E3D5C" w:rsidRDefault="009E3D5C">
      <w:bookmarkStart w:id="0" w:name="_GoBack"/>
      <w:bookmarkEnd w:id="0"/>
    </w:p>
    <w:sectPr w:rsidR="009E3D5C" w:rsidSect="001B0509">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676C52" w:rsidRDefault="00EE42AB" w:rsidP="00136C29">
    <w:pPr>
      <w:pStyle w:val="Kjene"/>
      <w:jc w:val="both"/>
    </w:pPr>
    <w:r w:rsidRPr="00676C52">
      <w:rPr>
        <w:sz w:val="20"/>
        <w:szCs w:val="20"/>
      </w:rPr>
      <w:t>I</w:t>
    </w:r>
    <w:r>
      <w:rPr>
        <w:sz w:val="20"/>
        <w:szCs w:val="20"/>
      </w:rPr>
      <w:t>eMAnot_</w:t>
    </w:r>
    <w:r>
      <w:rPr>
        <w:sz w:val="20"/>
        <w:szCs w:val="20"/>
      </w:rPr>
      <w:t>0</w:t>
    </w:r>
    <w:r>
      <w:rPr>
        <w:sz w:val="20"/>
        <w:szCs w:val="20"/>
      </w:rPr>
      <w:t>9</w:t>
    </w:r>
    <w:r>
      <w:rPr>
        <w:sz w:val="20"/>
        <w:szCs w:val="20"/>
      </w:rPr>
      <w:t>08</w:t>
    </w:r>
    <w:r>
      <w:rPr>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FE526E" w:rsidRDefault="00EE42AB" w:rsidP="00FE526E">
    <w:pPr>
      <w:pStyle w:val="Kjene"/>
      <w:jc w:val="both"/>
    </w:pPr>
    <w:r w:rsidRPr="00676C52">
      <w:rPr>
        <w:sz w:val="20"/>
        <w:szCs w:val="20"/>
      </w:rPr>
      <w:t>I</w:t>
    </w:r>
    <w:r>
      <w:rPr>
        <w:sz w:val="20"/>
        <w:szCs w:val="20"/>
      </w:rPr>
      <w:t>eMa</w:t>
    </w:r>
    <w:r>
      <w:rPr>
        <w:sz w:val="20"/>
        <w:szCs w:val="20"/>
      </w:rPr>
      <w:t>not_</w:t>
    </w:r>
    <w:r>
      <w:rPr>
        <w:sz w:val="20"/>
        <w:szCs w:val="20"/>
      </w:rPr>
      <w:t>0</w:t>
    </w:r>
    <w:r>
      <w:rPr>
        <w:sz w:val="20"/>
        <w:szCs w:val="20"/>
      </w:rPr>
      <w:t>9</w:t>
    </w:r>
    <w:r>
      <w:rPr>
        <w:sz w:val="20"/>
        <w:szCs w:val="20"/>
      </w:rPr>
      <w:t>08</w:t>
    </w:r>
    <w:r>
      <w:rPr>
        <w:sz w:val="20"/>
        <w:szCs w:val="20"/>
      </w:rPr>
      <w:t>17</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309F" w:rsidRDefault="00EE42A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39309F" w:rsidRDefault="00EE42A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B"/>
    <w:rsid w:val="009E3D5C"/>
    <w:rsid w:val="00EE4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464645-A3AF-455D-90AF-8E6A8C3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EE42AB"/>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EE42AB"/>
    <w:rPr>
      <w:rFonts w:cs="Times New Roman"/>
    </w:rPr>
  </w:style>
  <w:style w:type="paragraph" w:styleId="Kjene">
    <w:name w:val="footer"/>
    <w:basedOn w:val="Parasts"/>
    <w:link w:val="Kj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EE42A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mailto:martins.baltmanis@vugd.gov.lv" TargetMode="External"/><Relationship Id="rId10" Type="http://schemas.openxmlformats.org/officeDocument/2006/relationships/fontTable" Target="fontTable.xml"/><Relationship Id="rId4" Type="http://schemas.openxmlformats.org/officeDocument/2006/relationships/hyperlink" Target="http://polsis.mk.gov.lv/documents/3736" TargetMode="Externa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7757</Words>
  <Characters>4422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1</cp:revision>
  <dcterms:created xsi:type="dcterms:W3CDTF">2017-08-16T08:38:00Z</dcterms:created>
  <dcterms:modified xsi:type="dcterms:W3CDTF">2017-08-16T08:40:00Z</dcterms:modified>
</cp:coreProperties>
</file>