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62E72" w14:textId="77777777" w:rsidR="00B110DD" w:rsidRPr="00E50F70" w:rsidRDefault="00B110DD" w:rsidP="00B110DD">
      <w:pPr>
        <w:jc w:val="center"/>
        <w:outlineLvl w:val="0"/>
        <w:rPr>
          <w:b/>
        </w:rPr>
      </w:pPr>
      <w:r w:rsidRPr="00E50F70">
        <w:rPr>
          <w:b/>
        </w:rPr>
        <w:t xml:space="preserve">Ministru kabineta noteikumu projekta </w:t>
      </w:r>
    </w:p>
    <w:p w14:paraId="24B0A0AF" w14:textId="7899603E" w:rsidR="008C5649" w:rsidRPr="00E50F70" w:rsidRDefault="004106DD" w:rsidP="00536903">
      <w:pPr>
        <w:jc w:val="center"/>
        <w:outlineLvl w:val="0"/>
        <w:rPr>
          <w:b/>
        </w:rPr>
      </w:pPr>
      <w:r w:rsidRPr="00E50F70">
        <w:rPr>
          <w:b/>
        </w:rPr>
        <w:t>"</w:t>
      </w:r>
      <w:r w:rsidR="003159E6" w:rsidRPr="00E50F70">
        <w:rPr>
          <w:b/>
        </w:rPr>
        <w:t>Grozījumi Ministru kabineta 2013.</w:t>
      </w:r>
      <w:r w:rsidRPr="00E50F70">
        <w:rPr>
          <w:b/>
        </w:rPr>
        <w:t> </w:t>
      </w:r>
      <w:r w:rsidR="003159E6" w:rsidRPr="00E50F70">
        <w:rPr>
          <w:b/>
        </w:rPr>
        <w:t>gada 19.</w:t>
      </w:r>
      <w:r w:rsidRPr="00E50F70">
        <w:rPr>
          <w:b/>
        </w:rPr>
        <w:t> </w:t>
      </w:r>
      <w:r w:rsidR="003159E6" w:rsidRPr="00E50F70">
        <w:rPr>
          <w:b/>
        </w:rPr>
        <w:t>februāra noteikumos Nr.</w:t>
      </w:r>
      <w:r w:rsidRPr="00E50F70">
        <w:rPr>
          <w:b/>
        </w:rPr>
        <w:t> </w:t>
      </w:r>
      <w:r w:rsidR="003159E6" w:rsidRPr="00E50F70">
        <w:rPr>
          <w:b/>
        </w:rPr>
        <w:t xml:space="preserve">96 </w:t>
      </w:r>
      <w:r w:rsidRPr="00E50F70">
        <w:rPr>
          <w:b/>
        </w:rPr>
        <w:t>"</w:t>
      </w:r>
      <w:r w:rsidR="003159E6" w:rsidRPr="00E50F70">
        <w:rPr>
          <w:b/>
        </w:rPr>
        <w:t>Noteikumi par tiesas sniegtajiem maksas pakalpojumiem</w:t>
      </w:r>
      <w:r w:rsidRPr="00E50F70">
        <w:rPr>
          <w:b/>
        </w:rPr>
        <w:t>""</w:t>
      </w:r>
      <w:r w:rsidR="003159E6" w:rsidRPr="00E50F70">
        <w:rPr>
          <w:b/>
        </w:rPr>
        <w:t xml:space="preserve"> </w:t>
      </w:r>
      <w:r w:rsidR="00B110DD" w:rsidRPr="00E50F70">
        <w:rPr>
          <w:b/>
        </w:rPr>
        <w:t>sākotnējās ietekmes novērtējuma ziņojums (anotācija)</w:t>
      </w:r>
    </w:p>
    <w:p w14:paraId="2711282D" w14:textId="77777777" w:rsidR="001F6AA8" w:rsidRPr="003E5F87" w:rsidRDefault="001F6AA8" w:rsidP="00B110DD">
      <w:pPr>
        <w:pStyle w:val="naislab"/>
        <w:spacing w:before="0" w:after="0"/>
        <w:jc w:val="center"/>
        <w:outlineLvl w:val="0"/>
        <w:rPr>
          <w:b/>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268"/>
        <w:gridCol w:w="6247"/>
      </w:tblGrid>
      <w:tr w:rsidR="00852042" w:rsidRPr="00B36392" w14:paraId="061F2181" w14:textId="77777777" w:rsidTr="004773F3">
        <w:trPr>
          <w:trHeight w:val="199"/>
        </w:trPr>
        <w:tc>
          <w:tcPr>
            <w:tcW w:w="9077" w:type="dxa"/>
            <w:gridSpan w:val="3"/>
            <w:vAlign w:val="center"/>
          </w:tcPr>
          <w:p w14:paraId="583F0E94" w14:textId="77777777" w:rsidR="00852042" w:rsidRPr="00B36392" w:rsidRDefault="00852042" w:rsidP="00EF482E">
            <w:pPr>
              <w:pStyle w:val="naisnod"/>
              <w:spacing w:before="0" w:after="0"/>
              <w:ind w:left="137"/>
            </w:pPr>
            <w:r w:rsidRPr="00B36392">
              <w:t>I</w:t>
            </w:r>
            <w:r w:rsidR="000941C5" w:rsidRPr="00B36392">
              <w:t>.</w:t>
            </w:r>
            <w:r w:rsidRPr="00B36392">
              <w:t xml:space="preserve"> Tiesību akta </w:t>
            </w:r>
            <w:r w:rsidR="002E3FF4" w:rsidRPr="00B36392">
              <w:t xml:space="preserve">projekta </w:t>
            </w:r>
            <w:r w:rsidRPr="00B36392">
              <w:t>izstrādes nepieciešamība</w:t>
            </w:r>
          </w:p>
        </w:tc>
      </w:tr>
      <w:tr w:rsidR="00262E2B" w:rsidRPr="00B36392" w14:paraId="0633764E" w14:textId="77777777" w:rsidTr="003E5F87">
        <w:trPr>
          <w:trHeight w:val="5372"/>
        </w:trPr>
        <w:tc>
          <w:tcPr>
            <w:tcW w:w="562" w:type="dxa"/>
          </w:tcPr>
          <w:p w14:paraId="73550E41" w14:textId="77777777" w:rsidR="00262E2B" w:rsidRPr="00B36392" w:rsidRDefault="00262E2B" w:rsidP="00EF482E">
            <w:pPr>
              <w:pStyle w:val="naiskr"/>
              <w:spacing w:before="0" w:after="0"/>
              <w:ind w:left="-5"/>
              <w:rPr>
                <w:sz w:val="22"/>
                <w:szCs w:val="22"/>
              </w:rPr>
            </w:pPr>
            <w:r w:rsidRPr="00B36392">
              <w:rPr>
                <w:sz w:val="22"/>
                <w:szCs w:val="22"/>
              </w:rPr>
              <w:t>1.</w:t>
            </w:r>
          </w:p>
        </w:tc>
        <w:tc>
          <w:tcPr>
            <w:tcW w:w="2268" w:type="dxa"/>
          </w:tcPr>
          <w:p w14:paraId="2110BCE4" w14:textId="77777777" w:rsidR="00262E2B" w:rsidRPr="00B36392" w:rsidRDefault="002D7F54" w:rsidP="006C4607">
            <w:pPr>
              <w:pStyle w:val="naiskr"/>
              <w:spacing w:before="0" w:after="0"/>
              <w:ind w:hanging="10"/>
            </w:pPr>
            <w:r w:rsidRPr="00B36392">
              <w:t>Pamatojums</w:t>
            </w:r>
          </w:p>
        </w:tc>
        <w:tc>
          <w:tcPr>
            <w:tcW w:w="6247" w:type="dxa"/>
          </w:tcPr>
          <w:p w14:paraId="4A63AC97" w14:textId="5F0B5FDD" w:rsidR="00262E2B" w:rsidRDefault="00856377" w:rsidP="00A17E08">
            <w:pPr>
              <w:pStyle w:val="Komentrateksts"/>
              <w:ind w:left="141" w:right="142"/>
              <w:jc w:val="both"/>
              <w:rPr>
                <w:sz w:val="24"/>
                <w:szCs w:val="24"/>
              </w:rPr>
            </w:pPr>
            <w:r>
              <w:rPr>
                <w:sz w:val="24"/>
                <w:szCs w:val="24"/>
              </w:rPr>
              <w:t xml:space="preserve">Ar likumu </w:t>
            </w:r>
            <w:r w:rsidR="003661EE" w:rsidRPr="003661EE">
              <w:rPr>
                <w:sz w:val="24"/>
                <w:szCs w:val="24"/>
              </w:rPr>
              <w:t>"</w:t>
            </w:r>
            <w:r>
              <w:rPr>
                <w:sz w:val="24"/>
                <w:szCs w:val="24"/>
              </w:rPr>
              <w:t>Grozījumi Zemesgrāmatu likumā</w:t>
            </w:r>
            <w:r w:rsidR="003661EE" w:rsidRPr="003661EE">
              <w:rPr>
                <w:sz w:val="24"/>
                <w:szCs w:val="24"/>
              </w:rPr>
              <w:t>"</w:t>
            </w:r>
            <w:r>
              <w:rPr>
                <w:sz w:val="24"/>
                <w:szCs w:val="24"/>
              </w:rPr>
              <w:t xml:space="preserve"> (likums </w:t>
            </w:r>
            <w:r w:rsidR="007F4A4A">
              <w:rPr>
                <w:sz w:val="24"/>
                <w:szCs w:val="24"/>
              </w:rPr>
              <w:t>stāj</w:t>
            </w:r>
            <w:r w:rsidR="00D461BB">
              <w:rPr>
                <w:sz w:val="24"/>
                <w:szCs w:val="24"/>
              </w:rPr>
              <w:t>ā</w:t>
            </w:r>
            <w:r w:rsidR="007F4A4A">
              <w:rPr>
                <w:sz w:val="24"/>
                <w:szCs w:val="24"/>
              </w:rPr>
              <w:t>s spēkā</w:t>
            </w:r>
            <w:r>
              <w:rPr>
                <w:sz w:val="24"/>
                <w:szCs w:val="24"/>
              </w:rPr>
              <w:t xml:space="preserve"> 2014.</w:t>
            </w:r>
            <w:r w:rsidR="004106DD">
              <w:rPr>
                <w:sz w:val="24"/>
                <w:szCs w:val="24"/>
              </w:rPr>
              <w:t> </w:t>
            </w:r>
            <w:r>
              <w:rPr>
                <w:sz w:val="24"/>
                <w:szCs w:val="24"/>
              </w:rPr>
              <w:t xml:space="preserve">gada </w:t>
            </w:r>
            <w:r w:rsidR="007F4A4A">
              <w:rPr>
                <w:sz w:val="24"/>
                <w:szCs w:val="24"/>
              </w:rPr>
              <w:t>29.</w:t>
            </w:r>
            <w:r w:rsidR="00D461BB">
              <w:rPr>
                <w:sz w:val="24"/>
                <w:szCs w:val="24"/>
              </w:rPr>
              <w:t> </w:t>
            </w:r>
            <w:r w:rsidR="007F4A4A">
              <w:rPr>
                <w:sz w:val="24"/>
                <w:szCs w:val="24"/>
              </w:rPr>
              <w:t>novembrī</w:t>
            </w:r>
            <w:r>
              <w:rPr>
                <w:sz w:val="24"/>
                <w:szCs w:val="24"/>
              </w:rPr>
              <w:t xml:space="preserve">) no </w:t>
            </w:r>
            <w:r w:rsidR="00C84E41">
              <w:rPr>
                <w:sz w:val="24"/>
                <w:szCs w:val="24"/>
              </w:rPr>
              <w:t xml:space="preserve">Zemesgrāmatu </w:t>
            </w:r>
            <w:r>
              <w:rPr>
                <w:sz w:val="24"/>
                <w:szCs w:val="24"/>
              </w:rPr>
              <w:t>likuma 107.</w:t>
            </w:r>
            <w:r w:rsidR="004106DD">
              <w:rPr>
                <w:sz w:val="24"/>
                <w:szCs w:val="24"/>
              </w:rPr>
              <w:t> </w:t>
            </w:r>
            <w:r>
              <w:rPr>
                <w:sz w:val="24"/>
                <w:szCs w:val="24"/>
              </w:rPr>
              <w:t>panta p</w:t>
            </w:r>
            <w:r w:rsidR="001405C6">
              <w:rPr>
                <w:sz w:val="24"/>
                <w:szCs w:val="24"/>
              </w:rPr>
              <w:t xml:space="preserve">irmās daļas izslēgts 7., 8., 9. </w:t>
            </w:r>
            <w:r>
              <w:rPr>
                <w:sz w:val="24"/>
                <w:szCs w:val="24"/>
              </w:rPr>
              <w:t>un 10.</w:t>
            </w:r>
            <w:r w:rsidR="004106DD">
              <w:rPr>
                <w:sz w:val="24"/>
                <w:szCs w:val="24"/>
              </w:rPr>
              <w:t> </w:t>
            </w:r>
            <w:r>
              <w:rPr>
                <w:sz w:val="24"/>
                <w:szCs w:val="24"/>
              </w:rPr>
              <w:t>punkts</w:t>
            </w:r>
            <w:r w:rsidR="00963801">
              <w:rPr>
                <w:sz w:val="24"/>
                <w:szCs w:val="24"/>
              </w:rPr>
              <w:t xml:space="preserve">, </w:t>
            </w:r>
            <w:r w:rsidR="0016340E">
              <w:rPr>
                <w:sz w:val="24"/>
                <w:szCs w:val="24"/>
              </w:rPr>
              <w:t xml:space="preserve">jo </w:t>
            </w:r>
            <w:r w:rsidR="00963801">
              <w:rPr>
                <w:sz w:val="24"/>
                <w:szCs w:val="24"/>
              </w:rPr>
              <w:t xml:space="preserve">šajos punktos noteikto kancelejas nodevu </w:t>
            </w:r>
            <w:r w:rsidR="0016340E">
              <w:rPr>
                <w:sz w:val="24"/>
                <w:szCs w:val="24"/>
              </w:rPr>
              <w:t xml:space="preserve">plānots </w:t>
            </w:r>
            <w:r w:rsidR="00963801">
              <w:rPr>
                <w:sz w:val="24"/>
                <w:szCs w:val="24"/>
              </w:rPr>
              <w:t>pārveidot par maksas pakalpojum</w:t>
            </w:r>
            <w:r w:rsidR="0016340E">
              <w:rPr>
                <w:sz w:val="24"/>
                <w:szCs w:val="24"/>
              </w:rPr>
              <w:t>u</w:t>
            </w:r>
            <w:r w:rsidR="00963801">
              <w:rPr>
                <w:sz w:val="24"/>
                <w:szCs w:val="24"/>
              </w:rPr>
              <w:t xml:space="preserve">. Zemesgrāmatu likuma </w:t>
            </w:r>
            <w:r w:rsidR="0016340E">
              <w:rPr>
                <w:sz w:val="24"/>
                <w:szCs w:val="24"/>
              </w:rPr>
              <w:t>p</w:t>
            </w:r>
            <w:r w:rsidR="00963801">
              <w:rPr>
                <w:sz w:val="24"/>
                <w:szCs w:val="24"/>
              </w:rPr>
              <w:t>ārejas noteikumu 13.</w:t>
            </w:r>
            <w:r w:rsidR="00830CA9">
              <w:rPr>
                <w:sz w:val="24"/>
                <w:szCs w:val="24"/>
              </w:rPr>
              <w:t> </w:t>
            </w:r>
            <w:r w:rsidR="00963801">
              <w:rPr>
                <w:sz w:val="24"/>
                <w:szCs w:val="24"/>
              </w:rPr>
              <w:t>punktā noteikts, ka grozījumi šā likuma 107.</w:t>
            </w:r>
            <w:r w:rsidR="004106DD">
              <w:rPr>
                <w:sz w:val="24"/>
                <w:szCs w:val="24"/>
              </w:rPr>
              <w:t> </w:t>
            </w:r>
            <w:r w:rsidR="00963801">
              <w:rPr>
                <w:sz w:val="24"/>
                <w:szCs w:val="24"/>
              </w:rPr>
              <w:t>pa</w:t>
            </w:r>
            <w:r w:rsidR="001405C6">
              <w:rPr>
                <w:sz w:val="24"/>
                <w:szCs w:val="24"/>
              </w:rPr>
              <w:t>nta pirmajā daļā par 7., 8., 9.</w:t>
            </w:r>
            <w:r w:rsidR="00963801">
              <w:rPr>
                <w:sz w:val="24"/>
                <w:szCs w:val="24"/>
              </w:rPr>
              <w:t xml:space="preserve"> un 10.</w:t>
            </w:r>
            <w:r w:rsidR="004106DD">
              <w:rPr>
                <w:sz w:val="24"/>
                <w:szCs w:val="24"/>
              </w:rPr>
              <w:t> </w:t>
            </w:r>
            <w:r w:rsidR="00963801">
              <w:rPr>
                <w:sz w:val="24"/>
                <w:szCs w:val="24"/>
              </w:rPr>
              <w:t>punkta izslēgšanu stājas spēkā pēc attiecīgu grozījumu izdarīšanas normatīvajā aktā par tiesu sniegtajiem maksas pakalpojumiem.</w:t>
            </w:r>
          </w:p>
          <w:p w14:paraId="1A2B3240" w14:textId="637251A5" w:rsidR="00C52A32" w:rsidRPr="001C509B" w:rsidRDefault="00AE7821" w:rsidP="00A17E08">
            <w:pPr>
              <w:ind w:left="141" w:right="151"/>
              <w:jc w:val="both"/>
            </w:pPr>
            <w:r>
              <w:t>Lai nodrošinātu pakalpojumu uzskaiti klientu līmenī un pa pakalpojumu veidiem ieņēmumu no maksas pakalpojumiem plānošanas vajadzībām, kā arī, lai nodrošinātu  uzskaiti par atbrīvojumiem no samaksas par pakalpojumu, pēc Tieslietu ministrijas iniciatīvas</w:t>
            </w:r>
            <w:r w:rsidRPr="001A1981">
              <w:t xml:space="preserve"> Ministru kabineta 2013.</w:t>
            </w:r>
            <w:r>
              <w:t> </w:t>
            </w:r>
            <w:r w:rsidRPr="001A1981">
              <w:t>gada 19.</w:t>
            </w:r>
            <w:r>
              <w:t> </w:t>
            </w:r>
            <w:r w:rsidRPr="001A1981">
              <w:t>februāra noteikumi Nr.</w:t>
            </w:r>
            <w:r>
              <w:t> </w:t>
            </w:r>
            <w:r w:rsidRPr="001A1981">
              <w:t xml:space="preserve">96 </w:t>
            </w:r>
            <w:r>
              <w:t>"</w:t>
            </w:r>
            <w:r w:rsidRPr="001A1981">
              <w:t>Noteikumi par tiesas sniegtajiem maksas pakalpojumiem</w:t>
            </w:r>
            <w:r>
              <w:t>"</w:t>
            </w:r>
            <w:r w:rsidRPr="001A1981">
              <w:t xml:space="preserve"> </w:t>
            </w:r>
            <w:r>
              <w:t xml:space="preserve">(turpmāk – Noteikumi) </w:t>
            </w:r>
            <w:r w:rsidRPr="001A1981">
              <w:t>papildināti ar normu, ka persona par pakalpojumu rajona (pilsētas) tiesā un apgabaltiesā samaksu veic saskaņā ar sagatavoto rēķinu.</w:t>
            </w:r>
          </w:p>
        </w:tc>
      </w:tr>
      <w:tr w:rsidR="00262E2B" w:rsidRPr="00B36392" w14:paraId="6BA24CB1" w14:textId="77777777" w:rsidTr="003E5F87">
        <w:trPr>
          <w:trHeight w:val="564"/>
        </w:trPr>
        <w:tc>
          <w:tcPr>
            <w:tcW w:w="562" w:type="dxa"/>
          </w:tcPr>
          <w:p w14:paraId="7F4E3286" w14:textId="77777777" w:rsidR="00262E2B" w:rsidRPr="00B36392" w:rsidRDefault="00262E2B" w:rsidP="006C4607">
            <w:pPr>
              <w:pStyle w:val="naiskr"/>
              <w:spacing w:before="0" w:after="0"/>
              <w:rPr>
                <w:sz w:val="22"/>
                <w:szCs w:val="22"/>
              </w:rPr>
            </w:pPr>
            <w:r w:rsidRPr="00B36392">
              <w:rPr>
                <w:sz w:val="22"/>
                <w:szCs w:val="22"/>
              </w:rPr>
              <w:t>2.</w:t>
            </w:r>
          </w:p>
        </w:tc>
        <w:tc>
          <w:tcPr>
            <w:tcW w:w="2268" w:type="dxa"/>
          </w:tcPr>
          <w:p w14:paraId="75F5349D" w14:textId="77777777" w:rsidR="00262E2B" w:rsidRPr="00B36392" w:rsidRDefault="00262E2B" w:rsidP="006C4607">
            <w:pPr>
              <w:pStyle w:val="naiskr"/>
              <w:tabs>
                <w:tab w:val="left" w:pos="170"/>
              </w:tabs>
              <w:spacing w:before="0" w:after="0"/>
            </w:pPr>
            <w:r w:rsidRPr="00B36392">
              <w:t>Pašreizējā situācija</w:t>
            </w:r>
            <w:r w:rsidR="001F5CD6" w:rsidRPr="00B36392">
              <w:t xml:space="preserve"> un problēmas</w:t>
            </w:r>
            <w:r w:rsidR="00942545">
              <w:t>, kuru risināšanai tiesību akta projekts izstrādāts, tiesiskā regulējuma mērķis un būtība</w:t>
            </w:r>
          </w:p>
        </w:tc>
        <w:tc>
          <w:tcPr>
            <w:tcW w:w="6247" w:type="dxa"/>
          </w:tcPr>
          <w:p w14:paraId="5AF067A4" w14:textId="42C1516E" w:rsidR="00942545" w:rsidRDefault="00E37304" w:rsidP="00A17E08">
            <w:pPr>
              <w:pStyle w:val="naiskr"/>
              <w:tabs>
                <w:tab w:val="left" w:pos="170"/>
              </w:tabs>
              <w:spacing w:before="0" w:after="0"/>
              <w:ind w:left="141" w:right="141"/>
              <w:jc w:val="both"/>
            </w:pPr>
            <w:r>
              <w:t>Ministru kabinet</w:t>
            </w:r>
            <w:r w:rsidR="00830CA9">
              <w:t>a</w:t>
            </w:r>
            <w:r>
              <w:t xml:space="preserve"> 2012.</w:t>
            </w:r>
            <w:r w:rsidR="004106DD">
              <w:t> </w:t>
            </w:r>
            <w:r>
              <w:t>gada 20.</w:t>
            </w:r>
            <w:r w:rsidR="004106DD">
              <w:t> </w:t>
            </w:r>
            <w:r>
              <w:t>marta sēdē (prot.</w:t>
            </w:r>
            <w:r w:rsidR="004106DD">
              <w:t> </w:t>
            </w:r>
            <w:r>
              <w:t>Nr.</w:t>
            </w:r>
            <w:r w:rsidR="004106DD">
              <w:t> </w:t>
            </w:r>
            <w:r>
              <w:t>16</w:t>
            </w:r>
            <w:r w:rsidR="004106DD">
              <w:t xml:space="preserve"> </w:t>
            </w:r>
            <w:r>
              <w:t>31.</w:t>
            </w:r>
            <w:r w:rsidR="004106DD">
              <w:t> </w:t>
            </w:r>
            <w:r>
              <w:t>§)</w:t>
            </w:r>
            <w:r w:rsidR="00B7446C">
              <w:t xml:space="preserve"> izskatī</w:t>
            </w:r>
            <w:r w:rsidR="00830CA9">
              <w:t>ts</w:t>
            </w:r>
            <w:r w:rsidR="00B7446C">
              <w:t xml:space="preserve"> informatīv</w:t>
            </w:r>
            <w:r w:rsidR="00830CA9">
              <w:t>ais</w:t>
            </w:r>
            <w:r w:rsidR="00B7446C">
              <w:t xml:space="preserve"> ziņojum</w:t>
            </w:r>
            <w:r w:rsidR="00830CA9">
              <w:t>s</w:t>
            </w:r>
            <w:r w:rsidR="00B7446C">
              <w:t xml:space="preserve"> </w:t>
            </w:r>
            <w:r w:rsidR="00830CA9" w:rsidRPr="00830CA9">
              <w:t>"</w:t>
            </w:r>
            <w:r w:rsidR="00B7446C">
              <w:t>Par valsts nodevu un maksas pakalpojumu nošķiršanu un nodevu sistēmas pilnveidošanu</w:t>
            </w:r>
            <w:r w:rsidR="00830CA9" w:rsidRPr="00830CA9">
              <w:t>"</w:t>
            </w:r>
            <w:r w:rsidR="00B7446C">
              <w:t xml:space="preserve"> (TA-447)</w:t>
            </w:r>
            <w:r w:rsidR="00830CA9">
              <w:t xml:space="preserve"> (turpmāk – informatīvais ziņojums)</w:t>
            </w:r>
            <w:r w:rsidR="00B7446C">
              <w:t>. Informatīvajā ziņojumā norādīts, ka par maksas pakalpojumu atzīstams tāds iestādes pakalpojums, kas nav saistīts ar politikas mērķu sasniegšanu un tiešā veidā neregulē personas darbību. Vienlaikus kā viens no maksas pakalpojuma nošķiršanas kritērijiem norādīts un par maksas pakalpojumu atzīstams tāds iestādes sniegts pakalpojums, kas nav saistīts ar iestādes pamatdarbību un pakalpojuma saņēmējs to parasti var saņemt sev vēlamā vietā. Atbilstoši Zemesgrāmatu likuma 116.</w:t>
            </w:r>
            <w:r w:rsidR="004106DD">
              <w:t> </w:t>
            </w:r>
            <w:r w:rsidR="00B7446C">
              <w:t>pantā un 133.</w:t>
            </w:r>
            <w:r w:rsidR="004106DD">
              <w:t> </w:t>
            </w:r>
            <w:r w:rsidR="00B7446C">
              <w:t>pantā noteiktajam</w:t>
            </w:r>
            <w:r w:rsidR="002B23A5">
              <w:t xml:space="preserve"> zemesgrāmatas informāciju var saņemt ne tikai zemesgrāmatu nodaļās, bet to sniedz arī valsts vienotās datorizētās zemesgrāmatas turētājs. Ievērojot minēto, kā arī informatīvajā ziņojumā noteiktos maksājuma nošķiršanas kritērijus, atzīstams, ka darbības, kas saistītas ar informācijas izsniegšanu, atzīstam</w:t>
            </w:r>
            <w:r w:rsidR="00CA6C17">
              <w:t>a</w:t>
            </w:r>
            <w:r w:rsidR="002B23A5">
              <w:t>s par tādām iestādes darbībām, kas pārveidojamas par maksas pakalpojumiem. Vienlaikus, ievērojot nostiprinājuma lūdzēja tiesības noteiktos gadījumos izvēlēties apliecināt parakstu pie zvērināta notāra, bāriņtiesā vai zemesgrāmatu nodaļā, nostiprinājuma lūguma apliecināšana atzīstama par maksas pakalpojumu.</w:t>
            </w:r>
          </w:p>
          <w:p w14:paraId="53C4DB1D" w14:textId="1FD701BA" w:rsidR="00FA59AB" w:rsidRDefault="00B45A67" w:rsidP="00A17E08">
            <w:pPr>
              <w:pStyle w:val="naiskr"/>
              <w:tabs>
                <w:tab w:val="left" w:pos="170"/>
              </w:tabs>
              <w:spacing w:before="0" w:after="0"/>
              <w:ind w:left="141" w:right="141"/>
              <w:jc w:val="both"/>
            </w:pPr>
            <w:r w:rsidRPr="001A1981">
              <w:lastRenderedPageBreak/>
              <w:t xml:space="preserve">Ministru kabineta noteikumu projekts </w:t>
            </w:r>
            <w:r w:rsidRPr="00D2289C">
              <w:t>"Grozījumi Ministru kabineta 2013. gada 19. februāra noteikumos Nr. 96 "Noteikumi par tiesas sniegtajiem maksas pakalpojumiem""</w:t>
            </w:r>
            <w:r>
              <w:t xml:space="preserve"> (turpmāk – Noteikumu projekts)</w:t>
            </w:r>
            <w:r w:rsidR="00D86095">
              <w:t xml:space="preserve"> </w:t>
            </w:r>
            <w:r w:rsidR="002B5E52">
              <w:t>paredz ieviest jaunus tiesu iestāžu (zemesgrāmatu nodaļu) maksas pakalpojumus, aizstājot līdzšinējos pakalpojumus, par kuriem maksājamas kancelejas nodevas</w:t>
            </w:r>
            <w:r w:rsidR="002D78DC">
              <w:t xml:space="preserve"> (Zemesgrāmatu likuma 10</w:t>
            </w:r>
            <w:r w:rsidR="001405C6">
              <w:t>7.</w:t>
            </w:r>
            <w:r w:rsidR="004106DD">
              <w:t> </w:t>
            </w:r>
            <w:r w:rsidR="001405C6">
              <w:t>panta pirmās daļas 7., 8., 9.</w:t>
            </w:r>
            <w:r w:rsidR="002D78DC">
              <w:t xml:space="preserve"> un 10.</w:t>
            </w:r>
            <w:r w:rsidR="004106DD">
              <w:t> </w:t>
            </w:r>
            <w:r w:rsidR="002D78DC">
              <w:t>punkts)</w:t>
            </w:r>
            <w:r w:rsidR="002B5E52">
              <w:t>:</w:t>
            </w:r>
          </w:p>
          <w:p w14:paraId="4216CDE3" w14:textId="265ED11E" w:rsidR="002B5E52" w:rsidRDefault="002B5E52" w:rsidP="00A17E08">
            <w:pPr>
              <w:pStyle w:val="naiskr"/>
              <w:tabs>
                <w:tab w:val="left" w:pos="141"/>
              </w:tabs>
              <w:spacing w:before="0" w:after="0"/>
              <w:ind w:left="141" w:right="141"/>
              <w:jc w:val="both"/>
            </w:pPr>
            <w:r>
              <w:t>1) r</w:t>
            </w:r>
            <w:r w:rsidRPr="002B5E52">
              <w:t xml:space="preserve">akstveida </w:t>
            </w:r>
            <w:r w:rsidR="00041CF2">
              <w:t>i</w:t>
            </w:r>
            <w:r w:rsidR="00041CF2" w:rsidRPr="002B5E52">
              <w:t>zziņas</w:t>
            </w:r>
            <w:r w:rsidR="00041CF2">
              <w:t xml:space="preserve"> vai</w:t>
            </w:r>
            <w:r w:rsidRPr="002B5E52">
              <w:t xml:space="preserve"> apliecināta</w:t>
            </w:r>
            <w:r w:rsidR="00041CF2">
              <w:t>s</w:t>
            </w:r>
            <w:r w:rsidRPr="002B5E52">
              <w:t xml:space="preserve"> </w:t>
            </w:r>
            <w:r w:rsidR="00A26A07">
              <w:t xml:space="preserve">nodalījuma </w:t>
            </w:r>
            <w:r w:rsidRPr="002B5E52">
              <w:t xml:space="preserve">datorizdrukas </w:t>
            </w:r>
            <w:r w:rsidR="005866EA" w:rsidRPr="002B5E52">
              <w:t xml:space="preserve">no </w:t>
            </w:r>
            <w:r w:rsidR="00041CF2">
              <w:t>valsts vienotās datorizētās zemesgrāmatas</w:t>
            </w:r>
            <w:r w:rsidR="005866EA" w:rsidRPr="002B5E52">
              <w:t xml:space="preserve"> </w:t>
            </w:r>
            <w:r w:rsidRPr="002B5E52">
              <w:t>sagatavošana un izsniegšana</w:t>
            </w:r>
            <w:r>
              <w:t>;</w:t>
            </w:r>
          </w:p>
          <w:p w14:paraId="7FE55BF2" w14:textId="1E892E5D" w:rsidR="002B5E52" w:rsidRDefault="002B5E52" w:rsidP="00A17E08">
            <w:pPr>
              <w:pStyle w:val="naiskr"/>
              <w:tabs>
                <w:tab w:val="left" w:pos="141"/>
              </w:tabs>
              <w:spacing w:before="0" w:after="0"/>
              <w:ind w:left="141" w:right="141"/>
              <w:jc w:val="both"/>
            </w:pPr>
            <w:r>
              <w:t>2) z</w:t>
            </w:r>
            <w:r w:rsidR="00543619">
              <w:t xml:space="preserve">emesgrāmatas </w:t>
            </w:r>
            <w:r w:rsidRPr="002B5E52">
              <w:t>nostiprinājuma žurnāla un nekustamā īpašuma lietas lasīšana</w:t>
            </w:r>
            <w:r>
              <w:t>;</w:t>
            </w:r>
          </w:p>
          <w:p w14:paraId="1D0554FE" w14:textId="40C99C8C" w:rsidR="002B5E52" w:rsidRDefault="002B5E52" w:rsidP="00A17E08">
            <w:pPr>
              <w:pStyle w:val="naiskr"/>
              <w:tabs>
                <w:tab w:val="left" w:pos="141"/>
              </w:tabs>
              <w:spacing w:before="0" w:after="0"/>
              <w:ind w:left="141" w:right="141"/>
              <w:jc w:val="both"/>
            </w:pPr>
            <w:r>
              <w:t>3) n</w:t>
            </w:r>
            <w:r w:rsidRPr="002B5E52">
              <w:t xml:space="preserve">eapliecinātas datorizdrukas </w:t>
            </w:r>
            <w:r w:rsidR="0052239C">
              <w:t xml:space="preserve">no valsts vienotās datorizētās zemesgrāmatas </w:t>
            </w:r>
            <w:r w:rsidRPr="002B5E52">
              <w:t>izsniegšana vai nosūtīšana elektroniskā veidā</w:t>
            </w:r>
            <w:r>
              <w:t>;</w:t>
            </w:r>
          </w:p>
          <w:p w14:paraId="7E49004D" w14:textId="77777777" w:rsidR="002B5E52" w:rsidRDefault="0075788C" w:rsidP="00A17E08">
            <w:pPr>
              <w:pStyle w:val="naiskr"/>
              <w:tabs>
                <w:tab w:val="left" w:pos="141"/>
              </w:tabs>
              <w:spacing w:before="0" w:after="0"/>
              <w:ind w:left="141"/>
              <w:jc w:val="both"/>
            </w:pPr>
            <w:r>
              <w:t>4) </w:t>
            </w:r>
            <w:r w:rsidR="002B5E52">
              <w:t>n</w:t>
            </w:r>
            <w:r w:rsidR="002B5E52" w:rsidRPr="002B5E52">
              <w:t>ostiprinājuma lūguma apliecināšana</w:t>
            </w:r>
            <w:r w:rsidR="002B5E52">
              <w:t>.</w:t>
            </w:r>
          </w:p>
          <w:p w14:paraId="118774A3" w14:textId="12A6F9DA" w:rsidR="0052239C" w:rsidRDefault="00343E63" w:rsidP="00A17E08">
            <w:pPr>
              <w:pStyle w:val="naiskr"/>
              <w:tabs>
                <w:tab w:val="left" w:pos="141"/>
              </w:tabs>
              <w:spacing w:before="0" w:after="0"/>
              <w:ind w:left="141" w:right="142"/>
              <w:jc w:val="both"/>
            </w:pPr>
            <w:r w:rsidRPr="009F70A9">
              <w:t>Savukārt pakalpojum</w:t>
            </w:r>
            <w:r w:rsidR="00555EDB" w:rsidRPr="009F70A9">
              <w:t>u</w:t>
            </w:r>
            <w:r w:rsidRPr="009F70A9">
              <w:t xml:space="preserve"> – </w:t>
            </w:r>
            <w:r w:rsidR="00F4764E">
              <w:t>dokumenta atvasinājuma</w:t>
            </w:r>
            <w:r w:rsidR="00555EDB" w:rsidRPr="009F70A9">
              <w:t xml:space="preserve"> </w:t>
            </w:r>
            <w:r w:rsidRPr="009F70A9">
              <w:t>sagatavošana un izsniegšana</w:t>
            </w:r>
            <w:r w:rsidR="006C18D5" w:rsidRPr="009F70A9">
              <w:t xml:space="preserve"> –</w:t>
            </w:r>
            <w:r w:rsidRPr="009F70A9">
              <w:t xml:space="preserve"> rajonu (pilsētu) tiesu zemesgrāmatu nodaļas sniegs</w:t>
            </w:r>
            <w:r w:rsidR="006C18D5" w:rsidRPr="009F70A9">
              <w:t>,</w:t>
            </w:r>
            <w:r w:rsidRPr="009F70A9">
              <w:t xml:space="preserve"> </w:t>
            </w:r>
            <w:r w:rsidR="00555EDB" w:rsidRPr="009F70A9">
              <w:t>piemērojot</w:t>
            </w:r>
            <w:r w:rsidRPr="009F70A9">
              <w:t xml:space="preserve"> </w:t>
            </w:r>
            <w:r w:rsidR="006C18D5" w:rsidRPr="009F70A9">
              <w:t>Noteikumu</w:t>
            </w:r>
            <w:r w:rsidRPr="009F70A9">
              <w:t xml:space="preserve"> 2.</w:t>
            </w:r>
            <w:r w:rsidR="00B45A67" w:rsidRPr="009F70A9">
              <w:t> </w:t>
            </w:r>
            <w:r w:rsidRPr="009F70A9">
              <w:t>pielikuma "Tiesu sniegtie maksas pakalpojumi un samaksas apmērs"</w:t>
            </w:r>
            <w:r w:rsidR="00D74C19" w:rsidRPr="009F70A9">
              <w:t xml:space="preserve"> 1., 2.,</w:t>
            </w:r>
            <w:r w:rsidR="006C18D5" w:rsidRPr="009F70A9">
              <w:t xml:space="preserve"> </w:t>
            </w:r>
            <w:r w:rsidR="00D74C19" w:rsidRPr="009F70A9">
              <w:t>4. un 5.</w:t>
            </w:r>
            <w:r w:rsidR="00B45A67" w:rsidRPr="009F70A9">
              <w:t> </w:t>
            </w:r>
            <w:r w:rsidR="00D74C19" w:rsidRPr="009F70A9">
              <w:t>punktā</w:t>
            </w:r>
            <w:r w:rsidR="00555EDB" w:rsidRPr="009F70A9">
              <w:t xml:space="preserve"> ietvertos pakalpojuma veidus un cenu.</w:t>
            </w:r>
          </w:p>
          <w:p w14:paraId="3D7ABD26" w14:textId="70CF96C4" w:rsidR="005866EA" w:rsidRDefault="005866EA" w:rsidP="00A17E08">
            <w:pPr>
              <w:pStyle w:val="naiskr"/>
              <w:tabs>
                <w:tab w:val="left" w:pos="141"/>
              </w:tabs>
              <w:spacing w:before="0" w:after="0"/>
              <w:ind w:left="141" w:right="141"/>
              <w:jc w:val="both"/>
            </w:pPr>
            <w:r>
              <w:t>Pakalpojumu izcenojums aprēķināts</w:t>
            </w:r>
            <w:r w:rsidR="001432CB">
              <w:t xml:space="preserve"> saskaņā ar Ministru kabineta 2011.</w:t>
            </w:r>
            <w:r w:rsidR="004106DD">
              <w:t> </w:t>
            </w:r>
            <w:r w:rsidR="001432CB">
              <w:t>gada 3.</w:t>
            </w:r>
            <w:r w:rsidR="004106DD">
              <w:t> </w:t>
            </w:r>
            <w:r w:rsidR="001432CB">
              <w:t>maija noteikumiem Nr.</w:t>
            </w:r>
            <w:r w:rsidR="004106DD">
              <w:t> </w:t>
            </w:r>
            <w:r w:rsidR="001432CB">
              <w:t xml:space="preserve">333 </w:t>
            </w:r>
            <w:r w:rsidR="004106DD">
              <w:t>"</w:t>
            </w:r>
            <w:r w:rsidR="001432CB">
              <w:t>Kārtība, kādā plānojami un uzskaitāmi ieņēmumi no maksas pakalpojumiem un ar šo pakalpojumu sniegšanu saistītie izdevumi, kā arī maksas pakalpojumu izcenojumu noteikšanas metodika un izcenojuma apstiprināšanas kārtība</w:t>
            </w:r>
            <w:r w:rsidR="0052296D">
              <w:t>"</w:t>
            </w:r>
            <w:r w:rsidR="001432CB">
              <w:t>, līdz ar to, maksas pakalpojumu cena ir atšķirīga no kancelejas nodevas apmēra.</w:t>
            </w:r>
          </w:p>
          <w:p w14:paraId="66D7E040" w14:textId="26FE0580" w:rsidR="000374E5" w:rsidRDefault="000374E5" w:rsidP="00A17E08">
            <w:pPr>
              <w:pStyle w:val="naiskr"/>
              <w:tabs>
                <w:tab w:val="left" w:pos="141"/>
              </w:tabs>
              <w:spacing w:before="0" w:after="0"/>
              <w:ind w:left="141" w:right="141"/>
              <w:jc w:val="both"/>
            </w:pPr>
            <w:r>
              <w:t>Noteikumi papildināti ar Zemesgrāmatu likuma</w:t>
            </w:r>
            <w:r w:rsidR="00471728">
              <w:t xml:space="preserve"> </w:t>
            </w:r>
            <w:r>
              <w:t xml:space="preserve">107. panta ceturtajā daļā noteikto </w:t>
            </w:r>
            <w:r w:rsidR="008973C6">
              <w:t>atbrīvojumu no kancelejas nodevas samaksas, lai pēc šo noteikumu spēkā stāšanās, kancelejas nodevas pārveidojot par maksas pakalpojumiem,</w:t>
            </w:r>
            <w:r w:rsidR="008973C6" w:rsidRPr="00400DCF">
              <w:t xml:space="preserve"> valsts drošības iestādes, Valsts kontrole, prokuratūra, Valsts ieņēmumu dienests, Noziedzīgi iegūtu līdzekļu legalizācijas novēršanas dienests, Korupcijas novēršanas un apkarošanas birojs, Valsts policija un Ārlietu ministrija </w:t>
            </w:r>
            <w:r w:rsidR="008973C6">
              <w:t>saglabātu atbrīvojumu no samaksas.</w:t>
            </w:r>
          </w:p>
          <w:p w14:paraId="688DBC6A" w14:textId="7312755A" w:rsidR="008A0555" w:rsidRDefault="008A0555" w:rsidP="00A17E08">
            <w:pPr>
              <w:pStyle w:val="naiskr"/>
              <w:tabs>
                <w:tab w:val="left" w:pos="141"/>
              </w:tabs>
              <w:spacing w:before="0" w:after="0"/>
              <w:ind w:left="141" w:right="141"/>
              <w:jc w:val="both"/>
            </w:pPr>
            <w:r w:rsidRPr="001A1981">
              <w:t xml:space="preserve">Šobrīd </w:t>
            </w:r>
            <w:r w:rsidR="00D05183">
              <w:t>Notei</w:t>
            </w:r>
            <w:r w:rsidR="006C18D5">
              <w:t>kumi</w:t>
            </w:r>
            <w:r w:rsidRPr="001A1981">
              <w:t xml:space="preserve"> neparedz pienākumu pirms maksājuma veikšanas sagatavot rēķinu, kā rezultātā veidojas atšķirīga prakse, proti, gadījumos, kad persona veic pakalpojuma apmaksu ar maksājumu karti maksājumu karšu pieņemšanas terminālī</w:t>
            </w:r>
            <w:r w:rsidR="00AF0884" w:rsidRPr="001A1981">
              <w:t>, tiek sagatavots rēķins, savukārt, ja persona samaksu veic ar maksājumu pakalpojumu sniedzēja starpniecību</w:t>
            </w:r>
            <w:r w:rsidR="002551D0" w:rsidRPr="001A1981">
              <w:t>, rēķins netiek sagatavots un rezultātā rodas neatbilstības</w:t>
            </w:r>
            <w:r w:rsidR="00DC4044">
              <w:t xml:space="preserve"> (tiek k</w:t>
            </w:r>
            <w:r w:rsidR="005F3254">
              <w:t>ļūdaini izvēl</w:t>
            </w:r>
            <w:r w:rsidR="00DC4044">
              <w:t>ēti</w:t>
            </w:r>
            <w:r w:rsidR="005F3254">
              <w:t xml:space="preserve"> pakalpojuma </w:t>
            </w:r>
            <w:r w:rsidR="00DC4044">
              <w:t>veidi</w:t>
            </w:r>
            <w:r w:rsidR="005F3254">
              <w:t xml:space="preserve"> un aprēķināta </w:t>
            </w:r>
            <w:r w:rsidR="00DC4044">
              <w:t>kopējā maksa par pakalpojumu</w:t>
            </w:r>
            <w:r w:rsidR="00366F77">
              <w:t>,</w:t>
            </w:r>
            <w:r w:rsidR="004563EB">
              <w:t xml:space="preserve"> vai samaksa veikta</w:t>
            </w:r>
            <w:r w:rsidR="00B055D6">
              <w:t xml:space="preserve"> vienā summā un nav iespējas to</w:t>
            </w:r>
            <w:r w:rsidR="00366F77">
              <w:t xml:space="preserve"> uzskaitīt un </w:t>
            </w:r>
            <w:r w:rsidR="004563EB">
              <w:t>grāmatot sadalījumā pa pakalpojumu veidiem</w:t>
            </w:r>
            <w:r w:rsidR="005F3254">
              <w:t>)</w:t>
            </w:r>
            <w:r w:rsidR="004563EB">
              <w:t>.</w:t>
            </w:r>
            <w:r w:rsidR="002551D0" w:rsidRPr="001A1981">
              <w:t xml:space="preserve"> </w:t>
            </w:r>
            <w:bookmarkStart w:id="0" w:name="_Hlk485399568"/>
            <w:r w:rsidR="002551D0" w:rsidRPr="001A1981">
              <w:t xml:space="preserve">Lai nodrošinātu </w:t>
            </w:r>
            <w:r w:rsidR="00787506">
              <w:t>pakalpojumu un samaksas uzskaiti klientu līmenī un sadalījumā pa pakalpojumu veidiem</w:t>
            </w:r>
            <w:r w:rsidR="009212E5">
              <w:t>,</w:t>
            </w:r>
            <w:r w:rsidR="00787506">
              <w:t xml:space="preserve"> budžeta </w:t>
            </w:r>
            <w:r w:rsidR="00787506">
              <w:lastRenderedPageBreak/>
              <w:t>ieņēmumu</w:t>
            </w:r>
            <w:r w:rsidR="009212E5">
              <w:t xml:space="preserve"> plānošanas vajadzībām un pārskatu sagatavošanai par atbrīvojumiem no samaksas par maksas pakalpojumiem</w:t>
            </w:r>
            <w:r w:rsidR="002551D0" w:rsidRPr="001A1981">
              <w:t xml:space="preserve">, </w:t>
            </w:r>
            <w:r w:rsidR="00D2289C">
              <w:t xml:space="preserve">Noteikumu projekts </w:t>
            </w:r>
            <w:r w:rsidR="002551D0" w:rsidRPr="001A1981">
              <w:t>paredz</w:t>
            </w:r>
            <w:r w:rsidR="00FB3BA4">
              <w:t>,</w:t>
            </w:r>
            <w:r w:rsidR="002551D0" w:rsidRPr="001A1981">
              <w:t xml:space="preserve"> ka pe</w:t>
            </w:r>
            <w:r w:rsidR="000B448A">
              <w:t>rsona</w:t>
            </w:r>
            <w:r w:rsidR="00366F77" w:rsidRPr="001A1981">
              <w:t xml:space="preserve"> samaksu </w:t>
            </w:r>
            <w:r w:rsidR="002551D0" w:rsidRPr="001A1981">
              <w:t>par pakalpojumu rajona (pilsētas) tiesā un apgabaltiesā veic saskaņā ar sagatavoto rēķinu.</w:t>
            </w:r>
            <w:bookmarkEnd w:id="0"/>
            <w:r w:rsidR="00A179EC">
              <w:t xml:space="preserve"> </w:t>
            </w:r>
            <w:r w:rsidR="000B448A">
              <w:t xml:space="preserve">Tīmekļa vietnē </w:t>
            </w:r>
            <w:hyperlink r:id="rId8" w:history="1">
              <w:r w:rsidR="000B448A" w:rsidRPr="00F42866">
                <w:rPr>
                  <w:rStyle w:val="Hipersaite"/>
                </w:rPr>
                <w:t>https://manas.tiesas.lv</w:t>
              </w:r>
            </w:hyperlink>
            <w:r w:rsidR="000B448A">
              <w:t xml:space="preserve"> tiks </w:t>
            </w:r>
            <w:r w:rsidR="00A179EC">
              <w:t xml:space="preserve">izstrādāta funkcionalitāte, lai persona varētu ģenerēt rēķinu un tiešsaistē </w:t>
            </w:r>
            <w:r w:rsidR="000B448A">
              <w:t xml:space="preserve">vai ar kredītiestādes starpniecību </w:t>
            </w:r>
            <w:r w:rsidR="00A179EC">
              <w:t>veikt samaksu par pakalpojumu</w:t>
            </w:r>
            <w:r w:rsidR="00A85399">
              <w:t>.</w:t>
            </w:r>
            <w:r w:rsidR="00B45A67">
              <w:t xml:space="preserve"> Ja persona samaksu par pakalpojumu </w:t>
            </w:r>
            <w:r w:rsidR="004563EB">
              <w:t xml:space="preserve">būs </w:t>
            </w:r>
            <w:r w:rsidR="00B45A67">
              <w:t>veikusi</w:t>
            </w:r>
            <w:r w:rsidR="00A85399">
              <w:t xml:space="preserve"> kredītiestādē</w:t>
            </w:r>
            <w:r w:rsidR="00B45A67">
              <w:t xml:space="preserve"> bez pakalpojuma sniedzēja sagatavota rēķina</w:t>
            </w:r>
            <w:r w:rsidR="006C18D5">
              <w:t>,</w:t>
            </w:r>
            <w:r w:rsidR="00B45A67">
              <w:t xml:space="preserve"> un pakalpojuma sniedzējs</w:t>
            </w:r>
            <w:r w:rsidR="00006B4D">
              <w:t xml:space="preserve"> var</w:t>
            </w:r>
            <w:r w:rsidR="00A85399">
              <w:t>ēs</w:t>
            </w:r>
            <w:r w:rsidR="00006B4D">
              <w:t xml:space="preserve"> identificēt samaksas saņemšanu pakalpojuma sniedzēja bankas kontā, tad pakalpojuma sniedzējs izrakst</w:t>
            </w:r>
            <w:r w:rsidR="00A85399">
              <w:t>īs</w:t>
            </w:r>
            <w:r w:rsidR="00006B4D">
              <w:t xml:space="preserve"> rēķinu par pakalpojumu</w:t>
            </w:r>
            <w:r w:rsidR="006C18D5">
              <w:t>,</w:t>
            </w:r>
            <w:r w:rsidR="00006B4D">
              <w:t xml:space="preserve"> un Tiesu administrācija vei</w:t>
            </w:r>
            <w:r w:rsidR="00A85399">
              <w:t>ks</w:t>
            </w:r>
            <w:r w:rsidR="00006B4D">
              <w:t xml:space="preserve"> atbilstošu grāmatvedības uzskaiti – maksājuma un par pakalpojumu izrakstītā rēķina sasaisti. Savukārt, ja pakalpojuma sniedzējs nevar</w:t>
            </w:r>
            <w:r w:rsidR="00A85399">
              <w:t>ēs</w:t>
            </w:r>
            <w:r w:rsidR="00006B4D">
              <w:t xml:space="preserve"> identificēt veikto maksājumu,</w:t>
            </w:r>
            <w:r w:rsidR="00A0658E">
              <w:t xml:space="preserve"> pakalpojums neti</w:t>
            </w:r>
            <w:r w:rsidR="00A85399">
              <w:t>ks</w:t>
            </w:r>
            <w:r w:rsidR="00A0658E">
              <w:t xml:space="preserve"> sniegts, bet</w:t>
            </w:r>
            <w:r w:rsidR="00006B4D">
              <w:t xml:space="preserve"> kļūdain</w:t>
            </w:r>
            <w:r w:rsidR="00A0658E">
              <w:t>i</w:t>
            </w:r>
            <w:r w:rsidR="00006B4D">
              <w:t xml:space="preserve"> </w:t>
            </w:r>
            <w:r w:rsidR="00A0658E">
              <w:t xml:space="preserve">veikta </w:t>
            </w:r>
            <w:r w:rsidR="00006B4D">
              <w:t>maks</w:t>
            </w:r>
            <w:r w:rsidR="00A0658E">
              <w:t>ājuma gadījumā</w:t>
            </w:r>
            <w:r w:rsidR="00006B4D">
              <w:t xml:space="preserve"> </w:t>
            </w:r>
            <w:r w:rsidR="00A85399">
              <w:t>tiks</w:t>
            </w:r>
            <w:r w:rsidR="00006B4D">
              <w:t xml:space="preserve"> atmaksāts</w:t>
            </w:r>
            <w:r w:rsidR="00A0658E">
              <w:t xml:space="preserve"> uz maksātāja iesnieguma</w:t>
            </w:r>
            <w:r w:rsidR="00E7574F">
              <w:t xml:space="preserve"> pamata</w:t>
            </w:r>
            <w:r w:rsidR="00006B4D">
              <w:t>.</w:t>
            </w:r>
          </w:p>
          <w:p w14:paraId="48AB19C9" w14:textId="3E424381" w:rsidR="00A85399" w:rsidRDefault="00A85399" w:rsidP="00A17E08">
            <w:pPr>
              <w:pStyle w:val="naiskr"/>
              <w:tabs>
                <w:tab w:val="left" w:pos="141"/>
              </w:tabs>
              <w:spacing w:before="0" w:after="0"/>
              <w:ind w:left="141" w:right="141"/>
              <w:jc w:val="both"/>
            </w:pPr>
            <w:r>
              <w:t>Augstākajā tiesā pakalpojuma sniegšana un uzskaite, samaksas iekasēšana un grāmatvedības uzskaite ir vienas iestādes ietvaros</w:t>
            </w:r>
            <w:r w:rsidR="00481AF4">
              <w:t>, līdz ar to Augstākajā tiesā nerodas iepriekš norādītās problēmas ar pakalpojumu un maksājumu sasaisti, turklāt sniegto pakalpojumu apjoms ir salīdzinoši neliels</w:t>
            </w:r>
            <w:r w:rsidR="00366F77">
              <w:t xml:space="preserve"> un mēnesī vidēji tiek iekasēti aptuveni 100 </w:t>
            </w:r>
            <w:r w:rsidR="00366F77" w:rsidRPr="00366F77">
              <w:rPr>
                <w:i/>
              </w:rPr>
              <w:t>euro</w:t>
            </w:r>
            <w:r w:rsidR="00366F77">
              <w:rPr>
                <w:i/>
              </w:rPr>
              <w:t>.</w:t>
            </w:r>
            <w:r w:rsidR="00366F77">
              <w:t xml:space="preserve"> Ievērojot norādīto, rēķina sagatavošana par A</w:t>
            </w:r>
            <w:r w:rsidR="004555A0">
              <w:t>u</w:t>
            </w:r>
            <w:r w:rsidR="00366F77">
              <w:t>gstākās tiesas sniegtajiem pakalpojumiem Noteikumu projektā netiek paredzēta.</w:t>
            </w:r>
          </w:p>
          <w:p w14:paraId="7A808305" w14:textId="714D219E" w:rsidR="00A24565" w:rsidRDefault="00A24565" w:rsidP="00A17E08">
            <w:pPr>
              <w:pStyle w:val="naiskr"/>
              <w:tabs>
                <w:tab w:val="left" w:pos="141"/>
              </w:tabs>
              <w:spacing w:before="0" w:after="0"/>
              <w:ind w:left="141" w:right="141"/>
              <w:jc w:val="both"/>
            </w:pPr>
            <w:r>
              <w:t xml:space="preserve">Noteikumu projekts paredz izmaiņas Tieslietu ministrijas budžeta apakšprogrammas 03.02.00 </w:t>
            </w:r>
            <w:r w:rsidR="000F145B">
              <w:t>"Apgabaltiesas un rajonu</w:t>
            </w:r>
            <w:r>
              <w:t xml:space="preserve"> </w:t>
            </w:r>
            <w:r w:rsidR="000F145B">
              <w:t>(</w:t>
            </w:r>
            <w:r>
              <w:t>pilsētu</w:t>
            </w:r>
            <w:r w:rsidR="000F145B">
              <w:t>)</w:t>
            </w:r>
            <w:r>
              <w:t xml:space="preserve"> tiesas" ieņēmumos un izdevumos.</w:t>
            </w:r>
            <w:r w:rsidR="000F145B">
              <w:t xml:space="preserve"> </w:t>
            </w:r>
            <w:r w:rsidR="000374E5">
              <w:t>Izmaiņu ietekme</w:t>
            </w:r>
            <w:r w:rsidR="000F145B">
              <w:t xml:space="preserve"> 2017. gadam aprēķin</w:t>
            </w:r>
            <w:r w:rsidR="000374E5">
              <w:t>āta</w:t>
            </w:r>
            <w:r w:rsidR="000F145B">
              <w:t xml:space="preserve"> 2017.</w:t>
            </w:r>
            <w:r w:rsidR="000B448A">
              <w:t> </w:t>
            </w:r>
            <w:r w:rsidR="000F145B">
              <w:t>gad</w:t>
            </w:r>
            <w:r w:rsidR="000374E5">
              <w:t xml:space="preserve">a </w:t>
            </w:r>
            <w:r w:rsidR="000F145B">
              <w:t>sešu mēnešu periodam.</w:t>
            </w:r>
          </w:p>
          <w:p w14:paraId="709A5456" w14:textId="32B65B8D" w:rsidR="001220D1" w:rsidRPr="00366F77" w:rsidRDefault="001220D1" w:rsidP="00A17E08">
            <w:pPr>
              <w:pStyle w:val="naiskr"/>
              <w:tabs>
                <w:tab w:val="left" w:pos="141"/>
              </w:tabs>
              <w:spacing w:before="0" w:after="0"/>
              <w:ind w:left="141" w:right="141"/>
              <w:jc w:val="both"/>
            </w:pPr>
            <w:r w:rsidRPr="002F02EB">
              <w:t>Tāpat atbilstoši Ministru kabineta 2013. gada 1. oktobra noteikumu Nr.</w:t>
            </w:r>
            <w:r w:rsidR="002F02EB" w:rsidRPr="002F02EB">
              <w:t> </w:t>
            </w:r>
            <w:r w:rsidRPr="002F02EB">
              <w:t xml:space="preserve">1021 </w:t>
            </w:r>
            <w:r w:rsidR="002F02EB" w:rsidRPr="002F02EB">
              <w:t>"</w:t>
            </w:r>
            <w:r w:rsidRPr="002F02EB">
              <w:t>Grozījumi Ministru kabineta 2013. gada 19. februāra noteikumos Nr.</w:t>
            </w:r>
            <w:r w:rsidR="002F02EB" w:rsidRPr="002F02EB">
              <w:t> </w:t>
            </w:r>
            <w:r w:rsidRPr="002F02EB">
              <w:t>96 "Noteikumi par tiesas sniegtajiem maksas pakalpojumiem"</w:t>
            </w:r>
            <w:r w:rsidR="002F02EB" w:rsidRPr="002F02EB">
              <w:t>"</w:t>
            </w:r>
            <w:r w:rsidRPr="002F02EB">
              <w:t xml:space="preserve"> 2. punktam, Noteikumu 1. pielikums bija spēkā līdz 2013. gada 31. decembrim, savukārt Noteikumu 2. pielikums stājās spēkā 2014.</w:t>
            </w:r>
            <w:r w:rsidR="002F02EB" w:rsidRPr="002F02EB">
              <w:t> </w:t>
            </w:r>
            <w:r w:rsidRPr="002F02EB">
              <w:t>gada 1.</w:t>
            </w:r>
            <w:r w:rsidR="002F02EB" w:rsidRPr="002F02EB">
              <w:t> </w:t>
            </w:r>
            <w:r w:rsidRPr="002F02EB">
              <w:t>janvārī. Ņemot vērā, ka pārejas periods 1. pielikuma piemērošanai ir noslēdzies, no Noteikumu 1. punkta svītrojama atsauce uz 1. pielikumu.</w:t>
            </w:r>
          </w:p>
        </w:tc>
      </w:tr>
      <w:tr w:rsidR="00942545" w:rsidRPr="00B36392" w14:paraId="655C5455" w14:textId="77777777" w:rsidTr="003E5F87">
        <w:trPr>
          <w:trHeight w:val="349"/>
        </w:trPr>
        <w:tc>
          <w:tcPr>
            <w:tcW w:w="562" w:type="dxa"/>
          </w:tcPr>
          <w:p w14:paraId="4C652068" w14:textId="77777777" w:rsidR="00942545" w:rsidRPr="00B36392" w:rsidRDefault="00942545" w:rsidP="00942545">
            <w:pPr>
              <w:pStyle w:val="naiskr"/>
              <w:spacing w:before="0" w:after="0"/>
              <w:rPr>
                <w:sz w:val="22"/>
                <w:szCs w:val="22"/>
              </w:rPr>
            </w:pPr>
            <w:r w:rsidRPr="00B36392">
              <w:rPr>
                <w:sz w:val="22"/>
                <w:szCs w:val="22"/>
              </w:rPr>
              <w:lastRenderedPageBreak/>
              <w:t>3.</w:t>
            </w:r>
          </w:p>
        </w:tc>
        <w:tc>
          <w:tcPr>
            <w:tcW w:w="2268" w:type="dxa"/>
          </w:tcPr>
          <w:p w14:paraId="5E99043B" w14:textId="77777777" w:rsidR="00942545" w:rsidRPr="00B36392" w:rsidRDefault="00942545" w:rsidP="00942545">
            <w:pPr>
              <w:pStyle w:val="naiskr"/>
              <w:spacing w:before="0" w:after="0"/>
            </w:pPr>
            <w:r w:rsidRPr="00B36392">
              <w:t>Projekta izstrādē iesaistītās institūcijas</w:t>
            </w:r>
          </w:p>
        </w:tc>
        <w:tc>
          <w:tcPr>
            <w:tcW w:w="6247" w:type="dxa"/>
          </w:tcPr>
          <w:p w14:paraId="2F442C18" w14:textId="558C1E0F" w:rsidR="00942545" w:rsidRPr="00B36392" w:rsidRDefault="00942545" w:rsidP="002F2FC2">
            <w:pPr>
              <w:pStyle w:val="naiskr"/>
              <w:spacing w:before="0" w:after="0"/>
              <w:ind w:left="141"/>
            </w:pPr>
            <w:r w:rsidRPr="00B36392">
              <w:t>Tieslietu ministrija</w:t>
            </w:r>
            <w:r w:rsidR="00905909">
              <w:t>, Tiesu administrācija</w:t>
            </w:r>
            <w:r w:rsidR="001E4A29">
              <w:t>.</w:t>
            </w:r>
          </w:p>
        </w:tc>
      </w:tr>
      <w:tr w:rsidR="00942545" w:rsidRPr="00B36392" w14:paraId="02BFA74D" w14:textId="77777777" w:rsidTr="003E5F87">
        <w:trPr>
          <w:trHeight w:val="277"/>
        </w:trPr>
        <w:tc>
          <w:tcPr>
            <w:tcW w:w="562" w:type="dxa"/>
          </w:tcPr>
          <w:p w14:paraId="221C22E3" w14:textId="77777777" w:rsidR="00942545" w:rsidRPr="00B36392" w:rsidRDefault="00942545" w:rsidP="00942545">
            <w:pPr>
              <w:pStyle w:val="naiskr"/>
              <w:spacing w:before="0" w:after="0"/>
              <w:rPr>
                <w:sz w:val="22"/>
                <w:szCs w:val="22"/>
              </w:rPr>
            </w:pPr>
            <w:r w:rsidRPr="00B36392">
              <w:rPr>
                <w:sz w:val="22"/>
                <w:szCs w:val="22"/>
              </w:rPr>
              <w:t>4.</w:t>
            </w:r>
          </w:p>
        </w:tc>
        <w:tc>
          <w:tcPr>
            <w:tcW w:w="2268" w:type="dxa"/>
          </w:tcPr>
          <w:p w14:paraId="2C73286C" w14:textId="77777777" w:rsidR="00942545" w:rsidRPr="00B36392" w:rsidRDefault="00942545" w:rsidP="00942545">
            <w:pPr>
              <w:pStyle w:val="naiskr"/>
              <w:spacing w:before="0" w:after="0"/>
            </w:pPr>
            <w:r w:rsidRPr="00B36392">
              <w:t>Cita informācija</w:t>
            </w:r>
          </w:p>
        </w:tc>
        <w:tc>
          <w:tcPr>
            <w:tcW w:w="6247" w:type="dxa"/>
          </w:tcPr>
          <w:p w14:paraId="58E2756C" w14:textId="6A73C689" w:rsidR="00942545" w:rsidRPr="00B36392" w:rsidRDefault="00942545" w:rsidP="002F2FC2">
            <w:pPr>
              <w:pStyle w:val="naiskr"/>
              <w:spacing w:before="0" w:after="0"/>
              <w:ind w:left="141"/>
            </w:pPr>
            <w:r w:rsidRPr="00B36392">
              <w:t>Nav</w:t>
            </w:r>
            <w:r w:rsidR="00275CA2">
              <w:t>.</w:t>
            </w:r>
          </w:p>
        </w:tc>
      </w:tr>
    </w:tbl>
    <w:p w14:paraId="0D81DA24" w14:textId="77777777" w:rsidR="00B0598D" w:rsidRPr="00B36392" w:rsidRDefault="00B0598D" w:rsidP="006C4607">
      <w:pPr>
        <w:pStyle w:val="naisf"/>
        <w:spacing w:before="0" w:after="0"/>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835"/>
        <w:gridCol w:w="5675"/>
      </w:tblGrid>
      <w:tr w:rsidR="0062298A" w:rsidRPr="00B36392" w14:paraId="3FB50C0E" w14:textId="77777777" w:rsidTr="004773F3">
        <w:trPr>
          <w:trHeight w:val="280"/>
        </w:trPr>
        <w:tc>
          <w:tcPr>
            <w:tcW w:w="9072" w:type="dxa"/>
            <w:gridSpan w:val="3"/>
            <w:vAlign w:val="center"/>
          </w:tcPr>
          <w:p w14:paraId="499A4E27" w14:textId="77777777" w:rsidR="0062298A" w:rsidRPr="00B36392" w:rsidRDefault="0062298A" w:rsidP="006C4607">
            <w:pPr>
              <w:pStyle w:val="naisnod"/>
              <w:spacing w:before="0" w:after="0"/>
            </w:pPr>
            <w:r w:rsidRPr="00B36392">
              <w:t>II</w:t>
            </w:r>
            <w:r w:rsidR="000941C5" w:rsidRPr="00B36392">
              <w:t>.</w:t>
            </w:r>
            <w:r w:rsidRPr="00B36392">
              <w:t xml:space="preserve"> Tiesību akta projekta ietekme uz sabiedrību</w:t>
            </w:r>
            <w:r w:rsidR="00942545">
              <w:t>, tautsaimniecības attīstību un administratīvo slogu</w:t>
            </w:r>
          </w:p>
        </w:tc>
      </w:tr>
      <w:tr w:rsidR="0062298A" w:rsidRPr="00B36392" w14:paraId="10861442" w14:textId="77777777" w:rsidTr="003E5F87">
        <w:trPr>
          <w:trHeight w:val="852"/>
        </w:trPr>
        <w:tc>
          <w:tcPr>
            <w:tcW w:w="562" w:type="dxa"/>
          </w:tcPr>
          <w:p w14:paraId="1F9C3F6B" w14:textId="77777777" w:rsidR="0062298A" w:rsidRPr="00B36392" w:rsidRDefault="0062298A" w:rsidP="00EF482E">
            <w:pPr>
              <w:pStyle w:val="naiskr"/>
              <w:spacing w:before="0" w:after="0"/>
              <w:rPr>
                <w:sz w:val="22"/>
                <w:szCs w:val="22"/>
              </w:rPr>
            </w:pPr>
            <w:r w:rsidRPr="00B36392">
              <w:rPr>
                <w:sz w:val="22"/>
                <w:szCs w:val="22"/>
              </w:rPr>
              <w:t>1.</w:t>
            </w:r>
          </w:p>
        </w:tc>
        <w:tc>
          <w:tcPr>
            <w:tcW w:w="2835" w:type="dxa"/>
          </w:tcPr>
          <w:p w14:paraId="4839A68A" w14:textId="77777777" w:rsidR="0062298A" w:rsidRPr="00B36392" w:rsidRDefault="00C27A08" w:rsidP="006C4607">
            <w:pPr>
              <w:pStyle w:val="naiskr"/>
              <w:spacing w:before="0" w:after="0"/>
            </w:pPr>
            <w:r w:rsidRPr="00B36392">
              <w:t>Sabiedrības mērķgrupa</w:t>
            </w:r>
            <w:r w:rsidR="00942545">
              <w:t>, kuras tiesiskais regulējums ietekmē vai varētu ietekmēt</w:t>
            </w:r>
          </w:p>
        </w:tc>
        <w:tc>
          <w:tcPr>
            <w:tcW w:w="5675" w:type="dxa"/>
          </w:tcPr>
          <w:p w14:paraId="66B6DE96" w14:textId="0B4DB6D7" w:rsidR="005D21BA" w:rsidRPr="00B36392" w:rsidRDefault="00BD0B81" w:rsidP="002F2FC2">
            <w:pPr>
              <w:pStyle w:val="naiskr"/>
              <w:spacing w:before="0" w:after="0"/>
              <w:ind w:left="142" w:right="141"/>
              <w:jc w:val="both"/>
            </w:pPr>
            <w:r>
              <w:rPr>
                <w:iCs/>
              </w:rPr>
              <w:t xml:space="preserve">Noteikumu projekta mērķgrupa ir personas, kuras vēlēsies saņemt pakalpojumus, kas noteikti Noteikumu projektā. Atbilstoši datiem par iepriekšējos periodos izmantoto pakalpojumu skaitu, par kuriem maksājama kancelejas nodeva, prognozējams, ka </w:t>
            </w:r>
            <w:r w:rsidR="00A26A07">
              <w:rPr>
                <w:iCs/>
              </w:rPr>
              <w:t>700</w:t>
            </w:r>
            <w:r w:rsidR="00EB36C0" w:rsidRPr="00DF3E9E">
              <w:rPr>
                <w:iCs/>
              </w:rPr>
              <w:t xml:space="preserve">, jeb </w:t>
            </w:r>
            <w:r w:rsidR="00A26A07">
              <w:rPr>
                <w:iCs/>
              </w:rPr>
              <w:t>3</w:t>
            </w:r>
            <w:r w:rsidR="00A26A07" w:rsidRPr="00DF3E9E">
              <w:rPr>
                <w:iCs/>
              </w:rPr>
              <w:t xml:space="preserve"> </w:t>
            </w:r>
            <w:r w:rsidR="00EB36C0" w:rsidRPr="00DF3E9E">
              <w:rPr>
                <w:iCs/>
              </w:rPr>
              <w:lastRenderedPageBreak/>
              <w:t>procentiem potenciālo klientu, kuri izmantos pakalpojumu</w:t>
            </w:r>
            <w:r w:rsidR="00EB36C0" w:rsidRPr="00DF3E9E">
              <w:t xml:space="preserve"> </w:t>
            </w:r>
            <w:r w:rsidR="0047376D">
              <w:t xml:space="preserve">– </w:t>
            </w:r>
            <w:r w:rsidR="00EB36C0" w:rsidRPr="00DF3E9E">
              <w:t xml:space="preserve">zemesgrāmatas nostiprinājuma žurnāla un nekustamā īpašuma lietas lasīšana, izdevumi pieaugs par </w:t>
            </w:r>
            <w:r w:rsidR="00D86285">
              <w:t>314</w:t>
            </w:r>
            <w:r w:rsidR="00D86285" w:rsidRPr="00DF3E9E">
              <w:t xml:space="preserve"> </w:t>
            </w:r>
            <w:r w:rsidR="00EB36C0" w:rsidRPr="00DF3E9E">
              <w:t>procentiem,</w:t>
            </w:r>
            <w:r w:rsidR="00D86285">
              <w:t xml:space="preserve"> savukārt</w:t>
            </w:r>
            <w:r w:rsidR="00EB36C0" w:rsidRPr="00DF3E9E">
              <w:t xml:space="preserve"> </w:t>
            </w:r>
            <w:r w:rsidR="00D86285">
              <w:t>10 000</w:t>
            </w:r>
            <w:r w:rsidR="00EB36C0" w:rsidRPr="00DF3E9E">
              <w:t xml:space="preserve">, jeb </w:t>
            </w:r>
            <w:r w:rsidR="00D86285">
              <w:t>46</w:t>
            </w:r>
            <w:r w:rsidR="00D86285" w:rsidRPr="00DF3E9E">
              <w:t xml:space="preserve"> </w:t>
            </w:r>
            <w:r w:rsidR="00EB36C0" w:rsidRPr="00DF3E9E">
              <w:t>procentiem</w:t>
            </w:r>
            <w:r w:rsidR="00EB36C0">
              <w:t xml:space="preserve"> </w:t>
            </w:r>
            <w:r w:rsidR="00EB36C0" w:rsidRPr="00DF3E9E">
              <w:t xml:space="preserve">klientu, kuri izmantos pakalpojumu </w:t>
            </w:r>
            <w:r w:rsidR="0047376D">
              <w:t xml:space="preserve">– </w:t>
            </w:r>
            <w:r w:rsidR="00EB36C0" w:rsidRPr="00DF3E9E">
              <w:t xml:space="preserve">rakstveida </w:t>
            </w:r>
            <w:r w:rsidR="00D86285">
              <w:t>i</w:t>
            </w:r>
            <w:r w:rsidR="00D86285" w:rsidRPr="00DF3E9E">
              <w:t>zziņas</w:t>
            </w:r>
            <w:r w:rsidR="00D86285">
              <w:t xml:space="preserve"> vai</w:t>
            </w:r>
            <w:r w:rsidR="00EB36C0" w:rsidRPr="00DF3E9E">
              <w:t xml:space="preserve"> apliecināta</w:t>
            </w:r>
            <w:r w:rsidR="00D86285">
              <w:t>s nodalījuma</w:t>
            </w:r>
            <w:r w:rsidR="00EB36C0" w:rsidRPr="00DF3E9E">
              <w:t xml:space="preserve"> </w:t>
            </w:r>
            <w:r w:rsidR="00EB36C0">
              <w:t>datorizdrukas</w:t>
            </w:r>
            <w:r w:rsidR="00EB36C0" w:rsidRPr="00DF3E9E">
              <w:t xml:space="preserve"> no</w:t>
            </w:r>
            <w:r w:rsidR="00D86285">
              <w:t xml:space="preserve"> valsts vienotās datorizētās </w:t>
            </w:r>
            <w:r w:rsidR="00EB36C0" w:rsidRPr="00DF3E9E">
              <w:t xml:space="preserve">zemesgrāmatas </w:t>
            </w:r>
            <w:r w:rsidR="00551730">
              <w:t>sagatavošana un izsniegšana,</w:t>
            </w:r>
            <w:r w:rsidR="00EB36C0" w:rsidRPr="00DF3E9E">
              <w:t xml:space="preserve"> izdevumi </w:t>
            </w:r>
            <w:r w:rsidR="00D86285">
              <w:t xml:space="preserve">samazināsies </w:t>
            </w:r>
            <w:r w:rsidR="00EB36C0" w:rsidRPr="00DF3E9E">
              <w:t xml:space="preserve">par </w:t>
            </w:r>
            <w:r w:rsidR="00D86285">
              <w:t>13</w:t>
            </w:r>
            <w:r w:rsidR="00EB36C0" w:rsidRPr="00DF3E9E">
              <w:t xml:space="preserve"> procentiem</w:t>
            </w:r>
            <w:r w:rsidR="00D86285">
              <w:t>,</w:t>
            </w:r>
            <w:r w:rsidR="00EB36C0" w:rsidRPr="00DF3E9E">
              <w:t xml:space="preserve"> </w:t>
            </w:r>
            <w:r w:rsidR="00D86285">
              <w:t>2000</w:t>
            </w:r>
            <w:r w:rsidR="00EB36C0" w:rsidRPr="00DF3E9E">
              <w:t xml:space="preserve">, jeb </w:t>
            </w:r>
            <w:r w:rsidR="00D86285">
              <w:t xml:space="preserve">9 </w:t>
            </w:r>
            <w:r w:rsidR="00551730">
              <w:t>procentiem</w:t>
            </w:r>
            <w:r w:rsidR="00EB36C0" w:rsidRPr="00DF3E9E">
              <w:t xml:space="preserve"> klientu, kuri izmantos pakalpojumu</w:t>
            </w:r>
            <w:r w:rsidR="0047376D">
              <w:t xml:space="preserve"> –</w:t>
            </w:r>
            <w:r w:rsidR="00EB36C0" w:rsidRPr="00DF3E9E">
              <w:t xml:space="preserve"> neapliecinātas datorizdrukas</w:t>
            </w:r>
            <w:r w:rsidR="00ED13CA">
              <w:t xml:space="preserve"> no valsts vienotās datorizētās zemesgrāmatas</w:t>
            </w:r>
            <w:r w:rsidR="00EB36C0" w:rsidRPr="00DF3E9E">
              <w:t xml:space="preserve"> izsniegšana vai nosūtīšana elektroniskā veidā, izdevumi </w:t>
            </w:r>
            <w:r w:rsidR="00ED13CA">
              <w:t xml:space="preserve">samazināsies </w:t>
            </w:r>
            <w:r w:rsidR="00EB36C0" w:rsidRPr="00DF3E9E">
              <w:t xml:space="preserve">par </w:t>
            </w:r>
            <w:r w:rsidR="00ED13CA">
              <w:t>12</w:t>
            </w:r>
            <w:r w:rsidR="00EB36C0" w:rsidRPr="00DF3E9E">
              <w:t xml:space="preserve"> procentiem</w:t>
            </w:r>
            <w:r w:rsidR="00EB36C0">
              <w:t xml:space="preserve"> </w:t>
            </w:r>
            <w:r w:rsidR="00ED13CA">
              <w:t xml:space="preserve">un </w:t>
            </w:r>
            <w:r w:rsidR="00EB36C0" w:rsidRPr="00DF3E9E">
              <w:t xml:space="preserve">9200, jeb </w:t>
            </w:r>
            <w:r w:rsidR="00ED13CA">
              <w:t xml:space="preserve">42 </w:t>
            </w:r>
            <w:r w:rsidR="00551730">
              <w:t>procentiem</w:t>
            </w:r>
            <w:r w:rsidR="00EB36C0" w:rsidRPr="00DF3E9E">
              <w:t xml:space="preserve"> potenciālo klientu, kuri izmantos pak</w:t>
            </w:r>
            <w:r w:rsidR="00EB36C0">
              <w:t xml:space="preserve">alpojumu </w:t>
            </w:r>
            <w:r w:rsidR="0047376D">
              <w:t xml:space="preserve">– </w:t>
            </w:r>
            <w:r w:rsidR="00EB36C0" w:rsidRPr="00DF3E9E">
              <w:t>nostiprinājuma lūguma apliecināšana,</w:t>
            </w:r>
            <w:r w:rsidR="00EB36C0">
              <w:t xml:space="preserve"> </w:t>
            </w:r>
            <w:r w:rsidR="00EB36C0" w:rsidRPr="00DF3E9E">
              <w:t xml:space="preserve">izdevumi samazināsies par </w:t>
            </w:r>
            <w:r w:rsidR="0049205A">
              <w:t>4</w:t>
            </w:r>
            <w:r w:rsidR="00ED13CA">
              <w:t>0</w:t>
            </w:r>
            <w:r w:rsidR="00ED13CA" w:rsidRPr="00DF3E9E">
              <w:t xml:space="preserve"> </w:t>
            </w:r>
            <w:r w:rsidR="00EB36C0" w:rsidRPr="00DF3E9E">
              <w:t>procentiem.</w:t>
            </w:r>
          </w:p>
        </w:tc>
      </w:tr>
      <w:tr w:rsidR="0062298A" w:rsidRPr="00B36392" w14:paraId="25AA07A0" w14:textId="77777777" w:rsidTr="003E5F87">
        <w:trPr>
          <w:trHeight w:val="1124"/>
        </w:trPr>
        <w:tc>
          <w:tcPr>
            <w:tcW w:w="562" w:type="dxa"/>
          </w:tcPr>
          <w:p w14:paraId="02C3F3CF" w14:textId="77777777" w:rsidR="0062298A" w:rsidRPr="00B36392" w:rsidRDefault="0062298A" w:rsidP="00EF482E">
            <w:pPr>
              <w:pStyle w:val="naiskr"/>
              <w:spacing w:before="0" w:after="0"/>
              <w:rPr>
                <w:sz w:val="22"/>
                <w:szCs w:val="22"/>
              </w:rPr>
            </w:pPr>
            <w:r w:rsidRPr="00B36392">
              <w:rPr>
                <w:sz w:val="22"/>
                <w:szCs w:val="22"/>
              </w:rPr>
              <w:lastRenderedPageBreak/>
              <w:t>2.</w:t>
            </w:r>
          </w:p>
        </w:tc>
        <w:tc>
          <w:tcPr>
            <w:tcW w:w="2835" w:type="dxa"/>
          </w:tcPr>
          <w:p w14:paraId="326CF8C8" w14:textId="77777777" w:rsidR="00C1133D" w:rsidRPr="00B36392" w:rsidRDefault="00942545" w:rsidP="006C4607">
            <w:pPr>
              <w:pStyle w:val="naiskr"/>
              <w:spacing w:before="0" w:after="0"/>
            </w:pPr>
            <w:r>
              <w:t>Tiesiskā regulējuma ietekme uz tautsaimniecību un administratīvo slogu</w:t>
            </w:r>
          </w:p>
        </w:tc>
        <w:tc>
          <w:tcPr>
            <w:tcW w:w="5675" w:type="dxa"/>
          </w:tcPr>
          <w:p w14:paraId="67F10DC4" w14:textId="1990935E" w:rsidR="001F6AA8" w:rsidRPr="00AE7821" w:rsidRDefault="00AE7821" w:rsidP="00AE7821">
            <w:pPr>
              <w:pStyle w:val="naisc"/>
              <w:spacing w:before="0" w:after="0"/>
              <w:ind w:left="122" w:right="148" w:hanging="5"/>
              <w:jc w:val="both"/>
              <w:rPr>
                <w:i/>
                <w:u w:val="single"/>
              </w:rPr>
            </w:pPr>
            <w:r w:rsidRPr="004756C2">
              <w:t xml:space="preserve">Sabiedrības grupām </w:t>
            </w:r>
            <w:r>
              <w:t xml:space="preserve">Noteikumu </w:t>
            </w:r>
            <w:r w:rsidRPr="004756C2">
              <w:t>projekta tiesiskais regulējums nemaina tiesības un pienākumus, kā arī veicamās darbības</w:t>
            </w:r>
            <w:r>
              <w:t>, savukārt attiecībā uz institūcijām –</w:t>
            </w:r>
            <w:r w:rsidRPr="00AE7821">
              <w:t>Valsts ieņēmumu dienesta pienākumi attiecībā uz pārmaksāto vai nepareizi iemaksāto kancelejas nodevu summu atmaksāšanu ar grozījumu Noteikumos spēkā stāšanos būs Tiesu administrācijas kompetencē.</w:t>
            </w:r>
          </w:p>
        </w:tc>
      </w:tr>
      <w:tr w:rsidR="00942545" w:rsidRPr="00B36392" w14:paraId="0447A0F4" w14:textId="77777777" w:rsidTr="003E5F87">
        <w:trPr>
          <w:trHeight w:val="528"/>
        </w:trPr>
        <w:tc>
          <w:tcPr>
            <w:tcW w:w="562" w:type="dxa"/>
          </w:tcPr>
          <w:p w14:paraId="06F33C6D" w14:textId="77777777" w:rsidR="00942545" w:rsidRPr="00B36392" w:rsidRDefault="00942545" w:rsidP="00EF482E">
            <w:pPr>
              <w:pStyle w:val="naiskr"/>
              <w:spacing w:before="0" w:after="0"/>
              <w:rPr>
                <w:sz w:val="22"/>
                <w:szCs w:val="22"/>
              </w:rPr>
            </w:pPr>
            <w:r>
              <w:rPr>
                <w:sz w:val="22"/>
                <w:szCs w:val="22"/>
              </w:rPr>
              <w:t>3.</w:t>
            </w:r>
          </w:p>
        </w:tc>
        <w:tc>
          <w:tcPr>
            <w:tcW w:w="2835" w:type="dxa"/>
          </w:tcPr>
          <w:p w14:paraId="3C61D706" w14:textId="77777777" w:rsidR="00942545" w:rsidRPr="00B36392" w:rsidRDefault="00942545" w:rsidP="00942545">
            <w:pPr>
              <w:pStyle w:val="naiskr"/>
              <w:spacing w:before="0" w:after="0"/>
            </w:pPr>
            <w:r w:rsidRPr="00B36392">
              <w:t>Administratīvo izmaksu monetārs novērtējums</w:t>
            </w:r>
          </w:p>
        </w:tc>
        <w:tc>
          <w:tcPr>
            <w:tcW w:w="5675" w:type="dxa"/>
          </w:tcPr>
          <w:p w14:paraId="1082C837" w14:textId="0B8B0F12" w:rsidR="00942545" w:rsidRPr="00B36392" w:rsidRDefault="00E54186" w:rsidP="002F2FC2">
            <w:pPr>
              <w:pStyle w:val="naiskr"/>
              <w:spacing w:before="0" w:after="0"/>
              <w:ind w:left="142" w:right="151"/>
              <w:jc w:val="both"/>
            </w:pPr>
            <w:r>
              <w:t>Noteikumu p</w:t>
            </w:r>
            <w:r w:rsidR="006F1261">
              <w:t>rojekts šo jomu neskar.</w:t>
            </w:r>
          </w:p>
        </w:tc>
      </w:tr>
      <w:tr w:rsidR="00B240E2" w:rsidRPr="00B36392" w14:paraId="54B662E5" w14:textId="77777777" w:rsidTr="003E5F87">
        <w:trPr>
          <w:trHeight w:val="390"/>
        </w:trPr>
        <w:tc>
          <w:tcPr>
            <w:tcW w:w="562" w:type="dxa"/>
          </w:tcPr>
          <w:p w14:paraId="52DFAE23" w14:textId="73FCCD92" w:rsidR="00B240E2" w:rsidRDefault="00B240E2" w:rsidP="00EF482E">
            <w:pPr>
              <w:pStyle w:val="naiskr"/>
              <w:spacing w:before="0" w:after="0"/>
              <w:rPr>
                <w:sz w:val="22"/>
                <w:szCs w:val="22"/>
              </w:rPr>
            </w:pPr>
            <w:r>
              <w:rPr>
                <w:sz w:val="22"/>
                <w:szCs w:val="22"/>
              </w:rPr>
              <w:t>4.</w:t>
            </w:r>
          </w:p>
        </w:tc>
        <w:tc>
          <w:tcPr>
            <w:tcW w:w="2835" w:type="dxa"/>
          </w:tcPr>
          <w:p w14:paraId="6A28699A" w14:textId="49154FB1" w:rsidR="00B240E2" w:rsidRPr="00B36392" w:rsidRDefault="00B240E2" w:rsidP="00942545">
            <w:pPr>
              <w:pStyle w:val="naiskr"/>
              <w:spacing w:before="0" w:after="0"/>
            </w:pPr>
            <w:r>
              <w:t>Cita informācija</w:t>
            </w:r>
          </w:p>
        </w:tc>
        <w:tc>
          <w:tcPr>
            <w:tcW w:w="5675" w:type="dxa"/>
          </w:tcPr>
          <w:p w14:paraId="2B682093" w14:textId="519F0BDF" w:rsidR="00B240E2" w:rsidRDefault="00B240E2" w:rsidP="002F2FC2">
            <w:pPr>
              <w:pStyle w:val="naiskr"/>
              <w:spacing w:before="0" w:after="0"/>
              <w:ind w:left="142" w:right="151"/>
              <w:jc w:val="both"/>
            </w:pPr>
            <w:r>
              <w:t>Nav.</w:t>
            </w:r>
          </w:p>
        </w:tc>
      </w:tr>
    </w:tbl>
    <w:p w14:paraId="4AF6623E" w14:textId="77777777" w:rsidR="008C5649" w:rsidRDefault="008C5649" w:rsidP="006C4607">
      <w:pPr>
        <w:pStyle w:val="naisf"/>
        <w:spacing w:before="0" w:after="0"/>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64"/>
        <w:gridCol w:w="1701"/>
        <w:gridCol w:w="1417"/>
        <w:gridCol w:w="1418"/>
        <w:gridCol w:w="1588"/>
      </w:tblGrid>
      <w:tr w:rsidR="00124F12" w:rsidRPr="005F50FF" w14:paraId="1CB4F72A" w14:textId="77777777" w:rsidTr="004773F3">
        <w:trPr>
          <w:trHeight w:val="18"/>
        </w:trPr>
        <w:tc>
          <w:tcPr>
            <w:tcW w:w="9356" w:type="dxa"/>
            <w:gridSpan w:val="6"/>
          </w:tcPr>
          <w:p w14:paraId="6923C7CD" w14:textId="77777777" w:rsidR="00124F12" w:rsidRPr="00C50440" w:rsidRDefault="00124F12" w:rsidP="006C4607">
            <w:pPr>
              <w:pStyle w:val="naisnod"/>
              <w:spacing w:before="0" w:after="0"/>
              <w:rPr>
                <w:i/>
              </w:rPr>
            </w:pPr>
            <w:r w:rsidRPr="00C50440">
              <w:br w:type="page"/>
              <w:t>III</w:t>
            </w:r>
            <w:r w:rsidR="000941C5" w:rsidRPr="00C50440">
              <w:t>.</w:t>
            </w:r>
            <w:r w:rsidRPr="00C50440">
              <w:t xml:space="preserve"> Tiesību akta projekta ietekme uz valsts budžetu un pašvaldību budžetiem</w:t>
            </w:r>
          </w:p>
        </w:tc>
      </w:tr>
      <w:tr w:rsidR="00813E4B" w:rsidRPr="005F50FF" w14:paraId="15CA6B51" w14:textId="77777777" w:rsidTr="004773F3">
        <w:trPr>
          <w:trHeight w:val="4"/>
        </w:trPr>
        <w:tc>
          <w:tcPr>
            <w:tcW w:w="2268" w:type="dxa"/>
            <w:vMerge w:val="restart"/>
            <w:vAlign w:val="center"/>
          </w:tcPr>
          <w:p w14:paraId="657ACB1D" w14:textId="77777777" w:rsidR="00124F12" w:rsidRPr="00C50440" w:rsidRDefault="00124F12" w:rsidP="006C4607">
            <w:pPr>
              <w:pStyle w:val="naisf"/>
              <w:spacing w:before="0" w:after="0"/>
              <w:ind w:firstLine="0"/>
              <w:jc w:val="center"/>
              <w:rPr>
                <w:b/>
              </w:rPr>
            </w:pPr>
            <w:r w:rsidRPr="00C50440">
              <w:rPr>
                <w:b/>
              </w:rPr>
              <w:t>Rādītāji</w:t>
            </w:r>
          </w:p>
        </w:tc>
        <w:tc>
          <w:tcPr>
            <w:tcW w:w="2665" w:type="dxa"/>
            <w:gridSpan w:val="2"/>
            <w:vMerge w:val="restart"/>
            <w:vAlign w:val="center"/>
          </w:tcPr>
          <w:p w14:paraId="32CF14F7" w14:textId="29ED1EFE" w:rsidR="00124F12" w:rsidRPr="00C50440" w:rsidRDefault="00ED13CA" w:rsidP="00ED13CA">
            <w:pPr>
              <w:pStyle w:val="naisf"/>
              <w:spacing w:before="0" w:after="0"/>
              <w:ind w:firstLine="0"/>
              <w:jc w:val="center"/>
              <w:rPr>
                <w:b/>
              </w:rPr>
            </w:pPr>
            <w:r>
              <w:rPr>
                <w:b/>
              </w:rPr>
              <w:t>2017</w:t>
            </w:r>
            <w:r w:rsidR="00275CA2">
              <w:rPr>
                <w:b/>
              </w:rPr>
              <w:t>. gads</w:t>
            </w:r>
          </w:p>
        </w:tc>
        <w:tc>
          <w:tcPr>
            <w:tcW w:w="4423" w:type="dxa"/>
            <w:gridSpan w:val="3"/>
            <w:vAlign w:val="center"/>
          </w:tcPr>
          <w:p w14:paraId="4D64241E" w14:textId="77777777" w:rsidR="00124F12" w:rsidRPr="00C50440" w:rsidRDefault="00124F12" w:rsidP="003D6FDE">
            <w:pPr>
              <w:pStyle w:val="naisf"/>
              <w:spacing w:before="0" w:after="0"/>
              <w:ind w:firstLine="0"/>
              <w:jc w:val="center"/>
              <w:rPr>
                <w:b/>
                <w:i/>
              </w:rPr>
            </w:pPr>
            <w:r w:rsidRPr="00C50440">
              <w:t>Turpmākie trīs gadi</w:t>
            </w:r>
            <w:r w:rsidR="00F449BB" w:rsidRPr="00C50440">
              <w:t xml:space="preserve"> (EUR</w:t>
            </w:r>
            <w:r w:rsidR="009E12D7" w:rsidRPr="00C50440">
              <w:t>)</w:t>
            </w:r>
          </w:p>
        </w:tc>
      </w:tr>
      <w:tr w:rsidR="00813E4B" w:rsidRPr="005F50FF" w14:paraId="3C97F3C5" w14:textId="77777777" w:rsidTr="004773F3">
        <w:trPr>
          <w:trHeight w:val="4"/>
        </w:trPr>
        <w:tc>
          <w:tcPr>
            <w:tcW w:w="2268" w:type="dxa"/>
            <w:vMerge/>
            <w:vAlign w:val="center"/>
          </w:tcPr>
          <w:p w14:paraId="1183C2CB" w14:textId="77777777" w:rsidR="00124F12" w:rsidRPr="005F50FF" w:rsidRDefault="00124F12" w:rsidP="006C4607">
            <w:pPr>
              <w:pStyle w:val="naisf"/>
              <w:spacing w:before="0" w:after="0"/>
              <w:ind w:firstLine="0"/>
              <w:jc w:val="center"/>
              <w:rPr>
                <w:b/>
                <w:i/>
                <w:sz w:val="22"/>
                <w:szCs w:val="22"/>
              </w:rPr>
            </w:pPr>
          </w:p>
        </w:tc>
        <w:tc>
          <w:tcPr>
            <w:tcW w:w="2665" w:type="dxa"/>
            <w:gridSpan w:val="2"/>
            <w:vMerge/>
            <w:vAlign w:val="center"/>
          </w:tcPr>
          <w:p w14:paraId="06D49A59" w14:textId="77777777" w:rsidR="00124F12" w:rsidRPr="00C50440" w:rsidRDefault="00124F12" w:rsidP="006C4607">
            <w:pPr>
              <w:pStyle w:val="naisf"/>
              <w:spacing w:before="0" w:after="0"/>
              <w:ind w:firstLine="0"/>
              <w:jc w:val="center"/>
              <w:rPr>
                <w:b/>
                <w:i/>
              </w:rPr>
            </w:pPr>
          </w:p>
        </w:tc>
        <w:tc>
          <w:tcPr>
            <w:tcW w:w="1417" w:type="dxa"/>
            <w:vAlign w:val="center"/>
          </w:tcPr>
          <w:p w14:paraId="25320F71" w14:textId="2ECF16C8" w:rsidR="00124F12" w:rsidRPr="00C50440" w:rsidRDefault="00ED13CA" w:rsidP="00ED13CA">
            <w:pPr>
              <w:pStyle w:val="naisf"/>
              <w:spacing w:before="0" w:after="0"/>
              <w:ind w:firstLine="0"/>
              <w:jc w:val="center"/>
              <w:rPr>
                <w:b/>
                <w:i/>
              </w:rPr>
            </w:pPr>
            <w:r w:rsidRPr="00C50440">
              <w:rPr>
                <w:b/>
                <w:bCs/>
              </w:rPr>
              <w:t>201</w:t>
            </w:r>
            <w:r>
              <w:rPr>
                <w:b/>
                <w:bCs/>
              </w:rPr>
              <w:t>8</w:t>
            </w:r>
          </w:p>
        </w:tc>
        <w:tc>
          <w:tcPr>
            <w:tcW w:w="1418" w:type="dxa"/>
            <w:vAlign w:val="center"/>
          </w:tcPr>
          <w:p w14:paraId="0C8723FE" w14:textId="62826BE0" w:rsidR="00124F12" w:rsidRPr="00C50440" w:rsidRDefault="00ED13CA" w:rsidP="00ED13CA">
            <w:pPr>
              <w:pStyle w:val="naisf"/>
              <w:spacing w:before="0" w:after="0"/>
              <w:ind w:firstLine="0"/>
              <w:jc w:val="center"/>
              <w:rPr>
                <w:b/>
                <w:i/>
              </w:rPr>
            </w:pPr>
            <w:r w:rsidRPr="00C50440">
              <w:rPr>
                <w:b/>
                <w:bCs/>
              </w:rPr>
              <w:t>201</w:t>
            </w:r>
            <w:r>
              <w:rPr>
                <w:b/>
                <w:bCs/>
              </w:rPr>
              <w:t>9</w:t>
            </w:r>
          </w:p>
        </w:tc>
        <w:tc>
          <w:tcPr>
            <w:tcW w:w="1588" w:type="dxa"/>
            <w:vAlign w:val="center"/>
          </w:tcPr>
          <w:p w14:paraId="377C74C1" w14:textId="594982D6" w:rsidR="00124F12" w:rsidRPr="00C50440" w:rsidRDefault="00ED13CA" w:rsidP="00ED13CA">
            <w:pPr>
              <w:pStyle w:val="naisf"/>
              <w:spacing w:before="0" w:after="0"/>
              <w:ind w:firstLine="0"/>
              <w:jc w:val="center"/>
              <w:rPr>
                <w:b/>
                <w:i/>
              </w:rPr>
            </w:pPr>
            <w:r w:rsidRPr="00C50440">
              <w:rPr>
                <w:b/>
                <w:bCs/>
              </w:rPr>
              <w:t>20</w:t>
            </w:r>
            <w:r>
              <w:rPr>
                <w:b/>
                <w:bCs/>
              </w:rPr>
              <w:t>20</w:t>
            </w:r>
          </w:p>
        </w:tc>
      </w:tr>
      <w:tr w:rsidR="00813E4B" w:rsidRPr="005F50FF" w14:paraId="2A9E275A" w14:textId="77777777" w:rsidTr="004773F3">
        <w:trPr>
          <w:trHeight w:val="4"/>
        </w:trPr>
        <w:tc>
          <w:tcPr>
            <w:tcW w:w="2268" w:type="dxa"/>
            <w:vMerge/>
            <w:vAlign w:val="center"/>
          </w:tcPr>
          <w:p w14:paraId="2C6F965F" w14:textId="77777777" w:rsidR="00124F12" w:rsidRPr="005F50FF" w:rsidRDefault="00124F12" w:rsidP="006C4607">
            <w:pPr>
              <w:pStyle w:val="naisf"/>
              <w:spacing w:before="0" w:after="0"/>
              <w:ind w:firstLine="0"/>
              <w:jc w:val="center"/>
              <w:rPr>
                <w:b/>
                <w:i/>
                <w:sz w:val="22"/>
                <w:szCs w:val="22"/>
              </w:rPr>
            </w:pPr>
          </w:p>
        </w:tc>
        <w:tc>
          <w:tcPr>
            <w:tcW w:w="964" w:type="dxa"/>
            <w:vAlign w:val="center"/>
          </w:tcPr>
          <w:p w14:paraId="4FE89121" w14:textId="77777777" w:rsidR="00124F12" w:rsidRPr="00C50440" w:rsidRDefault="00124F12" w:rsidP="006C4607">
            <w:pPr>
              <w:pStyle w:val="naisf"/>
              <w:spacing w:before="0" w:after="0"/>
              <w:ind w:firstLine="0"/>
              <w:jc w:val="center"/>
              <w:rPr>
                <w:b/>
                <w:i/>
              </w:rPr>
            </w:pPr>
            <w:r w:rsidRPr="00C50440">
              <w:t>Saskaņā ar valsts budžetu kārtējam gadam</w:t>
            </w:r>
          </w:p>
        </w:tc>
        <w:tc>
          <w:tcPr>
            <w:tcW w:w="1701" w:type="dxa"/>
            <w:vAlign w:val="center"/>
          </w:tcPr>
          <w:p w14:paraId="281477EE" w14:textId="77777777" w:rsidR="00124F12" w:rsidRPr="00C50440" w:rsidRDefault="00124F12" w:rsidP="006C4607">
            <w:pPr>
              <w:pStyle w:val="naisf"/>
              <w:spacing w:before="0" w:after="0"/>
              <w:ind w:firstLine="0"/>
              <w:jc w:val="center"/>
              <w:rPr>
                <w:b/>
                <w:i/>
              </w:rPr>
            </w:pPr>
            <w:r w:rsidRPr="00C50440">
              <w:t>Izmaiņas kārtējā gadā</w:t>
            </w:r>
            <w:r w:rsidR="009E12D7" w:rsidRPr="00C50440">
              <w:t>,</w:t>
            </w:r>
            <w:r w:rsidRPr="00C50440">
              <w:t xml:space="preserve"> salīdzinot ar budžetu kārtējam gadam</w:t>
            </w:r>
          </w:p>
        </w:tc>
        <w:tc>
          <w:tcPr>
            <w:tcW w:w="1417" w:type="dxa"/>
            <w:vAlign w:val="center"/>
          </w:tcPr>
          <w:p w14:paraId="3449B03E" w14:textId="77777777" w:rsidR="00124F12" w:rsidRPr="00C50440" w:rsidRDefault="00124F12" w:rsidP="006C4607">
            <w:pPr>
              <w:pStyle w:val="naisf"/>
              <w:spacing w:before="0" w:after="0"/>
              <w:ind w:firstLine="0"/>
              <w:jc w:val="center"/>
              <w:rPr>
                <w:b/>
                <w:i/>
              </w:rPr>
            </w:pPr>
            <w:r w:rsidRPr="00C50440">
              <w:t>Izmaiņas</w:t>
            </w:r>
            <w:r w:rsidR="00182C18" w:rsidRPr="00C50440">
              <w:t>,</w:t>
            </w:r>
            <w:r w:rsidRPr="00C50440">
              <w:t xml:space="preserve"> salīdzinot ar kārtējo (n) gadu</w:t>
            </w:r>
          </w:p>
        </w:tc>
        <w:tc>
          <w:tcPr>
            <w:tcW w:w="1418" w:type="dxa"/>
            <w:vAlign w:val="center"/>
          </w:tcPr>
          <w:p w14:paraId="09FAF8A5" w14:textId="77777777" w:rsidR="00124F12" w:rsidRPr="00C50440" w:rsidRDefault="00124F12" w:rsidP="006C4607">
            <w:pPr>
              <w:pStyle w:val="naisf"/>
              <w:spacing w:before="0" w:after="0"/>
              <w:ind w:firstLine="0"/>
              <w:jc w:val="center"/>
              <w:rPr>
                <w:b/>
                <w:i/>
              </w:rPr>
            </w:pPr>
            <w:r w:rsidRPr="00C50440">
              <w:t>Izmaiņas</w:t>
            </w:r>
            <w:r w:rsidR="00182C18" w:rsidRPr="00C50440">
              <w:t>,</w:t>
            </w:r>
            <w:r w:rsidRPr="00C50440">
              <w:t xml:space="preserve"> salīdzinot ar kārtējo (n) gadu</w:t>
            </w:r>
          </w:p>
        </w:tc>
        <w:tc>
          <w:tcPr>
            <w:tcW w:w="1588" w:type="dxa"/>
            <w:vAlign w:val="center"/>
          </w:tcPr>
          <w:p w14:paraId="7C21754E" w14:textId="77777777" w:rsidR="00124F12" w:rsidRPr="00C50440" w:rsidRDefault="00124F12" w:rsidP="006C4607">
            <w:pPr>
              <w:pStyle w:val="naisf"/>
              <w:spacing w:before="0" w:after="0"/>
              <w:ind w:firstLine="0"/>
              <w:jc w:val="center"/>
              <w:rPr>
                <w:b/>
                <w:i/>
              </w:rPr>
            </w:pPr>
            <w:r w:rsidRPr="00C50440">
              <w:t>Izmaiņas</w:t>
            </w:r>
            <w:r w:rsidR="00182C18" w:rsidRPr="00C50440">
              <w:t>,</w:t>
            </w:r>
            <w:r w:rsidRPr="00C50440">
              <w:t xml:space="preserve"> salīdzinot ar kārtējo (n) gadu</w:t>
            </w:r>
          </w:p>
        </w:tc>
      </w:tr>
      <w:tr w:rsidR="00813E4B" w:rsidRPr="005F50FF" w14:paraId="23F79636" w14:textId="77777777" w:rsidTr="004773F3">
        <w:trPr>
          <w:trHeight w:val="4"/>
        </w:trPr>
        <w:tc>
          <w:tcPr>
            <w:tcW w:w="2268" w:type="dxa"/>
            <w:vAlign w:val="center"/>
          </w:tcPr>
          <w:p w14:paraId="10585E79" w14:textId="77777777" w:rsidR="00124F12" w:rsidRPr="005F50FF" w:rsidRDefault="00124F12" w:rsidP="006C4607">
            <w:pPr>
              <w:pStyle w:val="naisf"/>
              <w:spacing w:before="0" w:after="0"/>
              <w:ind w:firstLine="0"/>
              <w:jc w:val="center"/>
              <w:rPr>
                <w:bCs/>
                <w:sz w:val="22"/>
                <w:szCs w:val="22"/>
              </w:rPr>
            </w:pPr>
            <w:r w:rsidRPr="005F50FF">
              <w:rPr>
                <w:bCs/>
                <w:sz w:val="22"/>
                <w:szCs w:val="22"/>
              </w:rPr>
              <w:t>1</w:t>
            </w:r>
          </w:p>
        </w:tc>
        <w:tc>
          <w:tcPr>
            <w:tcW w:w="964" w:type="dxa"/>
            <w:vAlign w:val="center"/>
          </w:tcPr>
          <w:p w14:paraId="292CF2F8" w14:textId="77777777" w:rsidR="00124F12" w:rsidRPr="005F50FF" w:rsidRDefault="00124F12" w:rsidP="006C4607">
            <w:pPr>
              <w:pStyle w:val="naisf"/>
              <w:spacing w:before="0" w:after="0"/>
              <w:ind w:firstLine="0"/>
              <w:jc w:val="center"/>
              <w:rPr>
                <w:bCs/>
                <w:sz w:val="22"/>
                <w:szCs w:val="22"/>
              </w:rPr>
            </w:pPr>
            <w:r w:rsidRPr="005F50FF">
              <w:rPr>
                <w:bCs/>
                <w:sz w:val="22"/>
                <w:szCs w:val="22"/>
              </w:rPr>
              <w:t>2</w:t>
            </w:r>
          </w:p>
        </w:tc>
        <w:tc>
          <w:tcPr>
            <w:tcW w:w="1701" w:type="dxa"/>
            <w:vAlign w:val="center"/>
          </w:tcPr>
          <w:p w14:paraId="3C71D19C" w14:textId="77777777" w:rsidR="00124F12" w:rsidRPr="005F50FF" w:rsidRDefault="00124F12" w:rsidP="006C4607">
            <w:pPr>
              <w:pStyle w:val="naisf"/>
              <w:spacing w:before="0" w:after="0"/>
              <w:ind w:firstLine="0"/>
              <w:jc w:val="center"/>
              <w:rPr>
                <w:bCs/>
                <w:sz w:val="22"/>
                <w:szCs w:val="22"/>
              </w:rPr>
            </w:pPr>
            <w:r w:rsidRPr="005F50FF">
              <w:rPr>
                <w:bCs/>
                <w:sz w:val="22"/>
                <w:szCs w:val="22"/>
              </w:rPr>
              <w:t>3</w:t>
            </w:r>
          </w:p>
        </w:tc>
        <w:tc>
          <w:tcPr>
            <w:tcW w:w="1417" w:type="dxa"/>
            <w:vAlign w:val="center"/>
          </w:tcPr>
          <w:p w14:paraId="75832C61" w14:textId="77777777" w:rsidR="00124F12" w:rsidRPr="005F50FF" w:rsidRDefault="00124F12" w:rsidP="006C4607">
            <w:pPr>
              <w:pStyle w:val="naisf"/>
              <w:spacing w:before="0" w:after="0"/>
              <w:ind w:firstLine="0"/>
              <w:jc w:val="center"/>
              <w:rPr>
                <w:bCs/>
                <w:sz w:val="22"/>
                <w:szCs w:val="22"/>
              </w:rPr>
            </w:pPr>
            <w:r w:rsidRPr="005F50FF">
              <w:rPr>
                <w:bCs/>
                <w:sz w:val="22"/>
                <w:szCs w:val="22"/>
              </w:rPr>
              <w:t>4</w:t>
            </w:r>
          </w:p>
        </w:tc>
        <w:tc>
          <w:tcPr>
            <w:tcW w:w="1418" w:type="dxa"/>
            <w:vAlign w:val="center"/>
          </w:tcPr>
          <w:p w14:paraId="444A75DB" w14:textId="77777777" w:rsidR="00124F12" w:rsidRPr="005F50FF" w:rsidRDefault="00124F12" w:rsidP="006C4607">
            <w:pPr>
              <w:pStyle w:val="naisf"/>
              <w:spacing w:before="0" w:after="0"/>
              <w:ind w:firstLine="0"/>
              <w:jc w:val="center"/>
              <w:rPr>
                <w:bCs/>
                <w:sz w:val="22"/>
                <w:szCs w:val="22"/>
              </w:rPr>
            </w:pPr>
            <w:r w:rsidRPr="005F50FF">
              <w:rPr>
                <w:bCs/>
                <w:sz w:val="22"/>
                <w:szCs w:val="22"/>
              </w:rPr>
              <w:t>5</w:t>
            </w:r>
          </w:p>
        </w:tc>
        <w:tc>
          <w:tcPr>
            <w:tcW w:w="1588" w:type="dxa"/>
            <w:vAlign w:val="center"/>
          </w:tcPr>
          <w:p w14:paraId="77982CB2" w14:textId="77777777" w:rsidR="00124F12" w:rsidRPr="005F50FF" w:rsidRDefault="00124F12" w:rsidP="006C4607">
            <w:pPr>
              <w:pStyle w:val="naisf"/>
              <w:spacing w:before="0" w:after="0"/>
              <w:ind w:firstLine="0"/>
              <w:jc w:val="center"/>
              <w:rPr>
                <w:bCs/>
                <w:sz w:val="22"/>
                <w:szCs w:val="22"/>
              </w:rPr>
            </w:pPr>
            <w:r w:rsidRPr="005F50FF">
              <w:rPr>
                <w:bCs/>
                <w:sz w:val="22"/>
                <w:szCs w:val="22"/>
              </w:rPr>
              <w:t>6</w:t>
            </w:r>
          </w:p>
        </w:tc>
      </w:tr>
      <w:tr w:rsidR="00F14650" w:rsidRPr="005F50FF" w14:paraId="3BD5D704" w14:textId="77777777" w:rsidTr="004773F3">
        <w:trPr>
          <w:trHeight w:val="4"/>
        </w:trPr>
        <w:tc>
          <w:tcPr>
            <w:tcW w:w="2268" w:type="dxa"/>
          </w:tcPr>
          <w:p w14:paraId="6C4A5EAB" w14:textId="77777777" w:rsidR="00F14650" w:rsidRPr="005F50FF" w:rsidRDefault="00F14650" w:rsidP="006C4607">
            <w:pPr>
              <w:pStyle w:val="naisf"/>
              <w:spacing w:before="0" w:after="0"/>
              <w:ind w:firstLine="0"/>
              <w:rPr>
                <w:i/>
                <w:sz w:val="22"/>
                <w:szCs w:val="22"/>
              </w:rPr>
            </w:pPr>
            <w:r w:rsidRPr="005F50FF">
              <w:rPr>
                <w:sz w:val="22"/>
                <w:szCs w:val="22"/>
              </w:rPr>
              <w:t>1. Budžeta ieņēmumi:</w:t>
            </w:r>
          </w:p>
        </w:tc>
        <w:tc>
          <w:tcPr>
            <w:tcW w:w="964" w:type="dxa"/>
            <w:vAlign w:val="center"/>
          </w:tcPr>
          <w:p w14:paraId="7C1ECA24" w14:textId="742D297A" w:rsidR="00F14650" w:rsidRPr="005F50FF" w:rsidRDefault="00ED13CA" w:rsidP="0052296D">
            <w:pPr>
              <w:pStyle w:val="naisf"/>
              <w:spacing w:before="0" w:after="0"/>
              <w:ind w:firstLine="0"/>
              <w:jc w:val="center"/>
              <w:rPr>
                <w:sz w:val="22"/>
                <w:szCs w:val="22"/>
              </w:rPr>
            </w:pPr>
            <w:r>
              <w:rPr>
                <w:sz w:val="22"/>
                <w:szCs w:val="22"/>
              </w:rPr>
              <w:t>707 676</w:t>
            </w:r>
          </w:p>
        </w:tc>
        <w:tc>
          <w:tcPr>
            <w:tcW w:w="1701" w:type="dxa"/>
            <w:vAlign w:val="center"/>
          </w:tcPr>
          <w:p w14:paraId="443DC961" w14:textId="188F76E1" w:rsidR="00F14650" w:rsidRPr="005F50FF" w:rsidRDefault="00ED13CA" w:rsidP="005974FC">
            <w:pPr>
              <w:pStyle w:val="naisf"/>
              <w:spacing w:before="0" w:after="0"/>
              <w:ind w:firstLine="0"/>
              <w:jc w:val="center"/>
              <w:rPr>
                <w:sz w:val="22"/>
                <w:szCs w:val="22"/>
              </w:rPr>
            </w:pPr>
            <w:r>
              <w:rPr>
                <w:sz w:val="22"/>
                <w:szCs w:val="22"/>
              </w:rPr>
              <w:t>76 124</w:t>
            </w:r>
          </w:p>
        </w:tc>
        <w:tc>
          <w:tcPr>
            <w:tcW w:w="1417" w:type="dxa"/>
            <w:vAlign w:val="center"/>
          </w:tcPr>
          <w:p w14:paraId="11636349" w14:textId="039D1014" w:rsidR="00F14650" w:rsidRPr="005F50FF" w:rsidRDefault="0081445E" w:rsidP="008B40E0">
            <w:pPr>
              <w:pStyle w:val="naisf"/>
              <w:spacing w:before="0" w:after="0"/>
              <w:ind w:firstLine="0"/>
              <w:jc w:val="center"/>
              <w:rPr>
                <w:sz w:val="22"/>
                <w:szCs w:val="22"/>
              </w:rPr>
            </w:pPr>
            <w:r>
              <w:rPr>
                <w:sz w:val="22"/>
                <w:szCs w:val="22"/>
              </w:rPr>
              <w:t>152 248</w:t>
            </w:r>
          </w:p>
        </w:tc>
        <w:tc>
          <w:tcPr>
            <w:tcW w:w="1418" w:type="dxa"/>
            <w:vAlign w:val="center"/>
          </w:tcPr>
          <w:p w14:paraId="2CE4A137" w14:textId="3B7E9254" w:rsidR="00F14650" w:rsidRPr="005F50FF" w:rsidRDefault="0081445E" w:rsidP="008B40E0">
            <w:pPr>
              <w:pStyle w:val="naisf"/>
              <w:spacing w:before="0" w:after="0"/>
              <w:ind w:firstLine="0"/>
              <w:jc w:val="center"/>
              <w:rPr>
                <w:sz w:val="22"/>
                <w:szCs w:val="22"/>
              </w:rPr>
            </w:pPr>
            <w:r>
              <w:rPr>
                <w:sz w:val="22"/>
                <w:szCs w:val="22"/>
              </w:rPr>
              <w:t>152 248</w:t>
            </w:r>
          </w:p>
        </w:tc>
        <w:tc>
          <w:tcPr>
            <w:tcW w:w="1588" w:type="dxa"/>
            <w:vAlign w:val="center"/>
          </w:tcPr>
          <w:p w14:paraId="5A098F93" w14:textId="01C069CD" w:rsidR="00F14650" w:rsidRPr="005F50FF" w:rsidRDefault="0081445E" w:rsidP="005974FC">
            <w:pPr>
              <w:pStyle w:val="naisf"/>
              <w:spacing w:before="0" w:after="0"/>
              <w:ind w:firstLine="0"/>
              <w:jc w:val="center"/>
              <w:rPr>
                <w:sz w:val="22"/>
                <w:szCs w:val="22"/>
              </w:rPr>
            </w:pPr>
            <w:r>
              <w:rPr>
                <w:sz w:val="22"/>
                <w:szCs w:val="22"/>
              </w:rPr>
              <w:t>152 248</w:t>
            </w:r>
          </w:p>
        </w:tc>
      </w:tr>
      <w:tr w:rsidR="0081445E" w:rsidRPr="005F50FF" w14:paraId="25409685" w14:textId="77777777" w:rsidTr="004773F3">
        <w:trPr>
          <w:trHeight w:val="4"/>
        </w:trPr>
        <w:tc>
          <w:tcPr>
            <w:tcW w:w="2268" w:type="dxa"/>
          </w:tcPr>
          <w:p w14:paraId="2C633639" w14:textId="77777777" w:rsidR="0081445E" w:rsidRDefault="0081445E" w:rsidP="0081445E">
            <w:pPr>
              <w:pStyle w:val="naisf"/>
              <w:spacing w:before="0" w:after="0"/>
              <w:ind w:firstLine="0"/>
              <w:rPr>
                <w:sz w:val="22"/>
                <w:szCs w:val="22"/>
              </w:rPr>
            </w:pPr>
            <w:r w:rsidRPr="005F50FF">
              <w:rPr>
                <w:sz w:val="22"/>
                <w:szCs w:val="22"/>
              </w:rPr>
              <w:t>1.1. valsts pamatbudžets, tai skaitā ieņēmumi no maksas pakalpojumiem un citi pašu ieņēmumi</w:t>
            </w:r>
          </w:p>
          <w:p w14:paraId="15A67B6A" w14:textId="2F97E4B4" w:rsidR="0081445E" w:rsidRPr="005F5FF0" w:rsidRDefault="0081445E" w:rsidP="0081445E">
            <w:pPr>
              <w:pStyle w:val="naisf"/>
              <w:spacing w:before="0" w:after="0"/>
              <w:ind w:firstLine="0"/>
              <w:rPr>
                <w:sz w:val="22"/>
                <w:szCs w:val="22"/>
              </w:rPr>
            </w:pPr>
            <w:r>
              <w:rPr>
                <w:sz w:val="22"/>
                <w:szCs w:val="22"/>
              </w:rPr>
              <w:t xml:space="preserve">valsts pamatbudžets, tai skaitā kancelejas nodevu ieņēmumi </w:t>
            </w:r>
          </w:p>
        </w:tc>
        <w:tc>
          <w:tcPr>
            <w:tcW w:w="964" w:type="dxa"/>
            <w:vAlign w:val="center"/>
          </w:tcPr>
          <w:p w14:paraId="2ED94582" w14:textId="4DA78350" w:rsidR="0081445E" w:rsidRPr="005F50FF" w:rsidRDefault="0081445E" w:rsidP="0081445E">
            <w:pPr>
              <w:pStyle w:val="naisf"/>
              <w:spacing w:before="0" w:after="0"/>
              <w:ind w:firstLine="0"/>
              <w:jc w:val="center"/>
              <w:rPr>
                <w:sz w:val="22"/>
                <w:szCs w:val="22"/>
              </w:rPr>
            </w:pPr>
            <w:r>
              <w:rPr>
                <w:sz w:val="22"/>
                <w:szCs w:val="22"/>
              </w:rPr>
              <w:t>707 676</w:t>
            </w:r>
          </w:p>
        </w:tc>
        <w:tc>
          <w:tcPr>
            <w:tcW w:w="1701" w:type="dxa"/>
            <w:vAlign w:val="center"/>
          </w:tcPr>
          <w:p w14:paraId="604C6850" w14:textId="2EF16E86" w:rsidR="0081445E" w:rsidRPr="005F50FF" w:rsidRDefault="0081445E" w:rsidP="0081445E">
            <w:pPr>
              <w:pStyle w:val="naisf"/>
              <w:spacing w:before="0" w:after="0"/>
              <w:ind w:firstLine="0"/>
              <w:jc w:val="center"/>
              <w:rPr>
                <w:sz w:val="22"/>
                <w:szCs w:val="22"/>
              </w:rPr>
            </w:pPr>
            <w:r>
              <w:rPr>
                <w:sz w:val="22"/>
                <w:szCs w:val="22"/>
              </w:rPr>
              <w:t>76 124</w:t>
            </w:r>
          </w:p>
        </w:tc>
        <w:tc>
          <w:tcPr>
            <w:tcW w:w="1417" w:type="dxa"/>
            <w:vAlign w:val="center"/>
          </w:tcPr>
          <w:p w14:paraId="6E4AA7F7" w14:textId="2E65637D" w:rsidR="0081445E" w:rsidRPr="005F50FF" w:rsidRDefault="0081445E" w:rsidP="0081445E">
            <w:pPr>
              <w:pStyle w:val="naisf"/>
              <w:spacing w:before="0" w:after="0"/>
              <w:ind w:firstLine="0"/>
              <w:jc w:val="center"/>
              <w:rPr>
                <w:sz w:val="22"/>
                <w:szCs w:val="22"/>
              </w:rPr>
            </w:pPr>
            <w:r>
              <w:rPr>
                <w:sz w:val="22"/>
                <w:szCs w:val="22"/>
              </w:rPr>
              <w:t>152 248</w:t>
            </w:r>
          </w:p>
        </w:tc>
        <w:tc>
          <w:tcPr>
            <w:tcW w:w="1418" w:type="dxa"/>
            <w:vAlign w:val="center"/>
          </w:tcPr>
          <w:p w14:paraId="411AA5F1" w14:textId="02A69193" w:rsidR="0081445E" w:rsidRPr="005F50FF" w:rsidRDefault="0081445E" w:rsidP="0081445E">
            <w:pPr>
              <w:pStyle w:val="naisf"/>
              <w:spacing w:before="0" w:after="0"/>
              <w:ind w:firstLine="0"/>
              <w:jc w:val="center"/>
              <w:rPr>
                <w:sz w:val="22"/>
                <w:szCs w:val="22"/>
              </w:rPr>
            </w:pPr>
            <w:r>
              <w:rPr>
                <w:sz w:val="22"/>
                <w:szCs w:val="22"/>
              </w:rPr>
              <w:t>152 248</w:t>
            </w:r>
          </w:p>
        </w:tc>
        <w:tc>
          <w:tcPr>
            <w:tcW w:w="1588" w:type="dxa"/>
            <w:vAlign w:val="center"/>
          </w:tcPr>
          <w:p w14:paraId="365CE817" w14:textId="596B495D" w:rsidR="0081445E" w:rsidRPr="005F50FF" w:rsidRDefault="0081445E" w:rsidP="0081445E">
            <w:pPr>
              <w:pStyle w:val="naisf"/>
              <w:spacing w:before="0" w:after="0"/>
              <w:ind w:firstLine="0"/>
              <w:jc w:val="center"/>
              <w:rPr>
                <w:sz w:val="22"/>
                <w:szCs w:val="22"/>
              </w:rPr>
            </w:pPr>
            <w:r>
              <w:rPr>
                <w:sz w:val="22"/>
                <w:szCs w:val="22"/>
              </w:rPr>
              <w:t>152 248</w:t>
            </w:r>
          </w:p>
        </w:tc>
      </w:tr>
      <w:tr w:rsidR="0081445E" w:rsidRPr="005F50FF" w14:paraId="07DDB421" w14:textId="77777777" w:rsidTr="004773F3">
        <w:trPr>
          <w:trHeight w:val="21"/>
        </w:trPr>
        <w:tc>
          <w:tcPr>
            <w:tcW w:w="2268" w:type="dxa"/>
          </w:tcPr>
          <w:p w14:paraId="39DB2FD4" w14:textId="77777777" w:rsidR="0081445E" w:rsidRPr="005F50FF" w:rsidRDefault="0081445E" w:rsidP="0081445E">
            <w:pPr>
              <w:pStyle w:val="naisf"/>
              <w:spacing w:before="0" w:after="0"/>
              <w:ind w:firstLine="0"/>
              <w:rPr>
                <w:i/>
                <w:sz w:val="22"/>
                <w:szCs w:val="22"/>
              </w:rPr>
            </w:pPr>
            <w:r w:rsidRPr="005F50FF">
              <w:rPr>
                <w:sz w:val="22"/>
                <w:szCs w:val="22"/>
              </w:rPr>
              <w:t>1.2. valsts speciālais budžets</w:t>
            </w:r>
          </w:p>
        </w:tc>
        <w:tc>
          <w:tcPr>
            <w:tcW w:w="964" w:type="dxa"/>
            <w:vAlign w:val="center"/>
          </w:tcPr>
          <w:p w14:paraId="28C6A4BE" w14:textId="77777777" w:rsidR="0081445E" w:rsidRPr="005F50FF" w:rsidRDefault="0081445E" w:rsidP="0081445E">
            <w:pPr>
              <w:pStyle w:val="naisf"/>
              <w:spacing w:before="0" w:after="0"/>
              <w:ind w:firstLine="0"/>
              <w:jc w:val="center"/>
              <w:rPr>
                <w:sz w:val="22"/>
                <w:szCs w:val="22"/>
              </w:rPr>
            </w:pPr>
          </w:p>
        </w:tc>
        <w:tc>
          <w:tcPr>
            <w:tcW w:w="1701" w:type="dxa"/>
            <w:vAlign w:val="center"/>
          </w:tcPr>
          <w:p w14:paraId="67AAE6DC"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22677DF6"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7757F964"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050765EC" w14:textId="77777777" w:rsidR="0081445E" w:rsidRPr="005F50FF" w:rsidRDefault="0081445E" w:rsidP="0081445E">
            <w:pPr>
              <w:pStyle w:val="naisf"/>
              <w:spacing w:before="0" w:after="0"/>
              <w:ind w:firstLine="0"/>
              <w:jc w:val="center"/>
              <w:rPr>
                <w:sz w:val="22"/>
                <w:szCs w:val="22"/>
              </w:rPr>
            </w:pPr>
          </w:p>
        </w:tc>
      </w:tr>
      <w:tr w:rsidR="0081445E" w:rsidRPr="005F50FF" w14:paraId="7DD3322E" w14:textId="77777777" w:rsidTr="004773F3">
        <w:trPr>
          <w:trHeight w:val="22"/>
        </w:trPr>
        <w:tc>
          <w:tcPr>
            <w:tcW w:w="2268" w:type="dxa"/>
          </w:tcPr>
          <w:p w14:paraId="5F53FB9A" w14:textId="77777777" w:rsidR="0081445E" w:rsidRPr="005F50FF" w:rsidRDefault="0081445E" w:rsidP="0081445E">
            <w:pPr>
              <w:pStyle w:val="naisf"/>
              <w:spacing w:before="0" w:after="0"/>
              <w:ind w:firstLine="0"/>
              <w:rPr>
                <w:i/>
                <w:sz w:val="22"/>
                <w:szCs w:val="22"/>
              </w:rPr>
            </w:pPr>
            <w:r w:rsidRPr="005F50FF">
              <w:rPr>
                <w:sz w:val="22"/>
                <w:szCs w:val="22"/>
              </w:rPr>
              <w:lastRenderedPageBreak/>
              <w:t>1.3. pašvaldību budžets</w:t>
            </w:r>
          </w:p>
        </w:tc>
        <w:tc>
          <w:tcPr>
            <w:tcW w:w="964" w:type="dxa"/>
            <w:vAlign w:val="center"/>
          </w:tcPr>
          <w:p w14:paraId="33E823D4" w14:textId="77777777" w:rsidR="0081445E" w:rsidRPr="005F50FF" w:rsidRDefault="0081445E" w:rsidP="0081445E">
            <w:pPr>
              <w:pStyle w:val="naisf"/>
              <w:spacing w:before="0" w:after="0"/>
              <w:ind w:firstLine="0"/>
              <w:jc w:val="center"/>
              <w:rPr>
                <w:sz w:val="22"/>
                <w:szCs w:val="22"/>
              </w:rPr>
            </w:pPr>
          </w:p>
        </w:tc>
        <w:tc>
          <w:tcPr>
            <w:tcW w:w="1701" w:type="dxa"/>
            <w:vAlign w:val="center"/>
          </w:tcPr>
          <w:p w14:paraId="6BB35088"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59256D69"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0BE346AA"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291AA25A" w14:textId="77777777" w:rsidR="0081445E" w:rsidRPr="005F50FF" w:rsidRDefault="0081445E" w:rsidP="0081445E">
            <w:pPr>
              <w:pStyle w:val="naisf"/>
              <w:spacing w:before="0" w:after="0"/>
              <w:ind w:firstLine="0"/>
              <w:jc w:val="center"/>
              <w:rPr>
                <w:sz w:val="22"/>
                <w:szCs w:val="22"/>
              </w:rPr>
            </w:pPr>
          </w:p>
        </w:tc>
      </w:tr>
      <w:tr w:rsidR="0081445E" w:rsidRPr="005F50FF" w14:paraId="6F5CB5D7" w14:textId="77777777" w:rsidTr="004773F3">
        <w:trPr>
          <w:trHeight w:val="14"/>
        </w:trPr>
        <w:tc>
          <w:tcPr>
            <w:tcW w:w="2268" w:type="dxa"/>
          </w:tcPr>
          <w:p w14:paraId="2A390699" w14:textId="77777777" w:rsidR="0081445E" w:rsidRPr="005F50FF" w:rsidRDefault="0081445E" w:rsidP="0081445E">
            <w:pPr>
              <w:jc w:val="both"/>
              <w:rPr>
                <w:sz w:val="22"/>
                <w:szCs w:val="22"/>
              </w:rPr>
            </w:pPr>
            <w:r w:rsidRPr="005F50FF">
              <w:rPr>
                <w:sz w:val="22"/>
                <w:szCs w:val="22"/>
              </w:rPr>
              <w:t>2. Budžeta izdevumi:</w:t>
            </w:r>
          </w:p>
        </w:tc>
        <w:tc>
          <w:tcPr>
            <w:tcW w:w="964" w:type="dxa"/>
            <w:vAlign w:val="center"/>
          </w:tcPr>
          <w:p w14:paraId="68BEE708" w14:textId="03EA4E41" w:rsidR="0081445E" w:rsidRPr="005F50FF" w:rsidRDefault="0081445E" w:rsidP="0081445E">
            <w:pPr>
              <w:pStyle w:val="naisf"/>
              <w:spacing w:before="0" w:after="0"/>
              <w:ind w:firstLine="0"/>
              <w:jc w:val="center"/>
              <w:rPr>
                <w:sz w:val="22"/>
                <w:szCs w:val="22"/>
              </w:rPr>
            </w:pPr>
            <w:r>
              <w:rPr>
                <w:sz w:val="22"/>
                <w:szCs w:val="22"/>
              </w:rPr>
              <w:t>707 676</w:t>
            </w:r>
          </w:p>
        </w:tc>
        <w:tc>
          <w:tcPr>
            <w:tcW w:w="1701" w:type="dxa"/>
            <w:vAlign w:val="center"/>
          </w:tcPr>
          <w:p w14:paraId="7EB21ABC" w14:textId="577AADEA" w:rsidR="0081445E" w:rsidRPr="005F50FF" w:rsidRDefault="0081445E" w:rsidP="0081445E">
            <w:pPr>
              <w:jc w:val="center"/>
            </w:pPr>
            <w:r>
              <w:rPr>
                <w:sz w:val="22"/>
                <w:szCs w:val="22"/>
              </w:rPr>
              <w:t>76 124</w:t>
            </w:r>
          </w:p>
        </w:tc>
        <w:tc>
          <w:tcPr>
            <w:tcW w:w="1417" w:type="dxa"/>
            <w:vAlign w:val="center"/>
          </w:tcPr>
          <w:p w14:paraId="11B88FAB" w14:textId="4EC8C271" w:rsidR="0081445E" w:rsidRPr="005F50FF" w:rsidRDefault="0081445E" w:rsidP="0081445E">
            <w:pPr>
              <w:pStyle w:val="naisf"/>
              <w:spacing w:before="0" w:after="0"/>
              <w:ind w:firstLine="0"/>
              <w:jc w:val="center"/>
              <w:rPr>
                <w:sz w:val="22"/>
                <w:szCs w:val="22"/>
              </w:rPr>
            </w:pPr>
            <w:r>
              <w:rPr>
                <w:sz w:val="22"/>
                <w:szCs w:val="22"/>
              </w:rPr>
              <w:t>152 248</w:t>
            </w:r>
          </w:p>
        </w:tc>
        <w:tc>
          <w:tcPr>
            <w:tcW w:w="1418" w:type="dxa"/>
            <w:vAlign w:val="center"/>
          </w:tcPr>
          <w:p w14:paraId="706C3FDA" w14:textId="06D8570D" w:rsidR="0081445E" w:rsidRPr="005F50FF" w:rsidRDefault="0081445E" w:rsidP="0081445E">
            <w:pPr>
              <w:pStyle w:val="naisf"/>
              <w:spacing w:before="0" w:after="0"/>
              <w:ind w:firstLine="0"/>
              <w:jc w:val="center"/>
              <w:rPr>
                <w:sz w:val="22"/>
                <w:szCs w:val="22"/>
              </w:rPr>
            </w:pPr>
            <w:r>
              <w:rPr>
                <w:sz w:val="22"/>
                <w:szCs w:val="22"/>
              </w:rPr>
              <w:t>152 248</w:t>
            </w:r>
          </w:p>
        </w:tc>
        <w:tc>
          <w:tcPr>
            <w:tcW w:w="1588" w:type="dxa"/>
            <w:vAlign w:val="center"/>
          </w:tcPr>
          <w:p w14:paraId="03DA78E6" w14:textId="349033B6" w:rsidR="0081445E" w:rsidRPr="005F50FF" w:rsidRDefault="0081445E" w:rsidP="0081445E">
            <w:pPr>
              <w:pStyle w:val="naisf"/>
              <w:spacing w:before="0" w:after="0"/>
              <w:ind w:firstLine="0"/>
              <w:jc w:val="center"/>
              <w:rPr>
                <w:sz w:val="22"/>
                <w:szCs w:val="22"/>
              </w:rPr>
            </w:pPr>
            <w:r>
              <w:rPr>
                <w:sz w:val="22"/>
                <w:szCs w:val="22"/>
              </w:rPr>
              <w:t>152 248</w:t>
            </w:r>
          </w:p>
        </w:tc>
      </w:tr>
      <w:tr w:rsidR="0081445E" w:rsidRPr="005F50FF" w14:paraId="5EC1487B" w14:textId="77777777" w:rsidTr="004773F3">
        <w:trPr>
          <w:trHeight w:val="14"/>
        </w:trPr>
        <w:tc>
          <w:tcPr>
            <w:tcW w:w="2268" w:type="dxa"/>
          </w:tcPr>
          <w:p w14:paraId="52B8F257" w14:textId="77777777" w:rsidR="0081445E" w:rsidRPr="005F50FF" w:rsidRDefault="0081445E" w:rsidP="0081445E">
            <w:pPr>
              <w:jc w:val="both"/>
              <w:rPr>
                <w:sz w:val="22"/>
                <w:szCs w:val="22"/>
              </w:rPr>
            </w:pPr>
            <w:r w:rsidRPr="005F50FF">
              <w:rPr>
                <w:sz w:val="22"/>
                <w:szCs w:val="22"/>
              </w:rPr>
              <w:t>2.1. valsts pamatbudžets</w:t>
            </w:r>
          </w:p>
        </w:tc>
        <w:tc>
          <w:tcPr>
            <w:tcW w:w="964" w:type="dxa"/>
            <w:vAlign w:val="center"/>
          </w:tcPr>
          <w:p w14:paraId="1C35C98D" w14:textId="1B1CAA7B" w:rsidR="0081445E" w:rsidRPr="005F50FF" w:rsidRDefault="0081445E" w:rsidP="0081445E">
            <w:pPr>
              <w:pStyle w:val="naisf"/>
              <w:spacing w:before="0" w:after="0"/>
              <w:ind w:firstLine="0"/>
              <w:jc w:val="center"/>
              <w:rPr>
                <w:sz w:val="22"/>
                <w:szCs w:val="22"/>
              </w:rPr>
            </w:pPr>
            <w:r>
              <w:rPr>
                <w:sz w:val="22"/>
                <w:szCs w:val="22"/>
              </w:rPr>
              <w:t>707 676</w:t>
            </w:r>
          </w:p>
        </w:tc>
        <w:tc>
          <w:tcPr>
            <w:tcW w:w="1701" w:type="dxa"/>
            <w:vAlign w:val="center"/>
          </w:tcPr>
          <w:p w14:paraId="5681E6CF" w14:textId="42697C11" w:rsidR="0081445E" w:rsidRPr="005F50FF" w:rsidRDefault="0081445E" w:rsidP="0081445E">
            <w:pPr>
              <w:pStyle w:val="naisf"/>
              <w:spacing w:before="0" w:after="0"/>
              <w:ind w:firstLine="0"/>
              <w:jc w:val="center"/>
              <w:rPr>
                <w:sz w:val="22"/>
                <w:szCs w:val="22"/>
              </w:rPr>
            </w:pPr>
            <w:r>
              <w:rPr>
                <w:sz w:val="22"/>
                <w:szCs w:val="22"/>
              </w:rPr>
              <w:t>76 124</w:t>
            </w:r>
          </w:p>
        </w:tc>
        <w:tc>
          <w:tcPr>
            <w:tcW w:w="1417" w:type="dxa"/>
            <w:vAlign w:val="center"/>
          </w:tcPr>
          <w:p w14:paraId="50808311" w14:textId="35C4F099" w:rsidR="0081445E" w:rsidRPr="005F50FF" w:rsidRDefault="0081445E" w:rsidP="0081445E">
            <w:pPr>
              <w:pStyle w:val="naisf"/>
              <w:spacing w:before="0" w:after="0"/>
              <w:ind w:firstLine="0"/>
              <w:jc w:val="center"/>
              <w:rPr>
                <w:sz w:val="22"/>
                <w:szCs w:val="22"/>
              </w:rPr>
            </w:pPr>
            <w:r>
              <w:rPr>
                <w:sz w:val="22"/>
                <w:szCs w:val="22"/>
              </w:rPr>
              <w:t>152 248</w:t>
            </w:r>
          </w:p>
        </w:tc>
        <w:tc>
          <w:tcPr>
            <w:tcW w:w="1418" w:type="dxa"/>
            <w:vAlign w:val="center"/>
          </w:tcPr>
          <w:p w14:paraId="6D310448" w14:textId="5F4EF519" w:rsidR="0081445E" w:rsidRPr="005F50FF" w:rsidRDefault="0081445E" w:rsidP="0081445E">
            <w:pPr>
              <w:pStyle w:val="naisf"/>
              <w:spacing w:before="0" w:after="0"/>
              <w:ind w:firstLine="0"/>
              <w:jc w:val="center"/>
              <w:rPr>
                <w:sz w:val="22"/>
                <w:szCs w:val="22"/>
              </w:rPr>
            </w:pPr>
            <w:r>
              <w:rPr>
                <w:sz w:val="22"/>
                <w:szCs w:val="22"/>
              </w:rPr>
              <w:t>152 248</w:t>
            </w:r>
          </w:p>
        </w:tc>
        <w:tc>
          <w:tcPr>
            <w:tcW w:w="1588" w:type="dxa"/>
            <w:vAlign w:val="center"/>
          </w:tcPr>
          <w:p w14:paraId="0C7E2795" w14:textId="731D9FEA" w:rsidR="0081445E" w:rsidRPr="005F50FF" w:rsidRDefault="0081445E" w:rsidP="0081445E">
            <w:pPr>
              <w:pStyle w:val="naisf"/>
              <w:spacing w:before="0" w:after="0"/>
              <w:ind w:firstLine="0"/>
              <w:jc w:val="center"/>
              <w:rPr>
                <w:sz w:val="22"/>
                <w:szCs w:val="22"/>
              </w:rPr>
            </w:pPr>
            <w:r>
              <w:rPr>
                <w:sz w:val="22"/>
                <w:szCs w:val="22"/>
              </w:rPr>
              <w:t>152 248</w:t>
            </w:r>
          </w:p>
        </w:tc>
      </w:tr>
      <w:tr w:rsidR="0081445E" w:rsidRPr="005F50FF" w14:paraId="7CCE2668" w14:textId="77777777" w:rsidTr="004773F3">
        <w:trPr>
          <w:trHeight w:val="21"/>
        </w:trPr>
        <w:tc>
          <w:tcPr>
            <w:tcW w:w="2268" w:type="dxa"/>
          </w:tcPr>
          <w:p w14:paraId="38069038" w14:textId="097C281B" w:rsidR="0081445E" w:rsidRPr="005F50FF" w:rsidRDefault="0081445E" w:rsidP="0081445E">
            <w:pPr>
              <w:jc w:val="both"/>
              <w:rPr>
                <w:sz w:val="22"/>
                <w:szCs w:val="22"/>
              </w:rPr>
            </w:pPr>
            <w:r w:rsidRPr="005F50FF">
              <w:rPr>
                <w:sz w:val="22"/>
                <w:szCs w:val="22"/>
              </w:rPr>
              <w:t>2.2. valsts speciālais budžets</w:t>
            </w:r>
          </w:p>
        </w:tc>
        <w:tc>
          <w:tcPr>
            <w:tcW w:w="964" w:type="dxa"/>
            <w:vAlign w:val="center"/>
          </w:tcPr>
          <w:p w14:paraId="6ED77FA5" w14:textId="77777777" w:rsidR="0081445E" w:rsidRPr="005F50FF" w:rsidRDefault="0081445E" w:rsidP="0081445E">
            <w:pPr>
              <w:pStyle w:val="naisf"/>
              <w:spacing w:before="0" w:after="0"/>
              <w:ind w:firstLine="0"/>
              <w:jc w:val="center"/>
              <w:rPr>
                <w:sz w:val="22"/>
                <w:szCs w:val="22"/>
              </w:rPr>
            </w:pPr>
          </w:p>
        </w:tc>
        <w:tc>
          <w:tcPr>
            <w:tcW w:w="1701" w:type="dxa"/>
            <w:vAlign w:val="center"/>
          </w:tcPr>
          <w:p w14:paraId="5C48CBD5"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6FC0A3FC"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4C5FF32E"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180116A3" w14:textId="77777777" w:rsidR="0081445E" w:rsidRPr="005F50FF" w:rsidRDefault="0081445E" w:rsidP="0081445E">
            <w:pPr>
              <w:pStyle w:val="naisf"/>
              <w:spacing w:before="0" w:after="0"/>
              <w:ind w:firstLine="0"/>
              <w:jc w:val="center"/>
              <w:rPr>
                <w:sz w:val="22"/>
                <w:szCs w:val="22"/>
              </w:rPr>
            </w:pPr>
          </w:p>
        </w:tc>
      </w:tr>
      <w:tr w:rsidR="0081445E" w:rsidRPr="005F50FF" w14:paraId="5F8626E9" w14:textId="77777777" w:rsidTr="004773F3">
        <w:trPr>
          <w:trHeight w:val="22"/>
        </w:trPr>
        <w:tc>
          <w:tcPr>
            <w:tcW w:w="2268" w:type="dxa"/>
          </w:tcPr>
          <w:p w14:paraId="0BA450A8" w14:textId="77777777" w:rsidR="0081445E" w:rsidRPr="005F50FF" w:rsidRDefault="0081445E" w:rsidP="0081445E">
            <w:pPr>
              <w:jc w:val="both"/>
              <w:rPr>
                <w:sz w:val="22"/>
                <w:szCs w:val="22"/>
              </w:rPr>
            </w:pPr>
            <w:r w:rsidRPr="005F50FF">
              <w:rPr>
                <w:sz w:val="22"/>
                <w:szCs w:val="22"/>
              </w:rPr>
              <w:t xml:space="preserve">2.3. pašvaldību budžets </w:t>
            </w:r>
          </w:p>
        </w:tc>
        <w:tc>
          <w:tcPr>
            <w:tcW w:w="964" w:type="dxa"/>
            <w:vAlign w:val="center"/>
          </w:tcPr>
          <w:p w14:paraId="39B6EDA9" w14:textId="77777777" w:rsidR="0081445E" w:rsidRPr="005F50FF" w:rsidRDefault="0081445E" w:rsidP="0081445E">
            <w:pPr>
              <w:pStyle w:val="naisf"/>
              <w:spacing w:before="0" w:after="0"/>
              <w:ind w:firstLine="0"/>
              <w:jc w:val="center"/>
              <w:rPr>
                <w:sz w:val="22"/>
                <w:szCs w:val="22"/>
              </w:rPr>
            </w:pPr>
          </w:p>
        </w:tc>
        <w:tc>
          <w:tcPr>
            <w:tcW w:w="1701" w:type="dxa"/>
            <w:vAlign w:val="center"/>
          </w:tcPr>
          <w:p w14:paraId="39C841D0"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5291A519"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3877966F"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5ED2FECF" w14:textId="77777777" w:rsidR="0081445E" w:rsidRPr="005F50FF" w:rsidRDefault="0081445E" w:rsidP="0081445E">
            <w:pPr>
              <w:pStyle w:val="naisf"/>
              <w:spacing w:before="0" w:after="0"/>
              <w:ind w:firstLine="0"/>
              <w:jc w:val="center"/>
              <w:rPr>
                <w:sz w:val="22"/>
                <w:szCs w:val="22"/>
              </w:rPr>
            </w:pPr>
          </w:p>
        </w:tc>
      </w:tr>
      <w:tr w:rsidR="0081445E" w:rsidRPr="005F50FF" w14:paraId="0C338083" w14:textId="77777777" w:rsidTr="004773F3">
        <w:trPr>
          <w:trHeight w:val="14"/>
        </w:trPr>
        <w:tc>
          <w:tcPr>
            <w:tcW w:w="2268" w:type="dxa"/>
          </w:tcPr>
          <w:p w14:paraId="388F9F13" w14:textId="77777777" w:rsidR="0081445E" w:rsidRPr="005F50FF" w:rsidRDefault="0081445E" w:rsidP="0081445E">
            <w:pPr>
              <w:jc w:val="both"/>
              <w:rPr>
                <w:sz w:val="22"/>
                <w:szCs w:val="22"/>
              </w:rPr>
            </w:pPr>
            <w:r w:rsidRPr="005F50FF">
              <w:rPr>
                <w:sz w:val="22"/>
                <w:szCs w:val="22"/>
              </w:rPr>
              <w:t>3. Finansiālā ietekme:</w:t>
            </w:r>
          </w:p>
        </w:tc>
        <w:tc>
          <w:tcPr>
            <w:tcW w:w="964" w:type="dxa"/>
            <w:shd w:val="clear" w:color="auto" w:fill="auto"/>
            <w:vAlign w:val="center"/>
          </w:tcPr>
          <w:p w14:paraId="78D65AFD" w14:textId="695129D6" w:rsidR="0081445E" w:rsidRPr="005F50FF" w:rsidRDefault="0081445E" w:rsidP="0081445E">
            <w:pPr>
              <w:pStyle w:val="naisf"/>
              <w:spacing w:before="0" w:after="0"/>
              <w:ind w:firstLine="0"/>
              <w:jc w:val="center"/>
            </w:pPr>
            <w:r>
              <w:t>0</w:t>
            </w:r>
          </w:p>
        </w:tc>
        <w:tc>
          <w:tcPr>
            <w:tcW w:w="1701" w:type="dxa"/>
            <w:vAlign w:val="center"/>
          </w:tcPr>
          <w:p w14:paraId="526D99DD" w14:textId="5AF98702" w:rsidR="0081445E" w:rsidRPr="00BD49D6" w:rsidRDefault="0081445E" w:rsidP="0081445E">
            <w:pPr>
              <w:pStyle w:val="naisf"/>
              <w:spacing w:before="0" w:after="0"/>
              <w:ind w:firstLine="0"/>
              <w:jc w:val="center"/>
              <w:rPr>
                <w:sz w:val="22"/>
                <w:szCs w:val="22"/>
              </w:rPr>
            </w:pPr>
            <w:r>
              <w:rPr>
                <w:sz w:val="22"/>
                <w:szCs w:val="22"/>
              </w:rPr>
              <w:t>0</w:t>
            </w:r>
          </w:p>
        </w:tc>
        <w:tc>
          <w:tcPr>
            <w:tcW w:w="1417" w:type="dxa"/>
            <w:vAlign w:val="center"/>
          </w:tcPr>
          <w:p w14:paraId="51B49A29" w14:textId="69BED4C6" w:rsidR="0081445E" w:rsidRPr="005F50FF" w:rsidRDefault="0081445E" w:rsidP="0081445E">
            <w:pPr>
              <w:jc w:val="center"/>
            </w:pPr>
            <w:r>
              <w:t>0</w:t>
            </w:r>
          </w:p>
        </w:tc>
        <w:tc>
          <w:tcPr>
            <w:tcW w:w="1418" w:type="dxa"/>
            <w:vAlign w:val="center"/>
          </w:tcPr>
          <w:p w14:paraId="188AFFCC" w14:textId="58F5AE8F" w:rsidR="0081445E" w:rsidRPr="005F50FF" w:rsidRDefault="0081445E" w:rsidP="0081445E">
            <w:pPr>
              <w:jc w:val="center"/>
            </w:pPr>
            <w:r>
              <w:t>0</w:t>
            </w:r>
          </w:p>
        </w:tc>
        <w:tc>
          <w:tcPr>
            <w:tcW w:w="1588" w:type="dxa"/>
            <w:vAlign w:val="center"/>
          </w:tcPr>
          <w:p w14:paraId="2783F3FA" w14:textId="64367CBD" w:rsidR="0081445E" w:rsidRPr="005F50FF" w:rsidRDefault="0081445E" w:rsidP="0081445E">
            <w:pPr>
              <w:jc w:val="center"/>
            </w:pPr>
            <w:r>
              <w:t>0</w:t>
            </w:r>
          </w:p>
        </w:tc>
      </w:tr>
      <w:tr w:rsidR="0081445E" w:rsidRPr="005F50FF" w14:paraId="118FEBE7" w14:textId="77777777" w:rsidTr="004773F3">
        <w:trPr>
          <w:trHeight w:val="14"/>
        </w:trPr>
        <w:tc>
          <w:tcPr>
            <w:tcW w:w="2268" w:type="dxa"/>
          </w:tcPr>
          <w:p w14:paraId="2ED5C808" w14:textId="77777777" w:rsidR="0081445E" w:rsidRPr="005F50FF" w:rsidRDefault="0081445E" w:rsidP="0081445E">
            <w:pPr>
              <w:jc w:val="both"/>
              <w:rPr>
                <w:sz w:val="22"/>
                <w:szCs w:val="22"/>
              </w:rPr>
            </w:pPr>
            <w:r w:rsidRPr="005F50FF">
              <w:rPr>
                <w:sz w:val="22"/>
                <w:szCs w:val="22"/>
              </w:rPr>
              <w:t>3.1. valsts pamatbudžets</w:t>
            </w:r>
          </w:p>
        </w:tc>
        <w:tc>
          <w:tcPr>
            <w:tcW w:w="964" w:type="dxa"/>
            <w:shd w:val="clear" w:color="auto" w:fill="auto"/>
            <w:vAlign w:val="center"/>
          </w:tcPr>
          <w:p w14:paraId="5A679559" w14:textId="77777777" w:rsidR="0081445E" w:rsidRPr="005F50FF" w:rsidRDefault="0081445E" w:rsidP="0081445E">
            <w:pPr>
              <w:pStyle w:val="naisf"/>
              <w:spacing w:before="0" w:after="0"/>
              <w:ind w:firstLine="0"/>
              <w:jc w:val="center"/>
            </w:pPr>
          </w:p>
        </w:tc>
        <w:tc>
          <w:tcPr>
            <w:tcW w:w="1701" w:type="dxa"/>
            <w:vAlign w:val="center"/>
          </w:tcPr>
          <w:p w14:paraId="52D96B3F"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79F429A6"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26EEB660"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2ED73819" w14:textId="77777777" w:rsidR="0081445E" w:rsidRPr="005F50FF" w:rsidRDefault="0081445E" w:rsidP="0081445E">
            <w:pPr>
              <w:pStyle w:val="naisf"/>
              <w:spacing w:before="0" w:after="0"/>
              <w:ind w:firstLine="0"/>
              <w:jc w:val="center"/>
              <w:rPr>
                <w:sz w:val="22"/>
                <w:szCs w:val="22"/>
              </w:rPr>
            </w:pPr>
          </w:p>
        </w:tc>
      </w:tr>
      <w:tr w:rsidR="0081445E" w:rsidRPr="005F50FF" w14:paraId="52FD82EB" w14:textId="77777777" w:rsidTr="004773F3">
        <w:trPr>
          <w:trHeight w:val="14"/>
        </w:trPr>
        <w:tc>
          <w:tcPr>
            <w:tcW w:w="2268" w:type="dxa"/>
          </w:tcPr>
          <w:p w14:paraId="5959C812" w14:textId="77777777" w:rsidR="0081445E" w:rsidRPr="005F50FF" w:rsidRDefault="0081445E" w:rsidP="0081445E">
            <w:pPr>
              <w:jc w:val="both"/>
              <w:rPr>
                <w:sz w:val="22"/>
                <w:szCs w:val="22"/>
              </w:rPr>
            </w:pPr>
            <w:r w:rsidRPr="005F50FF">
              <w:rPr>
                <w:sz w:val="22"/>
                <w:szCs w:val="22"/>
              </w:rPr>
              <w:t>3.2. speciālais budžets</w:t>
            </w:r>
          </w:p>
        </w:tc>
        <w:tc>
          <w:tcPr>
            <w:tcW w:w="964" w:type="dxa"/>
            <w:shd w:val="clear" w:color="auto" w:fill="auto"/>
            <w:vAlign w:val="center"/>
          </w:tcPr>
          <w:p w14:paraId="645D3B7F" w14:textId="77777777" w:rsidR="0081445E" w:rsidRPr="005F50FF" w:rsidRDefault="0081445E" w:rsidP="0081445E">
            <w:pPr>
              <w:pStyle w:val="naisf"/>
              <w:spacing w:before="0" w:after="0"/>
              <w:ind w:firstLine="0"/>
              <w:jc w:val="center"/>
              <w:rPr>
                <w:i/>
              </w:rPr>
            </w:pPr>
          </w:p>
        </w:tc>
        <w:tc>
          <w:tcPr>
            <w:tcW w:w="1701" w:type="dxa"/>
            <w:vAlign w:val="center"/>
          </w:tcPr>
          <w:p w14:paraId="67C0529F" w14:textId="77777777" w:rsidR="0081445E" w:rsidRPr="005F50FF" w:rsidRDefault="0081445E" w:rsidP="0081445E">
            <w:pPr>
              <w:pStyle w:val="naisf"/>
              <w:spacing w:before="0" w:after="0"/>
              <w:ind w:firstLine="0"/>
              <w:jc w:val="center"/>
              <w:rPr>
                <w:b/>
                <w:i/>
                <w:sz w:val="22"/>
                <w:szCs w:val="22"/>
              </w:rPr>
            </w:pPr>
          </w:p>
        </w:tc>
        <w:tc>
          <w:tcPr>
            <w:tcW w:w="1417" w:type="dxa"/>
            <w:vAlign w:val="center"/>
          </w:tcPr>
          <w:p w14:paraId="582E95A5" w14:textId="77777777" w:rsidR="0081445E" w:rsidRPr="005F50FF" w:rsidRDefault="0081445E" w:rsidP="0081445E">
            <w:pPr>
              <w:pStyle w:val="naisf"/>
              <w:spacing w:before="0" w:after="0"/>
              <w:ind w:firstLine="0"/>
              <w:jc w:val="center"/>
              <w:rPr>
                <w:b/>
                <w:i/>
                <w:sz w:val="22"/>
                <w:szCs w:val="22"/>
              </w:rPr>
            </w:pPr>
          </w:p>
        </w:tc>
        <w:tc>
          <w:tcPr>
            <w:tcW w:w="1418" w:type="dxa"/>
            <w:vAlign w:val="center"/>
          </w:tcPr>
          <w:p w14:paraId="0E2FCCC3" w14:textId="77777777" w:rsidR="0081445E" w:rsidRPr="005F50FF" w:rsidRDefault="0081445E" w:rsidP="0081445E">
            <w:pPr>
              <w:pStyle w:val="naisf"/>
              <w:spacing w:before="0" w:after="0"/>
              <w:ind w:firstLine="0"/>
              <w:jc w:val="center"/>
              <w:rPr>
                <w:b/>
                <w:i/>
                <w:sz w:val="22"/>
                <w:szCs w:val="22"/>
              </w:rPr>
            </w:pPr>
          </w:p>
        </w:tc>
        <w:tc>
          <w:tcPr>
            <w:tcW w:w="1588" w:type="dxa"/>
            <w:vAlign w:val="center"/>
          </w:tcPr>
          <w:p w14:paraId="5ACF04F1" w14:textId="77777777" w:rsidR="0081445E" w:rsidRPr="005F50FF" w:rsidRDefault="0081445E" w:rsidP="0081445E">
            <w:pPr>
              <w:pStyle w:val="naisf"/>
              <w:spacing w:before="0" w:after="0"/>
              <w:ind w:firstLine="0"/>
              <w:jc w:val="center"/>
              <w:rPr>
                <w:b/>
                <w:i/>
                <w:sz w:val="22"/>
                <w:szCs w:val="22"/>
              </w:rPr>
            </w:pPr>
          </w:p>
        </w:tc>
      </w:tr>
      <w:tr w:rsidR="0081445E" w:rsidRPr="005F50FF" w14:paraId="2AB652B0" w14:textId="77777777" w:rsidTr="004773F3">
        <w:trPr>
          <w:trHeight w:val="22"/>
        </w:trPr>
        <w:tc>
          <w:tcPr>
            <w:tcW w:w="2268" w:type="dxa"/>
          </w:tcPr>
          <w:p w14:paraId="62944464" w14:textId="77777777" w:rsidR="0081445E" w:rsidRPr="005F50FF" w:rsidRDefault="0081445E" w:rsidP="0081445E">
            <w:pPr>
              <w:jc w:val="both"/>
              <w:rPr>
                <w:sz w:val="22"/>
                <w:szCs w:val="22"/>
              </w:rPr>
            </w:pPr>
            <w:r w:rsidRPr="005F50FF">
              <w:rPr>
                <w:sz w:val="22"/>
                <w:szCs w:val="22"/>
              </w:rPr>
              <w:t xml:space="preserve">3.3. pašvaldību budžets </w:t>
            </w:r>
          </w:p>
        </w:tc>
        <w:tc>
          <w:tcPr>
            <w:tcW w:w="964" w:type="dxa"/>
            <w:shd w:val="clear" w:color="auto" w:fill="auto"/>
            <w:vAlign w:val="center"/>
          </w:tcPr>
          <w:p w14:paraId="6D10940E" w14:textId="77777777" w:rsidR="0081445E" w:rsidRPr="005F50FF" w:rsidRDefault="0081445E" w:rsidP="0081445E">
            <w:pPr>
              <w:pStyle w:val="naisf"/>
              <w:spacing w:before="0" w:after="0"/>
              <w:ind w:firstLine="0"/>
              <w:jc w:val="center"/>
            </w:pPr>
          </w:p>
        </w:tc>
        <w:tc>
          <w:tcPr>
            <w:tcW w:w="1701" w:type="dxa"/>
            <w:vAlign w:val="center"/>
          </w:tcPr>
          <w:p w14:paraId="300CD439"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7736615A"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7C41A0F1"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7CC84970" w14:textId="77777777" w:rsidR="0081445E" w:rsidRPr="005F50FF" w:rsidRDefault="0081445E" w:rsidP="0081445E">
            <w:pPr>
              <w:pStyle w:val="naisf"/>
              <w:spacing w:before="0" w:after="0"/>
              <w:ind w:firstLine="0"/>
              <w:jc w:val="center"/>
              <w:rPr>
                <w:sz w:val="22"/>
                <w:szCs w:val="22"/>
              </w:rPr>
            </w:pPr>
          </w:p>
        </w:tc>
      </w:tr>
      <w:tr w:rsidR="0081445E" w:rsidRPr="005F50FF" w14:paraId="51EDE857" w14:textId="77777777" w:rsidTr="004773F3">
        <w:trPr>
          <w:trHeight w:val="2023"/>
        </w:trPr>
        <w:tc>
          <w:tcPr>
            <w:tcW w:w="2268" w:type="dxa"/>
          </w:tcPr>
          <w:p w14:paraId="2F8EED4D" w14:textId="343231BA" w:rsidR="0081445E" w:rsidRPr="005F50FF" w:rsidRDefault="0081445E" w:rsidP="0081445E">
            <w:pPr>
              <w:jc w:val="both"/>
              <w:rPr>
                <w:sz w:val="22"/>
                <w:szCs w:val="22"/>
              </w:rPr>
            </w:pPr>
            <w:r w:rsidRPr="005F50FF">
              <w:rPr>
                <w:sz w:val="22"/>
                <w:szCs w:val="22"/>
              </w:rPr>
              <w:t>4</w:t>
            </w:r>
            <w:r>
              <w:rPr>
                <w:sz w:val="22"/>
                <w:szCs w:val="22"/>
              </w:rPr>
              <w:t>. Finanšu līdzekļi papildu izde</w:t>
            </w:r>
            <w:r w:rsidRPr="005F50FF">
              <w:rPr>
                <w:sz w:val="22"/>
                <w:szCs w:val="22"/>
              </w:rPr>
              <w:t>vumu finansēšanai (kompensējošu izdevumu samazinājumu norāda ar "+" zīmi)</w:t>
            </w:r>
          </w:p>
        </w:tc>
        <w:tc>
          <w:tcPr>
            <w:tcW w:w="964" w:type="dxa"/>
            <w:vAlign w:val="center"/>
          </w:tcPr>
          <w:p w14:paraId="193261C4" w14:textId="77777777" w:rsidR="0081445E" w:rsidRPr="005F50FF" w:rsidRDefault="0081445E" w:rsidP="0081445E">
            <w:pPr>
              <w:pStyle w:val="naisf"/>
              <w:spacing w:before="0" w:after="0"/>
              <w:ind w:firstLine="0"/>
              <w:jc w:val="center"/>
              <w:rPr>
                <w:i/>
              </w:rPr>
            </w:pPr>
            <w:r w:rsidRPr="005F50FF">
              <w:t>X</w:t>
            </w:r>
          </w:p>
        </w:tc>
        <w:tc>
          <w:tcPr>
            <w:tcW w:w="1701" w:type="dxa"/>
            <w:vAlign w:val="center"/>
          </w:tcPr>
          <w:p w14:paraId="3CDD57EC" w14:textId="5228EECF" w:rsidR="0081445E" w:rsidRPr="003D4E90" w:rsidRDefault="0081445E" w:rsidP="0081445E">
            <w:pPr>
              <w:pStyle w:val="naisf"/>
              <w:ind w:firstLine="0"/>
              <w:jc w:val="center"/>
              <w:rPr>
                <w:sz w:val="22"/>
                <w:szCs w:val="22"/>
              </w:rPr>
            </w:pPr>
          </w:p>
        </w:tc>
        <w:tc>
          <w:tcPr>
            <w:tcW w:w="1417" w:type="dxa"/>
            <w:vAlign w:val="center"/>
          </w:tcPr>
          <w:p w14:paraId="1282C9A9" w14:textId="77777777" w:rsidR="0081445E" w:rsidRPr="005F50FF" w:rsidRDefault="0081445E" w:rsidP="0081445E">
            <w:pPr>
              <w:pStyle w:val="naisf"/>
              <w:ind w:firstLine="0"/>
              <w:jc w:val="center"/>
              <w:rPr>
                <w:b/>
                <w:i/>
                <w:sz w:val="22"/>
                <w:szCs w:val="22"/>
              </w:rPr>
            </w:pPr>
          </w:p>
        </w:tc>
        <w:tc>
          <w:tcPr>
            <w:tcW w:w="1418" w:type="dxa"/>
            <w:vAlign w:val="center"/>
          </w:tcPr>
          <w:p w14:paraId="3E7F1277" w14:textId="77777777" w:rsidR="0081445E" w:rsidRPr="005F50FF" w:rsidRDefault="0081445E" w:rsidP="0081445E">
            <w:pPr>
              <w:pStyle w:val="naisf"/>
              <w:ind w:firstLine="0"/>
              <w:jc w:val="center"/>
              <w:rPr>
                <w:b/>
                <w:i/>
                <w:sz w:val="22"/>
                <w:szCs w:val="22"/>
              </w:rPr>
            </w:pPr>
          </w:p>
        </w:tc>
        <w:tc>
          <w:tcPr>
            <w:tcW w:w="1588" w:type="dxa"/>
            <w:vAlign w:val="center"/>
          </w:tcPr>
          <w:p w14:paraId="2BF4304E" w14:textId="77777777" w:rsidR="0081445E" w:rsidRPr="005F50FF" w:rsidRDefault="0081445E" w:rsidP="0081445E">
            <w:pPr>
              <w:pStyle w:val="naisf"/>
              <w:ind w:firstLine="0"/>
              <w:jc w:val="center"/>
              <w:rPr>
                <w:b/>
                <w:i/>
                <w:sz w:val="22"/>
                <w:szCs w:val="22"/>
              </w:rPr>
            </w:pPr>
          </w:p>
        </w:tc>
      </w:tr>
      <w:tr w:rsidR="0081445E" w:rsidRPr="005F50FF" w14:paraId="0596D267" w14:textId="77777777" w:rsidTr="004773F3">
        <w:trPr>
          <w:trHeight w:val="21"/>
        </w:trPr>
        <w:tc>
          <w:tcPr>
            <w:tcW w:w="2268" w:type="dxa"/>
          </w:tcPr>
          <w:p w14:paraId="2EF740CD" w14:textId="77777777" w:rsidR="0081445E" w:rsidRPr="005F50FF" w:rsidRDefault="0081445E" w:rsidP="0081445E">
            <w:pPr>
              <w:jc w:val="both"/>
              <w:rPr>
                <w:sz w:val="22"/>
                <w:szCs w:val="22"/>
              </w:rPr>
            </w:pPr>
            <w:r w:rsidRPr="005F50FF">
              <w:rPr>
                <w:sz w:val="22"/>
                <w:szCs w:val="22"/>
              </w:rPr>
              <w:t>5. Precizēta finansiālā ietekme:</w:t>
            </w:r>
          </w:p>
        </w:tc>
        <w:tc>
          <w:tcPr>
            <w:tcW w:w="964" w:type="dxa"/>
            <w:vMerge w:val="restart"/>
            <w:vAlign w:val="center"/>
          </w:tcPr>
          <w:p w14:paraId="5E7DC13A" w14:textId="77777777" w:rsidR="0081445E" w:rsidRPr="005F50FF" w:rsidRDefault="0081445E" w:rsidP="0081445E">
            <w:pPr>
              <w:pStyle w:val="naisf"/>
              <w:spacing w:before="0" w:after="0"/>
              <w:ind w:firstLine="0"/>
              <w:jc w:val="center"/>
              <w:rPr>
                <w:i/>
              </w:rPr>
            </w:pPr>
            <w:r w:rsidRPr="005F50FF">
              <w:t>X</w:t>
            </w:r>
          </w:p>
        </w:tc>
        <w:tc>
          <w:tcPr>
            <w:tcW w:w="1701" w:type="dxa"/>
            <w:vAlign w:val="center"/>
          </w:tcPr>
          <w:p w14:paraId="196AB639" w14:textId="195C41DE" w:rsidR="0081445E" w:rsidRPr="005F50FF" w:rsidRDefault="0081445E" w:rsidP="0081445E">
            <w:pPr>
              <w:pStyle w:val="naisf"/>
              <w:spacing w:before="0" w:after="0"/>
              <w:ind w:firstLine="0"/>
              <w:jc w:val="center"/>
              <w:rPr>
                <w:sz w:val="22"/>
                <w:szCs w:val="22"/>
              </w:rPr>
            </w:pPr>
            <w:r>
              <w:rPr>
                <w:sz w:val="22"/>
                <w:szCs w:val="22"/>
              </w:rPr>
              <w:t>0</w:t>
            </w:r>
          </w:p>
        </w:tc>
        <w:tc>
          <w:tcPr>
            <w:tcW w:w="1417" w:type="dxa"/>
            <w:vAlign w:val="center"/>
          </w:tcPr>
          <w:p w14:paraId="2DDD6E9E" w14:textId="0357A803" w:rsidR="0081445E" w:rsidRPr="005F50FF" w:rsidRDefault="0081445E" w:rsidP="0081445E">
            <w:pPr>
              <w:pStyle w:val="naisf"/>
              <w:spacing w:before="0" w:after="0"/>
              <w:ind w:firstLine="0"/>
              <w:jc w:val="center"/>
              <w:rPr>
                <w:sz w:val="22"/>
                <w:szCs w:val="22"/>
              </w:rPr>
            </w:pPr>
            <w:r>
              <w:rPr>
                <w:sz w:val="22"/>
                <w:szCs w:val="22"/>
              </w:rPr>
              <w:t>0</w:t>
            </w:r>
          </w:p>
        </w:tc>
        <w:tc>
          <w:tcPr>
            <w:tcW w:w="1418" w:type="dxa"/>
            <w:vAlign w:val="center"/>
          </w:tcPr>
          <w:p w14:paraId="22E968EF" w14:textId="54D51DB5" w:rsidR="0081445E" w:rsidRPr="005F50FF" w:rsidRDefault="0081445E" w:rsidP="0081445E">
            <w:pPr>
              <w:pStyle w:val="naisf"/>
              <w:spacing w:before="0" w:after="0"/>
              <w:ind w:firstLine="0"/>
              <w:jc w:val="center"/>
              <w:rPr>
                <w:sz w:val="22"/>
                <w:szCs w:val="22"/>
              </w:rPr>
            </w:pPr>
            <w:r>
              <w:rPr>
                <w:sz w:val="22"/>
                <w:szCs w:val="22"/>
              </w:rPr>
              <w:t>0</w:t>
            </w:r>
          </w:p>
        </w:tc>
        <w:tc>
          <w:tcPr>
            <w:tcW w:w="1588" w:type="dxa"/>
            <w:vAlign w:val="center"/>
          </w:tcPr>
          <w:p w14:paraId="6F6B61E0" w14:textId="0EE17F73" w:rsidR="0081445E" w:rsidRPr="005F50FF" w:rsidRDefault="0081445E" w:rsidP="0081445E">
            <w:pPr>
              <w:pStyle w:val="naisf"/>
              <w:spacing w:before="0" w:after="0"/>
              <w:ind w:firstLine="0"/>
              <w:jc w:val="center"/>
              <w:rPr>
                <w:sz w:val="22"/>
                <w:szCs w:val="22"/>
              </w:rPr>
            </w:pPr>
            <w:r>
              <w:rPr>
                <w:sz w:val="22"/>
                <w:szCs w:val="22"/>
              </w:rPr>
              <w:t>0</w:t>
            </w:r>
          </w:p>
        </w:tc>
      </w:tr>
      <w:tr w:rsidR="0081445E" w:rsidRPr="005F50FF" w14:paraId="4157BEEF" w14:textId="77777777" w:rsidTr="004773F3">
        <w:trPr>
          <w:trHeight w:val="14"/>
        </w:trPr>
        <w:tc>
          <w:tcPr>
            <w:tcW w:w="2268" w:type="dxa"/>
          </w:tcPr>
          <w:p w14:paraId="06126EFF" w14:textId="77777777" w:rsidR="0081445E" w:rsidRPr="005F50FF" w:rsidRDefault="0081445E" w:rsidP="0081445E">
            <w:pPr>
              <w:jc w:val="both"/>
              <w:rPr>
                <w:sz w:val="22"/>
                <w:szCs w:val="22"/>
              </w:rPr>
            </w:pPr>
            <w:r w:rsidRPr="005F50FF">
              <w:rPr>
                <w:sz w:val="22"/>
                <w:szCs w:val="22"/>
              </w:rPr>
              <w:t>5.1. valsts pamatbudžets</w:t>
            </w:r>
          </w:p>
        </w:tc>
        <w:tc>
          <w:tcPr>
            <w:tcW w:w="964" w:type="dxa"/>
            <w:vMerge/>
            <w:vAlign w:val="center"/>
          </w:tcPr>
          <w:p w14:paraId="0C38DB3F" w14:textId="77777777" w:rsidR="0081445E" w:rsidRPr="005F50FF" w:rsidRDefault="0081445E" w:rsidP="0081445E">
            <w:pPr>
              <w:pStyle w:val="naisf"/>
              <w:spacing w:before="0" w:after="0"/>
              <w:ind w:firstLine="0"/>
              <w:jc w:val="center"/>
              <w:rPr>
                <w:i/>
                <w:sz w:val="40"/>
                <w:szCs w:val="40"/>
              </w:rPr>
            </w:pPr>
          </w:p>
        </w:tc>
        <w:tc>
          <w:tcPr>
            <w:tcW w:w="1701" w:type="dxa"/>
            <w:vAlign w:val="center"/>
          </w:tcPr>
          <w:p w14:paraId="7C3FB29C"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32B409C0"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3FE6E6FD"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18384264" w14:textId="77777777" w:rsidR="0081445E" w:rsidRPr="005F50FF" w:rsidRDefault="0081445E" w:rsidP="0081445E">
            <w:pPr>
              <w:pStyle w:val="naisf"/>
              <w:spacing w:before="0" w:after="0"/>
              <w:ind w:firstLine="0"/>
              <w:jc w:val="center"/>
              <w:rPr>
                <w:sz w:val="22"/>
                <w:szCs w:val="22"/>
              </w:rPr>
            </w:pPr>
          </w:p>
        </w:tc>
      </w:tr>
      <w:tr w:rsidR="0081445E" w:rsidRPr="005F50FF" w14:paraId="57CC299E" w14:textId="77777777" w:rsidTr="004773F3">
        <w:trPr>
          <w:trHeight w:val="14"/>
        </w:trPr>
        <w:tc>
          <w:tcPr>
            <w:tcW w:w="2268" w:type="dxa"/>
          </w:tcPr>
          <w:p w14:paraId="5E44B109" w14:textId="77777777" w:rsidR="0081445E" w:rsidRPr="005F50FF" w:rsidRDefault="0081445E" w:rsidP="0081445E">
            <w:pPr>
              <w:jc w:val="both"/>
              <w:rPr>
                <w:sz w:val="22"/>
                <w:szCs w:val="22"/>
              </w:rPr>
            </w:pPr>
            <w:r w:rsidRPr="005F50FF">
              <w:rPr>
                <w:sz w:val="22"/>
                <w:szCs w:val="22"/>
              </w:rPr>
              <w:t>5.2. speciālais budžets</w:t>
            </w:r>
          </w:p>
        </w:tc>
        <w:tc>
          <w:tcPr>
            <w:tcW w:w="964" w:type="dxa"/>
            <w:vMerge/>
            <w:vAlign w:val="center"/>
          </w:tcPr>
          <w:p w14:paraId="0C489AC9" w14:textId="77777777" w:rsidR="0081445E" w:rsidRPr="005F50FF" w:rsidRDefault="0081445E" w:rsidP="0081445E">
            <w:pPr>
              <w:pStyle w:val="naisf"/>
              <w:spacing w:before="0" w:after="0"/>
              <w:ind w:firstLine="0"/>
              <w:jc w:val="center"/>
              <w:rPr>
                <w:i/>
                <w:sz w:val="40"/>
                <w:szCs w:val="40"/>
              </w:rPr>
            </w:pPr>
          </w:p>
        </w:tc>
        <w:tc>
          <w:tcPr>
            <w:tcW w:w="1701" w:type="dxa"/>
            <w:vAlign w:val="center"/>
          </w:tcPr>
          <w:p w14:paraId="5866D5CD"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7C250FEE"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34E12455"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3C3BA8EC" w14:textId="77777777" w:rsidR="0081445E" w:rsidRPr="005F50FF" w:rsidRDefault="0081445E" w:rsidP="0081445E">
            <w:pPr>
              <w:pStyle w:val="naisf"/>
              <w:spacing w:before="0" w:after="0"/>
              <w:ind w:firstLine="0"/>
              <w:jc w:val="center"/>
              <w:rPr>
                <w:sz w:val="22"/>
                <w:szCs w:val="22"/>
              </w:rPr>
            </w:pPr>
          </w:p>
        </w:tc>
      </w:tr>
      <w:tr w:rsidR="0081445E" w:rsidRPr="005F50FF" w14:paraId="7FEAC52E" w14:textId="77777777" w:rsidTr="004773F3">
        <w:trPr>
          <w:trHeight w:val="589"/>
        </w:trPr>
        <w:tc>
          <w:tcPr>
            <w:tcW w:w="2268" w:type="dxa"/>
          </w:tcPr>
          <w:p w14:paraId="4E6581F7" w14:textId="77777777" w:rsidR="0081445E" w:rsidRPr="005F50FF" w:rsidRDefault="0081445E" w:rsidP="0081445E">
            <w:pPr>
              <w:jc w:val="both"/>
              <w:rPr>
                <w:sz w:val="22"/>
                <w:szCs w:val="22"/>
              </w:rPr>
            </w:pPr>
            <w:r w:rsidRPr="005F50FF">
              <w:rPr>
                <w:sz w:val="22"/>
                <w:szCs w:val="22"/>
              </w:rPr>
              <w:t xml:space="preserve">5.3. pašvaldību budžets </w:t>
            </w:r>
          </w:p>
        </w:tc>
        <w:tc>
          <w:tcPr>
            <w:tcW w:w="964" w:type="dxa"/>
            <w:vMerge/>
            <w:vAlign w:val="center"/>
          </w:tcPr>
          <w:p w14:paraId="2737CC54" w14:textId="77777777" w:rsidR="0081445E" w:rsidRPr="005F50FF" w:rsidRDefault="0081445E" w:rsidP="0081445E">
            <w:pPr>
              <w:pStyle w:val="naisf"/>
              <w:spacing w:before="0" w:after="0"/>
              <w:ind w:firstLine="0"/>
              <w:jc w:val="center"/>
              <w:rPr>
                <w:i/>
                <w:sz w:val="40"/>
                <w:szCs w:val="40"/>
              </w:rPr>
            </w:pPr>
          </w:p>
        </w:tc>
        <w:tc>
          <w:tcPr>
            <w:tcW w:w="1701" w:type="dxa"/>
            <w:vAlign w:val="center"/>
          </w:tcPr>
          <w:p w14:paraId="6971DB97" w14:textId="77777777" w:rsidR="0081445E" w:rsidRPr="005F50FF" w:rsidRDefault="0081445E" w:rsidP="0081445E">
            <w:pPr>
              <w:pStyle w:val="naisf"/>
              <w:spacing w:before="0" w:after="0"/>
              <w:ind w:firstLine="0"/>
              <w:jc w:val="center"/>
              <w:rPr>
                <w:sz w:val="22"/>
                <w:szCs w:val="22"/>
              </w:rPr>
            </w:pPr>
          </w:p>
        </w:tc>
        <w:tc>
          <w:tcPr>
            <w:tcW w:w="1417" w:type="dxa"/>
            <w:vAlign w:val="center"/>
          </w:tcPr>
          <w:p w14:paraId="50023082" w14:textId="77777777" w:rsidR="0081445E" w:rsidRPr="005F50FF" w:rsidRDefault="0081445E" w:rsidP="0081445E">
            <w:pPr>
              <w:pStyle w:val="naisf"/>
              <w:spacing w:before="0" w:after="0"/>
              <w:ind w:firstLine="0"/>
              <w:jc w:val="center"/>
              <w:rPr>
                <w:sz w:val="22"/>
                <w:szCs w:val="22"/>
              </w:rPr>
            </w:pPr>
          </w:p>
        </w:tc>
        <w:tc>
          <w:tcPr>
            <w:tcW w:w="1418" w:type="dxa"/>
            <w:vAlign w:val="center"/>
          </w:tcPr>
          <w:p w14:paraId="7F0BC057" w14:textId="77777777" w:rsidR="0081445E" w:rsidRPr="005F50FF" w:rsidRDefault="0081445E" w:rsidP="0081445E">
            <w:pPr>
              <w:pStyle w:val="naisf"/>
              <w:spacing w:before="0" w:after="0"/>
              <w:ind w:firstLine="0"/>
              <w:jc w:val="center"/>
              <w:rPr>
                <w:sz w:val="22"/>
                <w:szCs w:val="22"/>
              </w:rPr>
            </w:pPr>
          </w:p>
        </w:tc>
        <w:tc>
          <w:tcPr>
            <w:tcW w:w="1588" w:type="dxa"/>
            <w:vAlign w:val="center"/>
          </w:tcPr>
          <w:p w14:paraId="00DED700" w14:textId="77777777" w:rsidR="0081445E" w:rsidRPr="005F50FF" w:rsidRDefault="0081445E" w:rsidP="0081445E">
            <w:pPr>
              <w:pStyle w:val="naisf"/>
              <w:spacing w:before="0" w:after="0"/>
              <w:ind w:firstLine="0"/>
              <w:jc w:val="center"/>
              <w:rPr>
                <w:sz w:val="22"/>
                <w:szCs w:val="22"/>
              </w:rPr>
            </w:pPr>
          </w:p>
        </w:tc>
      </w:tr>
      <w:tr w:rsidR="0081445E" w:rsidRPr="00B36392" w14:paraId="79E67886" w14:textId="77777777" w:rsidTr="004773F3">
        <w:trPr>
          <w:trHeight w:val="3120"/>
        </w:trPr>
        <w:tc>
          <w:tcPr>
            <w:tcW w:w="2268" w:type="dxa"/>
          </w:tcPr>
          <w:p w14:paraId="6C9B8007" w14:textId="1CD0BD5F" w:rsidR="0081445E" w:rsidRPr="00B36392" w:rsidRDefault="0081445E" w:rsidP="00F4764E">
            <w:pPr>
              <w:jc w:val="both"/>
              <w:rPr>
                <w:sz w:val="22"/>
                <w:szCs w:val="22"/>
              </w:rPr>
            </w:pPr>
            <w:r w:rsidRPr="00B36392">
              <w:rPr>
                <w:sz w:val="22"/>
                <w:szCs w:val="22"/>
              </w:rPr>
              <w:t>6</w:t>
            </w:r>
            <w:r>
              <w:rPr>
                <w:sz w:val="22"/>
                <w:szCs w:val="22"/>
              </w:rPr>
              <w:t>. Detalizēts ieņēmumu un izdevu</w:t>
            </w:r>
            <w:r w:rsidRPr="00B36392">
              <w:rPr>
                <w:sz w:val="22"/>
                <w:szCs w:val="22"/>
              </w:rPr>
              <w:t>mu aprēķins (ja nepieciešams, detalizētu ieņēmumu un izdevumu aprēķinu var pievienot anotācijas pielikumā):</w:t>
            </w:r>
          </w:p>
        </w:tc>
        <w:tc>
          <w:tcPr>
            <w:tcW w:w="7088" w:type="dxa"/>
            <w:gridSpan w:val="5"/>
            <w:vAlign w:val="center"/>
          </w:tcPr>
          <w:p w14:paraId="16646700" w14:textId="4091332F" w:rsidR="0081445E" w:rsidRDefault="0081445E" w:rsidP="0081445E">
            <w:pPr>
              <w:jc w:val="both"/>
            </w:pPr>
            <w:r>
              <w:t>Saskaņā ar likumu "Par valsts budžetu 2017. gadam" Tieslietu ministrijas budžeta apakšprogrammā 03.02.00 "Apgabaltiesas un rajonu (pilsētu) tiesas" ieņēmumi no maksas pakalpojumiem un citi</w:t>
            </w:r>
            <w:r w:rsidR="00D86095">
              <w:t>em</w:t>
            </w:r>
            <w:r>
              <w:t xml:space="preserve"> pašu ieņēmumi</w:t>
            </w:r>
            <w:r w:rsidR="00D86095">
              <w:t>em</w:t>
            </w:r>
            <w:r w:rsidR="00253903">
              <w:t xml:space="preserve"> plānoti 707</w:t>
            </w:r>
            <w:r w:rsidR="00362927">
              <w:t> </w:t>
            </w:r>
            <w:r w:rsidR="00253903">
              <w:t>676</w:t>
            </w:r>
            <w:r w:rsidR="00362927">
              <w:t> </w:t>
            </w:r>
            <w:r w:rsidRPr="00B81D83">
              <w:rPr>
                <w:i/>
              </w:rPr>
              <w:t>euro</w:t>
            </w:r>
            <w:r>
              <w:t>, tai skaitā ieņēmumi no tiesu sniegtajiem maksas pakalpoju</w:t>
            </w:r>
            <w:r w:rsidR="00253903">
              <w:t>miem (IKK 21379) plānoti 71</w:t>
            </w:r>
            <w:r w:rsidR="00362927">
              <w:t> </w:t>
            </w:r>
            <w:r w:rsidR="00253903">
              <w:t>855</w:t>
            </w:r>
            <w:r w:rsidR="00362927">
              <w:t> </w:t>
            </w:r>
            <w:r w:rsidRPr="00B81D83">
              <w:rPr>
                <w:i/>
              </w:rPr>
              <w:t>euro</w:t>
            </w:r>
            <w:r w:rsidR="00253903">
              <w:t xml:space="preserve"> (ieņēmumi 599</w:t>
            </w:r>
            <w:r w:rsidR="00362927">
              <w:t> </w:t>
            </w:r>
            <w:r w:rsidR="00253903">
              <w:t>421</w:t>
            </w:r>
            <w:r w:rsidR="00362927">
              <w:t> </w:t>
            </w:r>
            <w:r w:rsidRPr="00B81D83">
              <w:rPr>
                <w:i/>
              </w:rPr>
              <w:t>euro</w:t>
            </w:r>
            <w:r>
              <w:t xml:space="preserve"> atbilstoši Civilprocesa likumam un Kriminālpro</w:t>
            </w:r>
            <w:r w:rsidR="00253903">
              <w:t xml:space="preserve">cesa likumam un ieņēmumi 36 400 </w:t>
            </w:r>
            <w:r w:rsidRPr="00B81D83">
              <w:rPr>
                <w:i/>
              </w:rPr>
              <w:t>euro</w:t>
            </w:r>
            <w:r>
              <w:t xml:space="preserve"> par telpu nomu un komunālajiem pakalpojumiem nav attiecināmi uz šiem noteikumiem). </w:t>
            </w:r>
          </w:p>
          <w:p w14:paraId="0C9637C7" w14:textId="575D4701" w:rsidR="0081445E" w:rsidRPr="002D78DC" w:rsidRDefault="0081445E" w:rsidP="000F4056">
            <w:pPr>
              <w:jc w:val="both"/>
            </w:pPr>
            <w:r>
              <w:t xml:space="preserve">Ar grozījumiem </w:t>
            </w:r>
            <w:r w:rsidR="000F4056">
              <w:t xml:space="preserve">Noteikumos </w:t>
            </w:r>
            <w:r w:rsidR="00253903">
              <w:t>2017. gadā par 76</w:t>
            </w:r>
            <w:r w:rsidR="00362927">
              <w:t> </w:t>
            </w:r>
            <w:r w:rsidR="00253903">
              <w:t>124</w:t>
            </w:r>
            <w:r w:rsidR="00362927">
              <w:t> </w:t>
            </w:r>
            <w:r w:rsidRPr="00B81D83">
              <w:rPr>
                <w:i/>
              </w:rPr>
              <w:t>euro</w:t>
            </w:r>
            <w:r>
              <w:t xml:space="preserve"> un 2018. gadā u</w:t>
            </w:r>
            <w:r w:rsidR="00253903">
              <w:t>n turpmākajos gados par 152</w:t>
            </w:r>
            <w:r w:rsidR="00362927">
              <w:t> </w:t>
            </w:r>
            <w:r w:rsidR="00253903">
              <w:t>248</w:t>
            </w:r>
            <w:r w:rsidR="00362927">
              <w:t> </w:t>
            </w:r>
            <w:r w:rsidRPr="00B81D83">
              <w:rPr>
                <w:i/>
              </w:rPr>
              <w:t>euro</w:t>
            </w:r>
            <w:r>
              <w:t xml:space="preserve"> palielināsies ieņēmumi no tiesu sniegtajiem maksas pakalpojumiem.</w:t>
            </w:r>
          </w:p>
        </w:tc>
      </w:tr>
      <w:tr w:rsidR="0081445E" w:rsidRPr="00B36392" w14:paraId="240E1A75" w14:textId="77777777" w:rsidTr="004773F3">
        <w:trPr>
          <w:trHeight w:val="1593"/>
        </w:trPr>
        <w:tc>
          <w:tcPr>
            <w:tcW w:w="2268" w:type="dxa"/>
          </w:tcPr>
          <w:p w14:paraId="19AAA577" w14:textId="31BD4293" w:rsidR="0081445E" w:rsidRPr="00B36392" w:rsidRDefault="0081445E" w:rsidP="0081445E">
            <w:pPr>
              <w:jc w:val="both"/>
              <w:rPr>
                <w:sz w:val="22"/>
                <w:szCs w:val="22"/>
              </w:rPr>
            </w:pPr>
            <w:r w:rsidRPr="00B36392">
              <w:rPr>
                <w:sz w:val="22"/>
                <w:szCs w:val="22"/>
              </w:rPr>
              <w:t>6</w:t>
            </w:r>
            <w:r>
              <w:rPr>
                <w:sz w:val="22"/>
                <w:szCs w:val="22"/>
              </w:rPr>
              <w:t>.1. detalizēts ieņēmumu aprēķins</w:t>
            </w:r>
          </w:p>
        </w:tc>
        <w:tc>
          <w:tcPr>
            <w:tcW w:w="7088" w:type="dxa"/>
            <w:gridSpan w:val="5"/>
            <w:vAlign w:val="center"/>
          </w:tcPr>
          <w:p w14:paraId="4599861C" w14:textId="573E4B81" w:rsidR="0081445E" w:rsidRDefault="0081445E" w:rsidP="0081445E">
            <w:pPr>
              <w:jc w:val="both"/>
            </w:pPr>
            <w:r w:rsidRPr="00D31622">
              <w:t>Kopā ar izmaiņām ieņēmumi</w:t>
            </w:r>
            <w:r w:rsidRPr="0087330B">
              <w:t xml:space="preserve"> no tiesu sniegtajiem maksas pakalpojumiem 2017.</w:t>
            </w:r>
            <w:r>
              <w:t> </w:t>
            </w:r>
            <w:r w:rsidRPr="0087330B">
              <w:t xml:space="preserve">gadā </w:t>
            </w:r>
            <w:r w:rsidR="00253903">
              <w:t>plānoti 147</w:t>
            </w:r>
            <w:r w:rsidR="003661EE">
              <w:t> </w:t>
            </w:r>
            <w:r w:rsidR="00253903">
              <w:t>979</w:t>
            </w:r>
            <w:r w:rsidR="003661EE">
              <w:t> </w:t>
            </w:r>
            <w:r w:rsidRPr="00B81D83">
              <w:rPr>
                <w:i/>
              </w:rPr>
              <w:t>euro</w:t>
            </w:r>
            <w:r>
              <w:t>, bet 2018. gadā</w:t>
            </w:r>
            <w:r w:rsidR="00253903">
              <w:t xml:space="preserve"> </w:t>
            </w:r>
            <w:r>
              <w:t>un turpmākajos gados 224</w:t>
            </w:r>
            <w:r w:rsidR="003661EE">
              <w:t> </w:t>
            </w:r>
            <w:r>
              <w:t>103</w:t>
            </w:r>
            <w:r w:rsidR="003661EE">
              <w:t> </w:t>
            </w:r>
            <w:r w:rsidRPr="00B81D83">
              <w:rPr>
                <w:i/>
              </w:rPr>
              <w:t>euro</w:t>
            </w:r>
            <w:r>
              <w:rPr>
                <w:i/>
              </w:rPr>
              <w:t>.</w:t>
            </w:r>
          </w:p>
          <w:p w14:paraId="69635DB0" w14:textId="354C6469" w:rsidR="0081445E" w:rsidRPr="00F80BF6" w:rsidRDefault="0081445E" w:rsidP="0081445E">
            <w:pPr>
              <w:pStyle w:val="Paraststmeklis"/>
              <w:spacing w:before="0" w:beforeAutospacing="0" w:after="0" w:afterAutospacing="0"/>
              <w:jc w:val="both"/>
            </w:pPr>
            <w:r>
              <w:t>Detalizēts ieņēmumu no tiesu sniegtajiem maksas pakalpojumiem aprēķins norādīts Noteikumu projekta sākotnējās ietekmes novērtējuma ziņojuma (anotācijas) 2. pielikuma 1. tabulā.</w:t>
            </w:r>
          </w:p>
        </w:tc>
      </w:tr>
      <w:tr w:rsidR="0081445E" w:rsidRPr="00B36392" w14:paraId="4C8737F0" w14:textId="77777777" w:rsidTr="004773F3">
        <w:trPr>
          <w:trHeight w:val="780"/>
        </w:trPr>
        <w:tc>
          <w:tcPr>
            <w:tcW w:w="2268" w:type="dxa"/>
          </w:tcPr>
          <w:p w14:paraId="3AA83883" w14:textId="72BA0040" w:rsidR="0081445E" w:rsidRPr="00B36392" w:rsidRDefault="0081445E" w:rsidP="0081445E">
            <w:pPr>
              <w:jc w:val="both"/>
              <w:rPr>
                <w:sz w:val="22"/>
                <w:szCs w:val="22"/>
              </w:rPr>
            </w:pPr>
            <w:r>
              <w:rPr>
                <w:sz w:val="22"/>
                <w:szCs w:val="22"/>
              </w:rPr>
              <w:t>6.2. </w:t>
            </w:r>
            <w:r w:rsidRPr="00B36392">
              <w:rPr>
                <w:sz w:val="22"/>
                <w:szCs w:val="22"/>
              </w:rPr>
              <w:t>detalizēts izdevumu aprēķins</w:t>
            </w:r>
          </w:p>
        </w:tc>
        <w:tc>
          <w:tcPr>
            <w:tcW w:w="7088" w:type="dxa"/>
            <w:gridSpan w:val="5"/>
            <w:vAlign w:val="center"/>
          </w:tcPr>
          <w:p w14:paraId="5F3BECA4" w14:textId="1D2FDFC0" w:rsidR="0081445E" w:rsidRDefault="0081445E" w:rsidP="00E50F70">
            <w:pPr>
              <w:jc w:val="both"/>
            </w:pPr>
            <w:r>
              <w:t>I</w:t>
            </w:r>
            <w:r w:rsidRPr="00E07443">
              <w:t xml:space="preserve">zdevumi </w:t>
            </w:r>
            <w:r>
              <w:t>Noteikumu projektā iekļauto maksas pakalpojumu sniegšanai</w:t>
            </w:r>
            <w:r w:rsidRPr="00E07443">
              <w:t xml:space="preserve"> 2017.</w:t>
            </w:r>
            <w:r>
              <w:t> </w:t>
            </w:r>
            <w:r w:rsidRPr="00E07443">
              <w:t xml:space="preserve">gadā </w:t>
            </w:r>
            <w:r w:rsidRPr="0081149E">
              <w:t xml:space="preserve">plānoti </w:t>
            </w:r>
            <w:r w:rsidR="00293C01">
              <w:t>76</w:t>
            </w:r>
            <w:r w:rsidR="003661EE">
              <w:t> </w:t>
            </w:r>
            <w:r w:rsidR="00293C01">
              <w:t>124</w:t>
            </w:r>
            <w:r w:rsidR="003661EE">
              <w:t> </w:t>
            </w:r>
            <w:r w:rsidR="00293C01">
              <w:rPr>
                <w:i/>
              </w:rPr>
              <w:t>euro</w:t>
            </w:r>
            <w:r>
              <w:t xml:space="preserve"> apmērā</w:t>
            </w:r>
            <w:r w:rsidR="00293C01">
              <w:t>, bet 2018</w:t>
            </w:r>
            <w:r w:rsidR="003661EE">
              <w:t>.</w:t>
            </w:r>
            <w:r w:rsidR="00293C01">
              <w:t> gadā un turpmākajos gados 152</w:t>
            </w:r>
            <w:r w:rsidR="003661EE">
              <w:t> </w:t>
            </w:r>
            <w:r w:rsidR="00293C01">
              <w:t>248</w:t>
            </w:r>
            <w:r w:rsidR="003661EE">
              <w:t> </w:t>
            </w:r>
            <w:r w:rsidR="00293C01">
              <w:rPr>
                <w:i/>
              </w:rPr>
              <w:t>euro</w:t>
            </w:r>
            <w:r w:rsidR="0047376D">
              <w:rPr>
                <w:i/>
              </w:rPr>
              <w:t>.</w:t>
            </w:r>
          </w:p>
          <w:p w14:paraId="3CFB1FCD" w14:textId="2D0CE3DD" w:rsidR="00786A1E" w:rsidRDefault="0081445E" w:rsidP="00362927">
            <w:pPr>
              <w:jc w:val="both"/>
            </w:pPr>
            <w:r>
              <w:t xml:space="preserve">Kopā ar izmaiņām izdevumi 2017. gadā plānoti </w:t>
            </w:r>
            <w:r w:rsidR="00293C01">
              <w:t>147</w:t>
            </w:r>
            <w:r w:rsidR="003661EE">
              <w:t> </w:t>
            </w:r>
            <w:r w:rsidR="00293C01">
              <w:t>979</w:t>
            </w:r>
            <w:r w:rsidR="003661EE">
              <w:t> </w:t>
            </w:r>
            <w:r w:rsidR="00293C01">
              <w:rPr>
                <w:i/>
              </w:rPr>
              <w:t>euro</w:t>
            </w:r>
            <w:r>
              <w:t xml:space="preserve"> apmērā</w:t>
            </w:r>
            <w:r w:rsidR="00293C01">
              <w:t>, bet 2018. gadā un turpmākajos gados 224</w:t>
            </w:r>
            <w:r w:rsidR="003661EE">
              <w:t> </w:t>
            </w:r>
            <w:r w:rsidR="00293C01">
              <w:t>103</w:t>
            </w:r>
            <w:r w:rsidR="003661EE">
              <w:t> </w:t>
            </w:r>
            <w:r w:rsidR="00293C01">
              <w:rPr>
                <w:i/>
              </w:rPr>
              <w:t xml:space="preserve">euro </w:t>
            </w:r>
            <w:r w:rsidR="00293C01" w:rsidRPr="00B81D83">
              <w:t>apmērā.</w:t>
            </w:r>
          </w:p>
          <w:p w14:paraId="628E6335" w14:textId="4FD2E0E9" w:rsidR="00786A1E" w:rsidRDefault="00786A1E" w:rsidP="00362927">
            <w:pPr>
              <w:jc w:val="both"/>
            </w:pPr>
            <w:r>
              <w:t>Izdevumi atlīdzībai aprēķināti atbilstoši pakalpojuma sniegšanai</w:t>
            </w:r>
            <w:r w:rsidR="009E2C55">
              <w:t xml:space="preserve"> veicamajām darbībām</w:t>
            </w:r>
            <w:r>
              <w:t>, patērētajam laikam un amatam atbilstošajai mēnešalgai.</w:t>
            </w:r>
          </w:p>
          <w:p w14:paraId="127E1225" w14:textId="30AD549F" w:rsidR="00786A1E" w:rsidRPr="00D37BE7" w:rsidRDefault="00D37BE7" w:rsidP="00362927">
            <w:pPr>
              <w:jc w:val="both"/>
              <w:rPr>
                <w:u w:val="single"/>
              </w:rPr>
            </w:pPr>
            <w:r w:rsidRPr="00D37BE7">
              <w:rPr>
                <w:u w:val="single"/>
              </w:rPr>
              <w:lastRenderedPageBreak/>
              <w:t>I. </w:t>
            </w:r>
            <w:r w:rsidR="00786A1E" w:rsidRPr="00D37BE7">
              <w:rPr>
                <w:u w:val="single"/>
              </w:rPr>
              <w:t>Rakstveida izziņas vai apliecinātas nodalījuma datorizdrukas no valsts vienotās datorizētās zemesgrāmatas sagatavošana un izsniegšana:</w:t>
            </w:r>
          </w:p>
          <w:p w14:paraId="4CEC3130" w14:textId="77777777" w:rsidR="00786A1E" w:rsidRPr="00786A1E" w:rsidRDefault="00786A1E" w:rsidP="00786A1E">
            <w:pPr>
              <w:jc w:val="both"/>
            </w:pPr>
            <w:r w:rsidRPr="00786A1E">
              <w:t>1. Saņemtā pieteikuma reģistrēšana elektroniski lietvedības žurnālā. Konsultants 53.1 amata saime, III B līmenis, 8. mēnešalgu grupa, mēnešalga 874 EUR, piemaksa vidēji 20 % mēnesī 174,8 EUR, darba samaksa mēnesī kopā 1 048,8 EUR, gadā 12 585,60 EUR. Gadā vidēji 1 996 darba stundas jeb 119 760 minūtes. Darba samaksa minūtē: 12 585,60 EUR / 119 760 min. = 0,105 EUR.</w:t>
            </w:r>
          </w:p>
          <w:p w14:paraId="1C27E564" w14:textId="77777777" w:rsidR="00786A1E" w:rsidRPr="00786A1E" w:rsidRDefault="00786A1E" w:rsidP="00786A1E">
            <w:pPr>
              <w:jc w:val="both"/>
            </w:pPr>
            <w:r w:rsidRPr="00786A1E">
              <w:t>Patērētais laiks 3 min. x darba samaksa 0,105 EUR/1 min. = 0,32 EUR.</w:t>
            </w:r>
          </w:p>
          <w:p w14:paraId="4197F6D5" w14:textId="77777777" w:rsidR="00786A1E" w:rsidRPr="00786A1E" w:rsidRDefault="00786A1E" w:rsidP="00786A1E">
            <w:pPr>
              <w:tabs>
                <w:tab w:val="left" w:pos="247"/>
              </w:tabs>
              <w:jc w:val="both"/>
            </w:pPr>
            <w:r w:rsidRPr="00786A1E">
              <w:t>2. Pārliecināšanās personu rādītājā par nekustamā īpašuma piederību. Nepieciešamais laiks 3 min. vidēji 70 % pakalpojumu, līdz ar to aprēķinā iekļaujam 70 % no 3 min.= 2,1 min. Konsultants (skat. 1 min. izmaksu aprēķinu 1. punktā).</w:t>
            </w:r>
          </w:p>
          <w:p w14:paraId="7DE52A7C" w14:textId="77777777" w:rsidR="00786A1E" w:rsidRPr="00786A1E" w:rsidRDefault="00786A1E" w:rsidP="00786A1E">
            <w:pPr>
              <w:jc w:val="both"/>
            </w:pPr>
            <w:r w:rsidRPr="00786A1E">
              <w:t>Patērētais laiks 2,1 min. x darba samaksa 0,105 EUR/1 min. = 0,22 EUR.</w:t>
            </w:r>
          </w:p>
          <w:p w14:paraId="5B9BC078" w14:textId="77777777" w:rsidR="00786A1E" w:rsidRPr="00786A1E" w:rsidRDefault="00786A1E" w:rsidP="00786A1E">
            <w:pPr>
              <w:tabs>
                <w:tab w:val="left" w:pos="247"/>
              </w:tabs>
              <w:jc w:val="both"/>
            </w:pPr>
            <w:r w:rsidRPr="00786A1E">
              <w:t>3.</w:t>
            </w:r>
            <w:r w:rsidRPr="00786A1E">
              <w:rPr>
                <w:rFonts w:ascii="Calibri" w:hAnsi="Calibri"/>
                <w:sz w:val="22"/>
                <w:szCs w:val="22"/>
              </w:rPr>
              <w:t> </w:t>
            </w:r>
            <w:r w:rsidRPr="00786A1E">
              <w:t>Pieteikuma izvērtēšana gadījumos, kad pieprasījums saņemts par citai personai piederošu nekustamo īpašumu, tai skaitā:</w:t>
            </w:r>
          </w:p>
          <w:p w14:paraId="0133AB51" w14:textId="691609C5" w:rsidR="00786A1E" w:rsidRPr="00786A1E" w:rsidRDefault="00786A1E" w:rsidP="00786A1E">
            <w:pPr>
              <w:tabs>
                <w:tab w:val="left" w:pos="247"/>
              </w:tabs>
              <w:jc w:val="both"/>
            </w:pPr>
            <w:r w:rsidRPr="00786A1E">
              <w:t>3.1.</w:t>
            </w:r>
            <w:r w:rsidRPr="00786A1E">
              <w:rPr>
                <w:rFonts w:ascii="Calibri" w:hAnsi="Calibri"/>
                <w:sz w:val="22"/>
                <w:szCs w:val="22"/>
              </w:rPr>
              <w:t> </w:t>
            </w:r>
            <w:r w:rsidRPr="00786A1E">
              <w:t>pieprasītās informācijas sniegšanas iespējamīb</w:t>
            </w:r>
            <w:r w:rsidR="009E2C55">
              <w:t>as</w:t>
            </w:r>
            <w:r w:rsidR="009E2C55" w:rsidRPr="00786A1E">
              <w:t xml:space="preserve"> </w:t>
            </w:r>
            <w:r w:rsidR="009E2C55">
              <w:t>vērtēšana</w:t>
            </w:r>
            <w:r w:rsidRPr="00786A1E">
              <w:t xml:space="preserve">: nepieciešamais laiks 15 min, pieņemot, ka </w:t>
            </w:r>
            <w:r w:rsidR="009E2C55">
              <w:t>vērtēšana</w:t>
            </w:r>
            <w:r w:rsidRPr="00786A1E">
              <w:t xml:space="preserve"> nepieciešam</w:t>
            </w:r>
            <w:r w:rsidR="009E2C55">
              <w:t>a</w:t>
            </w:r>
            <w:r w:rsidRPr="00786A1E">
              <w:t xml:space="preserve"> 20 % gadījumu  aprēķinā iekļaujam vidēji 3 min. (20 % no 15 min.). Zemesgrāmatu nodaļas priekšnieks: mēnešalga 1 811,70 EUR un izdienas piemaksa 507,28 EUR, kopā 2 318,98 EUR mēnesī, gadā 27 827,76 EUR. Gadā vidēji 1 996 darba stundas jeb 119 760 minūtes. Darba samaksa minūtē: 27 827,76 EUR / 119 760 min. = 0,232 EUR / 1 min.</w:t>
            </w:r>
          </w:p>
          <w:p w14:paraId="363FEF3C" w14:textId="77777777" w:rsidR="00786A1E" w:rsidRPr="00786A1E" w:rsidRDefault="00786A1E" w:rsidP="00786A1E">
            <w:pPr>
              <w:tabs>
                <w:tab w:val="left" w:pos="247"/>
              </w:tabs>
              <w:jc w:val="both"/>
            </w:pPr>
            <w:r w:rsidRPr="00786A1E">
              <w:t>Patērētais laiks 3 min. x darba samaksa 0,232 EUR/1 min. = 0,7 EUR;</w:t>
            </w:r>
          </w:p>
          <w:p w14:paraId="4DC99C1A" w14:textId="77777777" w:rsidR="00786A1E" w:rsidRPr="00786A1E" w:rsidRDefault="00786A1E" w:rsidP="00786A1E">
            <w:pPr>
              <w:tabs>
                <w:tab w:val="left" w:pos="247"/>
              </w:tabs>
              <w:jc w:val="both"/>
            </w:pPr>
            <w:r w:rsidRPr="00786A1E">
              <w:t>3.2.</w:t>
            </w:r>
            <w:r w:rsidRPr="00786A1E">
              <w:rPr>
                <w:rFonts w:ascii="Calibri" w:hAnsi="Calibri"/>
                <w:sz w:val="22"/>
                <w:szCs w:val="22"/>
              </w:rPr>
              <w:t> </w:t>
            </w:r>
            <w:r w:rsidRPr="00786A1E">
              <w:t>atteikuma un pavadvēstules sagatavošana (vidēji 1 % gadījumu no pieteikumiem), nepieciešamais laiks (zemesgrāmatu nodaļas priekšnieks, skat. aprēķinu 1 min. izmaksām 3.1. punktā) vidēji 2,5 h, jeb 150 min., aprēķinā iekļaujam 1,5 min. (1 % no 150 min.).</w:t>
            </w:r>
          </w:p>
          <w:p w14:paraId="4A766571" w14:textId="77777777" w:rsidR="00786A1E" w:rsidRPr="00786A1E" w:rsidRDefault="00786A1E" w:rsidP="00786A1E">
            <w:pPr>
              <w:tabs>
                <w:tab w:val="left" w:pos="247"/>
              </w:tabs>
              <w:jc w:val="both"/>
            </w:pPr>
            <w:r w:rsidRPr="00786A1E">
              <w:t>Patērētais laiks 1,5 min. x darba samaksa 0,232 EUR/1 min. = 0,35 EUR.</w:t>
            </w:r>
          </w:p>
          <w:p w14:paraId="3B1E6B48" w14:textId="77777777" w:rsidR="00786A1E" w:rsidRPr="00786A1E" w:rsidRDefault="00786A1E" w:rsidP="00786A1E">
            <w:pPr>
              <w:tabs>
                <w:tab w:val="left" w:pos="247"/>
              </w:tabs>
              <w:jc w:val="both"/>
            </w:pPr>
            <w:r w:rsidRPr="00786A1E">
              <w:t>4. Izziņas vai datorizdrukas sagatavošana. Tiesneša palīgs 53.1 amata saime, IV B līmenis, 10. mēnešalgu grupa, mēnešalga 1 174 EUR, piemaksa vidēji 20 % mēnesī 234,8 EUR, darba samaksa mēnesī kopā 1 408,8 EUR, gadā 16 905,60 EUR. Gadā vidēji 1 996 darba stundas jeb 119 760 minūtes. Darba samaksa minūtē: 16 905,60 EUR / 119 760 min. = 0,141 EUR).</w:t>
            </w:r>
          </w:p>
          <w:p w14:paraId="19066AB9" w14:textId="77777777" w:rsidR="00786A1E" w:rsidRPr="00786A1E" w:rsidRDefault="00786A1E" w:rsidP="00786A1E">
            <w:pPr>
              <w:tabs>
                <w:tab w:val="left" w:pos="247"/>
              </w:tabs>
              <w:jc w:val="both"/>
            </w:pPr>
            <w:r w:rsidRPr="00786A1E">
              <w:t>Patērētais laiks 3 min. x darba samaksa 0,141 EUR/1 min. = 0,42 EUR.</w:t>
            </w:r>
          </w:p>
          <w:p w14:paraId="2638EC36" w14:textId="77777777" w:rsidR="00786A1E" w:rsidRPr="00786A1E" w:rsidRDefault="00786A1E" w:rsidP="00786A1E">
            <w:pPr>
              <w:tabs>
                <w:tab w:val="left" w:pos="247"/>
              </w:tabs>
              <w:jc w:val="both"/>
            </w:pPr>
            <w:r w:rsidRPr="00786A1E">
              <w:t>5</w:t>
            </w:r>
            <w:r w:rsidRPr="00786A1E">
              <w:rPr>
                <w:rFonts w:ascii="Calibri" w:hAnsi="Calibri"/>
                <w:sz w:val="22"/>
                <w:szCs w:val="22"/>
              </w:rPr>
              <w:t>. </w:t>
            </w:r>
            <w:r w:rsidRPr="00786A1E">
              <w:t>Dokumentu pārbaude un parakstīšana (zemesgrāmatu nodaļas priekšnieks, skat. aprēķinu 1 min. izmaksām 3.1. punktā).</w:t>
            </w:r>
          </w:p>
          <w:p w14:paraId="70CAA583" w14:textId="283C41FE" w:rsidR="00786A1E" w:rsidRDefault="00786A1E" w:rsidP="00786A1E">
            <w:pPr>
              <w:tabs>
                <w:tab w:val="left" w:pos="247"/>
              </w:tabs>
              <w:jc w:val="both"/>
            </w:pPr>
            <w:r w:rsidRPr="00786A1E">
              <w:t>Patērētais laiks 3 min. x darba samaksa 0,232 EUR/1 min. = 0,7 EUR.</w:t>
            </w:r>
          </w:p>
          <w:p w14:paraId="604ACA84" w14:textId="77777777" w:rsidR="00D37BE7" w:rsidRDefault="00D37BE7" w:rsidP="00D37BE7">
            <w:pPr>
              <w:tabs>
                <w:tab w:val="left" w:pos="247"/>
              </w:tabs>
              <w:jc w:val="both"/>
            </w:pPr>
            <w:r>
              <w:t>6. </w:t>
            </w:r>
            <w:r w:rsidRPr="009E151D">
              <w:t>Rēķina izrakstīšana</w:t>
            </w:r>
            <w:r>
              <w:t xml:space="preserve"> (konsultants, skat. aprēķinu 1 </w:t>
            </w:r>
            <w:r w:rsidRPr="009E151D">
              <w:t>min. izmaksām 1.</w:t>
            </w:r>
            <w:r>
              <w:t> </w:t>
            </w:r>
            <w:r w:rsidRPr="009E151D">
              <w:t>punktā)</w:t>
            </w:r>
            <w:r>
              <w:t>.</w:t>
            </w:r>
          </w:p>
          <w:p w14:paraId="30481DDE" w14:textId="77777777" w:rsidR="00D37BE7" w:rsidRDefault="00D37BE7" w:rsidP="00D37BE7">
            <w:pPr>
              <w:tabs>
                <w:tab w:val="left" w:pos="247"/>
              </w:tabs>
              <w:jc w:val="both"/>
            </w:pPr>
            <w:r>
              <w:t>Patērētais laiks 2 min. x darba samaksa 0,105 EUR/1 min. = 0,21 EUR.</w:t>
            </w:r>
          </w:p>
          <w:p w14:paraId="59AEA769" w14:textId="77777777" w:rsidR="00D37BE7" w:rsidRDefault="00D37BE7" w:rsidP="00D37BE7">
            <w:pPr>
              <w:tabs>
                <w:tab w:val="left" w:pos="247"/>
              </w:tabs>
              <w:jc w:val="both"/>
            </w:pPr>
            <w:r>
              <w:t>7. </w:t>
            </w:r>
            <w:r w:rsidRPr="009E151D">
              <w:t>Samaksas iekasēšana</w:t>
            </w:r>
            <w:r>
              <w:t xml:space="preserve"> (konsultants, skat. aprēķinu 1 </w:t>
            </w:r>
            <w:r w:rsidRPr="009E151D">
              <w:t>min. izmaksām 1.</w:t>
            </w:r>
            <w:r>
              <w:t> </w:t>
            </w:r>
            <w:r w:rsidRPr="009E151D">
              <w:t>punktā)</w:t>
            </w:r>
            <w:r>
              <w:t>.</w:t>
            </w:r>
          </w:p>
          <w:p w14:paraId="2E20740D" w14:textId="77777777" w:rsidR="00D37BE7" w:rsidRDefault="00D37BE7" w:rsidP="00D37BE7">
            <w:pPr>
              <w:tabs>
                <w:tab w:val="left" w:pos="247"/>
              </w:tabs>
              <w:jc w:val="both"/>
            </w:pPr>
            <w:r>
              <w:t>Patērētais laiks 3 min. x darba samaksa 0,105 EUR/1 min. = 0,32 EUR.</w:t>
            </w:r>
          </w:p>
          <w:p w14:paraId="2E10EBFE" w14:textId="77777777" w:rsidR="00D37BE7" w:rsidRDefault="00D37BE7" w:rsidP="00D37BE7">
            <w:pPr>
              <w:tabs>
                <w:tab w:val="left" w:pos="247"/>
              </w:tabs>
              <w:jc w:val="both"/>
            </w:pPr>
            <w:r>
              <w:t>Kopā vienam pakalpojumam patērētais laiks 20,6 min.</w:t>
            </w:r>
          </w:p>
          <w:p w14:paraId="5A3A3DDF" w14:textId="77777777" w:rsidR="00D37BE7" w:rsidRDefault="00D37BE7" w:rsidP="00D37BE7">
            <w:pPr>
              <w:tabs>
                <w:tab w:val="left" w:pos="247"/>
              </w:tabs>
              <w:jc w:val="both"/>
            </w:pPr>
            <w:r>
              <w:t>Atalgojums kopā vienam pakalpojumam – 0,32 + 0,22 + 0,7 + 0,35 + 0,42 + 0,7 + 0,21 + 0,32 = 3,24 EUR.</w:t>
            </w:r>
          </w:p>
          <w:p w14:paraId="3C1CC851" w14:textId="34C3C7BD" w:rsidR="00786A1E" w:rsidRDefault="00D37BE7" w:rsidP="00D37BE7">
            <w:pPr>
              <w:jc w:val="both"/>
            </w:pPr>
            <w:r>
              <w:lastRenderedPageBreak/>
              <w:t>Atalgojums uz visu pakalpojumu skaitu – 3,24 EUR x 10 000 pakalpojumi = 32 400,00 EUR.</w:t>
            </w:r>
          </w:p>
          <w:p w14:paraId="6D7A1AAD" w14:textId="3AE4EE9D" w:rsidR="00D37BE7" w:rsidRDefault="00D37BE7" w:rsidP="00362927">
            <w:pPr>
              <w:jc w:val="both"/>
              <w:rPr>
                <w:color w:val="000000"/>
              </w:rPr>
            </w:pPr>
            <w:r>
              <w:t>D</w:t>
            </w:r>
            <w:r w:rsidRPr="004944D8">
              <w:t>arba devēja valsts sociālās apdrošināšanas obligātās iemaksas</w:t>
            </w:r>
            <w:r>
              <w:t xml:space="preserve"> - </w:t>
            </w:r>
            <w:r>
              <w:rPr>
                <w:color w:val="000000"/>
              </w:rPr>
              <w:t>atalgojums 3,24 EUR vienam pakalpojumam x 23,59 % = 0,76 EUR x 10 000 pakalpojumi = 7 600,00 EUR.</w:t>
            </w:r>
          </w:p>
          <w:p w14:paraId="63D6F0DA" w14:textId="3B997A74" w:rsidR="00D37BE7" w:rsidRPr="00F14CC2" w:rsidRDefault="00D37BE7" w:rsidP="00362927">
            <w:pPr>
              <w:jc w:val="both"/>
              <w:rPr>
                <w:u w:val="single"/>
              </w:rPr>
            </w:pPr>
            <w:r w:rsidRPr="00F14CC2">
              <w:rPr>
                <w:color w:val="000000"/>
                <w:u w:val="single"/>
              </w:rPr>
              <w:t>II.</w:t>
            </w:r>
            <w:r w:rsidRPr="00F14CC2">
              <w:rPr>
                <w:u w:val="single"/>
              </w:rPr>
              <w:t xml:space="preserve"> Zemesgrāmatas nostiprinājuma žurnāla un nekustamā īpašuma lietas lasīšana:</w:t>
            </w:r>
          </w:p>
          <w:p w14:paraId="0E2E41A3" w14:textId="77777777" w:rsidR="00F14CC2" w:rsidRPr="00F14CC2" w:rsidRDefault="00F14CC2" w:rsidP="00F14CC2">
            <w:pPr>
              <w:jc w:val="both"/>
            </w:pPr>
            <w:r w:rsidRPr="00F14CC2">
              <w:t>1. Saņemtā pieteikuma reģistrēšana elektroniski lietvedības žurnālā. Konsultants 53.1 amata saime, III B līmenis, 8. mēnešalgu grupa, mēnešalga 874 EUR, piemaksa vidēji 20 % mēnesī 174,8 EUR, darba samaksa mēnesī kopā 1 048,8 EUR, gadā 12 585,60 EUR. Gadā vidēji 1 996 darba stundas jeb 119 760 minūtes. Darba samaksa minūtē: 12 585,60 EUR / 119 760 min. = 0,105 EUR</w:t>
            </w:r>
          </w:p>
          <w:p w14:paraId="1F98BA2C" w14:textId="77777777" w:rsidR="00F14CC2" w:rsidRPr="00F14CC2" w:rsidRDefault="00F14CC2" w:rsidP="00F14CC2">
            <w:pPr>
              <w:jc w:val="both"/>
            </w:pPr>
            <w:r w:rsidRPr="00F14CC2">
              <w:t>Patērētais laiks 3 min. x darba samaksa 0,105 EUR / 1 min. = 0,32 EUR.</w:t>
            </w:r>
          </w:p>
          <w:p w14:paraId="412AE70D" w14:textId="77777777" w:rsidR="00F14CC2" w:rsidRPr="00F14CC2" w:rsidRDefault="00F14CC2" w:rsidP="00F14CC2">
            <w:pPr>
              <w:tabs>
                <w:tab w:val="left" w:pos="247"/>
              </w:tabs>
              <w:jc w:val="both"/>
            </w:pPr>
            <w:r w:rsidRPr="00F14CC2">
              <w:t>2. Nekustamā īpašuma lietas pasūtīšana un saņemšana no arhīva. (Konsultants, skat. 1 min. izmaksas aprēķinu 1. punktā).</w:t>
            </w:r>
          </w:p>
          <w:p w14:paraId="25EEB8FD" w14:textId="77777777" w:rsidR="00F14CC2" w:rsidRPr="00F14CC2" w:rsidRDefault="00F14CC2" w:rsidP="00F14CC2">
            <w:pPr>
              <w:tabs>
                <w:tab w:val="left" w:pos="247"/>
              </w:tabs>
              <w:jc w:val="both"/>
            </w:pPr>
            <w:r w:rsidRPr="00F14CC2">
              <w:t>Patērētais laiks 10 min. x darba samaksa 0,105 EUR./.1 min. = 1,05 EUR.</w:t>
            </w:r>
          </w:p>
          <w:p w14:paraId="523B7E87" w14:textId="77777777" w:rsidR="00F14CC2" w:rsidRPr="00F14CC2" w:rsidRDefault="00F14CC2" w:rsidP="00F14CC2">
            <w:pPr>
              <w:tabs>
                <w:tab w:val="left" w:pos="247"/>
              </w:tabs>
              <w:jc w:val="both"/>
            </w:pPr>
            <w:r w:rsidRPr="00F14CC2">
              <w:t>3.</w:t>
            </w:r>
            <w:r w:rsidRPr="00F14CC2">
              <w:rPr>
                <w:rFonts w:ascii="Calibri" w:hAnsi="Calibri"/>
                <w:sz w:val="22"/>
                <w:szCs w:val="22"/>
              </w:rPr>
              <w:t> </w:t>
            </w:r>
            <w:r w:rsidRPr="00F14CC2">
              <w:t>Pieteikuma izvērtēšana gadījumos, kad pieprasījums saņemts par citai personai piederošu nekustamo īpašumu, tai skaitā:</w:t>
            </w:r>
          </w:p>
          <w:p w14:paraId="4F71D8DC" w14:textId="38EA482F" w:rsidR="00F14CC2" w:rsidRPr="00F14CC2" w:rsidRDefault="00F14CC2" w:rsidP="00F14CC2">
            <w:pPr>
              <w:tabs>
                <w:tab w:val="left" w:pos="247"/>
              </w:tabs>
              <w:jc w:val="both"/>
            </w:pPr>
            <w:r w:rsidRPr="00F14CC2">
              <w:t>3.1.</w:t>
            </w:r>
            <w:r w:rsidRPr="00F14CC2">
              <w:rPr>
                <w:rFonts w:ascii="Calibri" w:hAnsi="Calibri"/>
                <w:sz w:val="22"/>
                <w:szCs w:val="22"/>
              </w:rPr>
              <w:t> </w:t>
            </w:r>
            <w:r w:rsidRPr="00F14CC2">
              <w:t>pieprasītās informācijas sniegšanas iespējamīb</w:t>
            </w:r>
            <w:r w:rsidR="009E2C55">
              <w:t>as vērtēšana</w:t>
            </w:r>
            <w:r w:rsidRPr="00F14CC2">
              <w:t>: nepieciešamais laiks 15 min, pieņemot, ka vērtē</w:t>
            </w:r>
            <w:r w:rsidR="009E2C55">
              <w:t>šana nepieciešama</w:t>
            </w:r>
            <w:r w:rsidRPr="00F14CC2">
              <w:t xml:space="preserve"> 20 % gadīju</w:t>
            </w:r>
            <w:r w:rsidR="009E2C55">
              <w:t xml:space="preserve">mu </w:t>
            </w:r>
            <w:r w:rsidRPr="00F14CC2">
              <w:t>aprēķinā iekļaujam vidēji 3 min. (20 % no 15 min.). Zemesgrāmatu nodaļas priekšnieks: mēnešalga 1 811,70 EUR un izdienas piemaksa 507,28 EUR, kopā 2 318,98 EUR mēnesī, gadā 27 827,76 EUR. Gadā vidēji 1 996 darba stundas jeb 119 760 minūtes. Darba samaksa minūtē: 27 827,76 EUR / 119 760 min. = 0,232 EUR / 1 min.</w:t>
            </w:r>
          </w:p>
          <w:p w14:paraId="5D994544" w14:textId="77777777" w:rsidR="00F14CC2" w:rsidRPr="00F14CC2" w:rsidRDefault="00F14CC2" w:rsidP="00F14CC2">
            <w:pPr>
              <w:tabs>
                <w:tab w:val="left" w:pos="247"/>
              </w:tabs>
              <w:jc w:val="both"/>
            </w:pPr>
            <w:r w:rsidRPr="00F14CC2">
              <w:t>Patērētais laiks 3 min. x darba samaksa 0,232 EUR / 1 min. = 0,7 EUR;</w:t>
            </w:r>
          </w:p>
          <w:p w14:paraId="5C031745" w14:textId="77777777" w:rsidR="00F14CC2" w:rsidRPr="00F14CC2" w:rsidRDefault="00F14CC2" w:rsidP="00F14CC2">
            <w:pPr>
              <w:tabs>
                <w:tab w:val="left" w:pos="247"/>
              </w:tabs>
              <w:jc w:val="both"/>
            </w:pPr>
            <w:r w:rsidRPr="00F14CC2">
              <w:t>3.2.</w:t>
            </w:r>
            <w:r w:rsidRPr="00F14CC2">
              <w:rPr>
                <w:rFonts w:ascii="Calibri" w:hAnsi="Calibri"/>
                <w:sz w:val="22"/>
                <w:szCs w:val="22"/>
              </w:rPr>
              <w:t> </w:t>
            </w:r>
            <w:r w:rsidRPr="00F14CC2">
              <w:t>atteikuma un pavadvēstules sagatavošana (vidēji 1 % gadījumu no pieteikumiem), nepieciešamais laiks (zemesgrāmatu nodaļas priekšnieks, skat. aprēķinu 1 min. izmaksām 3.1. punktā) vidēji 2,5 h, jeb 150 min., aprēķinā iekļaujam 1,5 min. (1 % no 150 min.).</w:t>
            </w:r>
          </w:p>
          <w:p w14:paraId="7DA09C89" w14:textId="77777777" w:rsidR="00F14CC2" w:rsidRPr="00F14CC2" w:rsidRDefault="00F14CC2" w:rsidP="00F14CC2">
            <w:pPr>
              <w:tabs>
                <w:tab w:val="left" w:pos="247"/>
              </w:tabs>
              <w:jc w:val="both"/>
            </w:pPr>
            <w:r w:rsidRPr="00F14CC2">
              <w:t>Patērētais laiks 1,5 min. x darba samaksa 0,232 EUR / 1 min. = 0,35 EUR.</w:t>
            </w:r>
          </w:p>
          <w:p w14:paraId="15A2383F" w14:textId="77777777" w:rsidR="00F14CC2" w:rsidRPr="00F14CC2" w:rsidRDefault="00F14CC2" w:rsidP="00F14CC2">
            <w:pPr>
              <w:tabs>
                <w:tab w:val="left" w:pos="247"/>
              </w:tabs>
              <w:jc w:val="both"/>
            </w:pPr>
            <w:r w:rsidRPr="00F14CC2">
              <w:t>4. Konsultanta klātbūtne, personai iepazīstoties ar zemesgrāmatas nostiprinājuma žurnāla vai nekustamā īpašuma lietas saturu vidēji 15 min. (skat. 1 min. izmaksas aprēķinu 1.punktā).</w:t>
            </w:r>
          </w:p>
          <w:p w14:paraId="0B5481C3" w14:textId="77777777" w:rsidR="00F14CC2" w:rsidRPr="00F14CC2" w:rsidRDefault="00F14CC2" w:rsidP="00F14CC2">
            <w:pPr>
              <w:tabs>
                <w:tab w:val="left" w:pos="247"/>
              </w:tabs>
              <w:jc w:val="both"/>
            </w:pPr>
            <w:r w:rsidRPr="00F14CC2">
              <w:t xml:space="preserve">Patērētais laiks 15 min. x darba samaksa 0,105 EUR / 1 min. = 1,58 EUR </w:t>
            </w:r>
          </w:p>
          <w:p w14:paraId="4402C425" w14:textId="77777777" w:rsidR="00F14CC2" w:rsidRPr="00F14CC2" w:rsidRDefault="00F14CC2" w:rsidP="00F14CC2">
            <w:pPr>
              <w:tabs>
                <w:tab w:val="left" w:pos="247"/>
              </w:tabs>
              <w:jc w:val="both"/>
            </w:pPr>
            <w:r w:rsidRPr="00F14CC2">
              <w:t>5. Rēķina izrakstīšana (konsultants, skat. aprēķinu 1 min. izmaksām 1. punktā).</w:t>
            </w:r>
          </w:p>
          <w:p w14:paraId="392BA306" w14:textId="77777777" w:rsidR="00F14CC2" w:rsidRPr="00F14CC2" w:rsidRDefault="00F14CC2" w:rsidP="00F14CC2">
            <w:pPr>
              <w:tabs>
                <w:tab w:val="left" w:pos="247"/>
              </w:tabs>
              <w:jc w:val="both"/>
            </w:pPr>
            <w:r w:rsidRPr="00F14CC2">
              <w:t>Patērētais laiks 2 min. x darba samaksa 0,105 EUR / 1 min. = 0,21 EUR.</w:t>
            </w:r>
          </w:p>
          <w:p w14:paraId="5A19E004" w14:textId="77777777" w:rsidR="00F14CC2" w:rsidRPr="00F14CC2" w:rsidRDefault="00F14CC2" w:rsidP="00F14CC2">
            <w:pPr>
              <w:tabs>
                <w:tab w:val="left" w:pos="247"/>
              </w:tabs>
              <w:jc w:val="both"/>
            </w:pPr>
            <w:r w:rsidRPr="00F14CC2">
              <w:t>6.</w:t>
            </w:r>
            <w:r w:rsidRPr="00F14CC2">
              <w:rPr>
                <w:rFonts w:ascii="Calibri" w:hAnsi="Calibri"/>
                <w:sz w:val="22"/>
                <w:szCs w:val="22"/>
              </w:rPr>
              <w:t> </w:t>
            </w:r>
            <w:r w:rsidRPr="00F14CC2">
              <w:t>Samaksas iekasēšana (konsultants, skat. aprēķinu 1 min. izmaksām 1. punktā).</w:t>
            </w:r>
          </w:p>
          <w:p w14:paraId="2DB3D431" w14:textId="77777777" w:rsidR="00F14CC2" w:rsidRPr="00F14CC2" w:rsidRDefault="00F14CC2" w:rsidP="00F14CC2">
            <w:pPr>
              <w:tabs>
                <w:tab w:val="left" w:pos="247"/>
              </w:tabs>
              <w:jc w:val="both"/>
            </w:pPr>
            <w:r w:rsidRPr="00F14CC2">
              <w:t>Patērētais laiks 3 min. x darba samaksa 0,105 EUR / 1 min. = 0,32 EUR.</w:t>
            </w:r>
          </w:p>
          <w:p w14:paraId="1E4E0E26" w14:textId="77777777" w:rsidR="00F14CC2" w:rsidRPr="00F14CC2" w:rsidRDefault="00F14CC2" w:rsidP="00F14CC2">
            <w:pPr>
              <w:tabs>
                <w:tab w:val="left" w:pos="247"/>
              </w:tabs>
              <w:jc w:val="both"/>
            </w:pPr>
            <w:r w:rsidRPr="00F14CC2">
              <w:t>Kopā vienam pakalpojumam patērētais laiks 37,5  min.</w:t>
            </w:r>
          </w:p>
          <w:p w14:paraId="33818CF7" w14:textId="77777777" w:rsidR="00F14CC2" w:rsidRPr="00F14CC2" w:rsidRDefault="00F14CC2" w:rsidP="00F14CC2">
            <w:pPr>
              <w:tabs>
                <w:tab w:val="left" w:pos="247"/>
              </w:tabs>
              <w:jc w:val="both"/>
            </w:pPr>
            <w:r w:rsidRPr="00F14CC2">
              <w:t>Atalgojums kopā vienam pakalpojumam: 0,32 + 1,05 + 0,7 + 0,35 +1,58 + 0,21 + 0,32 = 4,53 EUR.</w:t>
            </w:r>
          </w:p>
          <w:p w14:paraId="5272044C" w14:textId="6C082E9D" w:rsidR="00F14CC2" w:rsidRDefault="00F14CC2" w:rsidP="00F14CC2">
            <w:pPr>
              <w:jc w:val="both"/>
            </w:pPr>
            <w:r w:rsidRPr="00F14CC2">
              <w:t>Atalgojums uz visu pakalpojumu skaitu: 4,53 EUR x 700 pakalpojumi = 3 171,00 EUR.</w:t>
            </w:r>
          </w:p>
          <w:p w14:paraId="10F13C91" w14:textId="624B58CA" w:rsidR="00F14CC2" w:rsidRDefault="00F14CC2" w:rsidP="00F14CC2">
            <w:pPr>
              <w:jc w:val="both"/>
              <w:rPr>
                <w:color w:val="000000"/>
              </w:rPr>
            </w:pPr>
            <w:r>
              <w:lastRenderedPageBreak/>
              <w:t>D</w:t>
            </w:r>
            <w:r w:rsidRPr="004944D8">
              <w:t>arba devēja valsts sociālās apdrošināšanas obligātās iemaksas</w:t>
            </w:r>
            <w:r>
              <w:t xml:space="preserve">: </w:t>
            </w:r>
            <w:r>
              <w:rPr>
                <w:color w:val="000000"/>
              </w:rPr>
              <w:t>atalgojums 4,53 EUR vienam pakalpojumam x 23,59 % = 1,07 EUR x 700 pakalpojumi = 749,00 EUR.</w:t>
            </w:r>
          </w:p>
          <w:p w14:paraId="22EA5487" w14:textId="77777777" w:rsidR="00F14CC2" w:rsidRDefault="00F14CC2" w:rsidP="00F14CC2">
            <w:pPr>
              <w:jc w:val="both"/>
            </w:pPr>
            <w:r w:rsidRPr="00F14CC2">
              <w:rPr>
                <w:color w:val="000000"/>
                <w:u w:val="single"/>
              </w:rPr>
              <w:t>III. </w:t>
            </w:r>
            <w:r w:rsidRPr="00F14CC2">
              <w:rPr>
                <w:u w:val="single"/>
              </w:rPr>
              <w:t>Neapliecinātas datorizdrukas no valsts vienotās datorizētās zemesgrāmatas izsniegšana vai nosūtīšana elektroniskā veidā:</w:t>
            </w:r>
          </w:p>
          <w:p w14:paraId="2FF1886E" w14:textId="77777777" w:rsidR="00F14CC2" w:rsidRPr="00F14CC2" w:rsidRDefault="00F14CC2" w:rsidP="00F14CC2">
            <w:pPr>
              <w:jc w:val="both"/>
            </w:pPr>
            <w:r w:rsidRPr="00F14CC2">
              <w:t>1. Saņemtā pieteikuma reģistrēšana elektroniski lietvedības žurnālā. Konsultants 53.1 amata saime, III B līmenis, 8. mēnešalgu grupa, mēnešalga 874 EUR, piemaksa vidēji 20 % mēnesī 174,8 EUR, darba samaksa mēnesī kopā 1 048,8 EUR, gadā 12 585,60 EUR. Gadā vidēji 1 996 darba stundas jeb 119 760 minūtes. Darba samaksa minūtē: 12 585,60 EUR / 119 760 min. = 0,105 EUR.</w:t>
            </w:r>
          </w:p>
          <w:p w14:paraId="600BB628" w14:textId="77777777" w:rsidR="00F14CC2" w:rsidRPr="00F14CC2" w:rsidRDefault="00F14CC2" w:rsidP="00F14CC2">
            <w:pPr>
              <w:jc w:val="both"/>
            </w:pPr>
            <w:r w:rsidRPr="00F14CC2">
              <w:t>Patērētais laiks 3 min. x darba samaksa 0,105 EUR / 1 min. = 0,32 EUR.</w:t>
            </w:r>
          </w:p>
          <w:p w14:paraId="3C580056" w14:textId="77777777" w:rsidR="00F14CC2" w:rsidRPr="00F14CC2" w:rsidRDefault="00F14CC2" w:rsidP="00F14CC2">
            <w:pPr>
              <w:tabs>
                <w:tab w:val="left" w:pos="247"/>
              </w:tabs>
              <w:jc w:val="both"/>
            </w:pPr>
            <w:r w:rsidRPr="00F14CC2">
              <w:t>2. Pasūtītā nodalījuma atlasīšana  2,5 min. un izdrukāšana vai elektroniska nosūtīšana 0,5 min. Konsultants (aprēķinu 1 min. izmaksām skat. 1. punktā).</w:t>
            </w:r>
          </w:p>
          <w:p w14:paraId="1711BAFC" w14:textId="77777777" w:rsidR="00F14CC2" w:rsidRPr="00F14CC2" w:rsidRDefault="00F14CC2" w:rsidP="00F14CC2">
            <w:pPr>
              <w:jc w:val="both"/>
            </w:pPr>
            <w:r w:rsidRPr="00F14CC2">
              <w:t>Patērētais laiks 3 min. x darba samaksa 0,105 EUR / 1 min. = 0,32 EUR.</w:t>
            </w:r>
          </w:p>
          <w:p w14:paraId="1E3F23ED" w14:textId="77777777" w:rsidR="00F14CC2" w:rsidRPr="00F14CC2" w:rsidRDefault="00F14CC2" w:rsidP="00F14CC2">
            <w:pPr>
              <w:tabs>
                <w:tab w:val="left" w:pos="247"/>
              </w:tabs>
              <w:jc w:val="both"/>
            </w:pPr>
            <w:r w:rsidRPr="00F14CC2">
              <w:t>3. Rēķina izrakstīšana (konsultants, skat. aprēķinu 1 min. izmaksām 1. punktā).</w:t>
            </w:r>
          </w:p>
          <w:p w14:paraId="7751EE6C" w14:textId="77777777" w:rsidR="00F14CC2" w:rsidRPr="00F14CC2" w:rsidRDefault="00F14CC2" w:rsidP="00F14CC2">
            <w:pPr>
              <w:tabs>
                <w:tab w:val="left" w:pos="247"/>
              </w:tabs>
              <w:jc w:val="both"/>
            </w:pPr>
            <w:r w:rsidRPr="00F14CC2">
              <w:t>Patērētais laiks 2 min. x darba samaksa 0,105 EUR / 1 min. = 0,21 EUR.</w:t>
            </w:r>
          </w:p>
          <w:p w14:paraId="1D348F56" w14:textId="77777777" w:rsidR="00F14CC2" w:rsidRPr="00F14CC2" w:rsidRDefault="00F14CC2" w:rsidP="00F14CC2">
            <w:pPr>
              <w:tabs>
                <w:tab w:val="left" w:pos="247"/>
              </w:tabs>
              <w:jc w:val="both"/>
            </w:pPr>
            <w:r w:rsidRPr="00F14CC2">
              <w:t>4.</w:t>
            </w:r>
            <w:r w:rsidRPr="00F14CC2">
              <w:rPr>
                <w:rFonts w:ascii="Calibri" w:hAnsi="Calibri"/>
                <w:sz w:val="22"/>
                <w:szCs w:val="22"/>
              </w:rPr>
              <w:t> </w:t>
            </w:r>
            <w:r w:rsidRPr="00F14CC2">
              <w:t>Samaksas iekasēšana (konsultants, skat. aprēķinu 1 min. izmaksām 1. punktā).</w:t>
            </w:r>
          </w:p>
          <w:p w14:paraId="046B9184" w14:textId="77777777" w:rsidR="00F14CC2" w:rsidRPr="00F14CC2" w:rsidRDefault="00F14CC2" w:rsidP="00F14CC2">
            <w:pPr>
              <w:tabs>
                <w:tab w:val="left" w:pos="247"/>
              </w:tabs>
              <w:jc w:val="both"/>
            </w:pPr>
            <w:r w:rsidRPr="00F14CC2">
              <w:t>Patērētais laiks 3 min. x darba samaksa 0,105 EUR / 1 min. = 0,32 EUR.</w:t>
            </w:r>
          </w:p>
          <w:p w14:paraId="40CD8419" w14:textId="77777777" w:rsidR="00F14CC2" w:rsidRPr="00F14CC2" w:rsidRDefault="00F14CC2" w:rsidP="00F14CC2">
            <w:pPr>
              <w:tabs>
                <w:tab w:val="left" w:pos="247"/>
              </w:tabs>
              <w:jc w:val="both"/>
            </w:pPr>
            <w:r w:rsidRPr="00F14CC2">
              <w:t>Kopā vienam pakalpojumam patērētais laiks 11 min.</w:t>
            </w:r>
          </w:p>
          <w:p w14:paraId="27518D86" w14:textId="77777777" w:rsidR="00F14CC2" w:rsidRPr="00F14CC2" w:rsidRDefault="00F14CC2" w:rsidP="00F14CC2">
            <w:pPr>
              <w:tabs>
                <w:tab w:val="left" w:pos="247"/>
              </w:tabs>
              <w:jc w:val="both"/>
            </w:pPr>
            <w:r w:rsidRPr="00F14CC2">
              <w:t>Atalgojums kopā vienam pakalpojumam: 0,32 + 0,32 + 0,21 + 0,32 = 1,17 EUR.</w:t>
            </w:r>
          </w:p>
          <w:p w14:paraId="2473A4B4" w14:textId="72289148" w:rsidR="00F14CC2" w:rsidRDefault="00F14CC2" w:rsidP="00F14CC2">
            <w:pPr>
              <w:jc w:val="both"/>
            </w:pPr>
            <w:r w:rsidRPr="00F14CC2">
              <w:t>Atalgojums uz visu pakalpojumu skaitu: 1,17 EUR x 2 000 pakalpojumi = 2 340,00 EUR.</w:t>
            </w:r>
          </w:p>
          <w:p w14:paraId="011AAC26" w14:textId="1A687133" w:rsidR="00F14CC2" w:rsidRDefault="00F14CC2" w:rsidP="00F14CC2">
            <w:pPr>
              <w:jc w:val="both"/>
              <w:rPr>
                <w:color w:val="000000"/>
              </w:rPr>
            </w:pPr>
            <w:r>
              <w:t>D</w:t>
            </w:r>
            <w:r w:rsidRPr="004944D8">
              <w:t>arba devēja valsts sociālās apdrošināšanas obligātās iemaksas</w:t>
            </w:r>
            <w:r>
              <w:t xml:space="preserve">: </w:t>
            </w:r>
            <w:r>
              <w:rPr>
                <w:color w:val="000000"/>
              </w:rPr>
              <w:t>atalgojums 1,17 EUR vienam pakalpojumam x 23,59 % = 0,28 EUR x 2 000 pakalpojumi = 560,00 EUR.</w:t>
            </w:r>
          </w:p>
          <w:p w14:paraId="33CB5F9C" w14:textId="586E7FBF" w:rsidR="00F14CC2" w:rsidRDefault="00F14CC2" w:rsidP="00F14CC2">
            <w:pPr>
              <w:jc w:val="both"/>
              <w:rPr>
                <w:u w:val="single"/>
              </w:rPr>
            </w:pPr>
            <w:r w:rsidRPr="00F14CC2">
              <w:rPr>
                <w:color w:val="000000"/>
                <w:u w:val="single"/>
              </w:rPr>
              <w:t>IV. </w:t>
            </w:r>
            <w:r w:rsidRPr="00F14CC2">
              <w:rPr>
                <w:u w:val="single"/>
              </w:rPr>
              <w:t>Nostiprinājuma lūguma apliecināšana:</w:t>
            </w:r>
          </w:p>
          <w:p w14:paraId="5EFD15D7" w14:textId="77777777" w:rsidR="00F14CC2" w:rsidRDefault="00F14CC2" w:rsidP="00F14CC2">
            <w:pPr>
              <w:jc w:val="both"/>
            </w:pPr>
            <w:r>
              <w:t>1. </w:t>
            </w:r>
            <w:r w:rsidRPr="00CB62F6">
              <w:t>Iesniegto dokumentu pareizības pārbaude, tai skaitā:</w:t>
            </w:r>
          </w:p>
          <w:p w14:paraId="2E3BD2A4" w14:textId="77777777" w:rsidR="00F14CC2" w:rsidRDefault="00F14CC2" w:rsidP="00F14CC2">
            <w:pPr>
              <w:jc w:val="both"/>
            </w:pPr>
            <w:r>
              <w:t>1.1. </w:t>
            </w:r>
            <w:r w:rsidRPr="00CB62F6">
              <w:t>informācijas par īpašumu pārbaude zemesgrāmatu nodalījumā. Tiesneša palīgs 53.1 amata saime, IV B līmenis, 10.</w:t>
            </w:r>
            <w:r>
              <w:t> </w:t>
            </w:r>
            <w:r w:rsidRPr="00CB62F6">
              <w:t>mēnešalgu grupa, mēnešalga 1</w:t>
            </w:r>
            <w:r>
              <w:t> 174 </w:t>
            </w:r>
            <w:r w:rsidRPr="00CB62F6">
              <w:t>EUR, piemaksa vidēji 20</w:t>
            </w:r>
            <w:r>
              <w:t> % mēnesī 234,8 </w:t>
            </w:r>
            <w:r w:rsidRPr="00CB62F6">
              <w:t>EUR darba samaksa mēnesī kopā 1</w:t>
            </w:r>
            <w:r>
              <w:t> 408,8 </w:t>
            </w:r>
            <w:r w:rsidRPr="00CB62F6">
              <w:t>EUR, gadā 16</w:t>
            </w:r>
            <w:r>
              <w:t> 905,60 </w:t>
            </w:r>
            <w:r w:rsidRPr="00CB62F6">
              <w:t>EUR. Gadā vidēji 1</w:t>
            </w:r>
            <w:r>
              <w:t> </w:t>
            </w:r>
            <w:r w:rsidRPr="00CB62F6">
              <w:t>996 darba stundas jeb 119</w:t>
            </w:r>
            <w:r>
              <w:t> </w:t>
            </w:r>
            <w:r w:rsidRPr="00CB62F6">
              <w:t>760 minūtes. Darba samaksa minūtē: 16</w:t>
            </w:r>
            <w:r>
              <w:t> 905,60 </w:t>
            </w:r>
            <w:r w:rsidRPr="00CB62F6">
              <w:t>EUR / 119</w:t>
            </w:r>
            <w:r>
              <w:t> 760 min. = 0,141 </w:t>
            </w:r>
            <w:r w:rsidRPr="00CB62F6">
              <w:t>EUR</w:t>
            </w:r>
            <w:r>
              <w:t>.</w:t>
            </w:r>
          </w:p>
          <w:p w14:paraId="480CA8E2" w14:textId="77777777" w:rsidR="00F14CC2" w:rsidRDefault="00F14CC2" w:rsidP="00F14CC2">
            <w:pPr>
              <w:jc w:val="both"/>
            </w:pPr>
            <w:r>
              <w:t>Patērētais laiks 5 min. x darba samaksa 0,141 EUR / 1 min. = 0,71 EUR;</w:t>
            </w:r>
          </w:p>
          <w:p w14:paraId="28B7AEA2" w14:textId="77777777" w:rsidR="00F14CC2" w:rsidRDefault="00F14CC2" w:rsidP="00F14CC2">
            <w:pPr>
              <w:tabs>
                <w:tab w:val="left" w:pos="247"/>
              </w:tabs>
              <w:jc w:val="both"/>
            </w:pPr>
            <w:r>
              <w:t>1.2. </w:t>
            </w:r>
            <w:r w:rsidRPr="00CB62F6">
              <w:t>nekustamā īpašuma īpašnieka pārbaude</w:t>
            </w:r>
            <w:r>
              <w:t xml:space="preserve"> nederīgo dokumentu reģistrā (5 </w:t>
            </w:r>
            <w:r w:rsidRPr="00CB62F6">
              <w:t>m</w:t>
            </w:r>
            <w:r>
              <w:t>in.) un iedzīvotāju reģistrā (5 </w:t>
            </w:r>
            <w:r w:rsidRPr="00CB62F6">
              <w:t>min.). Ti</w:t>
            </w:r>
            <w:r>
              <w:t>esneša palīgs (skat. aprēķinu 1 </w:t>
            </w:r>
            <w:r w:rsidRPr="00CB62F6">
              <w:t>min. izmaksām 1.1.</w:t>
            </w:r>
            <w:r>
              <w:t> </w:t>
            </w:r>
            <w:r w:rsidRPr="00CB62F6">
              <w:t>apakšpunktā)</w:t>
            </w:r>
            <w:r>
              <w:t>.</w:t>
            </w:r>
          </w:p>
          <w:p w14:paraId="29B35019" w14:textId="77777777" w:rsidR="00F14CC2" w:rsidRDefault="00F14CC2" w:rsidP="00F14CC2">
            <w:pPr>
              <w:jc w:val="both"/>
            </w:pPr>
            <w:r w:rsidRPr="00CB62F6">
              <w:t xml:space="preserve"> </w:t>
            </w:r>
            <w:r>
              <w:t>Patērētais laiks 10 min. x darba samaksa 0,141 EUR / 1 min. = 1.41 EUR.</w:t>
            </w:r>
          </w:p>
          <w:p w14:paraId="5F14A15A" w14:textId="77777777" w:rsidR="00F14CC2" w:rsidRDefault="00F14CC2" w:rsidP="00F14CC2">
            <w:pPr>
              <w:tabs>
                <w:tab w:val="left" w:pos="247"/>
              </w:tabs>
              <w:jc w:val="both"/>
            </w:pPr>
            <w:r>
              <w:t>2. </w:t>
            </w:r>
            <w:r w:rsidRPr="00CB62F6">
              <w:t>Palīdzības sniegšana klientam nostiprinājuma lūguma ai</w:t>
            </w:r>
            <w:r>
              <w:t>z</w:t>
            </w:r>
            <w:r w:rsidRPr="00CB62F6">
              <w:t>pildīšanai. Ti</w:t>
            </w:r>
            <w:r>
              <w:t>esneša palīgs (skat. aprēķinu 1 </w:t>
            </w:r>
            <w:r w:rsidRPr="00CB62F6">
              <w:t>min. izmaksām 1.1.</w:t>
            </w:r>
            <w:r>
              <w:t> </w:t>
            </w:r>
            <w:r w:rsidRPr="00CB62F6">
              <w:t>apakšpunktā)</w:t>
            </w:r>
            <w:r>
              <w:t>.</w:t>
            </w:r>
          </w:p>
          <w:p w14:paraId="357EE478" w14:textId="77777777" w:rsidR="00F14CC2" w:rsidRDefault="00F14CC2" w:rsidP="00F14CC2">
            <w:pPr>
              <w:jc w:val="both"/>
            </w:pPr>
            <w:r>
              <w:t>Patērētais laiks 10 min. x darba samaksa 0,141 EUR / 1 min. = 1,41 EUR.</w:t>
            </w:r>
          </w:p>
          <w:p w14:paraId="600FA336" w14:textId="77777777" w:rsidR="00F14CC2" w:rsidRDefault="00F14CC2" w:rsidP="00F14CC2">
            <w:pPr>
              <w:tabs>
                <w:tab w:val="left" w:pos="247"/>
                <w:tab w:val="left" w:pos="388"/>
              </w:tabs>
              <w:jc w:val="both"/>
            </w:pPr>
            <w:r>
              <w:t>3. </w:t>
            </w:r>
            <w:r w:rsidRPr="00D75FCC">
              <w:t>Nostiprinājuma lūguma apliecināšana. Ti</w:t>
            </w:r>
            <w:r>
              <w:t>esneša palīgs (skat. aprēķinu 1 </w:t>
            </w:r>
            <w:r w:rsidRPr="00D75FCC">
              <w:t>min. izmaksām 1.1.</w:t>
            </w:r>
            <w:r>
              <w:t> </w:t>
            </w:r>
            <w:r w:rsidRPr="00D75FCC">
              <w:t>apakšpunktā)</w:t>
            </w:r>
            <w:r>
              <w:t>.</w:t>
            </w:r>
          </w:p>
          <w:p w14:paraId="52F543BB" w14:textId="77777777" w:rsidR="00F14CC2" w:rsidRDefault="00F14CC2" w:rsidP="00F14CC2">
            <w:pPr>
              <w:jc w:val="both"/>
            </w:pPr>
            <w:r>
              <w:t>Patērētais laiks 2 min. x darba samaksa 0,141 EUR / 1 min. = 0,28 EUR.</w:t>
            </w:r>
          </w:p>
          <w:p w14:paraId="2634331A" w14:textId="77777777" w:rsidR="00F14CC2" w:rsidRDefault="00F14CC2" w:rsidP="00F14CC2">
            <w:pPr>
              <w:tabs>
                <w:tab w:val="left" w:pos="247"/>
              </w:tabs>
              <w:jc w:val="both"/>
            </w:pPr>
            <w:r>
              <w:lastRenderedPageBreak/>
              <w:t>4. </w:t>
            </w:r>
            <w:r w:rsidRPr="009E151D">
              <w:t>Rēķina izrakstīšana</w:t>
            </w:r>
            <w:r>
              <w:t>.</w:t>
            </w:r>
            <w:r w:rsidRPr="009E151D">
              <w:t xml:space="preserve"> </w:t>
            </w:r>
            <w:r w:rsidRPr="00CB62F6">
              <w:t>Ti</w:t>
            </w:r>
            <w:r>
              <w:t>esneša palīgs (skat. aprēķinu 1 </w:t>
            </w:r>
            <w:r w:rsidRPr="00CB62F6">
              <w:t>min. izmaksām 1.1.</w:t>
            </w:r>
            <w:r>
              <w:t> </w:t>
            </w:r>
            <w:r w:rsidRPr="00CB62F6">
              <w:t>apakšpunktā)</w:t>
            </w:r>
            <w:r>
              <w:t>.</w:t>
            </w:r>
          </w:p>
          <w:p w14:paraId="3B9941F0" w14:textId="77777777" w:rsidR="00F14CC2" w:rsidRDefault="00F14CC2" w:rsidP="00F14CC2">
            <w:pPr>
              <w:tabs>
                <w:tab w:val="left" w:pos="247"/>
              </w:tabs>
              <w:jc w:val="both"/>
            </w:pPr>
            <w:r>
              <w:t>Patērētais laiks 2 min. x darba samaksa 0,141 EUR / 1 min. = 0,28 EUR.</w:t>
            </w:r>
          </w:p>
          <w:p w14:paraId="44DD51C3" w14:textId="77777777" w:rsidR="00F14CC2" w:rsidRPr="00F14CC2" w:rsidRDefault="00F14CC2" w:rsidP="00F14CC2">
            <w:pPr>
              <w:tabs>
                <w:tab w:val="left" w:pos="247"/>
              </w:tabs>
              <w:jc w:val="both"/>
            </w:pPr>
            <w:r w:rsidRPr="00F14CC2">
              <w:t>5.</w:t>
            </w:r>
            <w:r w:rsidRPr="00F14CC2">
              <w:rPr>
                <w:rFonts w:ascii="Calibri" w:hAnsi="Calibri"/>
                <w:sz w:val="22"/>
                <w:szCs w:val="22"/>
              </w:rPr>
              <w:t> </w:t>
            </w:r>
            <w:r w:rsidRPr="00F14CC2">
              <w:t>Samaksas iekasēšana. Tiesneša palīgs (skat. aprēķinu 1 min. izmaksām 1.1. apakšpunktā).</w:t>
            </w:r>
          </w:p>
          <w:p w14:paraId="79968658" w14:textId="77777777" w:rsidR="00F14CC2" w:rsidRPr="00F14CC2" w:rsidRDefault="00F14CC2" w:rsidP="00F14CC2">
            <w:pPr>
              <w:tabs>
                <w:tab w:val="left" w:pos="247"/>
              </w:tabs>
              <w:jc w:val="both"/>
            </w:pPr>
            <w:r w:rsidRPr="00F14CC2">
              <w:t>Patērētais laiks 3 min. x darba samaksa 0,141 EUR / 1 min. = 0,42 EUR.</w:t>
            </w:r>
          </w:p>
          <w:p w14:paraId="1EACDC60" w14:textId="77777777" w:rsidR="00F14CC2" w:rsidRPr="00F14CC2" w:rsidRDefault="00F14CC2" w:rsidP="00F14CC2">
            <w:pPr>
              <w:tabs>
                <w:tab w:val="left" w:pos="247"/>
              </w:tabs>
              <w:jc w:val="both"/>
            </w:pPr>
            <w:r w:rsidRPr="00F14CC2">
              <w:t>Kopā vienam pakalpojumam patērētais laiks 32 min.</w:t>
            </w:r>
          </w:p>
          <w:p w14:paraId="688F12D5" w14:textId="77777777" w:rsidR="00F14CC2" w:rsidRPr="00F14CC2" w:rsidRDefault="00F14CC2" w:rsidP="00F14CC2">
            <w:pPr>
              <w:tabs>
                <w:tab w:val="left" w:pos="247"/>
              </w:tabs>
              <w:jc w:val="both"/>
            </w:pPr>
            <w:r w:rsidRPr="00F14CC2">
              <w:t>Atalgojums kopā vienam pakalpojumam: 0,71 + 1,41 + 1,41 + 0,28 + 0,28 + 0,42 = 4,51 EUR.</w:t>
            </w:r>
          </w:p>
          <w:p w14:paraId="7016CA90" w14:textId="77777777" w:rsidR="009E2C55" w:rsidRDefault="00F14CC2" w:rsidP="00F14CC2">
            <w:pPr>
              <w:jc w:val="both"/>
              <w:rPr>
                <w:color w:val="000000"/>
                <w:u w:val="single"/>
              </w:rPr>
            </w:pPr>
            <w:r w:rsidRPr="00F14CC2">
              <w:t>Atalgojums uz visu pakalpojumu skaitu: 4,51 EUR x 9 200 pakalpojumi = 41 492,00 EUR.</w:t>
            </w:r>
          </w:p>
          <w:p w14:paraId="5280FB8F" w14:textId="59682C0D" w:rsidR="009E2C55" w:rsidRDefault="009E2C55" w:rsidP="00F14CC2">
            <w:pPr>
              <w:jc w:val="both"/>
            </w:pPr>
            <w:r>
              <w:t>D</w:t>
            </w:r>
            <w:r w:rsidRPr="004944D8">
              <w:t>arba devēja valsts sociālās apdrošināšanas obligātās iemaksas</w:t>
            </w:r>
            <w:r>
              <w:t xml:space="preserve">: </w:t>
            </w:r>
            <w:r>
              <w:rPr>
                <w:color w:val="000000"/>
              </w:rPr>
              <w:t>atalgojums 4,51 EUR vienam pakalpojumam x 23,59 % = 1,06 EUR x 9 200 pakalpojumi = 9 752,00 EUR.</w:t>
            </w:r>
          </w:p>
          <w:p w14:paraId="4062FFB2" w14:textId="32F09496" w:rsidR="0081445E" w:rsidRDefault="0081445E" w:rsidP="00F14CC2">
            <w:pPr>
              <w:jc w:val="both"/>
            </w:pPr>
            <w:r>
              <w:t>Detalizēts izdevumu aprēķins norādīts Noteikumu projekta sākotnējās ietekmes novērtējuma ziņojuma (anotācijas) 2. pielikuma 2. tabulā.</w:t>
            </w:r>
          </w:p>
          <w:p w14:paraId="1A2ED048" w14:textId="77777777" w:rsidR="0081445E" w:rsidRDefault="0081445E">
            <w:pPr>
              <w:jc w:val="both"/>
            </w:pPr>
            <w:r>
              <w:t>Izmaiņas izdevumos norādītas Noteikumu projekta sākotnējās ietekmes novērtējuma ziņojuma (anotācijas) 2. pielikuma 3. tabulā.</w:t>
            </w:r>
          </w:p>
          <w:p w14:paraId="628CBEF9" w14:textId="3D4A9041" w:rsidR="00C3223B" w:rsidRPr="0081149E" w:rsidRDefault="00C3223B">
            <w:pPr>
              <w:jc w:val="both"/>
            </w:pPr>
            <w:r w:rsidRPr="00C3223B">
              <w:t>Maksas pakalpojumu izcenojuma aprēķins norādīts Noteikumu projekta sākotnējās ietekmes novērtējuma ziņojuma (anotācijas) 1. pielikumā.</w:t>
            </w:r>
          </w:p>
        </w:tc>
      </w:tr>
      <w:tr w:rsidR="0081445E" w:rsidRPr="00B36392" w14:paraId="27E1D82F" w14:textId="77777777" w:rsidTr="004773F3">
        <w:trPr>
          <w:trHeight w:val="780"/>
        </w:trPr>
        <w:tc>
          <w:tcPr>
            <w:tcW w:w="2268" w:type="dxa"/>
          </w:tcPr>
          <w:p w14:paraId="68742183" w14:textId="4489691C" w:rsidR="0081445E" w:rsidRDefault="0081445E" w:rsidP="0081445E">
            <w:pPr>
              <w:rPr>
                <w:sz w:val="22"/>
                <w:szCs w:val="22"/>
              </w:rPr>
            </w:pPr>
            <w:r>
              <w:rPr>
                <w:sz w:val="22"/>
                <w:szCs w:val="22"/>
              </w:rPr>
              <w:lastRenderedPageBreak/>
              <w:t>7. </w:t>
            </w:r>
            <w:r w:rsidRPr="00B36392">
              <w:rPr>
                <w:sz w:val="22"/>
                <w:szCs w:val="22"/>
              </w:rPr>
              <w:t>Cita informācija</w:t>
            </w:r>
          </w:p>
        </w:tc>
        <w:tc>
          <w:tcPr>
            <w:tcW w:w="7088" w:type="dxa"/>
            <w:gridSpan w:val="5"/>
            <w:vAlign w:val="center"/>
          </w:tcPr>
          <w:p w14:paraId="1003AACB" w14:textId="0F2490F2" w:rsidR="0081445E" w:rsidRDefault="0081445E" w:rsidP="0081445E">
            <w:pPr>
              <w:jc w:val="both"/>
            </w:pPr>
            <w:r>
              <w:t xml:space="preserve">Saskaņā ar likuma "Par valsts budžetu </w:t>
            </w:r>
            <w:r w:rsidR="00293C01">
              <w:t>2017</w:t>
            </w:r>
            <w:r>
              <w:t>.</w:t>
            </w:r>
            <w:r w:rsidR="00253903">
              <w:t> </w:t>
            </w:r>
            <w:r>
              <w:t>gadam" 2.</w:t>
            </w:r>
            <w:r w:rsidR="00D66F03">
              <w:t> </w:t>
            </w:r>
            <w:r>
              <w:t>pielikumu kancelejas nodevas par zemesgrāmatas veiktajā</w:t>
            </w:r>
            <w:r w:rsidR="00253903">
              <w:t>m darbībām plānotas 3 101</w:t>
            </w:r>
            <w:r w:rsidR="003661EE">
              <w:t> </w:t>
            </w:r>
            <w:r>
              <w:t>860</w:t>
            </w:r>
            <w:r w:rsidR="003661EE">
              <w:t> </w:t>
            </w:r>
            <w:r>
              <w:rPr>
                <w:i/>
              </w:rPr>
              <w:t>euro</w:t>
            </w:r>
            <w:r>
              <w:t xml:space="preserve"> apmērā, tai skaitā k</w:t>
            </w:r>
            <w:r w:rsidRPr="00A55EBF">
              <w:t xml:space="preserve">ancelejas nodeva par zemesgrāmatas veiktajām darbībām attiecībā uz mantojumu </w:t>
            </w:r>
            <w:r>
              <w:t>un dāvinājumu (ieņēmu</w:t>
            </w:r>
            <w:r w:rsidR="00D66F03">
              <w:t>mu klasifikācijas kodā (turpmāk </w:t>
            </w:r>
            <w:r>
              <w:t>– IKK) 9171) 422</w:t>
            </w:r>
            <w:r w:rsidR="003661EE">
              <w:t> </w:t>
            </w:r>
            <w:r>
              <w:t>664</w:t>
            </w:r>
            <w:r w:rsidR="003661EE">
              <w:t> </w:t>
            </w:r>
            <w:r>
              <w:rPr>
                <w:i/>
              </w:rPr>
              <w:t>euro</w:t>
            </w:r>
            <w:r>
              <w:t>, k</w:t>
            </w:r>
            <w:r w:rsidRPr="00A645C2">
              <w:t>ancelejas nodeva par zemesgrāmatas veiktajām darbībām, kas iekasēta no fiziskām personām, izņemot mantojumus un dāvinājumus</w:t>
            </w:r>
            <w:r>
              <w:t xml:space="preserve"> (IKK 9172) 1 743</w:t>
            </w:r>
            <w:r w:rsidR="003661EE">
              <w:t> </w:t>
            </w:r>
            <w:r>
              <w:t>658</w:t>
            </w:r>
            <w:r w:rsidR="003661EE">
              <w:t> </w:t>
            </w:r>
            <w:r>
              <w:rPr>
                <w:i/>
              </w:rPr>
              <w:t>euro</w:t>
            </w:r>
            <w:r>
              <w:t>, k</w:t>
            </w:r>
            <w:r w:rsidRPr="00A645C2">
              <w:t>ancelejas nodeva par zemesgrāmatas veiktajām darbībām, kas iekasēta no juridiskām personām, izņemot mantojumus un dāvinājumus</w:t>
            </w:r>
            <w:r>
              <w:t xml:space="preserve"> (IKK 9173) 935</w:t>
            </w:r>
            <w:r w:rsidR="003661EE">
              <w:t> </w:t>
            </w:r>
            <w:r>
              <w:t>538</w:t>
            </w:r>
            <w:r w:rsidR="003661EE">
              <w:t> </w:t>
            </w:r>
            <w:r>
              <w:rPr>
                <w:i/>
              </w:rPr>
              <w:t>euro</w:t>
            </w:r>
            <w:r w:rsidR="00FC43AE">
              <w:t>.</w:t>
            </w:r>
          </w:p>
          <w:p w14:paraId="1CEF1EB8" w14:textId="7D7F2A85" w:rsidR="00FC43AE" w:rsidRDefault="00FC43AE" w:rsidP="00FC43AE">
            <w:pPr>
              <w:jc w:val="both"/>
            </w:pPr>
            <w:r>
              <w:t>Paredzot ieviest jaunus tiesu iestāžu (zemesgrāmatu nodaļu) maksas pakalpojumus, aizstājot līdzšinējos pakalpojumus, par kuriem maksājamas kancelejas nodevas, 2017. gadā un turpmākajos gados nav plānots samazināt kancelejas nodevas par zemesgrāmatas veiktajām darbībām ieņēmumu prognozes, jo Zemesgrāmatu likuma 107. panta pirmās daļas 1.-6. punktā noteikto kancelejas nodevu faktiskie ieņēmumi pārsniedz plānotos, tādējādi ieņēmumu samazinājums valsts budžetā nav paredzams. (sk. detalizētu aprēķinu Noteikumu projekta sākotnējās ietekmes novērtējuma ziņojuma (anotācijas) 3. pielikumā).</w:t>
            </w:r>
          </w:p>
          <w:p w14:paraId="1C7A4366" w14:textId="128F2D99" w:rsidR="00FC43AE" w:rsidRPr="00CB4FFE" w:rsidRDefault="00FC43AE" w:rsidP="00FC43AE">
            <w:pPr>
              <w:jc w:val="both"/>
            </w:pPr>
            <w:r w:rsidRPr="00942E04">
              <w:t>Ņemot vērā minēto</w:t>
            </w:r>
            <w:r>
              <w:t>, iespējamais izdevumu samazinājums saistībā ar atsevišķu kancelejas nodevu pārveidošanu par maksas pakalpojumiem, tiks novirzīts pakalpojumu, par kuriem joprojām būs maksājama kancelejas nodeva un kuru faktiski sniegtais pakalpojumu apjoms pārsniedz plānoto apjomu, sniegšanas izdevumu segšanai.</w:t>
            </w:r>
          </w:p>
          <w:p w14:paraId="4A368039" w14:textId="21DC8349" w:rsidR="0081445E" w:rsidRDefault="00FC43AE" w:rsidP="00FC43AE">
            <w:pPr>
              <w:pStyle w:val="naisf"/>
              <w:tabs>
                <w:tab w:val="left" w:pos="4644"/>
              </w:tabs>
              <w:spacing w:before="0" w:after="0"/>
              <w:ind w:firstLine="0"/>
            </w:pPr>
            <w:r>
              <w:t xml:space="preserve">Pēc </w:t>
            </w:r>
            <w:r w:rsidR="00E54186">
              <w:t>N</w:t>
            </w:r>
            <w:r>
              <w:t xml:space="preserve">oteikumu projekta stāšanās spēkā </w:t>
            </w:r>
            <w:r w:rsidRPr="00643795">
              <w:t xml:space="preserve">Tieslietu ministrija normatīvajos aktos noteiktajā kārtībā sagatavos un iesniegs Finanšu ministrijā </w:t>
            </w:r>
            <w:r>
              <w:t>priekšlikumu par apropriācijas palielinājumu</w:t>
            </w:r>
            <w:r w:rsidRPr="00643795">
              <w:t xml:space="preserve"> </w:t>
            </w:r>
            <w:r w:rsidRPr="00CB4FFE">
              <w:t>Tieslietu ministrijas budžeta apakšprogrammā 03.02.00 "Apgabaltiesas un rajonu (pilsētu) tiesas"</w:t>
            </w:r>
            <w:r>
              <w:t xml:space="preserve"> 2017. gadā 76 124 </w:t>
            </w:r>
            <w:r w:rsidRPr="00CB4FFE">
              <w:rPr>
                <w:i/>
              </w:rPr>
              <w:t xml:space="preserve">euro </w:t>
            </w:r>
            <w:r w:rsidRPr="00CB4FFE">
              <w:t>apmērā un 2018. ga</w:t>
            </w:r>
            <w:r>
              <w:t>dā un turpmākajos gados 152 248 </w:t>
            </w:r>
            <w:r w:rsidRPr="00CB4FFE">
              <w:rPr>
                <w:i/>
              </w:rPr>
              <w:t>euro</w:t>
            </w:r>
            <w:r w:rsidRPr="00CB4FFE">
              <w:t xml:space="preserve"> apmērā</w:t>
            </w:r>
            <w:r>
              <w:t xml:space="preserve"> ieņēmumiem</w:t>
            </w:r>
            <w:r w:rsidRPr="00643795">
              <w:t xml:space="preserve"> no maksas </w:t>
            </w:r>
            <w:r w:rsidRPr="00643795">
              <w:lastRenderedPageBreak/>
              <w:t>pakalpojumiem un citu pašu ieņēmumu un attiecīg</w:t>
            </w:r>
            <w:r>
              <w:t>i</w:t>
            </w:r>
            <w:r w:rsidRPr="00643795">
              <w:t xml:space="preserve"> izdevumu </w:t>
            </w:r>
            <w:r w:rsidRPr="00CB4FFE">
              <w:t>palielinājumu maksas pakalpojumu nodrošināšanai.</w:t>
            </w:r>
          </w:p>
        </w:tc>
      </w:tr>
    </w:tbl>
    <w:tbl>
      <w:tblPr>
        <w:tblpPr w:leftFromText="180" w:rightFromText="180" w:vertAnchor="text" w:horzAnchor="margin" w:tblpX="-20" w:tblpY="368"/>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3119"/>
        <w:gridCol w:w="5690"/>
      </w:tblGrid>
      <w:tr w:rsidR="00DC6B6B" w:rsidRPr="00B36392" w14:paraId="16C48ABA" w14:textId="77777777" w:rsidTr="004773F3">
        <w:trPr>
          <w:trHeight w:val="279"/>
        </w:trPr>
        <w:tc>
          <w:tcPr>
            <w:tcW w:w="9371" w:type="dxa"/>
            <w:gridSpan w:val="3"/>
            <w:tcBorders>
              <w:top w:val="single" w:sz="4" w:space="0" w:color="auto"/>
            </w:tcBorders>
          </w:tcPr>
          <w:p w14:paraId="20707EFE" w14:textId="77777777" w:rsidR="00DC6B6B" w:rsidRPr="002D53E2" w:rsidRDefault="00DC6B6B" w:rsidP="005B3391">
            <w:pPr>
              <w:pStyle w:val="naisnod"/>
              <w:spacing w:before="0" w:after="0"/>
              <w:ind w:left="-61" w:right="57"/>
            </w:pPr>
            <w:r w:rsidRPr="002D53E2">
              <w:rPr>
                <w:bCs w:val="0"/>
              </w:rPr>
              <w:lastRenderedPageBreak/>
              <w:t>VI. Sabiedrības līdzdalība un komunikācijas aktivitātes</w:t>
            </w:r>
          </w:p>
        </w:tc>
      </w:tr>
      <w:tr w:rsidR="00DC6B6B" w:rsidRPr="00B36392" w14:paraId="385FF452" w14:textId="77777777" w:rsidTr="003E5F87">
        <w:trPr>
          <w:trHeight w:val="426"/>
        </w:trPr>
        <w:tc>
          <w:tcPr>
            <w:tcW w:w="562" w:type="dxa"/>
          </w:tcPr>
          <w:p w14:paraId="0D0ABABE" w14:textId="77777777" w:rsidR="00DC6B6B" w:rsidRPr="00C50440" w:rsidRDefault="00DC6B6B" w:rsidP="005B3391">
            <w:pPr>
              <w:pStyle w:val="naisnod"/>
              <w:spacing w:before="0" w:after="0"/>
              <w:ind w:left="-33" w:right="57" w:firstLine="90"/>
              <w:jc w:val="both"/>
              <w:rPr>
                <w:b w:val="0"/>
              </w:rPr>
            </w:pPr>
            <w:r w:rsidRPr="00C50440">
              <w:rPr>
                <w:b w:val="0"/>
              </w:rPr>
              <w:t>1.</w:t>
            </w:r>
          </w:p>
        </w:tc>
        <w:tc>
          <w:tcPr>
            <w:tcW w:w="3119" w:type="dxa"/>
          </w:tcPr>
          <w:p w14:paraId="6FAAD533" w14:textId="77777777" w:rsidR="00DC6B6B" w:rsidRPr="00C50440" w:rsidRDefault="00DC6B6B" w:rsidP="005B3391">
            <w:pPr>
              <w:pStyle w:val="naisf"/>
              <w:spacing w:before="0" w:after="0"/>
              <w:ind w:left="57" w:right="57" w:firstLine="0"/>
              <w:jc w:val="left"/>
            </w:pPr>
            <w:r w:rsidRPr="002D53E2">
              <w:t>Plānotās sabiedrības līdzdalības un komunikācijas aktivitātes saistībā ar projektu</w:t>
            </w:r>
          </w:p>
        </w:tc>
        <w:tc>
          <w:tcPr>
            <w:tcW w:w="5690" w:type="dxa"/>
          </w:tcPr>
          <w:p w14:paraId="07C1FEFD" w14:textId="65D92495" w:rsidR="00DC6B6B" w:rsidRPr="00C50440" w:rsidRDefault="00DC6B6B" w:rsidP="005B3391">
            <w:pPr>
              <w:pStyle w:val="naisnod"/>
              <w:spacing w:before="0" w:after="0"/>
              <w:ind w:left="57" w:right="57"/>
              <w:jc w:val="both"/>
              <w:rPr>
                <w:b w:val="0"/>
              </w:rPr>
            </w:pPr>
            <w:r>
              <w:rPr>
                <w:b w:val="0"/>
              </w:rPr>
              <w:t>Sabiedrības informēšana par Noteikumu projekta izstrādi</w:t>
            </w:r>
            <w:r w:rsidR="00DA24AA">
              <w:rPr>
                <w:b w:val="0"/>
              </w:rPr>
              <w:t>, lai noskaidrotu sabiedrības viedokli,</w:t>
            </w:r>
            <w:r>
              <w:rPr>
                <w:b w:val="0"/>
              </w:rPr>
              <w:t xml:space="preserve"> nav veikta, jo Noteikumu projekta izstrādi paredz Zemesgrāmatu likums</w:t>
            </w:r>
            <w:r w:rsidR="00DA24AA">
              <w:rPr>
                <w:b w:val="0"/>
              </w:rPr>
              <w:t>. Sabiedrībai maksāšanas pienākums par Noteikumu projektā iekļautajiem pakalpojumiem ir arī šobrīd</w:t>
            </w:r>
            <w:r w:rsidR="00635646">
              <w:rPr>
                <w:b w:val="0"/>
              </w:rPr>
              <w:t>, kā kancelejas nodeva.</w:t>
            </w:r>
          </w:p>
        </w:tc>
      </w:tr>
      <w:tr w:rsidR="00DC6B6B" w:rsidRPr="00C303CE" w14:paraId="7AF7E8E9" w14:textId="77777777" w:rsidTr="003E5F87">
        <w:trPr>
          <w:trHeight w:val="462"/>
        </w:trPr>
        <w:tc>
          <w:tcPr>
            <w:tcW w:w="562" w:type="dxa"/>
          </w:tcPr>
          <w:p w14:paraId="542CC168" w14:textId="77777777" w:rsidR="00DC6B6B" w:rsidRPr="00C50440" w:rsidRDefault="00DC6B6B" w:rsidP="005B3391">
            <w:pPr>
              <w:pStyle w:val="naisnod"/>
              <w:spacing w:before="0" w:after="0"/>
              <w:ind w:left="57" w:right="57"/>
              <w:jc w:val="both"/>
              <w:rPr>
                <w:b w:val="0"/>
              </w:rPr>
            </w:pPr>
            <w:r w:rsidRPr="00C50440">
              <w:rPr>
                <w:b w:val="0"/>
              </w:rPr>
              <w:t>2.</w:t>
            </w:r>
          </w:p>
        </w:tc>
        <w:tc>
          <w:tcPr>
            <w:tcW w:w="3119" w:type="dxa"/>
          </w:tcPr>
          <w:p w14:paraId="5404A7E5" w14:textId="77777777" w:rsidR="00DC6B6B" w:rsidRPr="00C50440" w:rsidRDefault="00DC6B6B" w:rsidP="005B3391">
            <w:pPr>
              <w:pStyle w:val="naisf"/>
              <w:spacing w:before="0" w:after="0"/>
              <w:ind w:left="57" w:right="57" w:firstLine="0"/>
              <w:jc w:val="left"/>
            </w:pPr>
            <w:r w:rsidRPr="002D53E2">
              <w:t>Sabiedrības līdzdalība projekta izstrādē</w:t>
            </w:r>
          </w:p>
        </w:tc>
        <w:tc>
          <w:tcPr>
            <w:tcW w:w="5690" w:type="dxa"/>
          </w:tcPr>
          <w:p w14:paraId="51A9D25C" w14:textId="08D948AB" w:rsidR="00DC6B6B" w:rsidRPr="00C50440" w:rsidRDefault="00A95009" w:rsidP="005B3391">
            <w:pPr>
              <w:pStyle w:val="naisf"/>
              <w:spacing w:before="0" w:after="0"/>
              <w:ind w:left="57" w:right="57" w:firstLine="0"/>
              <w:rPr>
                <w:b/>
              </w:rPr>
            </w:pPr>
            <w:r>
              <w:t>Kancelejas nodevu pārveidošana par maksas pakalpojumiem izriet no Zemesgrāmatu likuma un p</w:t>
            </w:r>
            <w:r w:rsidR="00DC6B6B">
              <w:t xml:space="preserve">akalpojumu izcenojums aprēķināts saskaņā ar Ministru kabineta 2011. gada 3. maija noteikumiem Nr. 333 "Kārtība, kādā plānojami un uzskaitāmi ieņēmumi no maksas pakalpojumiem un ar šo pakalpojumu sniegšanu saistītie izdevumi, kā arī maksas pakalpojumu izcenojumu noteikšanas metodika un izcenojuma apstiprināšanas kārtība", līdz ar to sabiedrības līdzdalība Noteikumu projekta izstrādē </w:t>
            </w:r>
            <w:r w:rsidR="00F4764E">
              <w:t>netika</w:t>
            </w:r>
            <w:r w:rsidR="00DC6B6B">
              <w:t xml:space="preserve"> </w:t>
            </w:r>
            <w:r w:rsidR="00DA24AA">
              <w:t>paredzēta.</w:t>
            </w:r>
          </w:p>
        </w:tc>
      </w:tr>
      <w:tr w:rsidR="00DC6B6B" w:rsidRPr="00C303CE" w14:paraId="56A22BFF" w14:textId="77777777" w:rsidTr="003E5F87">
        <w:trPr>
          <w:trHeight w:val="462"/>
        </w:trPr>
        <w:tc>
          <w:tcPr>
            <w:tcW w:w="562" w:type="dxa"/>
          </w:tcPr>
          <w:p w14:paraId="13AF3C84" w14:textId="77777777" w:rsidR="00DC6B6B" w:rsidRPr="00C50440" w:rsidRDefault="00DC6B6B" w:rsidP="005B3391">
            <w:pPr>
              <w:pStyle w:val="naisnod"/>
              <w:spacing w:before="0" w:after="0"/>
              <w:ind w:left="57" w:right="57"/>
              <w:jc w:val="left"/>
              <w:rPr>
                <w:b w:val="0"/>
              </w:rPr>
            </w:pPr>
            <w:r>
              <w:rPr>
                <w:b w:val="0"/>
              </w:rPr>
              <w:t>3.</w:t>
            </w:r>
          </w:p>
        </w:tc>
        <w:tc>
          <w:tcPr>
            <w:tcW w:w="3119" w:type="dxa"/>
          </w:tcPr>
          <w:p w14:paraId="44B14FD2" w14:textId="77777777" w:rsidR="00DC6B6B" w:rsidRPr="002D53E2" w:rsidRDefault="00DC6B6B" w:rsidP="005B3391">
            <w:pPr>
              <w:pStyle w:val="naisf"/>
              <w:spacing w:before="0" w:after="0"/>
              <w:ind w:left="57" w:right="57" w:firstLine="0"/>
              <w:jc w:val="left"/>
            </w:pPr>
            <w:r w:rsidRPr="002D53E2">
              <w:t>Sabiedrības līdzdalības rezultāti</w:t>
            </w:r>
          </w:p>
        </w:tc>
        <w:tc>
          <w:tcPr>
            <w:tcW w:w="5690" w:type="dxa"/>
          </w:tcPr>
          <w:p w14:paraId="61500A26" w14:textId="494BBAD0" w:rsidR="00DC6B6B" w:rsidRPr="00635646" w:rsidRDefault="00635646" w:rsidP="005B3391">
            <w:pPr>
              <w:pStyle w:val="naisf"/>
              <w:spacing w:before="0" w:after="0"/>
              <w:ind w:left="57" w:right="57" w:firstLine="0"/>
            </w:pPr>
            <w:r w:rsidRPr="00635646">
              <w:t>Sabiedrība Noteikumu projekta izstrādē nav iesaistīta.</w:t>
            </w:r>
          </w:p>
        </w:tc>
      </w:tr>
      <w:tr w:rsidR="00DC6B6B" w:rsidRPr="00C303CE" w14:paraId="0866734A" w14:textId="77777777" w:rsidTr="003E5F87">
        <w:trPr>
          <w:trHeight w:val="462"/>
        </w:trPr>
        <w:tc>
          <w:tcPr>
            <w:tcW w:w="562" w:type="dxa"/>
          </w:tcPr>
          <w:p w14:paraId="267EA776" w14:textId="77777777" w:rsidR="00DC6B6B" w:rsidRPr="00C50440" w:rsidRDefault="00DC6B6B" w:rsidP="005B3391">
            <w:pPr>
              <w:pStyle w:val="naisnod"/>
              <w:spacing w:before="0" w:after="0"/>
              <w:ind w:left="57" w:right="57"/>
              <w:jc w:val="left"/>
              <w:rPr>
                <w:b w:val="0"/>
              </w:rPr>
            </w:pPr>
            <w:r>
              <w:rPr>
                <w:b w:val="0"/>
              </w:rPr>
              <w:t>4.</w:t>
            </w:r>
          </w:p>
        </w:tc>
        <w:tc>
          <w:tcPr>
            <w:tcW w:w="3119" w:type="dxa"/>
          </w:tcPr>
          <w:p w14:paraId="63EB1AD4" w14:textId="77777777" w:rsidR="00DC6B6B" w:rsidRPr="00C50440" w:rsidRDefault="00DC6B6B" w:rsidP="005B3391">
            <w:pPr>
              <w:pStyle w:val="naisf"/>
              <w:spacing w:before="0" w:after="0"/>
              <w:ind w:left="57" w:right="57" w:firstLine="0"/>
              <w:jc w:val="left"/>
            </w:pPr>
            <w:r>
              <w:t>Cita informācija</w:t>
            </w:r>
          </w:p>
        </w:tc>
        <w:tc>
          <w:tcPr>
            <w:tcW w:w="5690" w:type="dxa"/>
          </w:tcPr>
          <w:p w14:paraId="4D71235D" w14:textId="77777777" w:rsidR="00DC6B6B" w:rsidRPr="00C50440" w:rsidRDefault="00DC6B6B" w:rsidP="005B3391">
            <w:pPr>
              <w:pStyle w:val="naisf"/>
              <w:spacing w:before="0" w:after="0"/>
              <w:ind w:left="57" w:right="57" w:firstLine="0"/>
            </w:pPr>
            <w:r>
              <w:t>Nav.</w:t>
            </w:r>
          </w:p>
        </w:tc>
      </w:tr>
    </w:tbl>
    <w:p w14:paraId="3950E64E" w14:textId="77777777" w:rsidR="002D53E2" w:rsidRPr="00B36392" w:rsidRDefault="002D53E2" w:rsidP="00515EE0">
      <w:pPr>
        <w:pStyle w:val="naisf"/>
        <w:spacing w:before="0" w:after="0"/>
        <w:ind w:firstLine="0"/>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7"/>
        <w:gridCol w:w="3294"/>
        <w:gridCol w:w="5495"/>
      </w:tblGrid>
      <w:tr w:rsidR="0044786C" w:rsidRPr="00B36392" w14:paraId="63FEBB65" w14:textId="77777777" w:rsidTr="004773F3">
        <w:trPr>
          <w:trHeight w:val="279"/>
        </w:trPr>
        <w:tc>
          <w:tcPr>
            <w:tcW w:w="9356" w:type="dxa"/>
            <w:gridSpan w:val="3"/>
            <w:tcBorders>
              <w:top w:val="single" w:sz="4" w:space="0" w:color="auto"/>
            </w:tcBorders>
          </w:tcPr>
          <w:p w14:paraId="1817CC21" w14:textId="77777777" w:rsidR="0044786C" w:rsidRPr="00C50440" w:rsidRDefault="0044786C" w:rsidP="003D4E90">
            <w:pPr>
              <w:pStyle w:val="naisnod"/>
              <w:spacing w:before="0" w:after="0"/>
              <w:ind w:left="-61" w:right="57"/>
            </w:pPr>
            <w:r w:rsidRPr="00C50440">
              <w:t>VII. Tiesību akta projekta izpildes nodrošināšana un tās ietekme uz institūcijām</w:t>
            </w:r>
          </w:p>
        </w:tc>
      </w:tr>
      <w:tr w:rsidR="0044786C" w:rsidRPr="00B36392" w14:paraId="3CA2FCF6" w14:textId="77777777" w:rsidTr="004773F3">
        <w:trPr>
          <w:trHeight w:val="426"/>
        </w:trPr>
        <w:tc>
          <w:tcPr>
            <w:tcW w:w="567" w:type="dxa"/>
          </w:tcPr>
          <w:p w14:paraId="3E67EE61" w14:textId="77777777" w:rsidR="0044786C" w:rsidRPr="00C50440" w:rsidRDefault="0044786C" w:rsidP="0044786C">
            <w:pPr>
              <w:pStyle w:val="naisnod"/>
              <w:spacing w:before="0" w:after="0"/>
              <w:ind w:left="57" w:right="57"/>
              <w:jc w:val="left"/>
              <w:rPr>
                <w:b w:val="0"/>
              </w:rPr>
            </w:pPr>
            <w:r w:rsidRPr="00C50440">
              <w:rPr>
                <w:b w:val="0"/>
              </w:rPr>
              <w:t>1.</w:t>
            </w:r>
          </w:p>
        </w:tc>
        <w:tc>
          <w:tcPr>
            <w:tcW w:w="3294" w:type="dxa"/>
          </w:tcPr>
          <w:p w14:paraId="3430CD2A" w14:textId="77777777" w:rsidR="0044786C" w:rsidRPr="00C50440" w:rsidRDefault="0044786C" w:rsidP="0044786C">
            <w:pPr>
              <w:pStyle w:val="naisf"/>
              <w:spacing w:before="0" w:after="0"/>
              <w:ind w:left="57" w:right="57" w:firstLine="0"/>
              <w:jc w:val="left"/>
            </w:pPr>
            <w:r w:rsidRPr="00C50440">
              <w:t xml:space="preserve">Projekta izpildē iesaistītās institūcijas </w:t>
            </w:r>
          </w:p>
        </w:tc>
        <w:tc>
          <w:tcPr>
            <w:tcW w:w="5495" w:type="dxa"/>
          </w:tcPr>
          <w:p w14:paraId="4F3B9A80" w14:textId="57602DF2" w:rsidR="0044786C" w:rsidRPr="00C50440" w:rsidRDefault="0044786C" w:rsidP="00C303CE">
            <w:pPr>
              <w:pStyle w:val="naisnod"/>
              <w:spacing w:before="0" w:after="0"/>
              <w:ind w:left="57" w:right="57"/>
              <w:jc w:val="both"/>
              <w:rPr>
                <w:b w:val="0"/>
              </w:rPr>
            </w:pPr>
            <w:r w:rsidRPr="00C50440">
              <w:rPr>
                <w:b w:val="0"/>
                <w:iCs/>
              </w:rPr>
              <w:t>Tiesu administrācija</w:t>
            </w:r>
            <w:r>
              <w:rPr>
                <w:b w:val="0"/>
                <w:iCs/>
              </w:rPr>
              <w:t>, rajonu (pilsētu) tiesu zemesgrāmatu nodaļas.</w:t>
            </w:r>
          </w:p>
        </w:tc>
      </w:tr>
      <w:tr w:rsidR="0044786C" w:rsidRPr="00C303CE" w14:paraId="3A7922A4" w14:textId="77777777" w:rsidTr="00AE7821">
        <w:trPr>
          <w:trHeight w:val="1954"/>
        </w:trPr>
        <w:tc>
          <w:tcPr>
            <w:tcW w:w="567" w:type="dxa"/>
          </w:tcPr>
          <w:p w14:paraId="53CF48C0" w14:textId="77777777" w:rsidR="0044786C" w:rsidRPr="00C50440" w:rsidRDefault="0044786C" w:rsidP="0044786C">
            <w:pPr>
              <w:pStyle w:val="naisnod"/>
              <w:spacing w:before="0" w:after="0"/>
              <w:ind w:left="57" w:right="57"/>
              <w:jc w:val="left"/>
              <w:rPr>
                <w:b w:val="0"/>
              </w:rPr>
            </w:pPr>
            <w:r w:rsidRPr="00C50440">
              <w:rPr>
                <w:b w:val="0"/>
              </w:rPr>
              <w:t>2.</w:t>
            </w:r>
          </w:p>
        </w:tc>
        <w:tc>
          <w:tcPr>
            <w:tcW w:w="3294" w:type="dxa"/>
          </w:tcPr>
          <w:p w14:paraId="5226D05B" w14:textId="77777777" w:rsidR="0044786C" w:rsidRPr="00C50440" w:rsidRDefault="0044786C" w:rsidP="0044786C">
            <w:pPr>
              <w:pStyle w:val="naisf"/>
              <w:spacing w:before="0" w:after="0"/>
              <w:ind w:left="57" w:right="57" w:firstLine="0"/>
              <w:jc w:val="left"/>
            </w:pPr>
            <w:r w:rsidRPr="00C50440">
              <w:t>Projekta izpildes ietekme uz pārvaldes funkcijām un institucionālo struktūru</w:t>
            </w:r>
          </w:p>
        </w:tc>
        <w:tc>
          <w:tcPr>
            <w:tcW w:w="5495" w:type="dxa"/>
          </w:tcPr>
          <w:p w14:paraId="2D24F927" w14:textId="77777777" w:rsidR="00AE7821" w:rsidRDefault="00AE7821" w:rsidP="00AE7821">
            <w:pPr>
              <w:pStyle w:val="naisf"/>
              <w:spacing w:before="0" w:after="0"/>
              <w:ind w:left="57" w:right="57" w:firstLine="0"/>
            </w:pPr>
            <w:r>
              <w:t>Noteikumu p</w:t>
            </w:r>
            <w:r w:rsidRPr="00C50440">
              <w:t>rojekts neparedz veidot jaunas valsts institūcijas.</w:t>
            </w:r>
          </w:p>
          <w:p w14:paraId="36140E66" w14:textId="439C793E" w:rsidR="0044786C" w:rsidRPr="00C50440" w:rsidRDefault="00AE7821" w:rsidP="00AE7821">
            <w:pPr>
              <w:pStyle w:val="naisc"/>
              <w:spacing w:before="0" w:after="0"/>
              <w:ind w:left="75" w:right="115" w:hanging="5"/>
              <w:jc w:val="both"/>
              <w:rPr>
                <w:b/>
              </w:rPr>
            </w:pPr>
            <w:r w:rsidRPr="00AE7821">
              <w:t>Samazinās Valsts ieņēmumu dienesta funkciju apjoms nodevu atmaksai attiecībā uz Noteikumu projektā iekļautajiem pakalpojumiem un pieaug Tiesu administrācijas funkciju apjoms, kas tiks nodrošinātas esošās iestādes kapacitātes ietvaros.</w:t>
            </w:r>
          </w:p>
        </w:tc>
      </w:tr>
      <w:tr w:rsidR="00C303CE" w:rsidRPr="00C303CE" w14:paraId="6A0D2EEB" w14:textId="77777777" w:rsidTr="004773F3">
        <w:trPr>
          <w:trHeight w:val="462"/>
        </w:trPr>
        <w:tc>
          <w:tcPr>
            <w:tcW w:w="567" w:type="dxa"/>
          </w:tcPr>
          <w:p w14:paraId="3D6CD448" w14:textId="16CDDE71" w:rsidR="00C303CE" w:rsidRPr="00C50440" w:rsidRDefault="00C303CE" w:rsidP="0044786C">
            <w:pPr>
              <w:pStyle w:val="naisnod"/>
              <w:spacing w:before="0" w:after="0"/>
              <w:ind w:left="57" w:right="57"/>
              <w:jc w:val="left"/>
              <w:rPr>
                <w:b w:val="0"/>
              </w:rPr>
            </w:pPr>
            <w:r>
              <w:rPr>
                <w:b w:val="0"/>
              </w:rPr>
              <w:t>3.</w:t>
            </w:r>
          </w:p>
        </w:tc>
        <w:tc>
          <w:tcPr>
            <w:tcW w:w="3294" w:type="dxa"/>
          </w:tcPr>
          <w:p w14:paraId="1318AEF7" w14:textId="62070E60" w:rsidR="00C303CE" w:rsidRPr="00C50440" w:rsidRDefault="00C303CE" w:rsidP="0044786C">
            <w:pPr>
              <w:pStyle w:val="naisf"/>
              <w:spacing w:before="0" w:after="0"/>
              <w:ind w:left="57" w:right="57" w:firstLine="0"/>
              <w:jc w:val="left"/>
            </w:pPr>
            <w:r>
              <w:t>Cita informācija</w:t>
            </w:r>
          </w:p>
        </w:tc>
        <w:tc>
          <w:tcPr>
            <w:tcW w:w="5495" w:type="dxa"/>
          </w:tcPr>
          <w:p w14:paraId="34FD0748" w14:textId="5CE30196" w:rsidR="00C303CE" w:rsidRPr="00C50440" w:rsidRDefault="00C303CE" w:rsidP="00C303CE">
            <w:pPr>
              <w:pStyle w:val="naisf"/>
              <w:spacing w:before="0" w:after="0"/>
              <w:ind w:left="57" w:right="57" w:firstLine="0"/>
            </w:pPr>
            <w:r>
              <w:t>Nav</w:t>
            </w:r>
            <w:r w:rsidR="0047376D">
              <w:t>.</w:t>
            </w:r>
          </w:p>
        </w:tc>
      </w:tr>
    </w:tbl>
    <w:p w14:paraId="280697F3" w14:textId="77777777" w:rsidR="00214094" w:rsidRPr="00B36392" w:rsidRDefault="00214094" w:rsidP="006C4607">
      <w:pPr>
        <w:pStyle w:val="naisf"/>
        <w:tabs>
          <w:tab w:val="left" w:pos="5760"/>
        </w:tabs>
        <w:spacing w:before="0" w:after="0"/>
        <w:ind w:firstLine="720"/>
        <w:rPr>
          <w:sz w:val="28"/>
          <w:szCs w:val="28"/>
        </w:rPr>
      </w:pPr>
    </w:p>
    <w:p w14:paraId="1FFFFAA1" w14:textId="37247216" w:rsidR="00515EE0" w:rsidRPr="00B36392" w:rsidRDefault="00C303CE" w:rsidP="00515EE0">
      <w:pPr>
        <w:pStyle w:val="Paraststmeklis"/>
        <w:spacing w:before="0" w:beforeAutospacing="0" w:after="0" w:afterAutospacing="0"/>
        <w:rPr>
          <w:bCs/>
        </w:rPr>
      </w:pPr>
      <w:r>
        <w:rPr>
          <w:bCs/>
        </w:rPr>
        <w:t>Anotācijas IV</w:t>
      </w:r>
      <w:r w:rsidR="00635646">
        <w:rPr>
          <w:bCs/>
        </w:rPr>
        <w:t xml:space="preserve"> un </w:t>
      </w:r>
      <w:r w:rsidR="00515EE0" w:rsidRPr="00B36392">
        <w:rPr>
          <w:bCs/>
        </w:rPr>
        <w:t>V</w:t>
      </w:r>
      <w:r>
        <w:rPr>
          <w:bCs/>
        </w:rPr>
        <w:t xml:space="preserve"> </w:t>
      </w:r>
      <w:r w:rsidR="00515EE0" w:rsidRPr="00B36392">
        <w:rPr>
          <w:bCs/>
        </w:rPr>
        <w:t xml:space="preserve">sadaļa – </w:t>
      </w:r>
      <w:r w:rsidR="0047376D">
        <w:rPr>
          <w:bCs/>
        </w:rPr>
        <w:t xml:space="preserve">Noteikumu </w:t>
      </w:r>
      <w:r w:rsidR="00515EE0" w:rsidRPr="00B36392">
        <w:rPr>
          <w:bCs/>
        </w:rPr>
        <w:t>projekts šīs jomas neskar</w:t>
      </w:r>
      <w:r w:rsidR="00515EE0">
        <w:rPr>
          <w:bCs/>
        </w:rPr>
        <w:t>.</w:t>
      </w:r>
      <w:bookmarkStart w:id="1" w:name="_GoBack"/>
      <w:bookmarkEnd w:id="1"/>
    </w:p>
    <w:p w14:paraId="1254B0AE" w14:textId="77777777" w:rsidR="00643795" w:rsidRDefault="00643795" w:rsidP="00D30280">
      <w:pPr>
        <w:tabs>
          <w:tab w:val="left" w:pos="7371"/>
        </w:tabs>
      </w:pPr>
    </w:p>
    <w:p w14:paraId="560AB470" w14:textId="77777777" w:rsidR="00000582" w:rsidRDefault="00000582" w:rsidP="00D30280">
      <w:pPr>
        <w:tabs>
          <w:tab w:val="left" w:pos="7371"/>
        </w:tabs>
      </w:pPr>
      <w:r>
        <w:t>Iesniedzējs:</w:t>
      </w:r>
    </w:p>
    <w:p w14:paraId="73B9137C" w14:textId="044D7EC0" w:rsidR="00D30280" w:rsidRPr="00240DA1" w:rsidRDefault="00517359" w:rsidP="00D30280">
      <w:pPr>
        <w:tabs>
          <w:tab w:val="left" w:pos="7371"/>
        </w:tabs>
      </w:pPr>
      <w:r>
        <w:t>tieslietu ministrs</w:t>
      </w:r>
      <w:r w:rsidR="00D30280">
        <w:tab/>
      </w:r>
      <w:r>
        <w:t>Dzintars Rasnačs</w:t>
      </w:r>
    </w:p>
    <w:p w14:paraId="1E2D8458" w14:textId="77777777" w:rsidR="00B873D0" w:rsidRDefault="00B873D0" w:rsidP="003017F9">
      <w:pPr>
        <w:pStyle w:val="naisf"/>
        <w:spacing w:before="0" w:after="0"/>
        <w:ind w:firstLine="0"/>
      </w:pPr>
    </w:p>
    <w:p w14:paraId="42B8A869" w14:textId="77777777" w:rsidR="0047376D" w:rsidRDefault="0047376D" w:rsidP="003017F9">
      <w:pPr>
        <w:pStyle w:val="naisf"/>
        <w:spacing w:before="0" w:after="0"/>
        <w:ind w:firstLine="0"/>
      </w:pPr>
    </w:p>
    <w:p w14:paraId="10FF8616" w14:textId="32F9BFF7" w:rsidR="005B3391" w:rsidRPr="004773F3" w:rsidRDefault="00381764" w:rsidP="00121464">
      <w:pPr>
        <w:jc w:val="both"/>
      </w:pPr>
      <w:r w:rsidRPr="004773F3">
        <w:t>Āboliņa</w:t>
      </w:r>
      <w:r w:rsidR="005B3391" w:rsidRPr="004773F3">
        <w:t xml:space="preserve"> </w:t>
      </w:r>
      <w:r w:rsidRPr="004773F3">
        <w:t>67063811</w:t>
      </w:r>
    </w:p>
    <w:p w14:paraId="079BAB02" w14:textId="72A4B873" w:rsidR="00FB781A" w:rsidRPr="004773F3" w:rsidRDefault="00000582" w:rsidP="00121464">
      <w:pPr>
        <w:jc w:val="both"/>
      </w:pPr>
      <w:r w:rsidRPr="004773F3">
        <w:t>olita.abolina@ta.gov.lv</w:t>
      </w:r>
    </w:p>
    <w:sectPr w:rsidR="00FB781A" w:rsidRPr="004773F3" w:rsidSect="00E50F70">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A9086" w14:textId="77777777" w:rsidR="00FC2413" w:rsidRDefault="00FC2413">
      <w:r>
        <w:separator/>
      </w:r>
    </w:p>
  </w:endnote>
  <w:endnote w:type="continuationSeparator" w:id="0">
    <w:p w14:paraId="3A15D5EA" w14:textId="77777777" w:rsidR="00FC2413" w:rsidRDefault="00FC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AAE6" w14:textId="382ECD23" w:rsidR="00893F4E" w:rsidRPr="00E50F70" w:rsidRDefault="003661EE" w:rsidP="004756C2">
    <w:pPr>
      <w:jc w:val="both"/>
      <w:outlineLvl w:val="0"/>
      <w:rPr>
        <w:sz w:val="20"/>
        <w:szCs w:val="20"/>
      </w:rPr>
    </w:pPr>
    <w:r w:rsidRPr="002E6B07">
      <w:rPr>
        <w:sz w:val="20"/>
        <w:szCs w:val="20"/>
      </w:rPr>
      <w:t>TM</w:t>
    </w:r>
    <w:r w:rsidR="005B3391">
      <w:rPr>
        <w:sz w:val="20"/>
        <w:szCs w:val="20"/>
      </w:rPr>
      <w:t>a</w:t>
    </w:r>
    <w:r w:rsidRPr="002E6B07">
      <w:rPr>
        <w:sz w:val="20"/>
        <w:szCs w:val="20"/>
      </w:rPr>
      <w:t>not_</w:t>
    </w:r>
    <w:r w:rsidR="009E2C55">
      <w:rPr>
        <w:sz w:val="20"/>
        <w:szCs w:val="20"/>
      </w:rPr>
      <w:t>27</w:t>
    </w:r>
    <w:r w:rsidR="00171433">
      <w:rPr>
        <w:sz w:val="20"/>
        <w:szCs w:val="20"/>
      </w:rPr>
      <w:t>06</w:t>
    </w:r>
    <w:r w:rsidR="00A17E08" w:rsidRPr="002E6B07">
      <w:rPr>
        <w:sz w:val="20"/>
        <w:szCs w:val="20"/>
      </w:rPr>
      <w:t>17</w:t>
    </w:r>
    <w:r w:rsidRPr="002E6B07">
      <w:rPr>
        <w:sz w:val="20"/>
        <w:szCs w:val="20"/>
      </w:rPr>
      <w:t>_tiesmp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8A9D" w14:textId="07EBDB75" w:rsidR="00893F4E" w:rsidRPr="00E50F70" w:rsidRDefault="00893F4E" w:rsidP="00914EA6">
    <w:pPr>
      <w:jc w:val="both"/>
      <w:outlineLvl w:val="0"/>
      <w:rPr>
        <w:sz w:val="20"/>
        <w:szCs w:val="20"/>
      </w:rPr>
    </w:pPr>
    <w:r w:rsidRPr="00E50F70">
      <w:rPr>
        <w:sz w:val="20"/>
        <w:szCs w:val="20"/>
      </w:rPr>
      <w:t>TM</w:t>
    </w:r>
    <w:r w:rsidR="005B3391">
      <w:rPr>
        <w:sz w:val="20"/>
        <w:szCs w:val="20"/>
      </w:rPr>
      <w:t>a</w:t>
    </w:r>
    <w:r w:rsidRPr="00E50F70">
      <w:rPr>
        <w:sz w:val="20"/>
        <w:szCs w:val="20"/>
      </w:rPr>
      <w:t>not_</w:t>
    </w:r>
    <w:r w:rsidR="00423AD6">
      <w:rPr>
        <w:sz w:val="20"/>
        <w:szCs w:val="20"/>
      </w:rPr>
      <w:t>27</w:t>
    </w:r>
    <w:r w:rsidR="00171433">
      <w:rPr>
        <w:sz w:val="20"/>
        <w:szCs w:val="20"/>
      </w:rPr>
      <w:t>06</w:t>
    </w:r>
    <w:r w:rsidR="00A17E08" w:rsidRPr="00E50F70">
      <w:rPr>
        <w:sz w:val="20"/>
        <w:szCs w:val="20"/>
      </w:rPr>
      <w:t>17</w:t>
    </w:r>
    <w:r w:rsidRPr="00E50F70">
      <w:rPr>
        <w:sz w:val="20"/>
        <w:szCs w:val="20"/>
      </w:rPr>
      <w:t>_tiesmp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0E39" w14:textId="77777777" w:rsidR="00FC2413" w:rsidRDefault="00FC2413">
      <w:r>
        <w:separator/>
      </w:r>
    </w:p>
  </w:footnote>
  <w:footnote w:type="continuationSeparator" w:id="0">
    <w:p w14:paraId="3EB3E89E" w14:textId="77777777" w:rsidR="00FC2413" w:rsidRDefault="00FC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61995" w14:textId="77777777" w:rsidR="00893F4E" w:rsidRDefault="00893F4E"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EC03A81" w14:textId="77777777" w:rsidR="00893F4E" w:rsidRDefault="00893F4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7BF2" w14:textId="51A51EE9" w:rsidR="00893F4E" w:rsidRPr="00F33E74" w:rsidRDefault="00893F4E"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E5F87">
      <w:rPr>
        <w:rStyle w:val="Lappusesnumurs"/>
        <w:noProof/>
      </w:rPr>
      <w:t>2</w:t>
    </w:r>
    <w:r>
      <w:rPr>
        <w:rStyle w:val="Lappusesnumurs"/>
      </w:rPr>
      <w:fldChar w:fldCharType="end"/>
    </w:r>
  </w:p>
  <w:p w14:paraId="31F8E388" w14:textId="77777777" w:rsidR="00893F4E" w:rsidRDefault="00893F4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7B1AB0"/>
    <w:multiLevelType w:val="hybridMultilevel"/>
    <w:tmpl w:val="055880EE"/>
    <w:lvl w:ilvl="0" w:tplc="04260009">
      <w:start w:val="1"/>
      <w:numFmt w:val="bullet"/>
      <w:lvlText w:val=""/>
      <w:lvlJc w:val="left"/>
      <w:pPr>
        <w:ind w:left="1276" w:hanging="360"/>
      </w:pPr>
      <w:rPr>
        <w:rFonts w:ascii="Wingdings" w:hAnsi="Wingdings" w:hint="default"/>
      </w:rPr>
    </w:lvl>
    <w:lvl w:ilvl="1" w:tplc="04260003" w:tentative="1">
      <w:start w:val="1"/>
      <w:numFmt w:val="bullet"/>
      <w:lvlText w:val="o"/>
      <w:lvlJc w:val="left"/>
      <w:pPr>
        <w:ind w:left="1996" w:hanging="360"/>
      </w:pPr>
      <w:rPr>
        <w:rFonts w:ascii="Courier New" w:hAnsi="Courier New" w:cs="Courier New" w:hint="default"/>
      </w:rPr>
    </w:lvl>
    <w:lvl w:ilvl="2" w:tplc="04260005" w:tentative="1">
      <w:start w:val="1"/>
      <w:numFmt w:val="bullet"/>
      <w:lvlText w:val=""/>
      <w:lvlJc w:val="left"/>
      <w:pPr>
        <w:ind w:left="2716" w:hanging="360"/>
      </w:pPr>
      <w:rPr>
        <w:rFonts w:ascii="Wingdings" w:hAnsi="Wingdings" w:hint="default"/>
      </w:rPr>
    </w:lvl>
    <w:lvl w:ilvl="3" w:tplc="04260001" w:tentative="1">
      <w:start w:val="1"/>
      <w:numFmt w:val="bullet"/>
      <w:lvlText w:val=""/>
      <w:lvlJc w:val="left"/>
      <w:pPr>
        <w:ind w:left="3436" w:hanging="360"/>
      </w:pPr>
      <w:rPr>
        <w:rFonts w:ascii="Symbol" w:hAnsi="Symbol" w:hint="default"/>
      </w:rPr>
    </w:lvl>
    <w:lvl w:ilvl="4" w:tplc="04260003" w:tentative="1">
      <w:start w:val="1"/>
      <w:numFmt w:val="bullet"/>
      <w:lvlText w:val="o"/>
      <w:lvlJc w:val="left"/>
      <w:pPr>
        <w:ind w:left="4156" w:hanging="360"/>
      </w:pPr>
      <w:rPr>
        <w:rFonts w:ascii="Courier New" w:hAnsi="Courier New" w:cs="Courier New" w:hint="default"/>
      </w:rPr>
    </w:lvl>
    <w:lvl w:ilvl="5" w:tplc="04260005" w:tentative="1">
      <w:start w:val="1"/>
      <w:numFmt w:val="bullet"/>
      <w:lvlText w:val=""/>
      <w:lvlJc w:val="left"/>
      <w:pPr>
        <w:ind w:left="4876" w:hanging="360"/>
      </w:pPr>
      <w:rPr>
        <w:rFonts w:ascii="Wingdings" w:hAnsi="Wingdings" w:hint="default"/>
      </w:rPr>
    </w:lvl>
    <w:lvl w:ilvl="6" w:tplc="04260001" w:tentative="1">
      <w:start w:val="1"/>
      <w:numFmt w:val="bullet"/>
      <w:lvlText w:val=""/>
      <w:lvlJc w:val="left"/>
      <w:pPr>
        <w:ind w:left="5596" w:hanging="360"/>
      </w:pPr>
      <w:rPr>
        <w:rFonts w:ascii="Symbol" w:hAnsi="Symbol" w:hint="default"/>
      </w:rPr>
    </w:lvl>
    <w:lvl w:ilvl="7" w:tplc="04260003" w:tentative="1">
      <w:start w:val="1"/>
      <w:numFmt w:val="bullet"/>
      <w:lvlText w:val="o"/>
      <w:lvlJc w:val="left"/>
      <w:pPr>
        <w:ind w:left="6316" w:hanging="360"/>
      </w:pPr>
      <w:rPr>
        <w:rFonts w:ascii="Courier New" w:hAnsi="Courier New" w:cs="Courier New" w:hint="default"/>
      </w:rPr>
    </w:lvl>
    <w:lvl w:ilvl="8" w:tplc="04260005" w:tentative="1">
      <w:start w:val="1"/>
      <w:numFmt w:val="bullet"/>
      <w:lvlText w:val=""/>
      <w:lvlJc w:val="left"/>
      <w:pPr>
        <w:ind w:left="7036" w:hanging="360"/>
      </w:pPr>
      <w:rPr>
        <w:rFonts w:ascii="Wingdings" w:hAnsi="Wingdings" w:hint="default"/>
      </w:rPr>
    </w:lvl>
  </w:abstractNum>
  <w:abstractNum w:abstractNumId="2" w15:restartNumberingAfterBreak="0">
    <w:nsid w:val="0C96127A"/>
    <w:multiLevelType w:val="hybridMultilevel"/>
    <w:tmpl w:val="0F0C7AC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76F2856"/>
    <w:multiLevelType w:val="hybridMultilevel"/>
    <w:tmpl w:val="17EC34B0"/>
    <w:lvl w:ilvl="0" w:tplc="04260001">
      <w:start w:val="23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825B3E"/>
    <w:multiLevelType w:val="hybridMultilevel"/>
    <w:tmpl w:val="D8E45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F552EB"/>
    <w:multiLevelType w:val="hybridMultilevel"/>
    <w:tmpl w:val="3E54B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F52B66"/>
    <w:multiLevelType w:val="hybridMultilevel"/>
    <w:tmpl w:val="7870B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4630FA"/>
    <w:multiLevelType w:val="hybridMultilevel"/>
    <w:tmpl w:val="EA265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5ED602FD"/>
    <w:multiLevelType w:val="hybridMultilevel"/>
    <w:tmpl w:val="6682223A"/>
    <w:lvl w:ilvl="0" w:tplc="620257FA">
      <w:start w:val="1"/>
      <w:numFmt w:val="decimal"/>
      <w:lvlText w:val="%1."/>
      <w:lvlJc w:val="left"/>
      <w:pPr>
        <w:ind w:left="720" w:hanging="360"/>
      </w:pPr>
      <w:rPr>
        <w:rFonts w:hint="default"/>
        <w:color w:val="333333"/>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AB25B2"/>
    <w:multiLevelType w:val="hybridMultilevel"/>
    <w:tmpl w:val="26887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7"/>
  </w:num>
  <w:num w:numId="4">
    <w:abstractNumId w:val="5"/>
  </w:num>
  <w:num w:numId="5">
    <w:abstractNumId w:val="0"/>
  </w:num>
  <w:num w:numId="6">
    <w:abstractNumId w:val="15"/>
  </w:num>
  <w:num w:numId="7">
    <w:abstractNumId w:val="20"/>
  </w:num>
  <w:num w:numId="8">
    <w:abstractNumId w:val="12"/>
  </w:num>
  <w:num w:numId="9">
    <w:abstractNumId w:val="6"/>
  </w:num>
  <w:num w:numId="10">
    <w:abstractNumId w:val="13"/>
  </w:num>
  <w:num w:numId="11">
    <w:abstractNumId w:val="14"/>
  </w:num>
  <w:num w:numId="12">
    <w:abstractNumId w:val="16"/>
  </w:num>
  <w:num w:numId="13">
    <w:abstractNumId w:val="17"/>
  </w:num>
  <w:num w:numId="14">
    <w:abstractNumId w:val="2"/>
  </w:num>
  <w:num w:numId="15">
    <w:abstractNumId w:val="18"/>
  </w:num>
  <w:num w:numId="16">
    <w:abstractNumId w:val="4"/>
  </w:num>
  <w:num w:numId="17">
    <w:abstractNumId w:val="1"/>
  </w:num>
  <w:num w:numId="18">
    <w:abstractNumId w:val="3"/>
  </w:num>
  <w:num w:numId="19">
    <w:abstractNumId w:val="8"/>
  </w:num>
  <w:num w:numId="20">
    <w:abstractNumId w:val="2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82"/>
    <w:rsid w:val="0000105A"/>
    <w:rsid w:val="00001587"/>
    <w:rsid w:val="000025D4"/>
    <w:rsid w:val="00002D79"/>
    <w:rsid w:val="00002D9F"/>
    <w:rsid w:val="00004015"/>
    <w:rsid w:val="00004319"/>
    <w:rsid w:val="00005B27"/>
    <w:rsid w:val="000066A6"/>
    <w:rsid w:val="00006B4D"/>
    <w:rsid w:val="000075DD"/>
    <w:rsid w:val="00007A9A"/>
    <w:rsid w:val="00011108"/>
    <w:rsid w:val="00011D24"/>
    <w:rsid w:val="00011DF5"/>
    <w:rsid w:val="00013FF4"/>
    <w:rsid w:val="000144B6"/>
    <w:rsid w:val="00014BBF"/>
    <w:rsid w:val="00014D4D"/>
    <w:rsid w:val="000163F4"/>
    <w:rsid w:val="000167D3"/>
    <w:rsid w:val="00020FE1"/>
    <w:rsid w:val="00022814"/>
    <w:rsid w:val="00022E13"/>
    <w:rsid w:val="000231BA"/>
    <w:rsid w:val="00026499"/>
    <w:rsid w:val="00027A14"/>
    <w:rsid w:val="00032388"/>
    <w:rsid w:val="000332A8"/>
    <w:rsid w:val="000332C2"/>
    <w:rsid w:val="000339D3"/>
    <w:rsid w:val="00035CE2"/>
    <w:rsid w:val="00036AB2"/>
    <w:rsid w:val="000374E5"/>
    <w:rsid w:val="000379B7"/>
    <w:rsid w:val="00041CF2"/>
    <w:rsid w:val="00042E02"/>
    <w:rsid w:val="00043E44"/>
    <w:rsid w:val="0004557A"/>
    <w:rsid w:val="00046318"/>
    <w:rsid w:val="0004799C"/>
    <w:rsid w:val="00047F35"/>
    <w:rsid w:val="00053ABB"/>
    <w:rsid w:val="0005553B"/>
    <w:rsid w:val="00056226"/>
    <w:rsid w:val="000568DE"/>
    <w:rsid w:val="00057233"/>
    <w:rsid w:val="00057365"/>
    <w:rsid w:val="000604D2"/>
    <w:rsid w:val="00061B51"/>
    <w:rsid w:val="00061C18"/>
    <w:rsid w:val="00062353"/>
    <w:rsid w:val="00065088"/>
    <w:rsid w:val="00066D61"/>
    <w:rsid w:val="00067A42"/>
    <w:rsid w:val="00067FCB"/>
    <w:rsid w:val="000702F9"/>
    <w:rsid w:val="000721E9"/>
    <w:rsid w:val="000736DB"/>
    <w:rsid w:val="000739FF"/>
    <w:rsid w:val="000748CF"/>
    <w:rsid w:val="00075A8F"/>
    <w:rsid w:val="0007622C"/>
    <w:rsid w:val="00076F5B"/>
    <w:rsid w:val="00077421"/>
    <w:rsid w:val="00077AC5"/>
    <w:rsid w:val="00080D1F"/>
    <w:rsid w:val="00080FF5"/>
    <w:rsid w:val="000834D5"/>
    <w:rsid w:val="000836F9"/>
    <w:rsid w:val="00083C95"/>
    <w:rsid w:val="000845A8"/>
    <w:rsid w:val="00086629"/>
    <w:rsid w:val="00086B15"/>
    <w:rsid w:val="000870D9"/>
    <w:rsid w:val="0009005E"/>
    <w:rsid w:val="000900C4"/>
    <w:rsid w:val="00091D81"/>
    <w:rsid w:val="00092239"/>
    <w:rsid w:val="000923C2"/>
    <w:rsid w:val="000927AA"/>
    <w:rsid w:val="00092932"/>
    <w:rsid w:val="000941C5"/>
    <w:rsid w:val="00094717"/>
    <w:rsid w:val="000A18DA"/>
    <w:rsid w:val="000A6451"/>
    <w:rsid w:val="000B064E"/>
    <w:rsid w:val="000B2003"/>
    <w:rsid w:val="000B448A"/>
    <w:rsid w:val="000B499C"/>
    <w:rsid w:val="000B69CF"/>
    <w:rsid w:val="000B6EA3"/>
    <w:rsid w:val="000B74C2"/>
    <w:rsid w:val="000C15D7"/>
    <w:rsid w:val="000C5341"/>
    <w:rsid w:val="000C5865"/>
    <w:rsid w:val="000C5DC5"/>
    <w:rsid w:val="000C790C"/>
    <w:rsid w:val="000D0079"/>
    <w:rsid w:val="000D3AB9"/>
    <w:rsid w:val="000D3F56"/>
    <w:rsid w:val="000D4517"/>
    <w:rsid w:val="000D53B8"/>
    <w:rsid w:val="000D5EA7"/>
    <w:rsid w:val="000D63C5"/>
    <w:rsid w:val="000D6F90"/>
    <w:rsid w:val="000D7AE0"/>
    <w:rsid w:val="000D7E6A"/>
    <w:rsid w:val="000D7E83"/>
    <w:rsid w:val="000E1505"/>
    <w:rsid w:val="000E31AA"/>
    <w:rsid w:val="000E5ACE"/>
    <w:rsid w:val="000E5DBF"/>
    <w:rsid w:val="000F061D"/>
    <w:rsid w:val="000F0CBB"/>
    <w:rsid w:val="000F145B"/>
    <w:rsid w:val="000F17E5"/>
    <w:rsid w:val="000F4056"/>
    <w:rsid w:val="000F4794"/>
    <w:rsid w:val="000F5490"/>
    <w:rsid w:val="0010092D"/>
    <w:rsid w:val="00101347"/>
    <w:rsid w:val="00101B73"/>
    <w:rsid w:val="00103984"/>
    <w:rsid w:val="00104538"/>
    <w:rsid w:val="00104DC2"/>
    <w:rsid w:val="001055D3"/>
    <w:rsid w:val="00105D9D"/>
    <w:rsid w:val="00106D91"/>
    <w:rsid w:val="00106F99"/>
    <w:rsid w:val="001123DE"/>
    <w:rsid w:val="00112A25"/>
    <w:rsid w:val="001149FE"/>
    <w:rsid w:val="00114A05"/>
    <w:rsid w:val="0011651C"/>
    <w:rsid w:val="00120C8C"/>
    <w:rsid w:val="00121464"/>
    <w:rsid w:val="00121A26"/>
    <w:rsid w:val="00121DDF"/>
    <w:rsid w:val="001220D1"/>
    <w:rsid w:val="00122DF6"/>
    <w:rsid w:val="00124338"/>
    <w:rsid w:val="00124F12"/>
    <w:rsid w:val="00127B87"/>
    <w:rsid w:val="001323FA"/>
    <w:rsid w:val="00132CB1"/>
    <w:rsid w:val="001353FA"/>
    <w:rsid w:val="001367B2"/>
    <w:rsid w:val="00136BDB"/>
    <w:rsid w:val="00137255"/>
    <w:rsid w:val="001405C6"/>
    <w:rsid w:val="001407E3"/>
    <w:rsid w:val="001432CB"/>
    <w:rsid w:val="00143813"/>
    <w:rsid w:val="00144E3A"/>
    <w:rsid w:val="0014777B"/>
    <w:rsid w:val="0015060C"/>
    <w:rsid w:val="0015168B"/>
    <w:rsid w:val="0015304C"/>
    <w:rsid w:val="00153569"/>
    <w:rsid w:val="001536AF"/>
    <w:rsid w:val="001540C2"/>
    <w:rsid w:val="00155700"/>
    <w:rsid w:val="0016018A"/>
    <w:rsid w:val="001603F6"/>
    <w:rsid w:val="00161F0E"/>
    <w:rsid w:val="00162710"/>
    <w:rsid w:val="00162BC6"/>
    <w:rsid w:val="0016340E"/>
    <w:rsid w:val="00164A8E"/>
    <w:rsid w:val="00165E35"/>
    <w:rsid w:val="00166066"/>
    <w:rsid w:val="00170E2A"/>
    <w:rsid w:val="00171433"/>
    <w:rsid w:val="0017170C"/>
    <w:rsid w:val="001722D1"/>
    <w:rsid w:val="0017336E"/>
    <w:rsid w:val="00173B63"/>
    <w:rsid w:val="00177394"/>
    <w:rsid w:val="0018094F"/>
    <w:rsid w:val="001820C2"/>
    <w:rsid w:val="001821E0"/>
    <w:rsid w:val="00182C18"/>
    <w:rsid w:val="00182CBC"/>
    <w:rsid w:val="00183CC2"/>
    <w:rsid w:val="001842B7"/>
    <w:rsid w:val="00184F9C"/>
    <w:rsid w:val="00186A18"/>
    <w:rsid w:val="001900E4"/>
    <w:rsid w:val="00190F88"/>
    <w:rsid w:val="00193E71"/>
    <w:rsid w:val="001A0232"/>
    <w:rsid w:val="001A0BF9"/>
    <w:rsid w:val="001A1981"/>
    <w:rsid w:val="001A1B26"/>
    <w:rsid w:val="001A2299"/>
    <w:rsid w:val="001A4066"/>
    <w:rsid w:val="001A415B"/>
    <w:rsid w:val="001A69F4"/>
    <w:rsid w:val="001A6AE4"/>
    <w:rsid w:val="001B01FD"/>
    <w:rsid w:val="001B4715"/>
    <w:rsid w:val="001B4A71"/>
    <w:rsid w:val="001B6013"/>
    <w:rsid w:val="001C1C9F"/>
    <w:rsid w:val="001C244A"/>
    <w:rsid w:val="001C2CC3"/>
    <w:rsid w:val="001C4BC0"/>
    <w:rsid w:val="001C509B"/>
    <w:rsid w:val="001D0D26"/>
    <w:rsid w:val="001D306A"/>
    <w:rsid w:val="001D3765"/>
    <w:rsid w:val="001D5B54"/>
    <w:rsid w:val="001D5CCB"/>
    <w:rsid w:val="001D5CF7"/>
    <w:rsid w:val="001D5E6E"/>
    <w:rsid w:val="001E077F"/>
    <w:rsid w:val="001E0DA4"/>
    <w:rsid w:val="001E1642"/>
    <w:rsid w:val="001E1DBF"/>
    <w:rsid w:val="001E2CF7"/>
    <w:rsid w:val="001E42A8"/>
    <w:rsid w:val="001E4639"/>
    <w:rsid w:val="001E4764"/>
    <w:rsid w:val="001E4A29"/>
    <w:rsid w:val="001E4A7D"/>
    <w:rsid w:val="001E501A"/>
    <w:rsid w:val="001E6658"/>
    <w:rsid w:val="001E6EF6"/>
    <w:rsid w:val="001E78DD"/>
    <w:rsid w:val="001F0517"/>
    <w:rsid w:val="001F0A53"/>
    <w:rsid w:val="001F0E69"/>
    <w:rsid w:val="001F221B"/>
    <w:rsid w:val="001F3795"/>
    <w:rsid w:val="001F3C1C"/>
    <w:rsid w:val="001F4209"/>
    <w:rsid w:val="001F43A8"/>
    <w:rsid w:val="001F5A59"/>
    <w:rsid w:val="001F5B97"/>
    <w:rsid w:val="001F5CD6"/>
    <w:rsid w:val="001F65D2"/>
    <w:rsid w:val="001F6AA8"/>
    <w:rsid w:val="0020043F"/>
    <w:rsid w:val="00200BD3"/>
    <w:rsid w:val="002013C2"/>
    <w:rsid w:val="00201546"/>
    <w:rsid w:val="002025F1"/>
    <w:rsid w:val="00205241"/>
    <w:rsid w:val="00206E93"/>
    <w:rsid w:val="00207EFB"/>
    <w:rsid w:val="00211395"/>
    <w:rsid w:val="00211DD0"/>
    <w:rsid w:val="00211E83"/>
    <w:rsid w:val="0021263D"/>
    <w:rsid w:val="00213F0C"/>
    <w:rsid w:val="00214094"/>
    <w:rsid w:val="0021592D"/>
    <w:rsid w:val="00215DE4"/>
    <w:rsid w:val="00217204"/>
    <w:rsid w:val="0021758D"/>
    <w:rsid w:val="00220E53"/>
    <w:rsid w:val="002217EB"/>
    <w:rsid w:val="00222BBA"/>
    <w:rsid w:val="00222D76"/>
    <w:rsid w:val="00223EB1"/>
    <w:rsid w:val="00224092"/>
    <w:rsid w:val="00224FCA"/>
    <w:rsid w:val="002251F2"/>
    <w:rsid w:val="00226243"/>
    <w:rsid w:val="00227E4D"/>
    <w:rsid w:val="002302E0"/>
    <w:rsid w:val="00231344"/>
    <w:rsid w:val="00231417"/>
    <w:rsid w:val="002327DC"/>
    <w:rsid w:val="00232854"/>
    <w:rsid w:val="0023436E"/>
    <w:rsid w:val="002347C0"/>
    <w:rsid w:val="002364B6"/>
    <w:rsid w:val="002369A1"/>
    <w:rsid w:val="00237717"/>
    <w:rsid w:val="00240DA1"/>
    <w:rsid w:val="002416CC"/>
    <w:rsid w:val="00241A6C"/>
    <w:rsid w:val="00242D2B"/>
    <w:rsid w:val="00243138"/>
    <w:rsid w:val="00243B0E"/>
    <w:rsid w:val="00243C4D"/>
    <w:rsid w:val="00244D63"/>
    <w:rsid w:val="00244E5A"/>
    <w:rsid w:val="002454AA"/>
    <w:rsid w:val="00247178"/>
    <w:rsid w:val="00252B66"/>
    <w:rsid w:val="00253903"/>
    <w:rsid w:val="002543E2"/>
    <w:rsid w:val="002551D0"/>
    <w:rsid w:val="0025555A"/>
    <w:rsid w:val="0025686D"/>
    <w:rsid w:val="002569C1"/>
    <w:rsid w:val="00261AC1"/>
    <w:rsid w:val="00262459"/>
    <w:rsid w:val="002625C3"/>
    <w:rsid w:val="00262E2B"/>
    <w:rsid w:val="0026375C"/>
    <w:rsid w:val="0026376A"/>
    <w:rsid w:val="002642DB"/>
    <w:rsid w:val="00270429"/>
    <w:rsid w:val="00271027"/>
    <w:rsid w:val="00271642"/>
    <w:rsid w:val="00271D04"/>
    <w:rsid w:val="00271F5F"/>
    <w:rsid w:val="002723E9"/>
    <w:rsid w:val="002746B7"/>
    <w:rsid w:val="00275CA2"/>
    <w:rsid w:val="00277929"/>
    <w:rsid w:val="0028170F"/>
    <w:rsid w:val="0028295E"/>
    <w:rsid w:val="002835F0"/>
    <w:rsid w:val="00283B82"/>
    <w:rsid w:val="002846E9"/>
    <w:rsid w:val="00284C34"/>
    <w:rsid w:val="00287D46"/>
    <w:rsid w:val="0029066C"/>
    <w:rsid w:val="00290F1D"/>
    <w:rsid w:val="00292AD4"/>
    <w:rsid w:val="00293688"/>
    <w:rsid w:val="002936EF"/>
    <w:rsid w:val="00293C01"/>
    <w:rsid w:val="00294A29"/>
    <w:rsid w:val="0029651A"/>
    <w:rsid w:val="002973B4"/>
    <w:rsid w:val="002A13AF"/>
    <w:rsid w:val="002A1724"/>
    <w:rsid w:val="002A2D21"/>
    <w:rsid w:val="002A4364"/>
    <w:rsid w:val="002A4593"/>
    <w:rsid w:val="002A50AD"/>
    <w:rsid w:val="002A53A5"/>
    <w:rsid w:val="002A7557"/>
    <w:rsid w:val="002B2244"/>
    <w:rsid w:val="002B23A5"/>
    <w:rsid w:val="002B2FC2"/>
    <w:rsid w:val="002B4F76"/>
    <w:rsid w:val="002B50DB"/>
    <w:rsid w:val="002B58CD"/>
    <w:rsid w:val="002B5BA1"/>
    <w:rsid w:val="002B5E52"/>
    <w:rsid w:val="002B6EB4"/>
    <w:rsid w:val="002C072C"/>
    <w:rsid w:val="002C07BC"/>
    <w:rsid w:val="002C12AB"/>
    <w:rsid w:val="002C22C2"/>
    <w:rsid w:val="002C3CCF"/>
    <w:rsid w:val="002C4C35"/>
    <w:rsid w:val="002C5970"/>
    <w:rsid w:val="002C746D"/>
    <w:rsid w:val="002C7C8F"/>
    <w:rsid w:val="002C7CAC"/>
    <w:rsid w:val="002D03B7"/>
    <w:rsid w:val="002D12F1"/>
    <w:rsid w:val="002D1319"/>
    <w:rsid w:val="002D3306"/>
    <w:rsid w:val="002D342C"/>
    <w:rsid w:val="002D48AA"/>
    <w:rsid w:val="002D5246"/>
    <w:rsid w:val="002D53E2"/>
    <w:rsid w:val="002D6589"/>
    <w:rsid w:val="002D7400"/>
    <w:rsid w:val="002D763C"/>
    <w:rsid w:val="002D78DC"/>
    <w:rsid w:val="002D7BAA"/>
    <w:rsid w:val="002D7F54"/>
    <w:rsid w:val="002E3FF4"/>
    <w:rsid w:val="002E481C"/>
    <w:rsid w:val="002E4C58"/>
    <w:rsid w:val="002E587F"/>
    <w:rsid w:val="002F02EB"/>
    <w:rsid w:val="002F0E41"/>
    <w:rsid w:val="002F20B0"/>
    <w:rsid w:val="002F254B"/>
    <w:rsid w:val="002F2FC2"/>
    <w:rsid w:val="002F3708"/>
    <w:rsid w:val="002F3B08"/>
    <w:rsid w:val="002F4595"/>
    <w:rsid w:val="002F5C03"/>
    <w:rsid w:val="002F67A5"/>
    <w:rsid w:val="002F78C8"/>
    <w:rsid w:val="002F7C8D"/>
    <w:rsid w:val="002F7DF9"/>
    <w:rsid w:val="0030059B"/>
    <w:rsid w:val="0030123F"/>
    <w:rsid w:val="0030136A"/>
    <w:rsid w:val="003017F9"/>
    <w:rsid w:val="00301CF3"/>
    <w:rsid w:val="003023A7"/>
    <w:rsid w:val="00302B7A"/>
    <w:rsid w:val="00304C54"/>
    <w:rsid w:val="00304F1F"/>
    <w:rsid w:val="00305FC3"/>
    <w:rsid w:val="003067C1"/>
    <w:rsid w:val="003074E2"/>
    <w:rsid w:val="00307A8B"/>
    <w:rsid w:val="00307C62"/>
    <w:rsid w:val="00310364"/>
    <w:rsid w:val="00311D66"/>
    <w:rsid w:val="00312EDD"/>
    <w:rsid w:val="0031312E"/>
    <w:rsid w:val="00315256"/>
    <w:rsid w:val="00315650"/>
    <w:rsid w:val="003159E6"/>
    <w:rsid w:val="003208DD"/>
    <w:rsid w:val="00320FD5"/>
    <w:rsid w:val="00322379"/>
    <w:rsid w:val="003225AC"/>
    <w:rsid w:val="00322980"/>
    <w:rsid w:val="00322E64"/>
    <w:rsid w:val="003232EA"/>
    <w:rsid w:val="0032715C"/>
    <w:rsid w:val="00327542"/>
    <w:rsid w:val="00327F59"/>
    <w:rsid w:val="0033065C"/>
    <w:rsid w:val="00331CD2"/>
    <w:rsid w:val="00331F0C"/>
    <w:rsid w:val="003320C0"/>
    <w:rsid w:val="00333062"/>
    <w:rsid w:val="00334940"/>
    <w:rsid w:val="00335E7D"/>
    <w:rsid w:val="00335F4C"/>
    <w:rsid w:val="0033603A"/>
    <w:rsid w:val="00337021"/>
    <w:rsid w:val="00337CA5"/>
    <w:rsid w:val="00343E63"/>
    <w:rsid w:val="00344999"/>
    <w:rsid w:val="00347F6D"/>
    <w:rsid w:val="00351594"/>
    <w:rsid w:val="00351EEF"/>
    <w:rsid w:val="0035364F"/>
    <w:rsid w:val="00353B2A"/>
    <w:rsid w:val="00353BD2"/>
    <w:rsid w:val="0035511F"/>
    <w:rsid w:val="003559F7"/>
    <w:rsid w:val="00355CDD"/>
    <w:rsid w:val="00356F09"/>
    <w:rsid w:val="00360BA5"/>
    <w:rsid w:val="00360C68"/>
    <w:rsid w:val="0036192D"/>
    <w:rsid w:val="003620B5"/>
    <w:rsid w:val="00362478"/>
    <w:rsid w:val="003624E4"/>
    <w:rsid w:val="00362927"/>
    <w:rsid w:val="00362DFF"/>
    <w:rsid w:val="00363407"/>
    <w:rsid w:val="0036367A"/>
    <w:rsid w:val="00363D2B"/>
    <w:rsid w:val="0036555F"/>
    <w:rsid w:val="003661EE"/>
    <w:rsid w:val="00366F77"/>
    <w:rsid w:val="0037036F"/>
    <w:rsid w:val="0037052E"/>
    <w:rsid w:val="0037203D"/>
    <w:rsid w:val="0037283F"/>
    <w:rsid w:val="003748BA"/>
    <w:rsid w:val="00374E8F"/>
    <w:rsid w:val="00375B25"/>
    <w:rsid w:val="00376B23"/>
    <w:rsid w:val="0038132C"/>
    <w:rsid w:val="00381764"/>
    <w:rsid w:val="00385CEA"/>
    <w:rsid w:val="0038617D"/>
    <w:rsid w:val="00387B0B"/>
    <w:rsid w:val="00390FFA"/>
    <w:rsid w:val="0039154E"/>
    <w:rsid w:val="00392BAD"/>
    <w:rsid w:val="00393712"/>
    <w:rsid w:val="00395560"/>
    <w:rsid w:val="00396158"/>
    <w:rsid w:val="00396542"/>
    <w:rsid w:val="0039685B"/>
    <w:rsid w:val="003A04D1"/>
    <w:rsid w:val="003A0505"/>
    <w:rsid w:val="003A31A6"/>
    <w:rsid w:val="003A4643"/>
    <w:rsid w:val="003A5A35"/>
    <w:rsid w:val="003A7F0C"/>
    <w:rsid w:val="003A7F79"/>
    <w:rsid w:val="003B1D51"/>
    <w:rsid w:val="003B2EA3"/>
    <w:rsid w:val="003B3CBB"/>
    <w:rsid w:val="003B6404"/>
    <w:rsid w:val="003C1B7B"/>
    <w:rsid w:val="003C42D1"/>
    <w:rsid w:val="003C449B"/>
    <w:rsid w:val="003C592D"/>
    <w:rsid w:val="003C76D7"/>
    <w:rsid w:val="003C7E92"/>
    <w:rsid w:val="003D21FF"/>
    <w:rsid w:val="003D2852"/>
    <w:rsid w:val="003D4BD6"/>
    <w:rsid w:val="003D4E90"/>
    <w:rsid w:val="003D6170"/>
    <w:rsid w:val="003D6FDE"/>
    <w:rsid w:val="003D70AA"/>
    <w:rsid w:val="003E087B"/>
    <w:rsid w:val="003E08AA"/>
    <w:rsid w:val="003E0B63"/>
    <w:rsid w:val="003E146A"/>
    <w:rsid w:val="003E1543"/>
    <w:rsid w:val="003E1CCE"/>
    <w:rsid w:val="003E2194"/>
    <w:rsid w:val="003E3BA2"/>
    <w:rsid w:val="003E4287"/>
    <w:rsid w:val="003E4372"/>
    <w:rsid w:val="003E4D3F"/>
    <w:rsid w:val="003E5F87"/>
    <w:rsid w:val="003E6104"/>
    <w:rsid w:val="003F0112"/>
    <w:rsid w:val="003F071A"/>
    <w:rsid w:val="003F08FA"/>
    <w:rsid w:val="003F0B20"/>
    <w:rsid w:val="003F0E90"/>
    <w:rsid w:val="003F160B"/>
    <w:rsid w:val="003F2433"/>
    <w:rsid w:val="003F4557"/>
    <w:rsid w:val="003F69C8"/>
    <w:rsid w:val="003F7A83"/>
    <w:rsid w:val="003F7FA2"/>
    <w:rsid w:val="00400032"/>
    <w:rsid w:val="00400B5B"/>
    <w:rsid w:val="00403EF1"/>
    <w:rsid w:val="004042BD"/>
    <w:rsid w:val="00405A00"/>
    <w:rsid w:val="00405A76"/>
    <w:rsid w:val="00406AE1"/>
    <w:rsid w:val="00407481"/>
    <w:rsid w:val="004106DD"/>
    <w:rsid w:val="0041155C"/>
    <w:rsid w:val="00411D05"/>
    <w:rsid w:val="00413C80"/>
    <w:rsid w:val="00413EFD"/>
    <w:rsid w:val="004141D7"/>
    <w:rsid w:val="00414E57"/>
    <w:rsid w:val="00417978"/>
    <w:rsid w:val="00420870"/>
    <w:rsid w:val="004215E1"/>
    <w:rsid w:val="004228E5"/>
    <w:rsid w:val="00423AD6"/>
    <w:rsid w:val="00425048"/>
    <w:rsid w:val="004267B9"/>
    <w:rsid w:val="00430934"/>
    <w:rsid w:val="00431C3F"/>
    <w:rsid w:val="00432D0C"/>
    <w:rsid w:val="00434A41"/>
    <w:rsid w:val="0043547A"/>
    <w:rsid w:val="00436DF2"/>
    <w:rsid w:val="0043791B"/>
    <w:rsid w:val="0044057D"/>
    <w:rsid w:val="004406DF"/>
    <w:rsid w:val="00440E47"/>
    <w:rsid w:val="00441483"/>
    <w:rsid w:val="00441BCB"/>
    <w:rsid w:val="004449EE"/>
    <w:rsid w:val="00445264"/>
    <w:rsid w:val="00446689"/>
    <w:rsid w:val="00446723"/>
    <w:rsid w:val="0044786C"/>
    <w:rsid w:val="00447F32"/>
    <w:rsid w:val="00450A24"/>
    <w:rsid w:val="00450E7D"/>
    <w:rsid w:val="0045176A"/>
    <w:rsid w:val="00452F1D"/>
    <w:rsid w:val="00453257"/>
    <w:rsid w:val="004555A0"/>
    <w:rsid w:val="00455E9D"/>
    <w:rsid w:val="00456332"/>
    <w:rsid w:val="004563EB"/>
    <w:rsid w:val="004576BA"/>
    <w:rsid w:val="00457B59"/>
    <w:rsid w:val="00461826"/>
    <w:rsid w:val="00464758"/>
    <w:rsid w:val="004648EE"/>
    <w:rsid w:val="004665A4"/>
    <w:rsid w:val="00467393"/>
    <w:rsid w:val="00471103"/>
    <w:rsid w:val="00471728"/>
    <w:rsid w:val="00472936"/>
    <w:rsid w:val="00472AEB"/>
    <w:rsid w:val="0047376D"/>
    <w:rsid w:val="004738E0"/>
    <w:rsid w:val="00474C65"/>
    <w:rsid w:val="004756C2"/>
    <w:rsid w:val="0047685B"/>
    <w:rsid w:val="00476B6E"/>
    <w:rsid w:val="004773F3"/>
    <w:rsid w:val="00477E33"/>
    <w:rsid w:val="004800F9"/>
    <w:rsid w:val="00480E63"/>
    <w:rsid w:val="00481AF4"/>
    <w:rsid w:val="00482033"/>
    <w:rsid w:val="00483DF7"/>
    <w:rsid w:val="00485F35"/>
    <w:rsid w:val="00486623"/>
    <w:rsid w:val="00486D3E"/>
    <w:rsid w:val="00487358"/>
    <w:rsid w:val="00487C55"/>
    <w:rsid w:val="00490E3F"/>
    <w:rsid w:val="0049134A"/>
    <w:rsid w:val="00491523"/>
    <w:rsid w:val="0049205A"/>
    <w:rsid w:val="00492284"/>
    <w:rsid w:val="00493E1E"/>
    <w:rsid w:val="00496EE3"/>
    <w:rsid w:val="0049726C"/>
    <w:rsid w:val="004A1C51"/>
    <w:rsid w:val="004A3FBD"/>
    <w:rsid w:val="004A4D5D"/>
    <w:rsid w:val="004A58CB"/>
    <w:rsid w:val="004A5BE7"/>
    <w:rsid w:val="004A62C4"/>
    <w:rsid w:val="004A68F2"/>
    <w:rsid w:val="004B1795"/>
    <w:rsid w:val="004B23B0"/>
    <w:rsid w:val="004B4FFB"/>
    <w:rsid w:val="004B5693"/>
    <w:rsid w:val="004B56DD"/>
    <w:rsid w:val="004B5DB5"/>
    <w:rsid w:val="004B64E6"/>
    <w:rsid w:val="004C020F"/>
    <w:rsid w:val="004C04E9"/>
    <w:rsid w:val="004C119C"/>
    <w:rsid w:val="004C1854"/>
    <w:rsid w:val="004C1AFD"/>
    <w:rsid w:val="004C1C6D"/>
    <w:rsid w:val="004C4978"/>
    <w:rsid w:val="004C558B"/>
    <w:rsid w:val="004C744E"/>
    <w:rsid w:val="004C75D7"/>
    <w:rsid w:val="004D1BFF"/>
    <w:rsid w:val="004D3AC7"/>
    <w:rsid w:val="004D4336"/>
    <w:rsid w:val="004D6C4E"/>
    <w:rsid w:val="004E063C"/>
    <w:rsid w:val="004E32A9"/>
    <w:rsid w:val="004E3463"/>
    <w:rsid w:val="004E3C41"/>
    <w:rsid w:val="004E6D12"/>
    <w:rsid w:val="004F1F88"/>
    <w:rsid w:val="004F28CF"/>
    <w:rsid w:val="004F5292"/>
    <w:rsid w:val="004F5716"/>
    <w:rsid w:val="004F5E17"/>
    <w:rsid w:val="004F5F1B"/>
    <w:rsid w:val="004F72BB"/>
    <w:rsid w:val="00500D57"/>
    <w:rsid w:val="00501013"/>
    <w:rsid w:val="00502374"/>
    <w:rsid w:val="00504A35"/>
    <w:rsid w:val="0050514C"/>
    <w:rsid w:val="00505E4D"/>
    <w:rsid w:val="005060A1"/>
    <w:rsid w:val="0050744B"/>
    <w:rsid w:val="00510FAC"/>
    <w:rsid w:val="005134FE"/>
    <w:rsid w:val="00514D16"/>
    <w:rsid w:val="0051505E"/>
    <w:rsid w:val="00515669"/>
    <w:rsid w:val="00515EE0"/>
    <w:rsid w:val="00516072"/>
    <w:rsid w:val="00517359"/>
    <w:rsid w:val="00517F10"/>
    <w:rsid w:val="005205F1"/>
    <w:rsid w:val="0052084C"/>
    <w:rsid w:val="00521726"/>
    <w:rsid w:val="00521B41"/>
    <w:rsid w:val="0052239C"/>
    <w:rsid w:val="005226A8"/>
    <w:rsid w:val="0052296D"/>
    <w:rsid w:val="00522E86"/>
    <w:rsid w:val="0052378F"/>
    <w:rsid w:val="00524B8F"/>
    <w:rsid w:val="00526300"/>
    <w:rsid w:val="00526386"/>
    <w:rsid w:val="0052662F"/>
    <w:rsid w:val="00527D49"/>
    <w:rsid w:val="005302D7"/>
    <w:rsid w:val="005305BC"/>
    <w:rsid w:val="005307FE"/>
    <w:rsid w:val="0053283E"/>
    <w:rsid w:val="00532CB5"/>
    <w:rsid w:val="005332EC"/>
    <w:rsid w:val="00533F59"/>
    <w:rsid w:val="00534418"/>
    <w:rsid w:val="005345F9"/>
    <w:rsid w:val="00535089"/>
    <w:rsid w:val="005353AB"/>
    <w:rsid w:val="00536903"/>
    <w:rsid w:val="0054099D"/>
    <w:rsid w:val="00541137"/>
    <w:rsid w:val="005416F4"/>
    <w:rsid w:val="00543048"/>
    <w:rsid w:val="00543619"/>
    <w:rsid w:val="00544499"/>
    <w:rsid w:val="00545C8F"/>
    <w:rsid w:val="00546580"/>
    <w:rsid w:val="005466B9"/>
    <w:rsid w:val="005514DA"/>
    <w:rsid w:val="00551695"/>
    <w:rsid w:val="00551730"/>
    <w:rsid w:val="00551AA8"/>
    <w:rsid w:val="00554ABB"/>
    <w:rsid w:val="00555EDB"/>
    <w:rsid w:val="005560BC"/>
    <w:rsid w:val="00556851"/>
    <w:rsid w:val="005573BE"/>
    <w:rsid w:val="00557603"/>
    <w:rsid w:val="005600A8"/>
    <w:rsid w:val="00562CE0"/>
    <w:rsid w:val="00562D40"/>
    <w:rsid w:val="00564536"/>
    <w:rsid w:val="00564B17"/>
    <w:rsid w:val="00565882"/>
    <w:rsid w:val="0056647B"/>
    <w:rsid w:val="00566CB0"/>
    <w:rsid w:val="00570CCA"/>
    <w:rsid w:val="00571293"/>
    <w:rsid w:val="00571FE7"/>
    <w:rsid w:val="00572700"/>
    <w:rsid w:val="00574CF3"/>
    <w:rsid w:val="00575EE0"/>
    <w:rsid w:val="00580081"/>
    <w:rsid w:val="00580468"/>
    <w:rsid w:val="00581438"/>
    <w:rsid w:val="00581FA0"/>
    <w:rsid w:val="00582231"/>
    <w:rsid w:val="00582C21"/>
    <w:rsid w:val="0058424B"/>
    <w:rsid w:val="00584732"/>
    <w:rsid w:val="0058603B"/>
    <w:rsid w:val="005866EA"/>
    <w:rsid w:val="0058798D"/>
    <w:rsid w:val="00590010"/>
    <w:rsid w:val="00590598"/>
    <w:rsid w:val="00591E1A"/>
    <w:rsid w:val="00591EB5"/>
    <w:rsid w:val="0059354E"/>
    <w:rsid w:val="0059431B"/>
    <w:rsid w:val="00594666"/>
    <w:rsid w:val="005974FC"/>
    <w:rsid w:val="005A05A4"/>
    <w:rsid w:val="005A0811"/>
    <w:rsid w:val="005A2A1C"/>
    <w:rsid w:val="005A39CC"/>
    <w:rsid w:val="005A699F"/>
    <w:rsid w:val="005A7908"/>
    <w:rsid w:val="005A7BFE"/>
    <w:rsid w:val="005A7C5D"/>
    <w:rsid w:val="005A7F20"/>
    <w:rsid w:val="005B030C"/>
    <w:rsid w:val="005B2773"/>
    <w:rsid w:val="005B3391"/>
    <w:rsid w:val="005B3EB0"/>
    <w:rsid w:val="005B4730"/>
    <w:rsid w:val="005B5BCE"/>
    <w:rsid w:val="005B62E5"/>
    <w:rsid w:val="005B70FE"/>
    <w:rsid w:val="005C13AE"/>
    <w:rsid w:val="005C1AD8"/>
    <w:rsid w:val="005C41DC"/>
    <w:rsid w:val="005C4C88"/>
    <w:rsid w:val="005C5382"/>
    <w:rsid w:val="005D03D0"/>
    <w:rsid w:val="005D069B"/>
    <w:rsid w:val="005D2136"/>
    <w:rsid w:val="005D21BA"/>
    <w:rsid w:val="005D39E3"/>
    <w:rsid w:val="005D3F80"/>
    <w:rsid w:val="005D460C"/>
    <w:rsid w:val="005D542A"/>
    <w:rsid w:val="005D7E09"/>
    <w:rsid w:val="005E05D7"/>
    <w:rsid w:val="005E0FEC"/>
    <w:rsid w:val="005E1CCE"/>
    <w:rsid w:val="005E20E1"/>
    <w:rsid w:val="005E3388"/>
    <w:rsid w:val="005E3510"/>
    <w:rsid w:val="005E41E7"/>
    <w:rsid w:val="005E450F"/>
    <w:rsid w:val="005E46EF"/>
    <w:rsid w:val="005E4881"/>
    <w:rsid w:val="005E5F9E"/>
    <w:rsid w:val="005E72AE"/>
    <w:rsid w:val="005F1F53"/>
    <w:rsid w:val="005F2F8D"/>
    <w:rsid w:val="005F3254"/>
    <w:rsid w:val="005F50FF"/>
    <w:rsid w:val="005F5FF0"/>
    <w:rsid w:val="005F66A3"/>
    <w:rsid w:val="00601E7F"/>
    <w:rsid w:val="00603313"/>
    <w:rsid w:val="006033A0"/>
    <w:rsid w:val="006035AE"/>
    <w:rsid w:val="00603AA0"/>
    <w:rsid w:val="00606FAC"/>
    <w:rsid w:val="006133AF"/>
    <w:rsid w:val="00614D25"/>
    <w:rsid w:val="00622628"/>
    <w:rsid w:val="0062298A"/>
    <w:rsid w:val="00624227"/>
    <w:rsid w:val="00626514"/>
    <w:rsid w:val="00626589"/>
    <w:rsid w:val="00626FE8"/>
    <w:rsid w:val="00630E25"/>
    <w:rsid w:val="006339A0"/>
    <w:rsid w:val="00635646"/>
    <w:rsid w:val="006359A8"/>
    <w:rsid w:val="00636AAE"/>
    <w:rsid w:val="006413A8"/>
    <w:rsid w:val="00641CD3"/>
    <w:rsid w:val="00642E56"/>
    <w:rsid w:val="00643795"/>
    <w:rsid w:val="00643F97"/>
    <w:rsid w:val="00644555"/>
    <w:rsid w:val="0064626B"/>
    <w:rsid w:val="00646E82"/>
    <w:rsid w:val="00650431"/>
    <w:rsid w:val="00651E00"/>
    <w:rsid w:val="006571CF"/>
    <w:rsid w:val="006607E5"/>
    <w:rsid w:val="00661D9F"/>
    <w:rsid w:val="00662C75"/>
    <w:rsid w:val="006630BB"/>
    <w:rsid w:val="006702E7"/>
    <w:rsid w:val="00671FB4"/>
    <w:rsid w:val="00672274"/>
    <w:rsid w:val="00672E7F"/>
    <w:rsid w:val="006731D0"/>
    <w:rsid w:val="00674572"/>
    <w:rsid w:val="006757C9"/>
    <w:rsid w:val="00680449"/>
    <w:rsid w:val="00681493"/>
    <w:rsid w:val="006839AC"/>
    <w:rsid w:val="00683CAB"/>
    <w:rsid w:val="00684B49"/>
    <w:rsid w:val="0068571D"/>
    <w:rsid w:val="006871F6"/>
    <w:rsid w:val="00687763"/>
    <w:rsid w:val="00690DBB"/>
    <w:rsid w:val="00692B0D"/>
    <w:rsid w:val="00693E0E"/>
    <w:rsid w:val="00695095"/>
    <w:rsid w:val="006952EA"/>
    <w:rsid w:val="00696E7D"/>
    <w:rsid w:val="006A0798"/>
    <w:rsid w:val="006A1AE3"/>
    <w:rsid w:val="006A62A9"/>
    <w:rsid w:val="006A62E1"/>
    <w:rsid w:val="006A7F58"/>
    <w:rsid w:val="006B19FC"/>
    <w:rsid w:val="006B28B8"/>
    <w:rsid w:val="006B329B"/>
    <w:rsid w:val="006B3DE0"/>
    <w:rsid w:val="006B49CD"/>
    <w:rsid w:val="006B5566"/>
    <w:rsid w:val="006B5E73"/>
    <w:rsid w:val="006B7D50"/>
    <w:rsid w:val="006B7E62"/>
    <w:rsid w:val="006C15A9"/>
    <w:rsid w:val="006C18D5"/>
    <w:rsid w:val="006C30E1"/>
    <w:rsid w:val="006C3DCD"/>
    <w:rsid w:val="006C4607"/>
    <w:rsid w:val="006D02BC"/>
    <w:rsid w:val="006D13C8"/>
    <w:rsid w:val="006D48F1"/>
    <w:rsid w:val="006D559E"/>
    <w:rsid w:val="006D57F8"/>
    <w:rsid w:val="006D644D"/>
    <w:rsid w:val="006D745D"/>
    <w:rsid w:val="006D7840"/>
    <w:rsid w:val="006E017C"/>
    <w:rsid w:val="006E1093"/>
    <w:rsid w:val="006E1500"/>
    <w:rsid w:val="006E1E8C"/>
    <w:rsid w:val="006E337F"/>
    <w:rsid w:val="006F1261"/>
    <w:rsid w:val="006F1C48"/>
    <w:rsid w:val="006F26B0"/>
    <w:rsid w:val="006F2DB7"/>
    <w:rsid w:val="006F346E"/>
    <w:rsid w:val="006F45BE"/>
    <w:rsid w:val="006F656D"/>
    <w:rsid w:val="006F71A0"/>
    <w:rsid w:val="00700394"/>
    <w:rsid w:val="007004FC"/>
    <w:rsid w:val="007017B8"/>
    <w:rsid w:val="007031B7"/>
    <w:rsid w:val="00703C97"/>
    <w:rsid w:val="00704C0E"/>
    <w:rsid w:val="00705A42"/>
    <w:rsid w:val="00706670"/>
    <w:rsid w:val="007078EB"/>
    <w:rsid w:val="00711F59"/>
    <w:rsid w:val="00712AE3"/>
    <w:rsid w:val="00713759"/>
    <w:rsid w:val="00715686"/>
    <w:rsid w:val="00717F59"/>
    <w:rsid w:val="00717FDD"/>
    <w:rsid w:val="00721B91"/>
    <w:rsid w:val="007236A7"/>
    <w:rsid w:val="00723E57"/>
    <w:rsid w:val="0072417C"/>
    <w:rsid w:val="007249C7"/>
    <w:rsid w:val="007261A3"/>
    <w:rsid w:val="00726D3E"/>
    <w:rsid w:val="00726F78"/>
    <w:rsid w:val="00730273"/>
    <w:rsid w:val="00730B50"/>
    <w:rsid w:val="00731A5C"/>
    <w:rsid w:val="00731D7E"/>
    <w:rsid w:val="00733175"/>
    <w:rsid w:val="00734450"/>
    <w:rsid w:val="007353C4"/>
    <w:rsid w:val="00735774"/>
    <w:rsid w:val="00737F7D"/>
    <w:rsid w:val="00740543"/>
    <w:rsid w:val="00741A8A"/>
    <w:rsid w:val="007426A9"/>
    <w:rsid w:val="00742EE0"/>
    <w:rsid w:val="00744862"/>
    <w:rsid w:val="007452D5"/>
    <w:rsid w:val="00745F67"/>
    <w:rsid w:val="00746D8B"/>
    <w:rsid w:val="0075039E"/>
    <w:rsid w:val="0075062A"/>
    <w:rsid w:val="00752D9D"/>
    <w:rsid w:val="007534FF"/>
    <w:rsid w:val="00754784"/>
    <w:rsid w:val="00756ABA"/>
    <w:rsid w:val="00756E01"/>
    <w:rsid w:val="0075788C"/>
    <w:rsid w:val="00757C6E"/>
    <w:rsid w:val="0076053E"/>
    <w:rsid w:val="00762943"/>
    <w:rsid w:val="00762BDA"/>
    <w:rsid w:val="0076372B"/>
    <w:rsid w:val="00764095"/>
    <w:rsid w:val="007640FD"/>
    <w:rsid w:val="007670F2"/>
    <w:rsid w:val="00767684"/>
    <w:rsid w:val="00770EC4"/>
    <w:rsid w:val="00772176"/>
    <w:rsid w:val="007746EA"/>
    <w:rsid w:val="00776E54"/>
    <w:rsid w:val="007805FD"/>
    <w:rsid w:val="007816C0"/>
    <w:rsid w:val="0078378F"/>
    <w:rsid w:val="00783807"/>
    <w:rsid w:val="00784422"/>
    <w:rsid w:val="00786A1E"/>
    <w:rsid w:val="00787457"/>
    <w:rsid w:val="00787506"/>
    <w:rsid w:val="00787BDC"/>
    <w:rsid w:val="007922E7"/>
    <w:rsid w:val="00793820"/>
    <w:rsid w:val="00793DF4"/>
    <w:rsid w:val="00796BBD"/>
    <w:rsid w:val="00796BE2"/>
    <w:rsid w:val="007A3670"/>
    <w:rsid w:val="007A40E3"/>
    <w:rsid w:val="007A6EBB"/>
    <w:rsid w:val="007A7927"/>
    <w:rsid w:val="007A7E09"/>
    <w:rsid w:val="007B0017"/>
    <w:rsid w:val="007B08A6"/>
    <w:rsid w:val="007B1F65"/>
    <w:rsid w:val="007B363C"/>
    <w:rsid w:val="007B3B54"/>
    <w:rsid w:val="007B3FA0"/>
    <w:rsid w:val="007B4B72"/>
    <w:rsid w:val="007B54B1"/>
    <w:rsid w:val="007B61CD"/>
    <w:rsid w:val="007B6516"/>
    <w:rsid w:val="007C0F2C"/>
    <w:rsid w:val="007C15A5"/>
    <w:rsid w:val="007C23FF"/>
    <w:rsid w:val="007C2BCC"/>
    <w:rsid w:val="007C4CB9"/>
    <w:rsid w:val="007C4EF0"/>
    <w:rsid w:val="007C593A"/>
    <w:rsid w:val="007C7F55"/>
    <w:rsid w:val="007D06B2"/>
    <w:rsid w:val="007D099D"/>
    <w:rsid w:val="007D1CF2"/>
    <w:rsid w:val="007D28FC"/>
    <w:rsid w:val="007D3F40"/>
    <w:rsid w:val="007D41FF"/>
    <w:rsid w:val="007D4C86"/>
    <w:rsid w:val="007D5D01"/>
    <w:rsid w:val="007D7149"/>
    <w:rsid w:val="007D73CD"/>
    <w:rsid w:val="007E03E9"/>
    <w:rsid w:val="007E0608"/>
    <w:rsid w:val="007E1ADB"/>
    <w:rsid w:val="007E2664"/>
    <w:rsid w:val="007E3ABF"/>
    <w:rsid w:val="007E3D0F"/>
    <w:rsid w:val="007E5752"/>
    <w:rsid w:val="007E5BFA"/>
    <w:rsid w:val="007E6123"/>
    <w:rsid w:val="007E6689"/>
    <w:rsid w:val="007E731C"/>
    <w:rsid w:val="007F0A03"/>
    <w:rsid w:val="007F379A"/>
    <w:rsid w:val="007F4A4A"/>
    <w:rsid w:val="007F51A6"/>
    <w:rsid w:val="007F5DA6"/>
    <w:rsid w:val="007F6810"/>
    <w:rsid w:val="007F75D5"/>
    <w:rsid w:val="00800F65"/>
    <w:rsid w:val="00801AFB"/>
    <w:rsid w:val="0080228D"/>
    <w:rsid w:val="00802358"/>
    <w:rsid w:val="00804976"/>
    <w:rsid w:val="00804F8A"/>
    <w:rsid w:val="00806854"/>
    <w:rsid w:val="0080750C"/>
    <w:rsid w:val="008079E5"/>
    <w:rsid w:val="00810040"/>
    <w:rsid w:val="0081149E"/>
    <w:rsid w:val="00811E98"/>
    <w:rsid w:val="0081397B"/>
    <w:rsid w:val="00813E4B"/>
    <w:rsid w:val="0081445E"/>
    <w:rsid w:val="00814B8B"/>
    <w:rsid w:val="0082023A"/>
    <w:rsid w:val="00820EB1"/>
    <w:rsid w:val="00821256"/>
    <w:rsid w:val="00821A7A"/>
    <w:rsid w:val="00822698"/>
    <w:rsid w:val="00822B53"/>
    <w:rsid w:val="00823618"/>
    <w:rsid w:val="008242CD"/>
    <w:rsid w:val="00824C1C"/>
    <w:rsid w:val="008253F8"/>
    <w:rsid w:val="00830423"/>
    <w:rsid w:val="00830BC4"/>
    <w:rsid w:val="00830CA9"/>
    <w:rsid w:val="00830EDD"/>
    <w:rsid w:val="008325E4"/>
    <w:rsid w:val="00832A2B"/>
    <w:rsid w:val="008337DB"/>
    <w:rsid w:val="0083421B"/>
    <w:rsid w:val="00836CAF"/>
    <w:rsid w:val="0084254B"/>
    <w:rsid w:val="00842E7D"/>
    <w:rsid w:val="00843984"/>
    <w:rsid w:val="00845811"/>
    <w:rsid w:val="00846994"/>
    <w:rsid w:val="00847B60"/>
    <w:rsid w:val="00850451"/>
    <w:rsid w:val="00850C1D"/>
    <w:rsid w:val="00850F9F"/>
    <w:rsid w:val="00851E5E"/>
    <w:rsid w:val="00852042"/>
    <w:rsid w:val="008534C9"/>
    <w:rsid w:val="00854823"/>
    <w:rsid w:val="0085599D"/>
    <w:rsid w:val="00856377"/>
    <w:rsid w:val="00857D0C"/>
    <w:rsid w:val="00860133"/>
    <w:rsid w:val="0086112F"/>
    <w:rsid w:val="008621E6"/>
    <w:rsid w:val="00862FF5"/>
    <w:rsid w:val="008639EF"/>
    <w:rsid w:val="00863F76"/>
    <w:rsid w:val="008642F5"/>
    <w:rsid w:val="008666F3"/>
    <w:rsid w:val="008707E9"/>
    <w:rsid w:val="008712EC"/>
    <w:rsid w:val="00871AE4"/>
    <w:rsid w:val="0087330B"/>
    <w:rsid w:val="008745C8"/>
    <w:rsid w:val="0087510C"/>
    <w:rsid w:val="0087521C"/>
    <w:rsid w:val="008753FE"/>
    <w:rsid w:val="00877805"/>
    <w:rsid w:val="00882AF2"/>
    <w:rsid w:val="008830DA"/>
    <w:rsid w:val="00885782"/>
    <w:rsid w:val="0088723C"/>
    <w:rsid w:val="008876D3"/>
    <w:rsid w:val="008936CD"/>
    <w:rsid w:val="00893F4E"/>
    <w:rsid w:val="00894251"/>
    <w:rsid w:val="00894263"/>
    <w:rsid w:val="00895E0B"/>
    <w:rsid w:val="00895F16"/>
    <w:rsid w:val="008966F0"/>
    <w:rsid w:val="008968D2"/>
    <w:rsid w:val="0089738E"/>
    <w:rsid w:val="008973C6"/>
    <w:rsid w:val="008A0555"/>
    <w:rsid w:val="008A1111"/>
    <w:rsid w:val="008A1EF1"/>
    <w:rsid w:val="008A2F43"/>
    <w:rsid w:val="008A3282"/>
    <w:rsid w:val="008A3527"/>
    <w:rsid w:val="008A381E"/>
    <w:rsid w:val="008A6006"/>
    <w:rsid w:val="008A6473"/>
    <w:rsid w:val="008A66E5"/>
    <w:rsid w:val="008B0C29"/>
    <w:rsid w:val="008B351C"/>
    <w:rsid w:val="008B40E0"/>
    <w:rsid w:val="008B487B"/>
    <w:rsid w:val="008B5FDB"/>
    <w:rsid w:val="008B781E"/>
    <w:rsid w:val="008B7FD5"/>
    <w:rsid w:val="008C0ECB"/>
    <w:rsid w:val="008C1026"/>
    <w:rsid w:val="008C3F74"/>
    <w:rsid w:val="008C4305"/>
    <w:rsid w:val="008C50F4"/>
    <w:rsid w:val="008C5649"/>
    <w:rsid w:val="008C6632"/>
    <w:rsid w:val="008C6795"/>
    <w:rsid w:val="008C6C89"/>
    <w:rsid w:val="008D080A"/>
    <w:rsid w:val="008D14AB"/>
    <w:rsid w:val="008D3851"/>
    <w:rsid w:val="008D3936"/>
    <w:rsid w:val="008D5E6F"/>
    <w:rsid w:val="008D6452"/>
    <w:rsid w:val="008D7381"/>
    <w:rsid w:val="008D74BA"/>
    <w:rsid w:val="008D7E3E"/>
    <w:rsid w:val="008E33FB"/>
    <w:rsid w:val="008E439F"/>
    <w:rsid w:val="008E44A2"/>
    <w:rsid w:val="008E5F0C"/>
    <w:rsid w:val="008E697D"/>
    <w:rsid w:val="008F11D4"/>
    <w:rsid w:val="008F27A0"/>
    <w:rsid w:val="008F535E"/>
    <w:rsid w:val="008F547B"/>
    <w:rsid w:val="00900118"/>
    <w:rsid w:val="009004D5"/>
    <w:rsid w:val="00900510"/>
    <w:rsid w:val="00903263"/>
    <w:rsid w:val="0090398B"/>
    <w:rsid w:val="009054DA"/>
    <w:rsid w:val="00905909"/>
    <w:rsid w:val="00906A21"/>
    <w:rsid w:val="009079C3"/>
    <w:rsid w:val="00910462"/>
    <w:rsid w:val="00910556"/>
    <w:rsid w:val="009111CB"/>
    <w:rsid w:val="00914083"/>
    <w:rsid w:val="00914EA6"/>
    <w:rsid w:val="0091504D"/>
    <w:rsid w:val="00915AB1"/>
    <w:rsid w:val="00915EF9"/>
    <w:rsid w:val="00917532"/>
    <w:rsid w:val="00920C04"/>
    <w:rsid w:val="009212E5"/>
    <w:rsid w:val="00922529"/>
    <w:rsid w:val="009235BA"/>
    <w:rsid w:val="0092394F"/>
    <w:rsid w:val="00924023"/>
    <w:rsid w:val="00924A57"/>
    <w:rsid w:val="00924CE2"/>
    <w:rsid w:val="00925B9F"/>
    <w:rsid w:val="009264E7"/>
    <w:rsid w:val="00930C0E"/>
    <w:rsid w:val="00931AED"/>
    <w:rsid w:val="00931CC1"/>
    <w:rsid w:val="00940B81"/>
    <w:rsid w:val="00941AF1"/>
    <w:rsid w:val="00942545"/>
    <w:rsid w:val="00943D70"/>
    <w:rsid w:val="00946A07"/>
    <w:rsid w:val="009476A3"/>
    <w:rsid w:val="0095006D"/>
    <w:rsid w:val="009508AD"/>
    <w:rsid w:val="00951F46"/>
    <w:rsid w:val="00952C5F"/>
    <w:rsid w:val="0095334F"/>
    <w:rsid w:val="00953BE5"/>
    <w:rsid w:val="00954016"/>
    <w:rsid w:val="00956567"/>
    <w:rsid w:val="00957DC6"/>
    <w:rsid w:val="009636B1"/>
    <w:rsid w:val="00963801"/>
    <w:rsid w:val="009641EF"/>
    <w:rsid w:val="00965897"/>
    <w:rsid w:val="00966D6E"/>
    <w:rsid w:val="0096765C"/>
    <w:rsid w:val="00970792"/>
    <w:rsid w:val="009727E4"/>
    <w:rsid w:val="00974D92"/>
    <w:rsid w:val="00980171"/>
    <w:rsid w:val="00980CBD"/>
    <w:rsid w:val="009822E7"/>
    <w:rsid w:val="009857EB"/>
    <w:rsid w:val="00986AA0"/>
    <w:rsid w:val="00991AE1"/>
    <w:rsid w:val="009926B7"/>
    <w:rsid w:val="00992A52"/>
    <w:rsid w:val="009934C5"/>
    <w:rsid w:val="00993C8D"/>
    <w:rsid w:val="0099469C"/>
    <w:rsid w:val="00994C0F"/>
    <w:rsid w:val="00995F40"/>
    <w:rsid w:val="00996751"/>
    <w:rsid w:val="009A467A"/>
    <w:rsid w:val="009A47CF"/>
    <w:rsid w:val="009A54CE"/>
    <w:rsid w:val="009A581C"/>
    <w:rsid w:val="009A5D10"/>
    <w:rsid w:val="009B1226"/>
    <w:rsid w:val="009B22D7"/>
    <w:rsid w:val="009B4091"/>
    <w:rsid w:val="009B59D9"/>
    <w:rsid w:val="009B608B"/>
    <w:rsid w:val="009B6E12"/>
    <w:rsid w:val="009B72ED"/>
    <w:rsid w:val="009C0C8A"/>
    <w:rsid w:val="009C2E08"/>
    <w:rsid w:val="009C3224"/>
    <w:rsid w:val="009C346F"/>
    <w:rsid w:val="009C4640"/>
    <w:rsid w:val="009C5747"/>
    <w:rsid w:val="009C5E53"/>
    <w:rsid w:val="009C6DEB"/>
    <w:rsid w:val="009D017A"/>
    <w:rsid w:val="009D0398"/>
    <w:rsid w:val="009D434A"/>
    <w:rsid w:val="009D4E39"/>
    <w:rsid w:val="009D5975"/>
    <w:rsid w:val="009D5B2A"/>
    <w:rsid w:val="009D6504"/>
    <w:rsid w:val="009E02E9"/>
    <w:rsid w:val="009E056D"/>
    <w:rsid w:val="009E12D7"/>
    <w:rsid w:val="009E2C55"/>
    <w:rsid w:val="009E5027"/>
    <w:rsid w:val="009E51D7"/>
    <w:rsid w:val="009E661A"/>
    <w:rsid w:val="009E6FFC"/>
    <w:rsid w:val="009E70F0"/>
    <w:rsid w:val="009F12D5"/>
    <w:rsid w:val="009F1796"/>
    <w:rsid w:val="009F23F5"/>
    <w:rsid w:val="009F293D"/>
    <w:rsid w:val="009F4066"/>
    <w:rsid w:val="009F67E7"/>
    <w:rsid w:val="009F6E53"/>
    <w:rsid w:val="009F6EE9"/>
    <w:rsid w:val="009F70A9"/>
    <w:rsid w:val="00A00B07"/>
    <w:rsid w:val="00A0198D"/>
    <w:rsid w:val="00A032AB"/>
    <w:rsid w:val="00A04670"/>
    <w:rsid w:val="00A04F0B"/>
    <w:rsid w:val="00A0658E"/>
    <w:rsid w:val="00A06781"/>
    <w:rsid w:val="00A074C3"/>
    <w:rsid w:val="00A079F2"/>
    <w:rsid w:val="00A07B0D"/>
    <w:rsid w:val="00A10E6A"/>
    <w:rsid w:val="00A11474"/>
    <w:rsid w:val="00A140A4"/>
    <w:rsid w:val="00A1509C"/>
    <w:rsid w:val="00A15DFE"/>
    <w:rsid w:val="00A16562"/>
    <w:rsid w:val="00A179EC"/>
    <w:rsid w:val="00A17E08"/>
    <w:rsid w:val="00A20343"/>
    <w:rsid w:val="00A208DF"/>
    <w:rsid w:val="00A2103C"/>
    <w:rsid w:val="00A22C9A"/>
    <w:rsid w:val="00A24350"/>
    <w:rsid w:val="00A24565"/>
    <w:rsid w:val="00A249B9"/>
    <w:rsid w:val="00A25051"/>
    <w:rsid w:val="00A25AB9"/>
    <w:rsid w:val="00A26A07"/>
    <w:rsid w:val="00A27A74"/>
    <w:rsid w:val="00A27C1B"/>
    <w:rsid w:val="00A27CEB"/>
    <w:rsid w:val="00A3249C"/>
    <w:rsid w:val="00A32AED"/>
    <w:rsid w:val="00A34260"/>
    <w:rsid w:val="00A34A51"/>
    <w:rsid w:val="00A3604B"/>
    <w:rsid w:val="00A36B29"/>
    <w:rsid w:val="00A3705F"/>
    <w:rsid w:val="00A400F6"/>
    <w:rsid w:val="00A4016D"/>
    <w:rsid w:val="00A42163"/>
    <w:rsid w:val="00A43701"/>
    <w:rsid w:val="00A4430B"/>
    <w:rsid w:val="00A45B0F"/>
    <w:rsid w:val="00A540FB"/>
    <w:rsid w:val="00A54ECB"/>
    <w:rsid w:val="00A55EBF"/>
    <w:rsid w:val="00A563D5"/>
    <w:rsid w:val="00A57837"/>
    <w:rsid w:val="00A60565"/>
    <w:rsid w:val="00A60A74"/>
    <w:rsid w:val="00A61746"/>
    <w:rsid w:val="00A645C2"/>
    <w:rsid w:val="00A66078"/>
    <w:rsid w:val="00A66AE8"/>
    <w:rsid w:val="00A703E3"/>
    <w:rsid w:val="00A70CFD"/>
    <w:rsid w:val="00A70F2A"/>
    <w:rsid w:val="00A71E9C"/>
    <w:rsid w:val="00A72847"/>
    <w:rsid w:val="00A72A0B"/>
    <w:rsid w:val="00A730E0"/>
    <w:rsid w:val="00A73692"/>
    <w:rsid w:val="00A7494D"/>
    <w:rsid w:val="00A762FF"/>
    <w:rsid w:val="00A76807"/>
    <w:rsid w:val="00A80613"/>
    <w:rsid w:val="00A81E42"/>
    <w:rsid w:val="00A83600"/>
    <w:rsid w:val="00A8507F"/>
    <w:rsid w:val="00A85399"/>
    <w:rsid w:val="00A864FE"/>
    <w:rsid w:val="00A86F41"/>
    <w:rsid w:val="00A87D04"/>
    <w:rsid w:val="00A91491"/>
    <w:rsid w:val="00A9444B"/>
    <w:rsid w:val="00A9447E"/>
    <w:rsid w:val="00A94A58"/>
    <w:rsid w:val="00A95009"/>
    <w:rsid w:val="00A950C5"/>
    <w:rsid w:val="00AA0387"/>
    <w:rsid w:val="00AA0F82"/>
    <w:rsid w:val="00AA1B1F"/>
    <w:rsid w:val="00AA1D25"/>
    <w:rsid w:val="00AA3406"/>
    <w:rsid w:val="00AA3882"/>
    <w:rsid w:val="00AA3B1A"/>
    <w:rsid w:val="00AA43EC"/>
    <w:rsid w:val="00AA6996"/>
    <w:rsid w:val="00AB0A68"/>
    <w:rsid w:val="00AB2B1A"/>
    <w:rsid w:val="00AB3790"/>
    <w:rsid w:val="00AB397F"/>
    <w:rsid w:val="00AB405E"/>
    <w:rsid w:val="00AB5453"/>
    <w:rsid w:val="00AB5832"/>
    <w:rsid w:val="00AB704B"/>
    <w:rsid w:val="00AB7170"/>
    <w:rsid w:val="00AB78CF"/>
    <w:rsid w:val="00AC3E22"/>
    <w:rsid w:val="00AC4EB7"/>
    <w:rsid w:val="00AC51F2"/>
    <w:rsid w:val="00AC5830"/>
    <w:rsid w:val="00AC59FA"/>
    <w:rsid w:val="00AC5DAF"/>
    <w:rsid w:val="00AD0FD8"/>
    <w:rsid w:val="00AD105C"/>
    <w:rsid w:val="00AD1086"/>
    <w:rsid w:val="00AD3269"/>
    <w:rsid w:val="00AD3931"/>
    <w:rsid w:val="00AD4210"/>
    <w:rsid w:val="00AD48BE"/>
    <w:rsid w:val="00AD58C7"/>
    <w:rsid w:val="00AD7B0D"/>
    <w:rsid w:val="00AE01B5"/>
    <w:rsid w:val="00AE01C9"/>
    <w:rsid w:val="00AE0636"/>
    <w:rsid w:val="00AE1CFB"/>
    <w:rsid w:val="00AE351A"/>
    <w:rsid w:val="00AE5066"/>
    <w:rsid w:val="00AE5E24"/>
    <w:rsid w:val="00AE61B7"/>
    <w:rsid w:val="00AE6CBA"/>
    <w:rsid w:val="00AE6EB0"/>
    <w:rsid w:val="00AE7135"/>
    <w:rsid w:val="00AE738B"/>
    <w:rsid w:val="00AE7821"/>
    <w:rsid w:val="00AE79AD"/>
    <w:rsid w:val="00AF03DD"/>
    <w:rsid w:val="00AF0884"/>
    <w:rsid w:val="00AF35E4"/>
    <w:rsid w:val="00AF3909"/>
    <w:rsid w:val="00AF3C5C"/>
    <w:rsid w:val="00AF5CDE"/>
    <w:rsid w:val="00AF7FB9"/>
    <w:rsid w:val="00B02F1C"/>
    <w:rsid w:val="00B043BE"/>
    <w:rsid w:val="00B055D6"/>
    <w:rsid w:val="00B0598D"/>
    <w:rsid w:val="00B07DD9"/>
    <w:rsid w:val="00B110DD"/>
    <w:rsid w:val="00B11A57"/>
    <w:rsid w:val="00B12EFF"/>
    <w:rsid w:val="00B211C3"/>
    <w:rsid w:val="00B219F7"/>
    <w:rsid w:val="00B21BDF"/>
    <w:rsid w:val="00B225F9"/>
    <w:rsid w:val="00B240E2"/>
    <w:rsid w:val="00B25597"/>
    <w:rsid w:val="00B266CE"/>
    <w:rsid w:val="00B267B9"/>
    <w:rsid w:val="00B26C37"/>
    <w:rsid w:val="00B307F8"/>
    <w:rsid w:val="00B31399"/>
    <w:rsid w:val="00B3180E"/>
    <w:rsid w:val="00B31BC0"/>
    <w:rsid w:val="00B3210D"/>
    <w:rsid w:val="00B33E09"/>
    <w:rsid w:val="00B356A7"/>
    <w:rsid w:val="00B35D9C"/>
    <w:rsid w:val="00B36392"/>
    <w:rsid w:val="00B37304"/>
    <w:rsid w:val="00B37D33"/>
    <w:rsid w:val="00B41586"/>
    <w:rsid w:val="00B42671"/>
    <w:rsid w:val="00B42D99"/>
    <w:rsid w:val="00B435BE"/>
    <w:rsid w:val="00B45A67"/>
    <w:rsid w:val="00B45AF7"/>
    <w:rsid w:val="00B46A76"/>
    <w:rsid w:val="00B46FAB"/>
    <w:rsid w:val="00B50708"/>
    <w:rsid w:val="00B50C68"/>
    <w:rsid w:val="00B510E7"/>
    <w:rsid w:val="00B510F8"/>
    <w:rsid w:val="00B51293"/>
    <w:rsid w:val="00B51622"/>
    <w:rsid w:val="00B52B1E"/>
    <w:rsid w:val="00B52D9A"/>
    <w:rsid w:val="00B531F8"/>
    <w:rsid w:val="00B55481"/>
    <w:rsid w:val="00B569EB"/>
    <w:rsid w:val="00B56C32"/>
    <w:rsid w:val="00B57ACF"/>
    <w:rsid w:val="00B60CCC"/>
    <w:rsid w:val="00B61E77"/>
    <w:rsid w:val="00B61ECF"/>
    <w:rsid w:val="00B62C79"/>
    <w:rsid w:val="00B6313B"/>
    <w:rsid w:val="00B63B3A"/>
    <w:rsid w:val="00B63D37"/>
    <w:rsid w:val="00B64401"/>
    <w:rsid w:val="00B64BB1"/>
    <w:rsid w:val="00B6647F"/>
    <w:rsid w:val="00B66F64"/>
    <w:rsid w:val="00B6749A"/>
    <w:rsid w:val="00B71063"/>
    <w:rsid w:val="00B73166"/>
    <w:rsid w:val="00B7382E"/>
    <w:rsid w:val="00B74165"/>
    <w:rsid w:val="00B7446C"/>
    <w:rsid w:val="00B75A3B"/>
    <w:rsid w:val="00B764B8"/>
    <w:rsid w:val="00B777CB"/>
    <w:rsid w:val="00B77BC8"/>
    <w:rsid w:val="00B8026E"/>
    <w:rsid w:val="00B81D83"/>
    <w:rsid w:val="00B82867"/>
    <w:rsid w:val="00B833FC"/>
    <w:rsid w:val="00B83C56"/>
    <w:rsid w:val="00B8426C"/>
    <w:rsid w:val="00B8697E"/>
    <w:rsid w:val="00B873D0"/>
    <w:rsid w:val="00B9188A"/>
    <w:rsid w:val="00B91B8D"/>
    <w:rsid w:val="00B9278F"/>
    <w:rsid w:val="00B94562"/>
    <w:rsid w:val="00B94E90"/>
    <w:rsid w:val="00B95A74"/>
    <w:rsid w:val="00B95D43"/>
    <w:rsid w:val="00B96519"/>
    <w:rsid w:val="00B96D69"/>
    <w:rsid w:val="00B978FE"/>
    <w:rsid w:val="00BA01D8"/>
    <w:rsid w:val="00BA1663"/>
    <w:rsid w:val="00BA2DAC"/>
    <w:rsid w:val="00BA3DF8"/>
    <w:rsid w:val="00BB0A82"/>
    <w:rsid w:val="00BB38B0"/>
    <w:rsid w:val="00BB4AD5"/>
    <w:rsid w:val="00BB4E2F"/>
    <w:rsid w:val="00BB4FC3"/>
    <w:rsid w:val="00BB519D"/>
    <w:rsid w:val="00BB6173"/>
    <w:rsid w:val="00BB7C94"/>
    <w:rsid w:val="00BC0A9D"/>
    <w:rsid w:val="00BC1E36"/>
    <w:rsid w:val="00BC22F3"/>
    <w:rsid w:val="00BC3EAC"/>
    <w:rsid w:val="00BC4127"/>
    <w:rsid w:val="00BC4859"/>
    <w:rsid w:val="00BC57ED"/>
    <w:rsid w:val="00BC697E"/>
    <w:rsid w:val="00BD0B81"/>
    <w:rsid w:val="00BD3BA1"/>
    <w:rsid w:val="00BD49D6"/>
    <w:rsid w:val="00BD732D"/>
    <w:rsid w:val="00BD7870"/>
    <w:rsid w:val="00BD7E02"/>
    <w:rsid w:val="00BE31D1"/>
    <w:rsid w:val="00BE3ABA"/>
    <w:rsid w:val="00BE4BE9"/>
    <w:rsid w:val="00BE6387"/>
    <w:rsid w:val="00BE7971"/>
    <w:rsid w:val="00BE7BA0"/>
    <w:rsid w:val="00BF0468"/>
    <w:rsid w:val="00BF0907"/>
    <w:rsid w:val="00BF17DD"/>
    <w:rsid w:val="00BF40EC"/>
    <w:rsid w:val="00BF40ED"/>
    <w:rsid w:val="00BF56DD"/>
    <w:rsid w:val="00BF5BC2"/>
    <w:rsid w:val="00BF5DB6"/>
    <w:rsid w:val="00BF77DE"/>
    <w:rsid w:val="00BF7936"/>
    <w:rsid w:val="00C0213A"/>
    <w:rsid w:val="00C0451F"/>
    <w:rsid w:val="00C04BB4"/>
    <w:rsid w:val="00C04E50"/>
    <w:rsid w:val="00C05CB7"/>
    <w:rsid w:val="00C06A4A"/>
    <w:rsid w:val="00C102CA"/>
    <w:rsid w:val="00C1133D"/>
    <w:rsid w:val="00C11355"/>
    <w:rsid w:val="00C1244F"/>
    <w:rsid w:val="00C12BF2"/>
    <w:rsid w:val="00C1461C"/>
    <w:rsid w:val="00C1492A"/>
    <w:rsid w:val="00C14C91"/>
    <w:rsid w:val="00C15033"/>
    <w:rsid w:val="00C17637"/>
    <w:rsid w:val="00C2168D"/>
    <w:rsid w:val="00C21D6E"/>
    <w:rsid w:val="00C228EF"/>
    <w:rsid w:val="00C231BA"/>
    <w:rsid w:val="00C23666"/>
    <w:rsid w:val="00C27A08"/>
    <w:rsid w:val="00C301BB"/>
    <w:rsid w:val="00C303CE"/>
    <w:rsid w:val="00C31028"/>
    <w:rsid w:val="00C31312"/>
    <w:rsid w:val="00C317BC"/>
    <w:rsid w:val="00C31E36"/>
    <w:rsid w:val="00C3223B"/>
    <w:rsid w:val="00C326C6"/>
    <w:rsid w:val="00C333F2"/>
    <w:rsid w:val="00C33968"/>
    <w:rsid w:val="00C3434F"/>
    <w:rsid w:val="00C35295"/>
    <w:rsid w:val="00C36ADD"/>
    <w:rsid w:val="00C36E74"/>
    <w:rsid w:val="00C4011F"/>
    <w:rsid w:val="00C40595"/>
    <w:rsid w:val="00C41027"/>
    <w:rsid w:val="00C41621"/>
    <w:rsid w:val="00C41FF2"/>
    <w:rsid w:val="00C4280D"/>
    <w:rsid w:val="00C43405"/>
    <w:rsid w:val="00C449FA"/>
    <w:rsid w:val="00C44DEA"/>
    <w:rsid w:val="00C45C85"/>
    <w:rsid w:val="00C475E9"/>
    <w:rsid w:val="00C50440"/>
    <w:rsid w:val="00C50E5A"/>
    <w:rsid w:val="00C51A56"/>
    <w:rsid w:val="00C52819"/>
    <w:rsid w:val="00C52A32"/>
    <w:rsid w:val="00C53328"/>
    <w:rsid w:val="00C5384F"/>
    <w:rsid w:val="00C54B53"/>
    <w:rsid w:val="00C550D9"/>
    <w:rsid w:val="00C56964"/>
    <w:rsid w:val="00C57392"/>
    <w:rsid w:val="00C61702"/>
    <w:rsid w:val="00C656D5"/>
    <w:rsid w:val="00C66AB6"/>
    <w:rsid w:val="00C66C55"/>
    <w:rsid w:val="00C67103"/>
    <w:rsid w:val="00C70176"/>
    <w:rsid w:val="00C71BB9"/>
    <w:rsid w:val="00C725E3"/>
    <w:rsid w:val="00C761E9"/>
    <w:rsid w:val="00C764A8"/>
    <w:rsid w:val="00C771D8"/>
    <w:rsid w:val="00C80589"/>
    <w:rsid w:val="00C8186C"/>
    <w:rsid w:val="00C8460A"/>
    <w:rsid w:val="00C84E41"/>
    <w:rsid w:val="00C85748"/>
    <w:rsid w:val="00C85C23"/>
    <w:rsid w:val="00C901F6"/>
    <w:rsid w:val="00C940E8"/>
    <w:rsid w:val="00C948BB"/>
    <w:rsid w:val="00C94C28"/>
    <w:rsid w:val="00C94D17"/>
    <w:rsid w:val="00C94F25"/>
    <w:rsid w:val="00C953ED"/>
    <w:rsid w:val="00C97688"/>
    <w:rsid w:val="00C97BEE"/>
    <w:rsid w:val="00CA097C"/>
    <w:rsid w:val="00CA2E53"/>
    <w:rsid w:val="00CA3EF4"/>
    <w:rsid w:val="00CA4588"/>
    <w:rsid w:val="00CA4895"/>
    <w:rsid w:val="00CA6C17"/>
    <w:rsid w:val="00CB0247"/>
    <w:rsid w:val="00CB02DC"/>
    <w:rsid w:val="00CB2614"/>
    <w:rsid w:val="00CB2F2F"/>
    <w:rsid w:val="00CB3440"/>
    <w:rsid w:val="00CB4658"/>
    <w:rsid w:val="00CB491A"/>
    <w:rsid w:val="00CB561B"/>
    <w:rsid w:val="00CB5EFD"/>
    <w:rsid w:val="00CB71A0"/>
    <w:rsid w:val="00CB7B4B"/>
    <w:rsid w:val="00CC1692"/>
    <w:rsid w:val="00CC3620"/>
    <w:rsid w:val="00CC36D8"/>
    <w:rsid w:val="00CD138B"/>
    <w:rsid w:val="00CD1FA9"/>
    <w:rsid w:val="00CD2B5B"/>
    <w:rsid w:val="00CD39AA"/>
    <w:rsid w:val="00CD3E31"/>
    <w:rsid w:val="00CD74A3"/>
    <w:rsid w:val="00CE0527"/>
    <w:rsid w:val="00CE0E4A"/>
    <w:rsid w:val="00CE179C"/>
    <w:rsid w:val="00CE259C"/>
    <w:rsid w:val="00CE328A"/>
    <w:rsid w:val="00CE5B23"/>
    <w:rsid w:val="00CE61BA"/>
    <w:rsid w:val="00CE6604"/>
    <w:rsid w:val="00CE6F16"/>
    <w:rsid w:val="00CF30F9"/>
    <w:rsid w:val="00CF40C3"/>
    <w:rsid w:val="00CF4A32"/>
    <w:rsid w:val="00CF5036"/>
    <w:rsid w:val="00CF70AD"/>
    <w:rsid w:val="00CF7729"/>
    <w:rsid w:val="00CF7C70"/>
    <w:rsid w:val="00D00059"/>
    <w:rsid w:val="00D0134C"/>
    <w:rsid w:val="00D021E4"/>
    <w:rsid w:val="00D04AFF"/>
    <w:rsid w:val="00D05183"/>
    <w:rsid w:val="00D0616E"/>
    <w:rsid w:val="00D10714"/>
    <w:rsid w:val="00D107FA"/>
    <w:rsid w:val="00D12275"/>
    <w:rsid w:val="00D12766"/>
    <w:rsid w:val="00D200EC"/>
    <w:rsid w:val="00D20FF4"/>
    <w:rsid w:val="00D2289C"/>
    <w:rsid w:val="00D22B90"/>
    <w:rsid w:val="00D24D2C"/>
    <w:rsid w:val="00D25279"/>
    <w:rsid w:val="00D269AE"/>
    <w:rsid w:val="00D26A29"/>
    <w:rsid w:val="00D26C7D"/>
    <w:rsid w:val="00D26D3C"/>
    <w:rsid w:val="00D30280"/>
    <w:rsid w:val="00D31622"/>
    <w:rsid w:val="00D32EBE"/>
    <w:rsid w:val="00D33051"/>
    <w:rsid w:val="00D35881"/>
    <w:rsid w:val="00D37905"/>
    <w:rsid w:val="00D37A12"/>
    <w:rsid w:val="00D37BE7"/>
    <w:rsid w:val="00D403A7"/>
    <w:rsid w:val="00D40674"/>
    <w:rsid w:val="00D4071B"/>
    <w:rsid w:val="00D40F3B"/>
    <w:rsid w:val="00D4124A"/>
    <w:rsid w:val="00D42018"/>
    <w:rsid w:val="00D430EE"/>
    <w:rsid w:val="00D43173"/>
    <w:rsid w:val="00D431E6"/>
    <w:rsid w:val="00D43420"/>
    <w:rsid w:val="00D461BB"/>
    <w:rsid w:val="00D4673A"/>
    <w:rsid w:val="00D4681F"/>
    <w:rsid w:val="00D50187"/>
    <w:rsid w:val="00D51B98"/>
    <w:rsid w:val="00D52CB1"/>
    <w:rsid w:val="00D5395E"/>
    <w:rsid w:val="00D6379C"/>
    <w:rsid w:val="00D642D5"/>
    <w:rsid w:val="00D65EEF"/>
    <w:rsid w:val="00D66F03"/>
    <w:rsid w:val="00D67266"/>
    <w:rsid w:val="00D677DF"/>
    <w:rsid w:val="00D710D0"/>
    <w:rsid w:val="00D71150"/>
    <w:rsid w:val="00D7224B"/>
    <w:rsid w:val="00D74088"/>
    <w:rsid w:val="00D74C19"/>
    <w:rsid w:val="00D764B2"/>
    <w:rsid w:val="00D80E24"/>
    <w:rsid w:val="00D82293"/>
    <w:rsid w:val="00D82999"/>
    <w:rsid w:val="00D82E28"/>
    <w:rsid w:val="00D82ED4"/>
    <w:rsid w:val="00D841B0"/>
    <w:rsid w:val="00D8591C"/>
    <w:rsid w:val="00D85AA7"/>
    <w:rsid w:val="00D86095"/>
    <w:rsid w:val="00D86285"/>
    <w:rsid w:val="00D86B55"/>
    <w:rsid w:val="00D87E71"/>
    <w:rsid w:val="00D87FFB"/>
    <w:rsid w:val="00D961F4"/>
    <w:rsid w:val="00D96410"/>
    <w:rsid w:val="00D96A61"/>
    <w:rsid w:val="00D9758F"/>
    <w:rsid w:val="00D97B38"/>
    <w:rsid w:val="00DA08B3"/>
    <w:rsid w:val="00DA107F"/>
    <w:rsid w:val="00DA24AA"/>
    <w:rsid w:val="00DA449D"/>
    <w:rsid w:val="00DA4DB9"/>
    <w:rsid w:val="00DA53B9"/>
    <w:rsid w:val="00DA6088"/>
    <w:rsid w:val="00DA7DA5"/>
    <w:rsid w:val="00DA7FD0"/>
    <w:rsid w:val="00DB073B"/>
    <w:rsid w:val="00DB44E2"/>
    <w:rsid w:val="00DB78F0"/>
    <w:rsid w:val="00DB7C16"/>
    <w:rsid w:val="00DC0625"/>
    <w:rsid w:val="00DC0CEA"/>
    <w:rsid w:val="00DC18CC"/>
    <w:rsid w:val="00DC2B15"/>
    <w:rsid w:val="00DC2E43"/>
    <w:rsid w:val="00DC4044"/>
    <w:rsid w:val="00DC5C60"/>
    <w:rsid w:val="00DC63FB"/>
    <w:rsid w:val="00DC6B6B"/>
    <w:rsid w:val="00DD0914"/>
    <w:rsid w:val="00DD095C"/>
    <w:rsid w:val="00DD0F9A"/>
    <w:rsid w:val="00DD1020"/>
    <w:rsid w:val="00DD1330"/>
    <w:rsid w:val="00DD269F"/>
    <w:rsid w:val="00DD4F0F"/>
    <w:rsid w:val="00DD59BB"/>
    <w:rsid w:val="00DE0B83"/>
    <w:rsid w:val="00DE1A81"/>
    <w:rsid w:val="00DE1C13"/>
    <w:rsid w:val="00DE27ED"/>
    <w:rsid w:val="00DE2F50"/>
    <w:rsid w:val="00DE3F48"/>
    <w:rsid w:val="00DE4E10"/>
    <w:rsid w:val="00DE642F"/>
    <w:rsid w:val="00DF1CCE"/>
    <w:rsid w:val="00DF2959"/>
    <w:rsid w:val="00DF30A4"/>
    <w:rsid w:val="00DF322A"/>
    <w:rsid w:val="00DF3562"/>
    <w:rsid w:val="00DF3A6B"/>
    <w:rsid w:val="00DF40D5"/>
    <w:rsid w:val="00DF4146"/>
    <w:rsid w:val="00DF4DCE"/>
    <w:rsid w:val="00DF4E47"/>
    <w:rsid w:val="00E00D81"/>
    <w:rsid w:val="00E01A48"/>
    <w:rsid w:val="00E025A5"/>
    <w:rsid w:val="00E02610"/>
    <w:rsid w:val="00E02ABF"/>
    <w:rsid w:val="00E0620F"/>
    <w:rsid w:val="00E07443"/>
    <w:rsid w:val="00E07B8F"/>
    <w:rsid w:val="00E102BE"/>
    <w:rsid w:val="00E1128F"/>
    <w:rsid w:val="00E116D5"/>
    <w:rsid w:val="00E11EC7"/>
    <w:rsid w:val="00E12A5B"/>
    <w:rsid w:val="00E1494C"/>
    <w:rsid w:val="00E14995"/>
    <w:rsid w:val="00E14D1A"/>
    <w:rsid w:val="00E179CD"/>
    <w:rsid w:val="00E209F2"/>
    <w:rsid w:val="00E23E8D"/>
    <w:rsid w:val="00E24B1D"/>
    <w:rsid w:val="00E25A83"/>
    <w:rsid w:val="00E26886"/>
    <w:rsid w:val="00E26B60"/>
    <w:rsid w:val="00E26C30"/>
    <w:rsid w:val="00E26E81"/>
    <w:rsid w:val="00E26F8B"/>
    <w:rsid w:val="00E32850"/>
    <w:rsid w:val="00E32852"/>
    <w:rsid w:val="00E32FE3"/>
    <w:rsid w:val="00E35889"/>
    <w:rsid w:val="00E37304"/>
    <w:rsid w:val="00E37F98"/>
    <w:rsid w:val="00E40BBA"/>
    <w:rsid w:val="00E40BDA"/>
    <w:rsid w:val="00E43B42"/>
    <w:rsid w:val="00E447DA"/>
    <w:rsid w:val="00E45182"/>
    <w:rsid w:val="00E46559"/>
    <w:rsid w:val="00E4789C"/>
    <w:rsid w:val="00E47A7E"/>
    <w:rsid w:val="00E47BFB"/>
    <w:rsid w:val="00E50C52"/>
    <w:rsid w:val="00E50F70"/>
    <w:rsid w:val="00E52F49"/>
    <w:rsid w:val="00E53DFB"/>
    <w:rsid w:val="00E54186"/>
    <w:rsid w:val="00E552EB"/>
    <w:rsid w:val="00E5577C"/>
    <w:rsid w:val="00E55A52"/>
    <w:rsid w:val="00E6000E"/>
    <w:rsid w:val="00E603F1"/>
    <w:rsid w:val="00E62C21"/>
    <w:rsid w:val="00E63858"/>
    <w:rsid w:val="00E63CDF"/>
    <w:rsid w:val="00E6536A"/>
    <w:rsid w:val="00E6670C"/>
    <w:rsid w:val="00E67959"/>
    <w:rsid w:val="00E70956"/>
    <w:rsid w:val="00E73CEC"/>
    <w:rsid w:val="00E7574F"/>
    <w:rsid w:val="00E75DD2"/>
    <w:rsid w:val="00E76AB7"/>
    <w:rsid w:val="00E776E8"/>
    <w:rsid w:val="00E8085F"/>
    <w:rsid w:val="00E811CF"/>
    <w:rsid w:val="00E81CD9"/>
    <w:rsid w:val="00E84599"/>
    <w:rsid w:val="00E85CBA"/>
    <w:rsid w:val="00E8730F"/>
    <w:rsid w:val="00E87712"/>
    <w:rsid w:val="00E92C1F"/>
    <w:rsid w:val="00E943FE"/>
    <w:rsid w:val="00E95D4B"/>
    <w:rsid w:val="00E9735E"/>
    <w:rsid w:val="00E97AF5"/>
    <w:rsid w:val="00EA1F56"/>
    <w:rsid w:val="00EA3832"/>
    <w:rsid w:val="00EA3BFC"/>
    <w:rsid w:val="00EA705D"/>
    <w:rsid w:val="00EA729C"/>
    <w:rsid w:val="00EA74E5"/>
    <w:rsid w:val="00EB1380"/>
    <w:rsid w:val="00EB199F"/>
    <w:rsid w:val="00EB2EED"/>
    <w:rsid w:val="00EB36C0"/>
    <w:rsid w:val="00EB4B9C"/>
    <w:rsid w:val="00EB5DFD"/>
    <w:rsid w:val="00EC007E"/>
    <w:rsid w:val="00EC1A2C"/>
    <w:rsid w:val="00EC23F7"/>
    <w:rsid w:val="00EC2A7A"/>
    <w:rsid w:val="00EC4283"/>
    <w:rsid w:val="00EC4BD8"/>
    <w:rsid w:val="00EC4FD7"/>
    <w:rsid w:val="00EC6105"/>
    <w:rsid w:val="00EC63EB"/>
    <w:rsid w:val="00EC65FA"/>
    <w:rsid w:val="00ED0125"/>
    <w:rsid w:val="00ED13CA"/>
    <w:rsid w:val="00ED1BAD"/>
    <w:rsid w:val="00ED2406"/>
    <w:rsid w:val="00ED350E"/>
    <w:rsid w:val="00ED412F"/>
    <w:rsid w:val="00ED468F"/>
    <w:rsid w:val="00ED46A5"/>
    <w:rsid w:val="00ED6A01"/>
    <w:rsid w:val="00ED78D7"/>
    <w:rsid w:val="00EE15BA"/>
    <w:rsid w:val="00EE168C"/>
    <w:rsid w:val="00EE20F3"/>
    <w:rsid w:val="00EE310F"/>
    <w:rsid w:val="00EE38FD"/>
    <w:rsid w:val="00EE39B0"/>
    <w:rsid w:val="00EE4A32"/>
    <w:rsid w:val="00EE5DB0"/>
    <w:rsid w:val="00EE73F0"/>
    <w:rsid w:val="00EF0BD3"/>
    <w:rsid w:val="00EF2712"/>
    <w:rsid w:val="00EF3514"/>
    <w:rsid w:val="00EF36B1"/>
    <w:rsid w:val="00EF36B2"/>
    <w:rsid w:val="00EF482E"/>
    <w:rsid w:val="00EF54AE"/>
    <w:rsid w:val="00EF5623"/>
    <w:rsid w:val="00EF5D2F"/>
    <w:rsid w:val="00EF7959"/>
    <w:rsid w:val="00F01F19"/>
    <w:rsid w:val="00F02BC8"/>
    <w:rsid w:val="00F031AD"/>
    <w:rsid w:val="00F03B01"/>
    <w:rsid w:val="00F0523E"/>
    <w:rsid w:val="00F0556D"/>
    <w:rsid w:val="00F1246B"/>
    <w:rsid w:val="00F129F7"/>
    <w:rsid w:val="00F13399"/>
    <w:rsid w:val="00F14650"/>
    <w:rsid w:val="00F14CC2"/>
    <w:rsid w:val="00F15456"/>
    <w:rsid w:val="00F15782"/>
    <w:rsid w:val="00F177FC"/>
    <w:rsid w:val="00F201EC"/>
    <w:rsid w:val="00F208A9"/>
    <w:rsid w:val="00F21CDB"/>
    <w:rsid w:val="00F23737"/>
    <w:rsid w:val="00F2461F"/>
    <w:rsid w:val="00F258AA"/>
    <w:rsid w:val="00F30485"/>
    <w:rsid w:val="00F33C6F"/>
    <w:rsid w:val="00F33E74"/>
    <w:rsid w:val="00F347CA"/>
    <w:rsid w:val="00F358D1"/>
    <w:rsid w:val="00F366BF"/>
    <w:rsid w:val="00F3766F"/>
    <w:rsid w:val="00F41D75"/>
    <w:rsid w:val="00F41E47"/>
    <w:rsid w:val="00F41E6A"/>
    <w:rsid w:val="00F43BAF"/>
    <w:rsid w:val="00F4487A"/>
    <w:rsid w:val="00F449BB"/>
    <w:rsid w:val="00F46EDA"/>
    <w:rsid w:val="00F46F2B"/>
    <w:rsid w:val="00F4764E"/>
    <w:rsid w:val="00F5139D"/>
    <w:rsid w:val="00F516E9"/>
    <w:rsid w:val="00F538A9"/>
    <w:rsid w:val="00F542CD"/>
    <w:rsid w:val="00F553B9"/>
    <w:rsid w:val="00F567AB"/>
    <w:rsid w:val="00F57360"/>
    <w:rsid w:val="00F60A43"/>
    <w:rsid w:val="00F60C88"/>
    <w:rsid w:val="00F6101F"/>
    <w:rsid w:val="00F63DAC"/>
    <w:rsid w:val="00F658BB"/>
    <w:rsid w:val="00F708BC"/>
    <w:rsid w:val="00F72188"/>
    <w:rsid w:val="00F7454F"/>
    <w:rsid w:val="00F7476C"/>
    <w:rsid w:val="00F74D2B"/>
    <w:rsid w:val="00F75342"/>
    <w:rsid w:val="00F769F6"/>
    <w:rsid w:val="00F77864"/>
    <w:rsid w:val="00F77988"/>
    <w:rsid w:val="00F77F48"/>
    <w:rsid w:val="00F801CD"/>
    <w:rsid w:val="00F80BF6"/>
    <w:rsid w:val="00F81F1C"/>
    <w:rsid w:val="00F82E06"/>
    <w:rsid w:val="00F836EB"/>
    <w:rsid w:val="00F840C6"/>
    <w:rsid w:val="00F84522"/>
    <w:rsid w:val="00F86487"/>
    <w:rsid w:val="00F86EE7"/>
    <w:rsid w:val="00F87BA1"/>
    <w:rsid w:val="00F919A6"/>
    <w:rsid w:val="00F92364"/>
    <w:rsid w:val="00F9254F"/>
    <w:rsid w:val="00F93242"/>
    <w:rsid w:val="00F93276"/>
    <w:rsid w:val="00F93DBF"/>
    <w:rsid w:val="00F956DB"/>
    <w:rsid w:val="00F97922"/>
    <w:rsid w:val="00FA3366"/>
    <w:rsid w:val="00FA59AB"/>
    <w:rsid w:val="00FA7717"/>
    <w:rsid w:val="00FB0A46"/>
    <w:rsid w:val="00FB10BD"/>
    <w:rsid w:val="00FB20E9"/>
    <w:rsid w:val="00FB30F1"/>
    <w:rsid w:val="00FB3BA4"/>
    <w:rsid w:val="00FB4476"/>
    <w:rsid w:val="00FB5052"/>
    <w:rsid w:val="00FB53E7"/>
    <w:rsid w:val="00FB546C"/>
    <w:rsid w:val="00FB781A"/>
    <w:rsid w:val="00FB7E73"/>
    <w:rsid w:val="00FC0CFC"/>
    <w:rsid w:val="00FC2413"/>
    <w:rsid w:val="00FC3576"/>
    <w:rsid w:val="00FC4099"/>
    <w:rsid w:val="00FC43AE"/>
    <w:rsid w:val="00FC4D31"/>
    <w:rsid w:val="00FC7AD4"/>
    <w:rsid w:val="00FD1A7E"/>
    <w:rsid w:val="00FD2A8A"/>
    <w:rsid w:val="00FD2BC2"/>
    <w:rsid w:val="00FD5C44"/>
    <w:rsid w:val="00FD72DA"/>
    <w:rsid w:val="00FD7993"/>
    <w:rsid w:val="00FE034B"/>
    <w:rsid w:val="00FE25D6"/>
    <w:rsid w:val="00FE27FD"/>
    <w:rsid w:val="00FE2E92"/>
    <w:rsid w:val="00FE3515"/>
    <w:rsid w:val="00FE384D"/>
    <w:rsid w:val="00FE7E27"/>
    <w:rsid w:val="00FF167F"/>
    <w:rsid w:val="00FF1F8C"/>
    <w:rsid w:val="00FF27DA"/>
    <w:rsid w:val="00FF552A"/>
    <w:rsid w:val="00FF57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5665BC"/>
  <w15:docId w15:val="{5B12B94B-5129-455D-96F4-F2CFC8A4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paragraph" w:styleId="Virsraksts1">
    <w:name w:val="heading 1"/>
    <w:basedOn w:val="Parasts"/>
    <w:next w:val="Parasts"/>
    <w:link w:val="Virsraksts1Rakstz"/>
    <w:qFormat/>
    <w:rsid w:val="002D78DC"/>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rPr>
      <w:lang w:val="x-none" w:eastAsia="x-none"/>
    </w:r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8C5649"/>
    <w:rPr>
      <w:sz w:val="16"/>
      <w:szCs w:val="16"/>
    </w:rPr>
  </w:style>
  <w:style w:type="paragraph" w:styleId="Komentrateksts">
    <w:name w:val="annotation text"/>
    <w:basedOn w:val="Parasts"/>
    <w:link w:val="KomentratekstsRakstz"/>
    <w:rsid w:val="008C5649"/>
    <w:rPr>
      <w:sz w:val="20"/>
      <w:szCs w:val="20"/>
    </w:rPr>
  </w:style>
  <w:style w:type="character" w:customStyle="1" w:styleId="KomentratekstsRakstz">
    <w:name w:val="Komentāra teksts Rakstz."/>
    <w:link w:val="Komentrateksts"/>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customStyle="1" w:styleId="GalveneRakstz">
    <w:name w:val="Galvene Rakstz."/>
    <w:link w:val="Galvene"/>
    <w:rsid w:val="009B4091"/>
    <w:rPr>
      <w:sz w:val="24"/>
      <w:szCs w:val="24"/>
    </w:rPr>
  </w:style>
  <w:style w:type="paragraph" w:styleId="Paraststmeklis">
    <w:name w:val="Normal (Web)"/>
    <w:basedOn w:val="Parasts"/>
    <w:rsid w:val="000075DD"/>
    <w:pPr>
      <w:spacing w:before="100" w:beforeAutospacing="1" w:after="100" w:afterAutospacing="1"/>
    </w:pPr>
  </w:style>
  <w:style w:type="paragraph" w:customStyle="1" w:styleId="ParastaisWeb1">
    <w:name w:val="Parastais (Web)1"/>
    <w:basedOn w:val="Parasts"/>
    <w:rsid w:val="00FB781A"/>
    <w:pPr>
      <w:spacing w:before="100" w:beforeAutospacing="1" w:after="100" w:afterAutospacing="1"/>
    </w:pPr>
    <w:rPr>
      <w:lang w:val="en-GB" w:eastAsia="en-US"/>
    </w:rPr>
  </w:style>
  <w:style w:type="paragraph" w:styleId="Prskatjums">
    <w:name w:val="Revision"/>
    <w:hidden/>
    <w:uiPriority w:val="99"/>
    <w:semiHidden/>
    <w:rsid w:val="003559F7"/>
    <w:rPr>
      <w:sz w:val="24"/>
      <w:szCs w:val="24"/>
    </w:rPr>
  </w:style>
  <w:style w:type="paragraph" w:styleId="Pamatteksts">
    <w:name w:val="Body Text"/>
    <w:basedOn w:val="Parasts"/>
    <w:link w:val="PamattekstsRakstz"/>
    <w:rsid w:val="005307FE"/>
    <w:pPr>
      <w:spacing w:after="120"/>
    </w:pPr>
    <w:rPr>
      <w:sz w:val="20"/>
      <w:szCs w:val="20"/>
    </w:rPr>
  </w:style>
  <w:style w:type="character" w:customStyle="1" w:styleId="PamattekstsRakstz">
    <w:name w:val="Pamatteksts Rakstz."/>
    <w:basedOn w:val="Noklusjumarindkopasfonts"/>
    <w:link w:val="Pamatteksts"/>
    <w:rsid w:val="005307FE"/>
  </w:style>
  <w:style w:type="character" w:customStyle="1" w:styleId="Virsraksts1Rakstz">
    <w:name w:val="Virsraksts 1 Rakstz."/>
    <w:link w:val="Virsraksts1"/>
    <w:rsid w:val="002D78DC"/>
    <w:rPr>
      <w:rFonts w:ascii="Cambria" w:eastAsia="Times New Roman" w:hAnsi="Cambria" w:cs="Times New Roman"/>
      <w:b/>
      <w:bCs/>
      <w:kern w:val="32"/>
      <w:sz w:val="32"/>
      <w:szCs w:val="32"/>
      <w:lang w:val="lv-LV" w:eastAsia="lv-LV"/>
    </w:rPr>
  </w:style>
  <w:style w:type="character" w:styleId="Izteiksmgs">
    <w:name w:val="Strong"/>
    <w:uiPriority w:val="22"/>
    <w:qFormat/>
    <w:rsid w:val="00A20343"/>
    <w:rPr>
      <w:b/>
      <w:bCs/>
    </w:rPr>
  </w:style>
  <w:style w:type="character" w:customStyle="1" w:styleId="spelle">
    <w:name w:val="spelle"/>
    <w:rsid w:val="00EC6105"/>
    <w:rPr>
      <w:rFonts w:cs="Times New Roman"/>
    </w:rPr>
  </w:style>
  <w:style w:type="paragraph" w:styleId="Sarakstarindkopa">
    <w:name w:val="List Paragraph"/>
    <w:basedOn w:val="Parasts"/>
    <w:uiPriority w:val="34"/>
    <w:qFormat/>
    <w:rsid w:val="00B81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3668">
      <w:bodyDiv w:val="1"/>
      <w:marLeft w:val="0"/>
      <w:marRight w:val="0"/>
      <w:marTop w:val="0"/>
      <w:marBottom w:val="0"/>
      <w:divBdr>
        <w:top w:val="none" w:sz="0" w:space="0" w:color="auto"/>
        <w:left w:val="none" w:sz="0" w:space="0" w:color="auto"/>
        <w:bottom w:val="none" w:sz="0" w:space="0" w:color="auto"/>
        <w:right w:val="none" w:sz="0" w:space="0" w:color="auto"/>
      </w:divBdr>
    </w:div>
    <w:div w:id="129564908">
      <w:bodyDiv w:val="1"/>
      <w:marLeft w:val="0"/>
      <w:marRight w:val="0"/>
      <w:marTop w:val="0"/>
      <w:marBottom w:val="0"/>
      <w:divBdr>
        <w:top w:val="none" w:sz="0" w:space="0" w:color="auto"/>
        <w:left w:val="none" w:sz="0" w:space="0" w:color="auto"/>
        <w:bottom w:val="none" w:sz="0" w:space="0" w:color="auto"/>
        <w:right w:val="none" w:sz="0" w:space="0" w:color="auto"/>
      </w:divBdr>
    </w:div>
    <w:div w:id="184905885">
      <w:bodyDiv w:val="1"/>
      <w:marLeft w:val="0"/>
      <w:marRight w:val="0"/>
      <w:marTop w:val="0"/>
      <w:marBottom w:val="0"/>
      <w:divBdr>
        <w:top w:val="none" w:sz="0" w:space="0" w:color="auto"/>
        <w:left w:val="none" w:sz="0" w:space="0" w:color="auto"/>
        <w:bottom w:val="none" w:sz="0" w:space="0" w:color="auto"/>
        <w:right w:val="none" w:sz="0" w:space="0" w:color="auto"/>
      </w:divBdr>
      <w:divsChild>
        <w:div w:id="205678476">
          <w:marLeft w:val="0"/>
          <w:marRight w:val="0"/>
          <w:marTop w:val="0"/>
          <w:marBottom w:val="0"/>
          <w:divBdr>
            <w:top w:val="none" w:sz="0" w:space="0" w:color="auto"/>
            <w:left w:val="none" w:sz="0" w:space="0" w:color="auto"/>
            <w:bottom w:val="none" w:sz="0" w:space="0" w:color="auto"/>
            <w:right w:val="none" w:sz="0" w:space="0" w:color="auto"/>
          </w:divBdr>
          <w:divsChild>
            <w:div w:id="1465006371">
              <w:marLeft w:val="0"/>
              <w:marRight w:val="0"/>
              <w:marTop w:val="0"/>
              <w:marBottom w:val="0"/>
              <w:divBdr>
                <w:top w:val="none" w:sz="0" w:space="0" w:color="auto"/>
                <w:left w:val="none" w:sz="0" w:space="0" w:color="auto"/>
                <w:bottom w:val="none" w:sz="0" w:space="0" w:color="auto"/>
                <w:right w:val="none" w:sz="0" w:space="0" w:color="auto"/>
              </w:divBdr>
              <w:divsChild>
                <w:div w:id="1365523883">
                  <w:marLeft w:val="0"/>
                  <w:marRight w:val="0"/>
                  <w:marTop w:val="0"/>
                  <w:marBottom w:val="0"/>
                  <w:divBdr>
                    <w:top w:val="none" w:sz="0" w:space="0" w:color="auto"/>
                    <w:left w:val="none" w:sz="0" w:space="0" w:color="auto"/>
                    <w:bottom w:val="none" w:sz="0" w:space="0" w:color="auto"/>
                    <w:right w:val="none" w:sz="0" w:space="0" w:color="auto"/>
                  </w:divBdr>
                  <w:divsChild>
                    <w:div w:id="1686832777">
                      <w:marLeft w:val="0"/>
                      <w:marRight w:val="0"/>
                      <w:marTop w:val="0"/>
                      <w:marBottom w:val="0"/>
                      <w:divBdr>
                        <w:top w:val="none" w:sz="0" w:space="0" w:color="auto"/>
                        <w:left w:val="none" w:sz="0" w:space="0" w:color="auto"/>
                        <w:bottom w:val="none" w:sz="0" w:space="0" w:color="auto"/>
                        <w:right w:val="none" w:sz="0" w:space="0" w:color="auto"/>
                      </w:divBdr>
                      <w:divsChild>
                        <w:div w:id="642318362">
                          <w:marLeft w:val="0"/>
                          <w:marRight w:val="0"/>
                          <w:marTop w:val="0"/>
                          <w:marBottom w:val="0"/>
                          <w:divBdr>
                            <w:top w:val="none" w:sz="0" w:space="0" w:color="auto"/>
                            <w:left w:val="none" w:sz="0" w:space="0" w:color="auto"/>
                            <w:bottom w:val="none" w:sz="0" w:space="0" w:color="auto"/>
                            <w:right w:val="none" w:sz="0" w:space="0" w:color="auto"/>
                          </w:divBdr>
                          <w:divsChild>
                            <w:div w:id="1606232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40393">
      <w:bodyDiv w:val="1"/>
      <w:marLeft w:val="0"/>
      <w:marRight w:val="0"/>
      <w:marTop w:val="0"/>
      <w:marBottom w:val="0"/>
      <w:divBdr>
        <w:top w:val="none" w:sz="0" w:space="0" w:color="auto"/>
        <w:left w:val="none" w:sz="0" w:space="0" w:color="auto"/>
        <w:bottom w:val="none" w:sz="0" w:space="0" w:color="auto"/>
        <w:right w:val="none" w:sz="0" w:space="0" w:color="auto"/>
      </w:divBdr>
    </w:div>
    <w:div w:id="364795737">
      <w:bodyDiv w:val="1"/>
      <w:marLeft w:val="0"/>
      <w:marRight w:val="0"/>
      <w:marTop w:val="0"/>
      <w:marBottom w:val="0"/>
      <w:divBdr>
        <w:top w:val="none" w:sz="0" w:space="0" w:color="auto"/>
        <w:left w:val="none" w:sz="0" w:space="0" w:color="auto"/>
        <w:bottom w:val="none" w:sz="0" w:space="0" w:color="auto"/>
        <w:right w:val="none" w:sz="0" w:space="0" w:color="auto"/>
      </w:divBdr>
    </w:div>
    <w:div w:id="367609206">
      <w:bodyDiv w:val="1"/>
      <w:marLeft w:val="0"/>
      <w:marRight w:val="0"/>
      <w:marTop w:val="0"/>
      <w:marBottom w:val="0"/>
      <w:divBdr>
        <w:top w:val="none" w:sz="0" w:space="0" w:color="auto"/>
        <w:left w:val="none" w:sz="0" w:space="0" w:color="auto"/>
        <w:bottom w:val="none" w:sz="0" w:space="0" w:color="auto"/>
        <w:right w:val="none" w:sz="0" w:space="0" w:color="auto"/>
      </w:divBdr>
    </w:div>
    <w:div w:id="382217580">
      <w:bodyDiv w:val="1"/>
      <w:marLeft w:val="0"/>
      <w:marRight w:val="0"/>
      <w:marTop w:val="0"/>
      <w:marBottom w:val="0"/>
      <w:divBdr>
        <w:top w:val="none" w:sz="0" w:space="0" w:color="auto"/>
        <w:left w:val="none" w:sz="0" w:space="0" w:color="auto"/>
        <w:bottom w:val="none" w:sz="0" w:space="0" w:color="auto"/>
        <w:right w:val="none" w:sz="0" w:space="0" w:color="auto"/>
      </w:divBdr>
    </w:div>
    <w:div w:id="546767698">
      <w:bodyDiv w:val="1"/>
      <w:marLeft w:val="0"/>
      <w:marRight w:val="0"/>
      <w:marTop w:val="0"/>
      <w:marBottom w:val="0"/>
      <w:divBdr>
        <w:top w:val="none" w:sz="0" w:space="0" w:color="auto"/>
        <w:left w:val="none" w:sz="0" w:space="0" w:color="auto"/>
        <w:bottom w:val="none" w:sz="0" w:space="0" w:color="auto"/>
        <w:right w:val="none" w:sz="0" w:space="0" w:color="auto"/>
      </w:divBdr>
    </w:div>
    <w:div w:id="574559004">
      <w:bodyDiv w:val="1"/>
      <w:marLeft w:val="0"/>
      <w:marRight w:val="0"/>
      <w:marTop w:val="0"/>
      <w:marBottom w:val="0"/>
      <w:divBdr>
        <w:top w:val="none" w:sz="0" w:space="0" w:color="auto"/>
        <w:left w:val="none" w:sz="0" w:space="0" w:color="auto"/>
        <w:bottom w:val="none" w:sz="0" w:space="0" w:color="auto"/>
        <w:right w:val="none" w:sz="0" w:space="0" w:color="auto"/>
      </w:divBdr>
    </w:div>
    <w:div w:id="636297913">
      <w:bodyDiv w:val="1"/>
      <w:marLeft w:val="0"/>
      <w:marRight w:val="0"/>
      <w:marTop w:val="0"/>
      <w:marBottom w:val="0"/>
      <w:divBdr>
        <w:top w:val="none" w:sz="0" w:space="0" w:color="auto"/>
        <w:left w:val="none" w:sz="0" w:space="0" w:color="auto"/>
        <w:bottom w:val="none" w:sz="0" w:space="0" w:color="auto"/>
        <w:right w:val="none" w:sz="0" w:space="0" w:color="auto"/>
      </w:divBdr>
    </w:div>
    <w:div w:id="639070338">
      <w:bodyDiv w:val="1"/>
      <w:marLeft w:val="0"/>
      <w:marRight w:val="0"/>
      <w:marTop w:val="0"/>
      <w:marBottom w:val="0"/>
      <w:divBdr>
        <w:top w:val="none" w:sz="0" w:space="0" w:color="auto"/>
        <w:left w:val="none" w:sz="0" w:space="0" w:color="auto"/>
        <w:bottom w:val="none" w:sz="0" w:space="0" w:color="auto"/>
        <w:right w:val="none" w:sz="0" w:space="0" w:color="auto"/>
      </w:divBdr>
    </w:div>
    <w:div w:id="641498035">
      <w:bodyDiv w:val="1"/>
      <w:marLeft w:val="0"/>
      <w:marRight w:val="0"/>
      <w:marTop w:val="0"/>
      <w:marBottom w:val="0"/>
      <w:divBdr>
        <w:top w:val="none" w:sz="0" w:space="0" w:color="auto"/>
        <w:left w:val="none" w:sz="0" w:space="0" w:color="auto"/>
        <w:bottom w:val="none" w:sz="0" w:space="0" w:color="auto"/>
        <w:right w:val="none" w:sz="0" w:space="0" w:color="auto"/>
      </w:divBdr>
    </w:div>
    <w:div w:id="666979313">
      <w:bodyDiv w:val="1"/>
      <w:marLeft w:val="0"/>
      <w:marRight w:val="0"/>
      <w:marTop w:val="0"/>
      <w:marBottom w:val="0"/>
      <w:divBdr>
        <w:top w:val="none" w:sz="0" w:space="0" w:color="auto"/>
        <w:left w:val="none" w:sz="0" w:space="0" w:color="auto"/>
        <w:bottom w:val="none" w:sz="0" w:space="0" w:color="auto"/>
        <w:right w:val="none" w:sz="0" w:space="0" w:color="auto"/>
      </w:divBdr>
    </w:div>
    <w:div w:id="735274813">
      <w:bodyDiv w:val="1"/>
      <w:marLeft w:val="0"/>
      <w:marRight w:val="0"/>
      <w:marTop w:val="0"/>
      <w:marBottom w:val="0"/>
      <w:divBdr>
        <w:top w:val="none" w:sz="0" w:space="0" w:color="auto"/>
        <w:left w:val="none" w:sz="0" w:space="0" w:color="auto"/>
        <w:bottom w:val="none" w:sz="0" w:space="0" w:color="auto"/>
        <w:right w:val="none" w:sz="0" w:space="0" w:color="auto"/>
      </w:divBdr>
    </w:div>
    <w:div w:id="737751773">
      <w:bodyDiv w:val="1"/>
      <w:marLeft w:val="0"/>
      <w:marRight w:val="0"/>
      <w:marTop w:val="0"/>
      <w:marBottom w:val="0"/>
      <w:divBdr>
        <w:top w:val="none" w:sz="0" w:space="0" w:color="auto"/>
        <w:left w:val="none" w:sz="0" w:space="0" w:color="auto"/>
        <w:bottom w:val="none" w:sz="0" w:space="0" w:color="auto"/>
        <w:right w:val="none" w:sz="0" w:space="0" w:color="auto"/>
      </w:divBdr>
    </w:div>
    <w:div w:id="817652191">
      <w:bodyDiv w:val="1"/>
      <w:marLeft w:val="0"/>
      <w:marRight w:val="0"/>
      <w:marTop w:val="0"/>
      <w:marBottom w:val="0"/>
      <w:divBdr>
        <w:top w:val="none" w:sz="0" w:space="0" w:color="auto"/>
        <w:left w:val="none" w:sz="0" w:space="0" w:color="auto"/>
        <w:bottom w:val="none" w:sz="0" w:space="0" w:color="auto"/>
        <w:right w:val="none" w:sz="0" w:space="0" w:color="auto"/>
      </w:divBdr>
    </w:div>
    <w:div w:id="897087556">
      <w:bodyDiv w:val="1"/>
      <w:marLeft w:val="0"/>
      <w:marRight w:val="0"/>
      <w:marTop w:val="0"/>
      <w:marBottom w:val="0"/>
      <w:divBdr>
        <w:top w:val="none" w:sz="0" w:space="0" w:color="auto"/>
        <w:left w:val="none" w:sz="0" w:space="0" w:color="auto"/>
        <w:bottom w:val="none" w:sz="0" w:space="0" w:color="auto"/>
        <w:right w:val="none" w:sz="0" w:space="0" w:color="auto"/>
      </w:divBdr>
    </w:div>
    <w:div w:id="931471891">
      <w:bodyDiv w:val="1"/>
      <w:marLeft w:val="0"/>
      <w:marRight w:val="0"/>
      <w:marTop w:val="0"/>
      <w:marBottom w:val="0"/>
      <w:divBdr>
        <w:top w:val="none" w:sz="0" w:space="0" w:color="auto"/>
        <w:left w:val="none" w:sz="0" w:space="0" w:color="auto"/>
        <w:bottom w:val="none" w:sz="0" w:space="0" w:color="auto"/>
        <w:right w:val="none" w:sz="0" w:space="0" w:color="auto"/>
      </w:divBdr>
    </w:div>
    <w:div w:id="940651294">
      <w:bodyDiv w:val="1"/>
      <w:marLeft w:val="0"/>
      <w:marRight w:val="0"/>
      <w:marTop w:val="0"/>
      <w:marBottom w:val="0"/>
      <w:divBdr>
        <w:top w:val="none" w:sz="0" w:space="0" w:color="auto"/>
        <w:left w:val="none" w:sz="0" w:space="0" w:color="auto"/>
        <w:bottom w:val="none" w:sz="0" w:space="0" w:color="auto"/>
        <w:right w:val="none" w:sz="0" w:space="0" w:color="auto"/>
      </w:divBdr>
    </w:div>
    <w:div w:id="974527976">
      <w:bodyDiv w:val="1"/>
      <w:marLeft w:val="0"/>
      <w:marRight w:val="0"/>
      <w:marTop w:val="0"/>
      <w:marBottom w:val="0"/>
      <w:divBdr>
        <w:top w:val="none" w:sz="0" w:space="0" w:color="auto"/>
        <w:left w:val="none" w:sz="0" w:space="0" w:color="auto"/>
        <w:bottom w:val="none" w:sz="0" w:space="0" w:color="auto"/>
        <w:right w:val="none" w:sz="0" w:space="0" w:color="auto"/>
      </w:divBdr>
    </w:div>
    <w:div w:id="1111783202">
      <w:bodyDiv w:val="1"/>
      <w:marLeft w:val="0"/>
      <w:marRight w:val="0"/>
      <w:marTop w:val="0"/>
      <w:marBottom w:val="0"/>
      <w:divBdr>
        <w:top w:val="none" w:sz="0" w:space="0" w:color="auto"/>
        <w:left w:val="none" w:sz="0" w:space="0" w:color="auto"/>
        <w:bottom w:val="none" w:sz="0" w:space="0" w:color="auto"/>
        <w:right w:val="none" w:sz="0" w:space="0" w:color="auto"/>
      </w:divBdr>
    </w:div>
    <w:div w:id="1119956335">
      <w:bodyDiv w:val="1"/>
      <w:marLeft w:val="0"/>
      <w:marRight w:val="0"/>
      <w:marTop w:val="0"/>
      <w:marBottom w:val="0"/>
      <w:divBdr>
        <w:top w:val="none" w:sz="0" w:space="0" w:color="auto"/>
        <w:left w:val="none" w:sz="0" w:space="0" w:color="auto"/>
        <w:bottom w:val="none" w:sz="0" w:space="0" w:color="auto"/>
        <w:right w:val="none" w:sz="0" w:space="0" w:color="auto"/>
      </w:divBdr>
    </w:div>
    <w:div w:id="1120490634">
      <w:bodyDiv w:val="1"/>
      <w:marLeft w:val="0"/>
      <w:marRight w:val="0"/>
      <w:marTop w:val="0"/>
      <w:marBottom w:val="0"/>
      <w:divBdr>
        <w:top w:val="none" w:sz="0" w:space="0" w:color="auto"/>
        <w:left w:val="none" w:sz="0" w:space="0" w:color="auto"/>
        <w:bottom w:val="none" w:sz="0" w:space="0" w:color="auto"/>
        <w:right w:val="none" w:sz="0" w:space="0" w:color="auto"/>
      </w:divBdr>
    </w:div>
    <w:div w:id="1227837533">
      <w:bodyDiv w:val="1"/>
      <w:marLeft w:val="0"/>
      <w:marRight w:val="0"/>
      <w:marTop w:val="0"/>
      <w:marBottom w:val="0"/>
      <w:divBdr>
        <w:top w:val="none" w:sz="0" w:space="0" w:color="auto"/>
        <w:left w:val="none" w:sz="0" w:space="0" w:color="auto"/>
        <w:bottom w:val="none" w:sz="0" w:space="0" w:color="auto"/>
        <w:right w:val="none" w:sz="0" w:space="0" w:color="auto"/>
      </w:divBdr>
    </w:div>
    <w:div w:id="1234046473">
      <w:bodyDiv w:val="1"/>
      <w:marLeft w:val="0"/>
      <w:marRight w:val="0"/>
      <w:marTop w:val="0"/>
      <w:marBottom w:val="0"/>
      <w:divBdr>
        <w:top w:val="none" w:sz="0" w:space="0" w:color="auto"/>
        <w:left w:val="none" w:sz="0" w:space="0" w:color="auto"/>
        <w:bottom w:val="none" w:sz="0" w:space="0" w:color="auto"/>
        <w:right w:val="none" w:sz="0" w:space="0" w:color="auto"/>
      </w:divBdr>
    </w:div>
    <w:div w:id="1250891975">
      <w:bodyDiv w:val="1"/>
      <w:marLeft w:val="0"/>
      <w:marRight w:val="0"/>
      <w:marTop w:val="0"/>
      <w:marBottom w:val="0"/>
      <w:divBdr>
        <w:top w:val="none" w:sz="0" w:space="0" w:color="auto"/>
        <w:left w:val="none" w:sz="0" w:space="0" w:color="auto"/>
        <w:bottom w:val="none" w:sz="0" w:space="0" w:color="auto"/>
        <w:right w:val="none" w:sz="0" w:space="0" w:color="auto"/>
      </w:divBdr>
    </w:div>
    <w:div w:id="1284775426">
      <w:bodyDiv w:val="1"/>
      <w:marLeft w:val="0"/>
      <w:marRight w:val="0"/>
      <w:marTop w:val="0"/>
      <w:marBottom w:val="0"/>
      <w:divBdr>
        <w:top w:val="none" w:sz="0" w:space="0" w:color="auto"/>
        <w:left w:val="none" w:sz="0" w:space="0" w:color="auto"/>
        <w:bottom w:val="none" w:sz="0" w:space="0" w:color="auto"/>
        <w:right w:val="none" w:sz="0" w:space="0" w:color="auto"/>
      </w:divBdr>
    </w:div>
    <w:div w:id="1320160804">
      <w:bodyDiv w:val="1"/>
      <w:marLeft w:val="0"/>
      <w:marRight w:val="0"/>
      <w:marTop w:val="0"/>
      <w:marBottom w:val="0"/>
      <w:divBdr>
        <w:top w:val="none" w:sz="0" w:space="0" w:color="auto"/>
        <w:left w:val="none" w:sz="0" w:space="0" w:color="auto"/>
        <w:bottom w:val="none" w:sz="0" w:space="0" w:color="auto"/>
        <w:right w:val="none" w:sz="0" w:space="0" w:color="auto"/>
      </w:divBdr>
    </w:div>
    <w:div w:id="1333411931">
      <w:bodyDiv w:val="1"/>
      <w:marLeft w:val="0"/>
      <w:marRight w:val="0"/>
      <w:marTop w:val="0"/>
      <w:marBottom w:val="0"/>
      <w:divBdr>
        <w:top w:val="none" w:sz="0" w:space="0" w:color="auto"/>
        <w:left w:val="none" w:sz="0" w:space="0" w:color="auto"/>
        <w:bottom w:val="none" w:sz="0" w:space="0" w:color="auto"/>
        <w:right w:val="none" w:sz="0" w:space="0" w:color="auto"/>
      </w:divBdr>
    </w:div>
    <w:div w:id="1336345793">
      <w:bodyDiv w:val="1"/>
      <w:marLeft w:val="0"/>
      <w:marRight w:val="0"/>
      <w:marTop w:val="0"/>
      <w:marBottom w:val="0"/>
      <w:divBdr>
        <w:top w:val="none" w:sz="0" w:space="0" w:color="auto"/>
        <w:left w:val="none" w:sz="0" w:space="0" w:color="auto"/>
        <w:bottom w:val="none" w:sz="0" w:space="0" w:color="auto"/>
        <w:right w:val="none" w:sz="0" w:space="0" w:color="auto"/>
      </w:divBdr>
    </w:div>
    <w:div w:id="1347706291">
      <w:bodyDiv w:val="1"/>
      <w:marLeft w:val="0"/>
      <w:marRight w:val="0"/>
      <w:marTop w:val="0"/>
      <w:marBottom w:val="0"/>
      <w:divBdr>
        <w:top w:val="none" w:sz="0" w:space="0" w:color="auto"/>
        <w:left w:val="none" w:sz="0" w:space="0" w:color="auto"/>
        <w:bottom w:val="none" w:sz="0" w:space="0" w:color="auto"/>
        <w:right w:val="none" w:sz="0" w:space="0" w:color="auto"/>
      </w:divBdr>
    </w:div>
    <w:div w:id="1347946816">
      <w:bodyDiv w:val="1"/>
      <w:marLeft w:val="0"/>
      <w:marRight w:val="0"/>
      <w:marTop w:val="0"/>
      <w:marBottom w:val="0"/>
      <w:divBdr>
        <w:top w:val="none" w:sz="0" w:space="0" w:color="auto"/>
        <w:left w:val="none" w:sz="0" w:space="0" w:color="auto"/>
        <w:bottom w:val="none" w:sz="0" w:space="0" w:color="auto"/>
        <w:right w:val="none" w:sz="0" w:space="0" w:color="auto"/>
      </w:divBdr>
    </w:div>
    <w:div w:id="1369260358">
      <w:bodyDiv w:val="1"/>
      <w:marLeft w:val="0"/>
      <w:marRight w:val="0"/>
      <w:marTop w:val="0"/>
      <w:marBottom w:val="0"/>
      <w:divBdr>
        <w:top w:val="none" w:sz="0" w:space="0" w:color="auto"/>
        <w:left w:val="none" w:sz="0" w:space="0" w:color="auto"/>
        <w:bottom w:val="none" w:sz="0" w:space="0" w:color="auto"/>
        <w:right w:val="none" w:sz="0" w:space="0" w:color="auto"/>
      </w:divBdr>
    </w:div>
    <w:div w:id="1388721087">
      <w:bodyDiv w:val="1"/>
      <w:marLeft w:val="0"/>
      <w:marRight w:val="0"/>
      <w:marTop w:val="0"/>
      <w:marBottom w:val="0"/>
      <w:divBdr>
        <w:top w:val="none" w:sz="0" w:space="0" w:color="auto"/>
        <w:left w:val="none" w:sz="0" w:space="0" w:color="auto"/>
        <w:bottom w:val="none" w:sz="0" w:space="0" w:color="auto"/>
        <w:right w:val="none" w:sz="0" w:space="0" w:color="auto"/>
      </w:divBdr>
    </w:div>
    <w:div w:id="1411149678">
      <w:bodyDiv w:val="1"/>
      <w:marLeft w:val="0"/>
      <w:marRight w:val="0"/>
      <w:marTop w:val="0"/>
      <w:marBottom w:val="0"/>
      <w:divBdr>
        <w:top w:val="none" w:sz="0" w:space="0" w:color="auto"/>
        <w:left w:val="none" w:sz="0" w:space="0" w:color="auto"/>
        <w:bottom w:val="none" w:sz="0" w:space="0" w:color="auto"/>
        <w:right w:val="none" w:sz="0" w:space="0" w:color="auto"/>
      </w:divBdr>
      <w:divsChild>
        <w:div w:id="1741519763">
          <w:marLeft w:val="0"/>
          <w:marRight w:val="0"/>
          <w:marTop w:val="0"/>
          <w:marBottom w:val="0"/>
          <w:divBdr>
            <w:top w:val="none" w:sz="0" w:space="0" w:color="auto"/>
            <w:left w:val="none" w:sz="0" w:space="0" w:color="auto"/>
            <w:bottom w:val="none" w:sz="0" w:space="0" w:color="auto"/>
            <w:right w:val="none" w:sz="0" w:space="0" w:color="auto"/>
          </w:divBdr>
          <w:divsChild>
            <w:div w:id="1070730500">
              <w:marLeft w:val="0"/>
              <w:marRight w:val="0"/>
              <w:marTop w:val="0"/>
              <w:marBottom w:val="0"/>
              <w:divBdr>
                <w:top w:val="none" w:sz="0" w:space="0" w:color="auto"/>
                <w:left w:val="none" w:sz="0" w:space="0" w:color="auto"/>
                <w:bottom w:val="none" w:sz="0" w:space="0" w:color="auto"/>
                <w:right w:val="none" w:sz="0" w:space="0" w:color="auto"/>
              </w:divBdr>
              <w:divsChild>
                <w:div w:id="644160939">
                  <w:marLeft w:val="0"/>
                  <w:marRight w:val="0"/>
                  <w:marTop w:val="0"/>
                  <w:marBottom w:val="0"/>
                  <w:divBdr>
                    <w:top w:val="none" w:sz="0" w:space="0" w:color="auto"/>
                    <w:left w:val="none" w:sz="0" w:space="0" w:color="auto"/>
                    <w:bottom w:val="none" w:sz="0" w:space="0" w:color="auto"/>
                    <w:right w:val="none" w:sz="0" w:space="0" w:color="auto"/>
                  </w:divBdr>
                  <w:divsChild>
                    <w:div w:id="476646495">
                      <w:marLeft w:val="0"/>
                      <w:marRight w:val="0"/>
                      <w:marTop w:val="0"/>
                      <w:marBottom w:val="0"/>
                      <w:divBdr>
                        <w:top w:val="none" w:sz="0" w:space="0" w:color="auto"/>
                        <w:left w:val="none" w:sz="0" w:space="0" w:color="auto"/>
                        <w:bottom w:val="none" w:sz="0" w:space="0" w:color="auto"/>
                        <w:right w:val="none" w:sz="0" w:space="0" w:color="auto"/>
                      </w:divBdr>
                      <w:divsChild>
                        <w:div w:id="2047441421">
                          <w:marLeft w:val="0"/>
                          <w:marRight w:val="0"/>
                          <w:marTop w:val="0"/>
                          <w:marBottom w:val="0"/>
                          <w:divBdr>
                            <w:top w:val="none" w:sz="0" w:space="0" w:color="auto"/>
                            <w:left w:val="none" w:sz="0" w:space="0" w:color="auto"/>
                            <w:bottom w:val="none" w:sz="0" w:space="0" w:color="auto"/>
                            <w:right w:val="none" w:sz="0" w:space="0" w:color="auto"/>
                          </w:divBdr>
                          <w:divsChild>
                            <w:div w:id="1576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70234">
      <w:bodyDiv w:val="1"/>
      <w:marLeft w:val="0"/>
      <w:marRight w:val="0"/>
      <w:marTop w:val="0"/>
      <w:marBottom w:val="0"/>
      <w:divBdr>
        <w:top w:val="none" w:sz="0" w:space="0" w:color="auto"/>
        <w:left w:val="none" w:sz="0" w:space="0" w:color="auto"/>
        <w:bottom w:val="none" w:sz="0" w:space="0" w:color="auto"/>
        <w:right w:val="none" w:sz="0" w:space="0" w:color="auto"/>
      </w:divBdr>
    </w:div>
    <w:div w:id="1462311260">
      <w:bodyDiv w:val="1"/>
      <w:marLeft w:val="0"/>
      <w:marRight w:val="0"/>
      <w:marTop w:val="0"/>
      <w:marBottom w:val="0"/>
      <w:divBdr>
        <w:top w:val="none" w:sz="0" w:space="0" w:color="auto"/>
        <w:left w:val="none" w:sz="0" w:space="0" w:color="auto"/>
        <w:bottom w:val="none" w:sz="0" w:space="0" w:color="auto"/>
        <w:right w:val="none" w:sz="0" w:space="0" w:color="auto"/>
      </w:divBdr>
    </w:div>
    <w:div w:id="1483735431">
      <w:bodyDiv w:val="1"/>
      <w:marLeft w:val="0"/>
      <w:marRight w:val="0"/>
      <w:marTop w:val="0"/>
      <w:marBottom w:val="0"/>
      <w:divBdr>
        <w:top w:val="none" w:sz="0" w:space="0" w:color="auto"/>
        <w:left w:val="none" w:sz="0" w:space="0" w:color="auto"/>
        <w:bottom w:val="none" w:sz="0" w:space="0" w:color="auto"/>
        <w:right w:val="none" w:sz="0" w:space="0" w:color="auto"/>
      </w:divBdr>
    </w:div>
    <w:div w:id="1507136030">
      <w:bodyDiv w:val="1"/>
      <w:marLeft w:val="0"/>
      <w:marRight w:val="0"/>
      <w:marTop w:val="0"/>
      <w:marBottom w:val="0"/>
      <w:divBdr>
        <w:top w:val="none" w:sz="0" w:space="0" w:color="auto"/>
        <w:left w:val="none" w:sz="0" w:space="0" w:color="auto"/>
        <w:bottom w:val="none" w:sz="0" w:space="0" w:color="auto"/>
        <w:right w:val="none" w:sz="0" w:space="0" w:color="auto"/>
      </w:divBdr>
    </w:div>
    <w:div w:id="1578705341">
      <w:bodyDiv w:val="1"/>
      <w:marLeft w:val="0"/>
      <w:marRight w:val="0"/>
      <w:marTop w:val="0"/>
      <w:marBottom w:val="0"/>
      <w:divBdr>
        <w:top w:val="none" w:sz="0" w:space="0" w:color="auto"/>
        <w:left w:val="none" w:sz="0" w:space="0" w:color="auto"/>
        <w:bottom w:val="none" w:sz="0" w:space="0" w:color="auto"/>
        <w:right w:val="none" w:sz="0" w:space="0" w:color="auto"/>
      </w:divBdr>
    </w:div>
    <w:div w:id="1623262334">
      <w:bodyDiv w:val="1"/>
      <w:marLeft w:val="0"/>
      <w:marRight w:val="0"/>
      <w:marTop w:val="0"/>
      <w:marBottom w:val="0"/>
      <w:divBdr>
        <w:top w:val="none" w:sz="0" w:space="0" w:color="auto"/>
        <w:left w:val="none" w:sz="0" w:space="0" w:color="auto"/>
        <w:bottom w:val="none" w:sz="0" w:space="0" w:color="auto"/>
        <w:right w:val="none" w:sz="0" w:space="0" w:color="auto"/>
      </w:divBdr>
    </w:div>
    <w:div w:id="1703555363">
      <w:bodyDiv w:val="1"/>
      <w:marLeft w:val="0"/>
      <w:marRight w:val="0"/>
      <w:marTop w:val="0"/>
      <w:marBottom w:val="0"/>
      <w:divBdr>
        <w:top w:val="none" w:sz="0" w:space="0" w:color="auto"/>
        <w:left w:val="none" w:sz="0" w:space="0" w:color="auto"/>
        <w:bottom w:val="none" w:sz="0" w:space="0" w:color="auto"/>
        <w:right w:val="none" w:sz="0" w:space="0" w:color="auto"/>
      </w:divBdr>
    </w:div>
    <w:div w:id="1711804484">
      <w:bodyDiv w:val="1"/>
      <w:marLeft w:val="0"/>
      <w:marRight w:val="0"/>
      <w:marTop w:val="0"/>
      <w:marBottom w:val="0"/>
      <w:divBdr>
        <w:top w:val="none" w:sz="0" w:space="0" w:color="auto"/>
        <w:left w:val="none" w:sz="0" w:space="0" w:color="auto"/>
        <w:bottom w:val="none" w:sz="0" w:space="0" w:color="auto"/>
        <w:right w:val="none" w:sz="0" w:space="0" w:color="auto"/>
      </w:divBdr>
    </w:div>
    <w:div w:id="1717121740">
      <w:bodyDiv w:val="1"/>
      <w:marLeft w:val="0"/>
      <w:marRight w:val="0"/>
      <w:marTop w:val="0"/>
      <w:marBottom w:val="0"/>
      <w:divBdr>
        <w:top w:val="none" w:sz="0" w:space="0" w:color="auto"/>
        <w:left w:val="none" w:sz="0" w:space="0" w:color="auto"/>
        <w:bottom w:val="none" w:sz="0" w:space="0" w:color="auto"/>
        <w:right w:val="none" w:sz="0" w:space="0" w:color="auto"/>
      </w:divBdr>
    </w:div>
    <w:div w:id="1736388918">
      <w:bodyDiv w:val="1"/>
      <w:marLeft w:val="0"/>
      <w:marRight w:val="0"/>
      <w:marTop w:val="0"/>
      <w:marBottom w:val="0"/>
      <w:divBdr>
        <w:top w:val="none" w:sz="0" w:space="0" w:color="auto"/>
        <w:left w:val="none" w:sz="0" w:space="0" w:color="auto"/>
        <w:bottom w:val="none" w:sz="0" w:space="0" w:color="auto"/>
        <w:right w:val="none" w:sz="0" w:space="0" w:color="auto"/>
      </w:divBdr>
    </w:div>
    <w:div w:id="1737628619">
      <w:bodyDiv w:val="1"/>
      <w:marLeft w:val="0"/>
      <w:marRight w:val="0"/>
      <w:marTop w:val="0"/>
      <w:marBottom w:val="0"/>
      <w:divBdr>
        <w:top w:val="none" w:sz="0" w:space="0" w:color="auto"/>
        <w:left w:val="none" w:sz="0" w:space="0" w:color="auto"/>
        <w:bottom w:val="none" w:sz="0" w:space="0" w:color="auto"/>
        <w:right w:val="none" w:sz="0" w:space="0" w:color="auto"/>
      </w:divBdr>
    </w:div>
    <w:div w:id="1745031790">
      <w:bodyDiv w:val="1"/>
      <w:marLeft w:val="0"/>
      <w:marRight w:val="0"/>
      <w:marTop w:val="0"/>
      <w:marBottom w:val="0"/>
      <w:divBdr>
        <w:top w:val="none" w:sz="0" w:space="0" w:color="auto"/>
        <w:left w:val="none" w:sz="0" w:space="0" w:color="auto"/>
        <w:bottom w:val="none" w:sz="0" w:space="0" w:color="auto"/>
        <w:right w:val="none" w:sz="0" w:space="0" w:color="auto"/>
      </w:divBdr>
    </w:div>
    <w:div w:id="1789352928">
      <w:bodyDiv w:val="1"/>
      <w:marLeft w:val="0"/>
      <w:marRight w:val="0"/>
      <w:marTop w:val="0"/>
      <w:marBottom w:val="0"/>
      <w:divBdr>
        <w:top w:val="none" w:sz="0" w:space="0" w:color="auto"/>
        <w:left w:val="none" w:sz="0" w:space="0" w:color="auto"/>
        <w:bottom w:val="none" w:sz="0" w:space="0" w:color="auto"/>
        <w:right w:val="none" w:sz="0" w:space="0" w:color="auto"/>
      </w:divBdr>
    </w:div>
    <w:div w:id="1916276399">
      <w:bodyDiv w:val="1"/>
      <w:marLeft w:val="0"/>
      <w:marRight w:val="0"/>
      <w:marTop w:val="0"/>
      <w:marBottom w:val="0"/>
      <w:divBdr>
        <w:top w:val="none" w:sz="0" w:space="0" w:color="auto"/>
        <w:left w:val="none" w:sz="0" w:space="0" w:color="auto"/>
        <w:bottom w:val="none" w:sz="0" w:space="0" w:color="auto"/>
        <w:right w:val="none" w:sz="0" w:space="0" w:color="auto"/>
      </w:divBdr>
    </w:div>
    <w:div w:id="1935816690">
      <w:bodyDiv w:val="1"/>
      <w:marLeft w:val="0"/>
      <w:marRight w:val="0"/>
      <w:marTop w:val="0"/>
      <w:marBottom w:val="0"/>
      <w:divBdr>
        <w:top w:val="none" w:sz="0" w:space="0" w:color="auto"/>
        <w:left w:val="none" w:sz="0" w:space="0" w:color="auto"/>
        <w:bottom w:val="none" w:sz="0" w:space="0" w:color="auto"/>
        <w:right w:val="none" w:sz="0" w:space="0" w:color="auto"/>
      </w:divBdr>
    </w:div>
    <w:div w:id="2005358886">
      <w:bodyDiv w:val="1"/>
      <w:marLeft w:val="0"/>
      <w:marRight w:val="0"/>
      <w:marTop w:val="0"/>
      <w:marBottom w:val="0"/>
      <w:divBdr>
        <w:top w:val="none" w:sz="0" w:space="0" w:color="auto"/>
        <w:left w:val="none" w:sz="0" w:space="0" w:color="auto"/>
        <w:bottom w:val="none" w:sz="0" w:space="0" w:color="auto"/>
        <w:right w:val="none" w:sz="0" w:space="0" w:color="auto"/>
      </w:divBdr>
    </w:div>
    <w:div w:id="206255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s.tiesa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94E4-7B03-4660-9DDB-88AB4EAE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22322</Characters>
  <Application>Microsoft Office Word</Application>
  <DocSecurity>4</DocSecurity>
  <Lines>186</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19. februāra noteikumos Nr. 96 "Noteikumi par tiesas sniegtajiem maksas pakalpojumiem"" sākotnējās ietekmes novērtējuma ziņojums (anotācija)</vt:lpstr>
      <vt:lpstr>Ministru kabineta noteikumu projekta "Grozījumi Ministru kabineta 2013. gada 19. februāra noteikumos Nr. 96 "Noteikumi par tiesas sniegtajiem maksas pakalpojumiem"" sākotnējās ietekmes novērtējuma ziņojums (anotācija)</vt:lpstr>
    </vt:vector>
  </TitlesOfParts>
  <Company>Tieslietu ministrija</Company>
  <LinksUpToDate>false</LinksUpToDate>
  <CharactersWithSpaces>25856</CharactersWithSpaces>
  <SharedDoc>false</SharedDoc>
  <HLinks>
    <vt:vector size="12" baseType="variant">
      <vt:variant>
        <vt:i4>2228343</vt:i4>
      </vt:variant>
      <vt:variant>
        <vt:i4>3</vt:i4>
      </vt:variant>
      <vt:variant>
        <vt:i4>0</vt:i4>
      </vt:variant>
      <vt:variant>
        <vt:i4>5</vt:i4>
      </vt:variant>
      <vt:variant>
        <vt:lpwstr>http://likumi.lv/ta/id/203061-tiesibu-akta-projekta-sakotnejas-ietekmes-izvertesanas-kartiba</vt:lpwstr>
      </vt:variant>
      <vt:variant>
        <vt:lpwstr>p1</vt:lpwstr>
      </vt:variant>
      <vt:variant>
        <vt:i4>2359401</vt:i4>
      </vt:variant>
      <vt:variant>
        <vt:i4>0</vt:i4>
      </vt:variant>
      <vt:variant>
        <vt:i4>0</vt:i4>
      </vt:variant>
      <vt:variant>
        <vt:i4>5</vt:i4>
      </vt:variant>
      <vt:variant>
        <vt:lpwstr>http://likumi.lv/ta/id/203061-tiesibu-akta-projekta-sakotnejas-ietekmes-izvertesanas-kartiba</vt:lpwstr>
      </vt:variant>
      <vt:variant>
        <vt:lpwstr>n7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19. februāra noteikumos Nr. 96 "Noteikumi par tiesas sniegtajiem maksas pakalpojumiem"" sākotnējās ietekmes novērtējuma ziņojums (anotācija)</dc:title>
  <dc:subject>Sākotnējās ietekmes novērtējuma ziņojums (anotācija)</dc:subject>
  <dc:creator>Olita Āboliņa</dc:creator>
  <dc:description>67063811, olita.abolina@ta.gov.lv</dc:description>
  <cp:lastModifiedBy>Jānis Ābols</cp:lastModifiedBy>
  <cp:revision>2</cp:revision>
  <cp:lastPrinted>2017-06-16T15:04:00Z</cp:lastPrinted>
  <dcterms:created xsi:type="dcterms:W3CDTF">2017-07-13T07:24:00Z</dcterms:created>
  <dcterms:modified xsi:type="dcterms:W3CDTF">2017-07-13T07:24:00Z</dcterms:modified>
</cp:coreProperties>
</file>