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FCA0A" w14:textId="77777777" w:rsidR="00E417E9" w:rsidRPr="009C484A" w:rsidRDefault="00E417E9" w:rsidP="00534EE9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D6A31F" w14:textId="77777777" w:rsidR="00E417E9" w:rsidRPr="009C484A" w:rsidRDefault="00E417E9" w:rsidP="00534EE9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0058DA" w14:textId="102E6186" w:rsidR="009C484A" w:rsidRPr="009C484A" w:rsidRDefault="009C484A" w:rsidP="00534EE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484A">
        <w:rPr>
          <w:rFonts w:ascii="Times New Roman" w:hAnsi="Times New Roman"/>
          <w:sz w:val="28"/>
          <w:szCs w:val="28"/>
        </w:rPr>
        <w:t xml:space="preserve">2017. gada </w:t>
      </w:r>
      <w:r w:rsidR="00AD247F" w:rsidRPr="00AD247F">
        <w:rPr>
          <w:rFonts w:ascii="Times New Roman" w:hAnsi="Times New Roman"/>
          <w:sz w:val="28"/>
          <w:szCs w:val="28"/>
        </w:rPr>
        <w:t>8. augustā</w:t>
      </w:r>
      <w:r w:rsidRPr="009C484A">
        <w:rPr>
          <w:rFonts w:ascii="Times New Roman" w:hAnsi="Times New Roman"/>
          <w:sz w:val="28"/>
          <w:szCs w:val="28"/>
        </w:rPr>
        <w:tab/>
        <w:t>Noteikumi Nr.</w:t>
      </w:r>
      <w:r w:rsidR="00AD247F">
        <w:rPr>
          <w:rFonts w:ascii="Times New Roman" w:hAnsi="Times New Roman"/>
          <w:sz w:val="28"/>
          <w:szCs w:val="28"/>
        </w:rPr>
        <w:t> 446</w:t>
      </w:r>
    </w:p>
    <w:p w14:paraId="0A5D7E29" w14:textId="6B8E642E" w:rsidR="009C484A" w:rsidRPr="009C484A" w:rsidRDefault="009C484A" w:rsidP="00534EE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484A">
        <w:rPr>
          <w:rFonts w:ascii="Times New Roman" w:hAnsi="Times New Roman"/>
          <w:sz w:val="28"/>
          <w:szCs w:val="28"/>
        </w:rPr>
        <w:t>Rīgā</w:t>
      </w:r>
      <w:r w:rsidRPr="009C484A">
        <w:rPr>
          <w:rFonts w:ascii="Times New Roman" w:hAnsi="Times New Roman"/>
          <w:sz w:val="28"/>
          <w:szCs w:val="28"/>
        </w:rPr>
        <w:tab/>
        <w:t>(prot. Nr.</w:t>
      </w:r>
      <w:r w:rsidR="00AD247F">
        <w:rPr>
          <w:rFonts w:ascii="Times New Roman" w:hAnsi="Times New Roman"/>
          <w:sz w:val="28"/>
          <w:szCs w:val="28"/>
        </w:rPr>
        <w:t> 38  35</w:t>
      </w:r>
      <w:bookmarkStart w:id="0" w:name="_GoBack"/>
      <w:bookmarkEnd w:id="0"/>
      <w:r w:rsidRPr="009C484A">
        <w:rPr>
          <w:rFonts w:ascii="Times New Roman" w:hAnsi="Times New Roman"/>
          <w:sz w:val="28"/>
          <w:szCs w:val="28"/>
        </w:rPr>
        <w:t>. §)</w:t>
      </w:r>
    </w:p>
    <w:p w14:paraId="4B2B1DB5" w14:textId="46A1D8A0" w:rsidR="00E417E9" w:rsidRPr="009C484A" w:rsidRDefault="00E417E9" w:rsidP="00534EE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03CECE" w14:textId="4E1CF5A5" w:rsidR="00FE5F80" w:rsidRPr="009C484A" w:rsidRDefault="00FE5F80" w:rsidP="00534EE9">
      <w:pPr>
        <w:pStyle w:val="tv20787921"/>
        <w:spacing w:after="0" w:line="240" w:lineRule="auto"/>
        <w:rPr>
          <w:rFonts w:ascii="Times New Roman" w:hAnsi="Times New Roman"/>
        </w:rPr>
      </w:pPr>
      <w:bookmarkStart w:id="1" w:name="OLE_LINK7"/>
      <w:bookmarkStart w:id="2" w:name="OLE_LINK8"/>
      <w:bookmarkStart w:id="3" w:name="OLE_LINK16"/>
      <w:bookmarkStart w:id="4" w:name="OLE_LINK5"/>
      <w:bookmarkStart w:id="5" w:name="OLE_LINK6"/>
      <w:bookmarkStart w:id="6" w:name="OLE_LINK9"/>
      <w:r w:rsidRPr="009C484A">
        <w:rPr>
          <w:rFonts w:ascii="Times New Roman" w:hAnsi="Times New Roman"/>
          <w:bCs w:val="0"/>
        </w:rPr>
        <w:t>Grozījumi Ministru kabineta 2013.</w:t>
      </w:r>
      <w:r w:rsidR="0023163C" w:rsidRPr="009C484A">
        <w:rPr>
          <w:rFonts w:ascii="Times New Roman" w:hAnsi="Times New Roman"/>
          <w:bCs w:val="0"/>
        </w:rPr>
        <w:t> </w:t>
      </w:r>
      <w:r w:rsidRPr="009C484A">
        <w:rPr>
          <w:rFonts w:ascii="Times New Roman" w:hAnsi="Times New Roman"/>
          <w:bCs w:val="0"/>
        </w:rPr>
        <w:t>gada 19.</w:t>
      </w:r>
      <w:r w:rsidR="0023163C" w:rsidRPr="009C484A">
        <w:rPr>
          <w:rFonts w:ascii="Times New Roman" w:hAnsi="Times New Roman"/>
          <w:bCs w:val="0"/>
        </w:rPr>
        <w:t> </w:t>
      </w:r>
      <w:r w:rsidRPr="009C484A">
        <w:rPr>
          <w:rFonts w:ascii="Times New Roman" w:hAnsi="Times New Roman"/>
          <w:bCs w:val="0"/>
        </w:rPr>
        <w:t xml:space="preserve">februāra </w:t>
      </w:r>
      <w:bookmarkStart w:id="7" w:name="OLE_LINK1"/>
      <w:bookmarkStart w:id="8" w:name="OLE_LINK2"/>
      <w:r w:rsidRPr="009C484A">
        <w:rPr>
          <w:rFonts w:ascii="Times New Roman" w:hAnsi="Times New Roman"/>
          <w:bCs w:val="0"/>
        </w:rPr>
        <w:t xml:space="preserve">noteikumos </w:t>
      </w:r>
      <w:bookmarkStart w:id="9" w:name="OLE_LINK3"/>
      <w:bookmarkStart w:id="10" w:name="OLE_LINK4"/>
      <w:r w:rsidRPr="009C484A">
        <w:rPr>
          <w:rFonts w:ascii="Times New Roman" w:hAnsi="Times New Roman"/>
          <w:bCs w:val="0"/>
        </w:rPr>
        <w:t>Nr.</w:t>
      </w:r>
      <w:r w:rsidR="0023163C" w:rsidRPr="009C484A">
        <w:rPr>
          <w:rFonts w:ascii="Times New Roman" w:hAnsi="Times New Roman"/>
          <w:bCs w:val="0"/>
        </w:rPr>
        <w:t> </w:t>
      </w:r>
      <w:r w:rsidRPr="009C484A">
        <w:rPr>
          <w:rFonts w:ascii="Times New Roman" w:hAnsi="Times New Roman"/>
          <w:bCs w:val="0"/>
        </w:rPr>
        <w:t xml:space="preserve">96 </w:t>
      </w:r>
      <w:r w:rsidR="009C484A" w:rsidRPr="009C484A">
        <w:rPr>
          <w:rFonts w:ascii="Times New Roman" w:hAnsi="Times New Roman"/>
          <w:bCs w:val="0"/>
        </w:rPr>
        <w:t>"</w:t>
      </w:r>
      <w:r w:rsidRPr="009C484A">
        <w:rPr>
          <w:rFonts w:ascii="Times New Roman" w:hAnsi="Times New Roman"/>
        </w:rPr>
        <w:t>Noteikumi par tiesas sniegtajiem maksas pakalpojumiem</w:t>
      </w:r>
      <w:bookmarkEnd w:id="1"/>
      <w:bookmarkEnd w:id="2"/>
      <w:bookmarkEnd w:id="3"/>
      <w:r w:rsidR="009C484A" w:rsidRPr="009C484A">
        <w:rPr>
          <w:rFonts w:ascii="Times New Roman" w:hAnsi="Times New Roman"/>
          <w:bCs w:val="0"/>
        </w:rPr>
        <w:t>"</w:t>
      </w:r>
    </w:p>
    <w:bookmarkEnd w:id="4"/>
    <w:bookmarkEnd w:id="5"/>
    <w:bookmarkEnd w:id="6"/>
    <w:bookmarkEnd w:id="7"/>
    <w:bookmarkEnd w:id="8"/>
    <w:bookmarkEnd w:id="9"/>
    <w:bookmarkEnd w:id="10"/>
    <w:p w14:paraId="1821B5B7" w14:textId="77777777" w:rsidR="00FE5F80" w:rsidRPr="009C484A" w:rsidRDefault="00FE5F80" w:rsidP="00534EE9">
      <w:pPr>
        <w:pStyle w:val="naislab"/>
        <w:spacing w:before="0" w:after="0"/>
        <w:rPr>
          <w:sz w:val="28"/>
          <w:szCs w:val="28"/>
        </w:rPr>
      </w:pPr>
    </w:p>
    <w:p w14:paraId="6044F124" w14:textId="77777777" w:rsidR="00FE5F80" w:rsidRPr="009C484A" w:rsidRDefault="00FE5F80" w:rsidP="00534EE9">
      <w:pPr>
        <w:pStyle w:val="naislab"/>
        <w:spacing w:before="0" w:after="0"/>
        <w:rPr>
          <w:sz w:val="28"/>
          <w:szCs w:val="28"/>
        </w:rPr>
      </w:pPr>
      <w:r w:rsidRPr="009C484A">
        <w:rPr>
          <w:sz w:val="28"/>
          <w:szCs w:val="28"/>
        </w:rPr>
        <w:t>Izdoti saskaņā ar</w:t>
      </w:r>
    </w:p>
    <w:p w14:paraId="4FE3CCBE" w14:textId="77777777" w:rsidR="00FE5F80" w:rsidRPr="009C484A" w:rsidRDefault="00FE5F80" w:rsidP="00534EE9">
      <w:pPr>
        <w:pStyle w:val="naislab"/>
        <w:spacing w:before="0" w:after="0"/>
        <w:rPr>
          <w:sz w:val="28"/>
          <w:szCs w:val="28"/>
        </w:rPr>
      </w:pPr>
      <w:r w:rsidRPr="009C484A">
        <w:rPr>
          <w:sz w:val="28"/>
          <w:szCs w:val="28"/>
        </w:rPr>
        <w:t>Likuma par budžetu un finanšu vadību</w:t>
      </w:r>
    </w:p>
    <w:p w14:paraId="7132669E" w14:textId="51A8CD28" w:rsidR="00FE5F80" w:rsidRPr="009C484A" w:rsidRDefault="00FE5F80" w:rsidP="00534EE9">
      <w:pPr>
        <w:pStyle w:val="naislab"/>
        <w:spacing w:before="0" w:after="0"/>
        <w:rPr>
          <w:sz w:val="28"/>
          <w:szCs w:val="28"/>
        </w:rPr>
      </w:pPr>
      <w:r w:rsidRPr="009C484A">
        <w:rPr>
          <w:sz w:val="28"/>
          <w:szCs w:val="28"/>
        </w:rPr>
        <w:t>5.</w:t>
      </w:r>
      <w:r w:rsidR="0023163C" w:rsidRPr="009C484A">
        <w:rPr>
          <w:sz w:val="28"/>
          <w:szCs w:val="28"/>
        </w:rPr>
        <w:t> </w:t>
      </w:r>
      <w:r w:rsidRPr="009C484A">
        <w:rPr>
          <w:sz w:val="28"/>
          <w:szCs w:val="28"/>
        </w:rPr>
        <w:t>panta 11.</w:t>
      </w:r>
      <w:r w:rsidR="0023163C" w:rsidRPr="009C484A">
        <w:rPr>
          <w:sz w:val="28"/>
          <w:szCs w:val="28"/>
        </w:rPr>
        <w:t> </w:t>
      </w:r>
      <w:r w:rsidRPr="009C484A">
        <w:rPr>
          <w:sz w:val="28"/>
          <w:szCs w:val="28"/>
        </w:rPr>
        <w:t>daļu</w:t>
      </w:r>
    </w:p>
    <w:p w14:paraId="3597B42F" w14:textId="77777777" w:rsidR="00FE5F80" w:rsidRPr="009C484A" w:rsidRDefault="00FE5F80" w:rsidP="00534EE9">
      <w:pPr>
        <w:pStyle w:val="naisf"/>
        <w:spacing w:before="0" w:after="0"/>
        <w:ind w:firstLine="0"/>
        <w:rPr>
          <w:sz w:val="28"/>
          <w:szCs w:val="28"/>
        </w:rPr>
      </w:pPr>
    </w:p>
    <w:p w14:paraId="17E8416C" w14:textId="0F0F54F3" w:rsidR="00FE5F80" w:rsidRPr="009C484A" w:rsidRDefault="00FE5F80" w:rsidP="00534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84A">
        <w:rPr>
          <w:rFonts w:ascii="Times New Roman" w:hAnsi="Times New Roman"/>
          <w:sz w:val="28"/>
          <w:szCs w:val="28"/>
        </w:rPr>
        <w:t xml:space="preserve">Izdarīt Ministru kabineta </w:t>
      </w:r>
      <w:r w:rsidRPr="009C484A">
        <w:rPr>
          <w:rFonts w:ascii="Times New Roman" w:hAnsi="Times New Roman"/>
          <w:bCs/>
          <w:sz w:val="28"/>
          <w:szCs w:val="28"/>
        </w:rPr>
        <w:t>2013.</w:t>
      </w:r>
      <w:r w:rsidR="0023163C" w:rsidRPr="009C484A">
        <w:rPr>
          <w:rFonts w:ascii="Times New Roman" w:hAnsi="Times New Roman"/>
          <w:bCs/>
          <w:sz w:val="28"/>
          <w:szCs w:val="28"/>
        </w:rPr>
        <w:t> </w:t>
      </w:r>
      <w:r w:rsidRPr="009C484A">
        <w:rPr>
          <w:rFonts w:ascii="Times New Roman" w:hAnsi="Times New Roman"/>
          <w:bCs/>
          <w:sz w:val="28"/>
          <w:szCs w:val="28"/>
        </w:rPr>
        <w:t>gada 19.</w:t>
      </w:r>
      <w:r w:rsidR="0023163C" w:rsidRPr="009C484A">
        <w:rPr>
          <w:rFonts w:ascii="Times New Roman" w:hAnsi="Times New Roman"/>
          <w:bCs/>
          <w:sz w:val="28"/>
          <w:szCs w:val="28"/>
        </w:rPr>
        <w:t> </w:t>
      </w:r>
      <w:r w:rsidRPr="009C484A">
        <w:rPr>
          <w:rFonts w:ascii="Times New Roman" w:hAnsi="Times New Roman"/>
          <w:bCs/>
          <w:sz w:val="28"/>
          <w:szCs w:val="28"/>
        </w:rPr>
        <w:t>februāra noteikumos Nr.</w:t>
      </w:r>
      <w:r w:rsidR="0023163C" w:rsidRPr="009C484A">
        <w:rPr>
          <w:rFonts w:ascii="Times New Roman" w:hAnsi="Times New Roman"/>
          <w:bCs/>
          <w:sz w:val="28"/>
          <w:szCs w:val="28"/>
        </w:rPr>
        <w:t> </w:t>
      </w:r>
      <w:r w:rsidRPr="009C484A">
        <w:rPr>
          <w:rFonts w:ascii="Times New Roman" w:hAnsi="Times New Roman"/>
          <w:bCs/>
          <w:sz w:val="28"/>
          <w:szCs w:val="28"/>
        </w:rPr>
        <w:t xml:space="preserve">96 </w:t>
      </w:r>
      <w:r w:rsidR="009C484A" w:rsidRPr="009C484A">
        <w:rPr>
          <w:rFonts w:ascii="Times New Roman" w:hAnsi="Times New Roman"/>
          <w:bCs/>
          <w:sz w:val="28"/>
          <w:szCs w:val="28"/>
        </w:rPr>
        <w:t>"</w:t>
      </w:r>
      <w:r w:rsidRPr="009C484A">
        <w:rPr>
          <w:rFonts w:ascii="Times New Roman" w:hAnsi="Times New Roman"/>
          <w:sz w:val="28"/>
          <w:szCs w:val="28"/>
        </w:rPr>
        <w:t>Noteikumi par tiesas sniegtajiem maksas pakalpojumiem</w:t>
      </w:r>
      <w:r w:rsidR="009C484A" w:rsidRPr="009C484A">
        <w:rPr>
          <w:rFonts w:ascii="Times New Roman" w:hAnsi="Times New Roman"/>
          <w:bCs/>
          <w:sz w:val="28"/>
          <w:szCs w:val="28"/>
        </w:rPr>
        <w:t>"</w:t>
      </w:r>
      <w:r w:rsidRPr="009C484A">
        <w:rPr>
          <w:rFonts w:ascii="Times New Roman" w:hAnsi="Times New Roman"/>
          <w:sz w:val="28"/>
          <w:szCs w:val="28"/>
        </w:rPr>
        <w:t xml:space="preserve"> (Latvijas Vēstnesis, 2013, 37.</w:t>
      </w:r>
      <w:r w:rsidR="00DC6BA3" w:rsidRPr="009C484A">
        <w:rPr>
          <w:rFonts w:ascii="Times New Roman" w:hAnsi="Times New Roman"/>
          <w:sz w:val="28"/>
          <w:szCs w:val="28"/>
        </w:rPr>
        <w:t>, 193.</w:t>
      </w:r>
      <w:r w:rsidR="0023163C" w:rsidRPr="009C484A">
        <w:rPr>
          <w:rFonts w:ascii="Times New Roman" w:hAnsi="Times New Roman"/>
          <w:sz w:val="28"/>
          <w:szCs w:val="28"/>
        </w:rPr>
        <w:t> </w:t>
      </w:r>
      <w:r w:rsidR="00DC6BA3" w:rsidRPr="009C484A">
        <w:rPr>
          <w:rFonts w:ascii="Times New Roman" w:hAnsi="Times New Roman"/>
          <w:sz w:val="28"/>
          <w:szCs w:val="28"/>
        </w:rPr>
        <w:t>nr.</w:t>
      </w:r>
      <w:r w:rsidRPr="009C484A">
        <w:rPr>
          <w:rFonts w:ascii="Times New Roman" w:hAnsi="Times New Roman"/>
          <w:sz w:val="28"/>
          <w:szCs w:val="28"/>
        </w:rPr>
        <w:t>) šādus grozījumus:</w:t>
      </w:r>
    </w:p>
    <w:p w14:paraId="2664B281" w14:textId="77777777" w:rsidR="0069437F" w:rsidRPr="009C484A" w:rsidRDefault="0069437F" w:rsidP="00534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6BE09B" w14:textId="1D061129" w:rsidR="00522CE2" w:rsidRPr="009C484A" w:rsidRDefault="0069437F" w:rsidP="00534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84A">
        <w:rPr>
          <w:rFonts w:ascii="Times New Roman" w:hAnsi="Times New Roman"/>
          <w:sz w:val="28"/>
          <w:szCs w:val="28"/>
        </w:rPr>
        <w:t>1. </w:t>
      </w:r>
      <w:r w:rsidR="00EF6A7E" w:rsidRPr="009C484A">
        <w:rPr>
          <w:rFonts w:ascii="Times New Roman" w:hAnsi="Times New Roman"/>
          <w:sz w:val="28"/>
          <w:szCs w:val="28"/>
        </w:rPr>
        <w:t>A</w:t>
      </w:r>
      <w:r w:rsidRPr="009C484A">
        <w:rPr>
          <w:rFonts w:ascii="Times New Roman" w:hAnsi="Times New Roman"/>
          <w:sz w:val="28"/>
          <w:szCs w:val="28"/>
        </w:rPr>
        <w:t xml:space="preserve">izstāt 1.1. apakšpunktā skaitļus un vārdus </w:t>
      </w:r>
      <w:r w:rsidR="009C484A" w:rsidRPr="009C484A">
        <w:rPr>
          <w:rFonts w:ascii="Times New Roman" w:hAnsi="Times New Roman"/>
          <w:sz w:val="28"/>
          <w:szCs w:val="28"/>
        </w:rPr>
        <w:t>"</w:t>
      </w:r>
      <w:r w:rsidRPr="009C484A">
        <w:rPr>
          <w:rFonts w:ascii="Times New Roman" w:hAnsi="Times New Roman"/>
          <w:sz w:val="28"/>
          <w:szCs w:val="28"/>
        </w:rPr>
        <w:t>(1. un 2. pielikums)</w:t>
      </w:r>
      <w:r w:rsidR="009C484A" w:rsidRPr="009C484A">
        <w:rPr>
          <w:rFonts w:ascii="Times New Roman" w:hAnsi="Times New Roman"/>
          <w:sz w:val="28"/>
          <w:szCs w:val="28"/>
        </w:rPr>
        <w:t>"</w:t>
      </w:r>
      <w:r w:rsidRPr="009C484A">
        <w:rPr>
          <w:rFonts w:ascii="Times New Roman" w:hAnsi="Times New Roman"/>
          <w:sz w:val="28"/>
          <w:szCs w:val="28"/>
        </w:rPr>
        <w:t xml:space="preserve"> ar skaitli un vārdu </w:t>
      </w:r>
      <w:r w:rsidR="009C484A" w:rsidRPr="009C484A">
        <w:rPr>
          <w:rFonts w:ascii="Times New Roman" w:hAnsi="Times New Roman"/>
          <w:sz w:val="28"/>
          <w:szCs w:val="28"/>
        </w:rPr>
        <w:t>"</w:t>
      </w:r>
      <w:r w:rsidRPr="009C484A">
        <w:rPr>
          <w:rFonts w:ascii="Times New Roman" w:hAnsi="Times New Roman"/>
          <w:sz w:val="28"/>
          <w:szCs w:val="28"/>
        </w:rPr>
        <w:t>(2. pielikums)</w:t>
      </w:r>
      <w:r w:rsidR="009C484A" w:rsidRPr="009C484A">
        <w:rPr>
          <w:rFonts w:ascii="Times New Roman" w:hAnsi="Times New Roman"/>
          <w:sz w:val="28"/>
          <w:szCs w:val="28"/>
        </w:rPr>
        <w:t>"</w:t>
      </w:r>
      <w:r w:rsidR="00EF6A7E" w:rsidRPr="009C484A">
        <w:rPr>
          <w:rFonts w:ascii="Times New Roman" w:hAnsi="Times New Roman"/>
          <w:sz w:val="28"/>
          <w:szCs w:val="28"/>
        </w:rPr>
        <w:t>.</w:t>
      </w:r>
    </w:p>
    <w:p w14:paraId="526C3C1A" w14:textId="77777777" w:rsidR="0069437F" w:rsidRPr="009C484A" w:rsidRDefault="0069437F" w:rsidP="00534E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9437A33" w14:textId="4D5E5EAF" w:rsidR="00F43107" w:rsidRPr="009C484A" w:rsidRDefault="0069437F" w:rsidP="00534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84A">
        <w:rPr>
          <w:rFonts w:ascii="Times New Roman" w:hAnsi="Times New Roman"/>
          <w:sz w:val="28"/>
          <w:szCs w:val="28"/>
        </w:rPr>
        <w:t>2</w:t>
      </w:r>
      <w:r w:rsidR="00B633FC" w:rsidRPr="009C484A">
        <w:rPr>
          <w:rFonts w:ascii="Times New Roman" w:hAnsi="Times New Roman"/>
          <w:sz w:val="28"/>
          <w:szCs w:val="28"/>
        </w:rPr>
        <w:t>.</w:t>
      </w:r>
      <w:r w:rsidR="00F43107" w:rsidRPr="009C484A">
        <w:rPr>
          <w:rFonts w:ascii="Times New Roman" w:hAnsi="Times New Roman"/>
          <w:sz w:val="28"/>
          <w:szCs w:val="28"/>
        </w:rPr>
        <w:t> </w:t>
      </w:r>
      <w:r w:rsidR="00EF6A7E" w:rsidRPr="009C484A">
        <w:rPr>
          <w:rFonts w:ascii="Times New Roman" w:hAnsi="Times New Roman"/>
          <w:sz w:val="28"/>
          <w:szCs w:val="28"/>
        </w:rPr>
        <w:t>P</w:t>
      </w:r>
      <w:r w:rsidR="00F43107" w:rsidRPr="009C484A">
        <w:rPr>
          <w:rFonts w:ascii="Times New Roman" w:hAnsi="Times New Roman"/>
          <w:sz w:val="28"/>
          <w:szCs w:val="28"/>
        </w:rPr>
        <w:t>apildināt 3.1.</w:t>
      </w:r>
      <w:r w:rsidR="0023163C" w:rsidRPr="009C484A">
        <w:rPr>
          <w:rFonts w:ascii="Times New Roman" w:hAnsi="Times New Roman"/>
          <w:sz w:val="28"/>
          <w:szCs w:val="28"/>
        </w:rPr>
        <w:t> </w:t>
      </w:r>
      <w:r w:rsidR="00F43107" w:rsidRPr="009C484A">
        <w:rPr>
          <w:rFonts w:ascii="Times New Roman" w:hAnsi="Times New Roman"/>
          <w:sz w:val="28"/>
          <w:szCs w:val="28"/>
        </w:rPr>
        <w:t xml:space="preserve">apakšpunktu </w:t>
      </w:r>
      <w:r w:rsidR="00E670E9" w:rsidRPr="009C484A">
        <w:rPr>
          <w:rFonts w:ascii="Times New Roman" w:hAnsi="Times New Roman"/>
          <w:sz w:val="28"/>
          <w:szCs w:val="28"/>
        </w:rPr>
        <w:t>aiz</w:t>
      </w:r>
      <w:r w:rsidR="00F43107" w:rsidRPr="009C484A">
        <w:rPr>
          <w:rFonts w:ascii="Times New Roman" w:hAnsi="Times New Roman"/>
          <w:sz w:val="28"/>
          <w:szCs w:val="28"/>
        </w:rPr>
        <w:t xml:space="preserve"> vārda </w:t>
      </w:r>
      <w:r w:rsidR="009C484A" w:rsidRPr="009C484A">
        <w:rPr>
          <w:rFonts w:ascii="Times New Roman" w:hAnsi="Times New Roman"/>
          <w:sz w:val="28"/>
          <w:szCs w:val="28"/>
        </w:rPr>
        <w:t>"</w:t>
      </w:r>
      <w:r w:rsidR="00F43107" w:rsidRPr="009C484A">
        <w:rPr>
          <w:rFonts w:ascii="Times New Roman" w:hAnsi="Times New Roman"/>
          <w:sz w:val="28"/>
          <w:szCs w:val="28"/>
        </w:rPr>
        <w:t>apgabaltiesā</w:t>
      </w:r>
      <w:r w:rsidR="009C484A" w:rsidRPr="009C484A">
        <w:rPr>
          <w:rFonts w:ascii="Times New Roman" w:hAnsi="Times New Roman"/>
          <w:sz w:val="28"/>
          <w:szCs w:val="28"/>
        </w:rPr>
        <w:t>"</w:t>
      </w:r>
      <w:r w:rsidR="00F43107" w:rsidRPr="009C484A">
        <w:rPr>
          <w:rFonts w:ascii="Times New Roman" w:hAnsi="Times New Roman"/>
          <w:sz w:val="28"/>
          <w:szCs w:val="28"/>
        </w:rPr>
        <w:t xml:space="preserve"> ar vārdiem </w:t>
      </w:r>
      <w:r w:rsidR="009C484A" w:rsidRPr="009C484A">
        <w:rPr>
          <w:rFonts w:ascii="Times New Roman" w:hAnsi="Times New Roman"/>
          <w:sz w:val="28"/>
          <w:szCs w:val="28"/>
        </w:rPr>
        <w:t>"</w:t>
      </w:r>
      <w:r w:rsidR="00F43107" w:rsidRPr="009C484A">
        <w:rPr>
          <w:rFonts w:ascii="Times New Roman" w:hAnsi="Times New Roman"/>
          <w:sz w:val="28"/>
          <w:szCs w:val="28"/>
        </w:rPr>
        <w:t>saskaņā ar sagatavoto rēķinu</w:t>
      </w:r>
      <w:r w:rsidR="009C484A" w:rsidRPr="009C484A">
        <w:rPr>
          <w:rFonts w:ascii="Times New Roman" w:hAnsi="Times New Roman"/>
          <w:sz w:val="28"/>
          <w:szCs w:val="28"/>
        </w:rPr>
        <w:t>"</w:t>
      </w:r>
      <w:r w:rsidR="00EF6A7E" w:rsidRPr="009C484A">
        <w:rPr>
          <w:rFonts w:ascii="Times New Roman" w:hAnsi="Times New Roman"/>
          <w:sz w:val="28"/>
          <w:szCs w:val="28"/>
        </w:rPr>
        <w:t>.</w:t>
      </w:r>
    </w:p>
    <w:p w14:paraId="03BCEF9A" w14:textId="248B5958" w:rsidR="00534B8B" w:rsidRPr="009C484A" w:rsidRDefault="00534B8B" w:rsidP="00534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EF4C87" w14:textId="4B5FF7AB" w:rsidR="00534B8B" w:rsidRPr="009C484A" w:rsidRDefault="00534B8B" w:rsidP="00534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84A">
        <w:rPr>
          <w:rFonts w:ascii="Times New Roman" w:hAnsi="Times New Roman"/>
          <w:sz w:val="28"/>
          <w:szCs w:val="28"/>
        </w:rPr>
        <w:t>3. </w:t>
      </w:r>
      <w:r w:rsidR="00EF6A7E" w:rsidRPr="009C484A">
        <w:rPr>
          <w:rFonts w:ascii="Times New Roman" w:hAnsi="Times New Roman"/>
          <w:sz w:val="28"/>
          <w:szCs w:val="28"/>
        </w:rPr>
        <w:t>P</w:t>
      </w:r>
      <w:r w:rsidRPr="009C484A">
        <w:rPr>
          <w:rFonts w:ascii="Times New Roman" w:hAnsi="Times New Roman"/>
          <w:sz w:val="28"/>
          <w:szCs w:val="28"/>
        </w:rPr>
        <w:t>apildināt noteikumus ar 6.</w:t>
      </w:r>
      <w:r w:rsidRPr="009C484A">
        <w:rPr>
          <w:rFonts w:ascii="Times New Roman" w:hAnsi="Times New Roman"/>
          <w:sz w:val="28"/>
          <w:szCs w:val="28"/>
          <w:vertAlign w:val="superscript"/>
        </w:rPr>
        <w:t>1</w:t>
      </w:r>
      <w:r w:rsidRPr="009C484A">
        <w:rPr>
          <w:rFonts w:ascii="Times New Roman" w:hAnsi="Times New Roman"/>
          <w:sz w:val="28"/>
          <w:szCs w:val="28"/>
        </w:rPr>
        <w:t> punktu šādā redakcijā:</w:t>
      </w:r>
    </w:p>
    <w:p w14:paraId="11C44EE1" w14:textId="77777777" w:rsidR="009C484A" w:rsidRDefault="009C484A" w:rsidP="00534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A20A03" w14:textId="65DCE5D3" w:rsidR="00522CE2" w:rsidRPr="009C484A" w:rsidRDefault="009C484A" w:rsidP="00534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84A">
        <w:rPr>
          <w:rFonts w:ascii="Times New Roman" w:hAnsi="Times New Roman"/>
          <w:sz w:val="28"/>
          <w:szCs w:val="28"/>
        </w:rPr>
        <w:t>"</w:t>
      </w:r>
      <w:r w:rsidR="0030113A" w:rsidRPr="009C484A">
        <w:rPr>
          <w:rFonts w:ascii="Times New Roman" w:hAnsi="Times New Roman"/>
          <w:sz w:val="28"/>
          <w:szCs w:val="28"/>
        </w:rPr>
        <w:t>6.</w:t>
      </w:r>
      <w:r w:rsidR="0030113A" w:rsidRPr="009C484A">
        <w:rPr>
          <w:rFonts w:ascii="Times New Roman" w:hAnsi="Times New Roman"/>
          <w:sz w:val="28"/>
          <w:szCs w:val="28"/>
          <w:vertAlign w:val="superscript"/>
        </w:rPr>
        <w:t>1</w:t>
      </w:r>
      <w:r w:rsidR="00D51CBD" w:rsidRPr="009C484A">
        <w:rPr>
          <w:rFonts w:ascii="Times New Roman" w:hAnsi="Times New Roman"/>
          <w:sz w:val="28"/>
          <w:szCs w:val="28"/>
        </w:rPr>
        <w:t> </w:t>
      </w:r>
      <w:r w:rsidR="00534B8B" w:rsidRPr="009C484A">
        <w:rPr>
          <w:rFonts w:ascii="Times New Roman" w:hAnsi="Times New Roman"/>
          <w:sz w:val="28"/>
          <w:szCs w:val="28"/>
        </w:rPr>
        <w:t xml:space="preserve">No </w:t>
      </w:r>
      <w:r w:rsidR="00570072">
        <w:rPr>
          <w:rFonts w:ascii="Times New Roman" w:hAnsi="Times New Roman"/>
          <w:sz w:val="28"/>
          <w:szCs w:val="28"/>
        </w:rPr>
        <w:t>sa</w:t>
      </w:r>
      <w:r w:rsidR="00534B8B" w:rsidRPr="009C484A">
        <w:rPr>
          <w:rFonts w:ascii="Times New Roman" w:hAnsi="Times New Roman"/>
          <w:sz w:val="28"/>
          <w:szCs w:val="28"/>
        </w:rPr>
        <w:t xml:space="preserve">maksas par šo noteikumu </w:t>
      </w:r>
      <w:r w:rsidR="0030113A" w:rsidRPr="009C484A">
        <w:rPr>
          <w:rFonts w:ascii="Times New Roman" w:hAnsi="Times New Roman"/>
          <w:sz w:val="28"/>
          <w:szCs w:val="28"/>
        </w:rPr>
        <w:t>2. pielikuma 12.</w:t>
      </w:r>
      <w:r w:rsidR="00570072">
        <w:rPr>
          <w:rFonts w:ascii="Times New Roman" w:hAnsi="Times New Roman"/>
          <w:sz w:val="28"/>
          <w:szCs w:val="28"/>
        </w:rPr>
        <w:t xml:space="preserve">, 13., 14. un </w:t>
      </w:r>
      <w:r w:rsidR="0030113A" w:rsidRPr="009C484A">
        <w:rPr>
          <w:rFonts w:ascii="Times New Roman" w:hAnsi="Times New Roman"/>
          <w:sz w:val="28"/>
          <w:szCs w:val="28"/>
        </w:rPr>
        <w:t xml:space="preserve">15. punktā </w:t>
      </w:r>
      <w:r w:rsidR="00570072">
        <w:rPr>
          <w:rFonts w:ascii="Times New Roman" w:hAnsi="Times New Roman"/>
          <w:sz w:val="28"/>
          <w:szCs w:val="28"/>
        </w:rPr>
        <w:t>minētajiem</w:t>
      </w:r>
      <w:r w:rsidR="0030113A" w:rsidRPr="009C484A">
        <w:rPr>
          <w:rFonts w:ascii="Times New Roman" w:hAnsi="Times New Roman"/>
          <w:sz w:val="28"/>
          <w:szCs w:val="28"/>
        </w:rPr>
        <w:t xml:space="preserve"> pakalpojumiem </w:t>
      </w:r>
      <w:r w:rsidR="00534B8B" w:rsidRPr="009C484A">
        <w:rPr>
          <w:rFonts w:ascii="Times New Roman" w:hAnsi="Times New Roman"/>
          <w:sz w:val="28"/>
          <w:szCs w:val="28"/>
        </w:rPr>
        <w:t>atbrīvo valsts drošības iestādes, Valsts kontrol</w:t>
      </w:r>
      <w:r w:rsidR="00B77E83">
        <w:rPr>
          <w:rFonts w:ascii="Times New Roman" w:hAnsi="Times New Roman"/>
          <w:sz w:val="28"/>
          <w:szCs w:val="28"/>
        </w:rPr>
        <w:t>i</w:t>
      </w:r>
      <w:r w:rsidR="00534B8B" w:rsidRPr="009C484A">
        <w:rPr>
          <w:rFonts w:ascii="Times New Roman" w:hAnsi="Times New Roman"/>
          <w:sz w:val="28"/>
          <w:szCs w:val="28"/>
        </w:rPr>
        <w:t>, prokuratūr</w:t>
      </w:r>
      <w:r w:rsidR="00B77E83">
        <w:rPr>
          <w:rFonts w:ascii="Times New Roman" w:hAnsi="Times New Roman"/>
          <w:sz w:val="28"/>
          <w:szCs w:val="28"/>
        </w:rPr>
        <w:t>u</w:t>
      </w:r>
      <w:r w:rsidR="00534B8B" w:rsidRPr="009C484A">
        <w:rPr>
          <w:rFonts w:ascii="Times New Roman" w:hAnsi="Times New Roman"/>
          <w:sz w:val="28"/>
          <w:szCs w:val="28"/>
        </w:rPr>
        <w:t>, Valsts ieņēmumu dienest</w:t>
      </w:r>
      <w:r w:rsidR="00B77E83">
        <w:rPr>
          <w:rFonts w:ascii="Times New Roman" w:hAnsi="Times New Roman"/>
          <w:sz w:val="28"/>
          <w:szCs w:val="28"/>
        </w:rPr>
        <w:t>u</w:t>
      </w:r>
      <w:r w:rsidR="00534B8B" w:rsidRPr="009C484A">
        <w:rPr>
          <w:rFonts w:ascii="Times New Roman" w:hAnsi="Times New Roman"/>
          <w:sz w:val="28"/>
          <w:szCs w:val="28"/>
        </w:rPr>
        <w:t>, Noziedzīgi iegūtu līdzekļu legalizācijas novēršanas dienest</w:t>
      </w:r>
      <w:r w:rsidR="00B77E83">
        <w:rPr>
          <w:rFonts w:ascii="Times New Roman" w:hAnsi="Times New Roman"/>
          <w:sz w:val="28"/>
          <w:szCs w:val="28"/>
        </w:rPr>
        <w:t>u</w:t>
      </w:r>
      <w:r w:rsidR="00534B8B" w:rsidRPr="009C484A">
        <w:rPr>
          <w:rFonts w:ascii="Times New Roman" w:hAnsi="Times New Roman"/>
          <w:sz w:val="28"/>
          <w:szCs w:val="28"/>
        </w:rPr>
        <w:t>, Korupcijas novēršanas un apkarošanas biroj</w:t>
      </w:r>
      <w:r w:rsidR="00B77E83">
        <w:rPr>
          <w:rFonts w:ascii="Times New Roman" w:hAnsi="Times New Roman"/>
          <w:sz w:val="28"/>
          <w:szCs w:val="28"/>
        </w:rPr>
        <w:t>u</w:t>
      </w:r>
      <w:r w:rsidR="00534B8B" w:rsidRPr="009C484A">
        <w:rPr>
          <w:rFonts w:ascii="Times New Roman" w:hAnsi="Times New Roman"/>
          <w:sz w:val="28"/>
          <w:szCs w:val="28"/>
        </w:rPr>
        <w:t>, Valsts policij</w:t>
      </w:r>
      <w:r w:rsidR="00B77E83">
        <w:rPr>
          <w:rFonts w:ascii="Times New Roman" w:hAnsi="Times New Roman"/>
          <w:sz w:val="28"/>
          <w:szCs w:val="28"/>
        </w:rPr>
        <w:t>u</w:t>
      </w:r>
      <w:r w:rsidR="00534B8B" w:rsidRPr="009C484A">
        <w:rPr>
          <w:rFonts w:ascii="Times New Roman" w:hAnsi="Times New Roman"/>
          <w:sz w:val="28"/>
          <w:szCs w:val="28"/>
        </w:rPr>
        <w:t xml:space="preserve"> un Ārlietu ministrij</w:t>
      </w:r>
      <w:r w:rsidR="00B77E83">
        <w:rPr>
          <w:rFonts w:ascii="Times New Roman" w:hAnsi="Times New Roman"/>
          <w:sz w:val="28"/>
          <w:szCs w:val="28"/>
        </w:rPr>
        <w:t>u</w:t>
      </w:r>
      <w:r w:rsidR="00534B8B" w:rsidRPr="009C484A">
        <w:rPr>
          <w:rFonts w:ascii="Times New Roman" w:hAnsi="Times New Roman"/>
          <w:sz w:val="28"/>
          <w:szCs w:val="28"/>
        </w:rPr>
        <w:t xml:space="preserve"> atbilstoši normatīvajiem aktiem, kas reglamentē starptautisko sankciju ieviešanu un nacionālo sankciju noteikšanu</w:t>
      </w:r>
      <w:r w:rsidR="00757427" w:rsidRPr="009C484A">
        <w:rPr>
          <w:rFonts w:ascii="Times New Roman" w:hAnsi="Times New Roman"/>
          <w:sz w:val="28"/>
          <w:szCs w:val="28"/>
        </w:rPr>
        <w:t>.</w:t>
      </w:r>
      <w:r w:rsidRPr="009C484A">
        <w:rPr>
          <w:rFonts w:ascii="Times New Roman" w:hAnsi="Times New Roman"/>
          <w:sz w:val="28"/>
          <w:szCs w:val="28"/>
        </w:rPr>
        <w:t>"</w:t>
      </w:r>
    </w:p>
    <w:p w14:paraId="1C98DA24" w14:textId="77777777" w:rsidR="00EF6A7E" w:rsidRPr="009C484A" w:rsidRDefault="00EF6A7E" w:rsidP="00534E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22979D" w14:textId="2EF2A78C" w:rsidR="00B97A05" w:rsidRDefault="0030113A" w:rsidP="00534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84A">
        <w:rPr>
          <w:rFonts w:ascii="Times New Roman" w:hAnsi="Times New Roman"/>
          <w:sz w:val="28"/>
          <w:szCs w:val="28"/>
        </w:rPr>
        <w:t>4</w:t>
      </w:r>
      <w:r w:rsidR="00F43107" w:rsidRPr="009C484A">
        <w:rPr>
          <w:rFonts w:ascii="Times New Roman" w:hAnsi="Times New Roman"/>
          <w:sz w:val="28"/>
          <w:szCs w:val="28"/>
        </w:rPr>
        <w:t>. </w:t>
      </w:r>
      <w:r w:rsidR="00EF6A7E" w:rsidRPr="009C484A">
        <w:rPr>
          <w:rFonts w:ascii="Times New Roman" w:hAnsi="Times New Roman"/>
          <w:sz w:val="28"/>
          <w:szCs w:val="28"/>
        </w:rPr>
        <w:t>P</w:t>
      </w:r>
      <w:r w:rsidR="00B97A05" w:rsidRPr="009C484A">
        <w:rPr>
          <w:rFonts w:ascii="Times New Roman" w:hAnsi="Times New Roman"/>
          <w:sz w:val="28"/>
          <w:szCs w:val="28"/>
        </w:rPr>
        <w:t>apildināt 2.</w:t>
      </w:r>
      <w:r w:rsidR="0023163C" w:rsidRPr="009C484A">
        <w:rPr>
          <w:rFonts w:ascii="Times New Roman" w:hAnsi="Times New Roman"/>
          <w:sz w:val="28"/>
          <w:szCs w:val="28"/>
        </w:rPr>
        <w:t> </w:t>
      </w:r>
      <w:r w:rsidR="00B97A05" w:rsidRPr="009C484A">
        <w:rPr>
          <w:rFonts w:ascii="Times New Roman" w:hAnsi="Times New Roman"/>
          <w:sz w:val="28"/>
          <w:szCs w:val="28"/>
        </w:rPr>
        <w:t>pielikumu ar 12., 13., 14. un 15.</w:t>
      </w:r>
      <w:r w:rsidR="0023163C" w:rsidRPr="009C484A">
        <w:rPr>
          <w:rFonts w:ascii="Times New Roman" w:hAnsi="Times New Roman"/>
          <w:sz w:val="28"/>
          <w:szCs w:val="28"/>
        </w:rPr>
        <w:t> </w:t>
      </w:r>
      <w:r w:rsidR="00522CE2" w:rsidRPr="009C484A">
        <w:rPr>
          <w:rFonts w:ascii="Times New Roman" w:hAnsi="Times New Roman"/>
          <w:sz w:val="28"/>
          <w:szCs w:val="28"/>
        </w:rPr>
        <w:t xml:space="preserve">punktu </w:t>
      </w:r>
      <w:r w:rsidR="00B97A05" w:rsidRPr="009C484A">
        <w:rPr>
          <w:rFonts w:ascii="Times New Roman" w:hAnsi="Times New Roman"/>
          <w:sz w:val="28"/>
          <w:szCs w:val="28"/>
        </w:rPr>
        <w:t>šādā redakcijā:</w:t>
      </w:r>
    </w:p>
    <w:p w14:paraId="44F107DF" w14:textId="77777777" w:rsidR="009C484A" w:rsidRPr="009C484A" w:rsidRDefault="009C484A" w:rsidP="00534E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134"/>
        <w:gridCol w:w="1276"/>
        <w:gridCol w:w="850"/>
      </w:tblGrid>
      <w:tr w:rsidR="00B97A05" w14:paraId="1FB64BCF" w14:textId="77777777" w:rsidTr="00B30D42">
        <w:tc>
          <w:tcPr>
            <w:tcW w:w="709" w:type="dxa"/>
          </w:tcPr>
          <w:p w14:paraId="7E1F3188" w14:textId="6A922E08" w:rsidR="00B97A05" w:rsidRDefault="009C484A" w:rsidP="00534EE9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B97A0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14:paraId="0DBC23E6" w14:textId="3BE4C050" w:rsidR="00B97A05" w:rsidRPr="00BD1209" w:rsidRDefault="00B97A05" w:rsidP="00534EE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1209">
              <w:rPr>
                <w:rFonts w:ascii="Times New Roman" w:hAnsi="Times New Roman"/>
                <w:sz w:val="28"/>
                <w:szCs w:val="28"/>
              </w:rPr>
              <w:t xml:space="preserve">Rakstveida </w:t>
            </w:r>
            <w:r w:rsidR="00853C0D">
              <w:rPr>
                <w:rFonts w:ascii="Times New Roman" w:hAnsi="Times New Roman"/>
                <w:sz w:val="28"/>
                <w:szCs w:val="28"/>
              </w:rPr>
              <w:t>i</w:t>
            </w:r>
            <w:r w:rsidR="00853C0D" w:rsidRPr="00BD1209">
              <w:rPr>
                <w:rFonts w:ascii="Times New Roman" w:hAnsi="Times New Roman"/>
                <w:sz w:val="28"/>
                <w:szCs w:val="28"/>
              </w:rPr>
              <w:t>zziņas</w:t>
            </w:r>
            <w:r w:rsidR="00CC59BE">
              <w:rPr>
                <w:rFonts w:ascii="Times New Roman" w:hAnsi="Times New Roman"/>
                <w:sz w:val="28"/>
                <w:szCs w:val="28"/>
              </w:rPr>
              <w:t xml:space="preserve"> vai </w:t>
            </w:r>
            <w:r w:rsidRPr="00BD1209">
              <w:rPr>
                <w:rFonts w:ascii="Times New Roman" w:hAnsi="Times New Roman"/>
                <w:sz w:val="28"/>
                <w:szCs w:val="28"/>
              </w:rPr>
              <w:t>apliecināta</w:t>
            </w:r>
            <w:r w:rsidR="00853C0D">
              <w:rPr>
                <w:rFonts w:ascii="Times New Roman" w:hAnsi="Times New Roman"/>
                <w:sz w:val="28"/>
                <w:szCs w:val="28"/>
              </w:rPr>
              <w:t>s</w:t>
            </w:r>
            <w:r w:rsidRPr="00BD1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62C1">
              <w:rPr>
                <w:rFonts w:ascii="Times New Roman" w:hAnsi="Times New Roman"/>
                <w:sz w:val="28"/>
                <w:szCs w:val="28"/>
              </w:rPr>
              <w:t xml:space="preserve">nodalījuma </w:t>
            </w:r>
            <w:r w:rsidRPr="00BD1209">
              <w:rPr>
                <w:rFonts w:ascii="Times New Roman" w:hAnsi="Times New Roman"/>
                <w:sz w:val="28"/>
                <w:szCs w:val="28"/>
              </w:rPr>
              <w:t xml:space="preserve">datorizdrukas </w:t>
            </w:r>
            <w:r w:rsidR="00040E59" w:rsidRPr="00BD1209">
              <w:rPr>
                <w:rFonts w:ascii="Times New Roman" w:hAnsi="Times New Roman"/>
                <w:sz w:val="28"/>
                <w:szCs w:val="28"/>
              </w:rPr>
              <w:t xml:space="preserve">no </w:t>
            </w:r>
            <w:r w:rsidR="00853C0D">
              <w:rPr>
                <w:rFonts w:ascii="Times New Roman" w:hAnsi="Times New Roman"/>
                <w:sz w:val="28"/>
                <w:szCs w:val="28"/>
              </w:rPr>
              <w:t xml:space="preserve">valsts vienotās datorizētās zemesgrāmatas </w:t>
            </w:r>
            <w:r w:rsidRPr="00BD1209">
              <w:rPr>
                <w:rFonts w:ascii="Times New Roman" w:hAnsi="Times New Roman"/>
                <w:sz w:val="28"/>
                <w:szCs w:val="28"/>
              </w:rPr>
              <w:t>sagatavošana un izsniegšana</w:t>
            </w:r>
            <w:r w:rsidR="00FA2B3C" w:rsidRPr="006B3975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</w:tcPr>
          <w:p w14:paraId="05B9DAD7" w14:textId="77777777" w:rsidR="00B97A05" w:rsidRDefault="00B97A05" w:rsidP="00B30D42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dokuments</w:t>
            </w:r>
          </w:p>
        </w:tc>
        <w:tc>
          <w:tcPr>
            <w:tcW w:w="1134" w:type="dxa"/>
          </w:tcPr>
          <w:p w14:paraId="460D2AFE" w14:textId="6C1C126B" w:rsidR="00B97A05" w:rsidRDefault="00BC4B1E" w:rsidP="00B30D42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6,20</w:t>
            </w:r>
          </w:p>
        </w:tc>
        <w:tc>
          <w:tcPr>
            <w:tcW w:w="1276" w:type="dxa"/>
          </w:tcPr>
          <w:p w14:paraId="023737A8" w14:textId="77777777" w:rsidR="00B97A05" w:rsidRDefault="00B97A05" w:rsidP="00B30D42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14:paraId="1B5ED24B" w14:textId="0BFB81B2" w:rsidR="00B97A05" w:rsidRDefault="00BC4B1E" w:rsidP="00B30D42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6,20</w:t>
            </w:r>
          </w:p>
        </w:tc>
      </w:tr>
      <w:tr w:rsidR="00B97A05" w14:paraId="24A6D7AC" w14:textId="77777777" w:rsidTr="00B30D42">
        <w:tc>
          <w:tcPr>
            <w:tcW w:w="709" w:type="dxa"/>
          </w:tcPr>
          <w:p w14:paraId="2F871666" w14:textId="77777777" w:rsidR="00B97A05" w:rsidRDefault="00B97A05" w:rsidP="00534EE9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2" w:type="dxa"/>
          </w:tcPr>
          <w:p w14:paraId="6C73047E" w14:textId="6156671C" w:rsidR="00B97A05" w:rsidRPr="00BD1209" w:rsidRDefault="00BD1209" w:rsidP="00534EE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1209">
              <w:rPr>
                <w:rFonts w:ascii="Times New Roman" w:hAnsi="Times New Roman"/>
                <w:sz w:val="28"/>
                <w:szCs w:val="28"/>
              </w:rPr>
              <w:t>Zemesgrāmatas nostiprinājuma žurnāla un nekustamā īpašuma lietas lasīšana</w:t>
            </w:r>
            <w:r w:rsidR="00FA2B3C" w:rsidRPr="00AE6627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</w:tcPr>
          <w:p w14:paraId="138053E1" w14:textId="77777777" w:rsidR="00B97A05" w:rsidRDefault="00BD1209" w:rsidP="00B30D42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hipotekārā vienība</w:t>
            </w:r>
          </w:p>
        </w:tc>
        <w:tc>
          <w:tcPr>
            <w:tcW w:w="1134" w:type="dxa"/>
          </w:tcPr>
          <w:p w14:paraId="3D1EAD30" w14:textId="4AAB2FA7" w:rsidR="00B97A05" w:rsidRDefault="00BC4B1E" w:rsidP="00B30D42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8,96</w:t>
            </w:r>
          </w:p>
        </w:tc>
        <w:tc>
          <w:tcPr>
            <w:tcW w:w="1276" w:type="dxa"/>
          </w:tcPr>
          <w:p w14:paraId="5CE6EB18" w14:textId="77777777" w:rsidR="00B97A05" w:rsidRDefault="00BD1209" w:rsidP="00B30D42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14:paraId="21D5DDB3" w14:textId="244FF708" w:rsidR="00B97A05" w:rsidRDefault="00BC4B1E" w:rsidP="00B30D42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8,96</w:t>
            </w:r>
          </w:p>
        </w:tc>
      </w:tr>
      <w:tr w:rsidR="00B97A05" w14:paraId="34D4A29B" w14:textId="77777777" w:rsidTr="00B30D42">
        <w:trPr>
          <w:trHeight w:val="893"/>
        </w:trPr>
        <w:tc>
          <w:tcPr>
            <w:tcW w:w="709" w:type="dxa"/>
          </w:tcPr>
          <w:p w14:paraId="2FACAB71" w14:textId="77777777" w:rsidR="00B97A05" w:rsidRDefault="00B97A05" w:rsidP="00534EE9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14:paraId="06B3B2C1" w14:textId="0E11B778" w:rsidR="00B97A05" w:rsidRPr="00801E92" w:rsidRDefault="00BD1209" w:rsidP="003964F0">
            <w:pPr>
              <w:rPr>
                <w:rFonts w:ascii="Times New Roman" w:hAnsi="Times New Roman"/>
                <w:sz w:val="28"/>
                <w:szCs w:val="28"/>
              </w:rPr>
            </w:pPr>
            <w:r w:rsidRPr="00BD1209">
              <w:rPr>
                <w:rFonts w:ascii="Times New Roman" w:hAnsi="Times New Roman"/>
                <w:sz w:val="28"/>
                <w:szCs w:val="28"/>
              </w:rPr>
              <w:t xml:space="preserve">Neapliecinātas datorizdrukas </w:t>
            </w:r>
            <w:r w:rsidR="00762902">
              <w:rPr>
                <w:rFonts w:ascii="Times New Roman" w:hAnsi="Times New Roman"/>
                <w:sz w:val="28"/>
                <w:szCs w:val="28"/>
              </w:rPr>
              <w:t xml:space="preserve">no valsts vienotās datorizētās zemesgrāmatas </w:t>
            </w:r>
            <w:r w:rsidRPr="00BD1209">
              <w:rPr>
                <w:rFonts w:ascii="Times New Roman" w:hAnsi="Times New Roman"/>
                <w:sz w:val="28"/>
                <w:szCs w:val="28"/>
              </w:rPr>
              <w:t>izsniegšana vai nosūtīšana elektroniskā veidā</w:t>
            </w:r>
            <w:r w:rsidR="00FA2B3C" w:rsidRPr="00AE6627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</w:tcPr>
          <w:p w14:paraId="5A5D3738" w14:textId="77777777" w:rsidR="00B97A05" w:rsidRDefault="00BD1209" w:rsidP="00B30D42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dokuments</w:t>
            </w:r>
          </w:p>
        </w:tc>
        <w:tc>
          <w:tcPr>
            <w:tcW w:w="1134" w:type="dxa"/>
          </w:tcPr>
          <w:p w14:paraId="451C513C" w14:textId="2A06FBD0" w:rsidR="00FF4B59" w:rsidRDefault="00BC4B1E" w:rsidP="00B30D42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2,52</w:t>
            </w:r>
          </w:p>
          <w:p w14:paraId="5E9E596F" w14:textId="77777777" w:rsidR="00B97A05" w:rsidRPr="00FF57D1" w:rsidRDefault="00B97A05" w:rsidP="00B30D42">
            <w:pPr>
              <w:jc w:val="center"/>
            </w:pPr>
          </w:p>
        </w:tc>
        <w:tc>
          <w:tcPr>
            <w:tcW w:w="1276" w:type="dxa"/>
          </w:tcPr>
          <w:p w14:paraId="6A65483B" w14:textId="77777777" w:rsidR="00B97A05" w:rsidRDefault="00BD1209" w:rsidP="00B30D42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14:paraId="4A90ECAE" w14:textId="564D28CE" w:rsidR="00B97A05" w:rsidRDefault="00BC4B1E" w:rsidP="00B30D42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2,52</w:t>
            </w:r>
          </w:p>
        </w:tc>
      </w:tr>
      <w:tr w:rsidR="00B97A05" w14:paraId="33C8F716" w14:textId="77777777" w:rsidTr="00B30D42">
        <w:tc>
          <w:tcPr>
            <w:tcW w:w="709" w:type="dxa"/>
          </w:tcPr>
          <w:p w14:paraId="5C6EF484" w14:textId="77777777" w:rsidR="00B97A05" w:rsidRDefault="00B97A05" w:rsidP="00534EE9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14:paraId="27A74E7C" w14:textId="77777777" w:rsidR="00B97A05" w:rsidRPr="00BD1209" w:rsidRDefault="00BD1209" w:rsidP="00534EE9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1209">
              <w:rPr>
                <w:rFonts w:ascii="Times New Roman" w:hAnsi="Times New Roman"/>
                <w:sz w:val="28"/>
                <w:szCs w:val="28"/>
              </w:rPr>
              <w:t>Nostiprinājuma lūguma apliecināšana</w:t>
            </w:r>
            <w:r w:rsidRPr="00BD1209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</w:tcPr>
          <w:p w14:paraId="587ABF6A" w14:textId="77777777" w:rsidR="00B97A05" w:rsidRDefault="00BD1209" w:rsidP="00B30D42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dokuments</w:t>
            </w:r>
          </w:p>
        </w:tc>
        <w:tc>
          <w:tcPr>
            <w:tcW w:w="1134" w:type="dxa"/>
          </w:tcPr>
          <w:p w14:paraId="780E3393" w14:textId="5E46739E" w:rsidR="00B97A05" w:rsidRDefault="00654EAC" w:rsidP="00B30D42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8,58</w:t>
            </w:r>
          </w:p>
        </w:tc>
        <w:tc>
          <w:tcPr>
            <w:tcW w:w="1276" w:type="dxa"/>
          </w:tcPr>
          <w:p w14:paraId="53DD8816" w14:textId="77777777" w:rsidR="00B97A05" w:rsidRDefault="00BD1209" w:rsidP="00B30D42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14:paraId="74BA8D3B" w14:textId="72688CCB" w:rsidR="00B97A05" w:rsidRDefault="00654EAC" w:rsidP="00B30D42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8,58</w:t>
            </w:r>
            <w:r w:rsidR="009C484A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14:paraId="240C3643" w14:textId="77777777" w:rsidR="00AE6627" w:rsidRDefault="00AE6627" w:rsidP="00534EE9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DC65F2D" w14:textId="33DA768D" w:rsidR="00EF6A7E" w:rsidRDefault="00FD3B7B" w:rsidP="00534EE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84A">
        <w:rPr>
          <w:rFonts w:ascii="Times New Roman" w:hAnsi="Times New Roman"/>
          <w:sz w:val="28"/>
          <w:szCs w:val="28"/>
        </w:rPr>
        <w:t>5</w:t>
      </w:r>
      <w:r w:rsidR="00BD1209" w:rsidRPr="009C484A">
        <w:rPr>
          <w:rFonts w:ascii="Times New Roman" w:hAnsi="Times New Roman"/>
          <w:sz w:val="28"/>
          <w:szCs w:val="28"/>
        </w:rPr>
        <w:t>.</w:t>
      </w:r>
      <w:r w:rsidR="00B633FC" w:rsidRPr="009C484A">
        <w:rPr>
          <w:rFonts w:ascii="Times New Roman" w:hAnsi="Times New Roman"/>
          <w:sz w:val="28"/>
          <w:szCs w:val="28"/>
        </w:rPr>
        <w:t> </w:t>
      </w:r>
      <w:r w:rsidR="00EF6A7E" w:rsidRPr="009C484A">
        <w:rPr>
          <w:rFonts w:ascii="Times New Roman" w:hAnsi="Times New Roman"/>
          <w:sz w:val="28"/>
          <w:szCs w:val="28"/>
        </w:rPr>
        <w:t>P</w:t>
      </w:r>
      <w:r w:rsidR="00BD1209" w:rsidRPr="009C484A">
        <w:rPr>
          <w:rFonts w:ascii="Times New Roman" w:hAnsi="Times New Roman"/>
          <w:sz w:val="28"/>
          <w:szCs w:val="28"/>
        </w:rPr>
        <w:t>apildināt 2.</w:t>
      </w:r>
      <w:r w:rsidR="0023163C" w:rsidRPr="009C484A">
        <w:rPr>
          <w:rFonts w:ascii="Times New Roman" w:hAnsi="Times New Roman"/>
          <w:sz w:val="28"/>
          <w:szCs w:val="28"/>
        </w:rPr>
        <w:t> </w:t>
      </w:r>
      <w:r w:rsidR="00BD1209" w:rsidRPr="009C484A">
        <w:rPr>
          <w:rFonts w:ascii="Times New Roman" w:hAnsi="Times New Roman"/>
          <w:sz w:val="28"/>
          <w:szCs w:val="28"/>
        </w:rPr>
        <w:t>pielikumu ar ceturto piezīmi šādā redakcijā:</w:t>
      </w:r>
    </w:p>
    <w:p w14:paraId="660CB88F" w14:textId="77777777" w:rsidR="00534EE9" w:rsidRPr="009C484A" w:rsidRDefault="00534EE9" w:rsidP="00534EE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BFE0E77" w14:textId="12F215D4" w:rsidR="00FB3AF0" w:rsidRPr="009C484A" w:rsidRDefault="009C484A" w:rsidP="00534EE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84A">
        <w:rPr>
          <w:rFonts w:ascii="Times New Roman" w:hAnsi="Times New Roman"/>
          <w:sz w:val="28"/>
          <w:szCs w:val="28"/>
        </w:rPr>
        <w:t>"</w:t>
      </w:r>
      <w:r w:rsidR="00FA2B3C" w:rsidRPr="009C484A">
        <w:rPr>
          <w:rFonts w:ascii="Times New Roman" w:hAnsi="Times New Roman"/>
          <w:sz w:val="28"/>
          <w:szCs w:val="28"/>
          <w:vertAlign w:val="superscript"/>
        </w:rPr>
        <w:t>4</w:t>
      </w:r>
      <w:r w:rsidR="004C2942" w:rsidRPr="009C484A">
        <w:rPr>
          <w:rFonts w:ascii="Times New Roman" w:hAnsi="Times New Roman"/>
          <w:sz w:val="36"/>
          <w:szCs w:val="36"/>
        </w:rPr>
        <w:t> </w:t>
      </w:r>
      <w:r w:rsidR="00286F06" w:rsidRPr="009C484A">
        <w:rPr>
          <w:rFonts w:ascii="Times New Roman" w:hAnsi="Times New Roman"/>
          <w:sz w:val="28"/>
          <w:szCs w:val="28"/>
        </w:rPr>
        <w:t>P</w:t>
      </w:r>
      <w:r w:rsidR="00EA3F03" w:rsidRPr="009C484A">
        <w:rPr>
          <w:rFonts w:ascii="Times New Roman" w:hAnsi="Times New Roman"/>
          <w:sz w:val="28"/>
          <w:szCs w:val="28"/>
        </w:rPr>
        <w:t>akalpojumu sniedz rajon</w:t>
      </w:r>
      <w:r w:rsidR="00040E59" w:rsidRPr="009C484A">
        <w:rPr>
          <w:rFonts w:ascii="Times New Roman" w:hAnsi="Times New Roman"/>
          <w:sz w:val="28"/>
          <w:szCs w:val="28"/>
        </w:rPr>
        <w:t>a</w:t>
      </w:r>
      <w:r w:rsidR="00EA3F03" w:rsidRPr="009C484A">
        <w:rPr>
          <w:rFonts w:ascii="Times New Roman" w:hAnsi="Times New Roman"/>
          <w:sz w:val="28"/>
          <w:szCs w:val="28"/>
        </w:rPr>
        <w:t xml:space="preserve"> (pilsēt</w:t>
      </w:r>
      <w:r w:rsidR="00040E59" w:rsidRPr="009C484A">
        <w:rPr>
          <w:rFonts w:ascii="Times New Roman" w:hAnsi="Times New Roman"/>
          <w:sz w:val="28"/>
          <w:szCs w:val="28"/>
        </w:rPr>
        <w:t>as</w:t>
      </w:r>
      <w:r w:rsidR="00EA3F03" w:rsidRPr="009C484A">
        <w:rPr>
          <w:rFonts w:ascii="Times New Roman" w:hAnsi="Times New Roman"/>
          <w:sz w:val="28"/>
          <w:szCs w:val="28"/>
        </w:rPr>
        <w:t>) ties</w:t>
      </w:r>
      <w:r w:rsidR="00040E59" w:rsidRPr="009C484A">
        <w:rPr>
          <w:rFonts w:ascii="Times New Roman" w:hAnsi="Times New Roman"/>
          <w:sz w:val="28"/>
          <w:szCs w:val="28"/>
        </w:rPr>
        <w:t>as</w:t>
      </w:r>
      <w:r w:rsidR="00EA3F03" w:rsidRPr="009C484A">
        <w:rPr>
          <w:rFonts w:ascii="Times New Roman" w:hAnsi="Times New Roman"/>
          <w:sz w:val="28"/>
          <w:szCs w:val="28"/>
        </w:rPr>
        <w:t xml:space="preserve"> zemesgrāmatu nodaļa.</w:t>
      </w:r>
      <w:r w:rsidRPr="009C484A">
        <w:rPr>
          <w:rFonts w:ascii="Times New Roman" w:hAnsi="Times New Roman"/>
          <w:sz w:val="28"/>
          <w:szCs w:val="28"/>
        </w:rPr>
        <w:t>"</w:t>
      </w:r>
    </w:p>
    <w:p w14:paraId="0DD7EA6E" w14:textId="77777777" w:rsidR="009C484A" w:rsidRPr="009C484A" w:rsidRDefault="009C484A" w:rsidP="00534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494033" w14:textId="77777777" w:rsidR="009C484A" w:rsidRPr="009C484A" w:rsidRDefault="009C484A" w:rsidP="00534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30ADE2" w14:textId="77777777" w:rsidR="009C484A" w:rsidRPr="009C484A" w:rsidRDefault="009C484A" w:rsidP="00534E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8B8A45" w14:textId="77777777" w:rsidR="009C484A" w:rsidRPr="009C484A" w:rsidRDefault="009C484A" w:rsidP="00534EE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C484A">
        <w:rPr>
          <w:sz w:val="28"/>
          <w:szCs w:val="28"/>
        </w:rPr>
        <w:t>Ministru prezidents</w:t>
      </w:r>
      <w:r w:rsidRPr="009C484A">
        <w:rPr>
          <w:sz w:val="28"/>
          <w:szCs w:val="28"/>
        </w:rPr>
        <w:tab/>
        <w:t xml:space="preserve">Māris Kučinskis </w:t>
      </w:r>
    </w:p>
    <w:p w14:paraId="7A446ABB" w14:textId="77777777" w:rsidR="009C484A" w:rsidRPr="009C484A" w:rsidRDefault="009C484A" w:rsidP="00534EE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DBF76E7" w14:textId="77777777" w:rsidR="009C484A" w:rsidRPr="009C484A" w:rsidRDefault="009C484A" w:rsidP="00534EE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5415635" w14:textId="77777777" w:rsidR="009C484A" w:rsidRPr="009C484A" w:rsidRDefault="009C484A" w:rsidP="00534EE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695045F" w14:textId="77777777" w:rsidR="009C484A" w:rsidRPr="009C484A" w:rsidRDefault="009C484A" w:rsidP="00534EE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484A">
        <w:rPr>
          <w:rFonts w:ascii="Times New Roman" w:hAnsi="Times New Roman"/>
          <w:sz w:val="28"/>
          <w:szCs w:val="28"/>
        </w:rPr>
        <w:t>Tieslietu ministrs</w:t>
      </w:r>
      <w:r w:rsidRPr="009C484A">
        <w:rPr>
          <w:rFonts w:ascii="Times New Roman" w:hAnsi="Times New Roman"/>
          <w:sz w:val="28"/>
          <w:szCs w:val="28"/>
        </w:rPr>
        <w:tab/>
        <w:t>Dzintars Rasnačs</w:t>
      </w:r>
    </w:p>
    <w:sectPr w:rsidR="009C484A" w:rsidRPr="009C484A" w:rsidSect="00CA76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4E3E5" w14:textId="77777777" w:rsidR="0054517A" w:rsidRDefault="0054517A" w:rsidP="00FA2B3C">
      <w:pPr>
        <w:spacing w:after="0" w:line="240" w:lineRule="auto"/>
      </w:pPr>
      <w:r>
        <w:separator/>
      </w:r>
    </w:p>
  </w:endnote>
  <w:endnote w:type="continuationSeparator" w:id="0">
    <w:p w14:paraId="01931579" w14:textId="77777777" w:rsidR="0054517A" w:rsidRDefault="0054517A" w:rsidP="00FA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79D91" w14:textId="77777777" w:rsidR="00CA7603" w:rsidRPr="00CA7603" w:rsidRDefault="00CA7603" w:rsidP="00CA760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N1517_7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E9E0D" w14:textId="738F5C6B" w:rsidR="00CA7603" w:rsidRPr="00CA7603" w:rsidRDefault="00CA760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N1517_7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17CE7" w14:textId="77777777" w:rsidR="0054517A" w:rsidRDefault="0054517A" w:rsidP="00FA2B3C">
      <w:pPr>
        <w:spacing w:after="0" w:line="240" w:lineRule="auto"/>
      </w:pPr>
      <w:r>
        <w:separator/>
      </w:r>
    </w:p>
  </w:footnote>
  <w:footnote w:type="continuationSeparator" w:id="0">
    <w:p w14:paraId="68959533" w14:textId="77777777" w:rsidR="0054517A" w:rsidRDefault="0054517A" w:rsidP="00FA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6928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5DC0A2" w14:textId="0D7F174C" w:rsidR="00E1607C" w:rsidRDefault="00E1607C">
        <w:pPr>
          <w:pStyle w:val="Header"/>
          <w:jc w:val="center"/>
        </w:pPr>
        <w:r w:rsidRPr="00BD20D9">
          <w:rPr>
            <w:rFonts w:ascii="Times New Roman" w:hAnsi="Times New Roman"/>
            <w:sz w:val="24"/>
            <w:szCs w:val="24"/>
          </w:rPr>
          <w:fldChar w:fldCharType="begin"/>
        </w:r>
        <w:r w:rsidRPr="00BD20D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D20D9">
          <w:rPr>
            <w:rFonts w:ascii="Times New Roman" w:hAnsi="Times New Roman"/>
            <w:sz w:val="24"/>
            <w:szCs w:val="24"/>
          </w:rPr>
          <w:fldChar w:fldCharType="separate"/>
        </w:r>
        <w:r w:rsidR="00AD247F">
          <w:rPr>
            <w:rFonts w:ascii="Times New Roman" w:hAnsi="Times New Roman"/>
            <w:noProof/>
            <w:sz w:val="24"/>
            <w:szCs w:val="24"/>
          </w:rPr>
          <w:t>2</w:t>
        </w:r>
        <w:r w:rsidRPr="00BD20D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9E1EB28" w14:textId="77777777" w:rsidR="00E1607C" w:rsidRDefault="00E16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4B8EB" w14:textId="77777777" w:rsidR="00CA7603" w:rsidRDefault="00CA7603">
    <w:pPr>
      <w:pStyle w:val="Header"/>
      <w:rPr>
        <w:rFonts w:ascii="Times New Roman" w:hAnsi="Times New Roman"/>
        <w:sz w:val="24"/>
        <w:szCs w:val="24"/>
      </w:rPr>
    </w:pPr>
  </w:p>
  <w:p w14:paraId="45BC5D56" w14:textId="29EAD582" w:rsidR="00CA7603" w:rsidRPr="00CA7603" w:rsidRDefault="00CA7603">
    <w:pPr>
      <w:pStyle w:val="Header"/>
      <w:rPr>
        <w:rFonts w:ascii="Times New Roman" w:hAnsi="Times New Roman"/>
        <w:sz w:val="24"/>
        <w:szCs w:val="24"/>
      </w:rPr>
    </w:pPr>
    <w:r w:rsidRPr="00CA7603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310DA270" wp14:editId="4ACD3EC5">
          <wp:extent cx="5760085" cy="1038856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E40"/>
    <w:multiLevelType w:val="hybridMultilevel"/>
    <w:tmpl w:val="ED2682F2"/>
    <w:lvl w:ilvl="0" w:tplc="2060548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C218A3"/>
    <w:multiLevelType w:val="hybridMultilevel"/>
    <w:tmpl w:val="6668188A"/>
    <w:lvl w:ilvl="0" w:tplc="AFCA6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E9"/>
    <w:rsid w:val="00001308"/>
    <w:rsid w:val="00026C1C"/>
    <w:rsid w:val="00040E59"/>
    <w:rsid w:val="000A4759"/>
    <w:rsid w:val="000C56F8"/>
    <w:rsid w:val="000C645C"/>
    <w:rsid w:val="000D2BA4"/>
    <w:rsid w:val="00120F63"/>
    <w:rsid w:val="001C7465"/>
    <w:rsid w:val="0022284B"/>
    <w:rsid w:val="00230FC0"/>
    <w:rsid w:val="0023163C"/>
    <w:rsid w:val="00286F06"/>
    <w:rsid w:val="002B113B"/>
    <w:rsid w:val="002D333C"/>
    <w:rsid w:val="0030113A"/>
    <w:rsid w:val="003728A6"/>
    <w:rsid w:val="00384222"/>
    <w:rsid w:val="003954DE"/>
    <w:rsid w:val="003964F0"/>
    <w:rsid w:val="003A5B5D"/>
    <w:rsid w:val="004A04CF"/>
    <w:rsid w:val="004C2942"/>
    <w:rsid w:val="004C5948"/>
    <w:rsid w:val="004F6B18"/>
    <w:rsid w:val="00522CE2"/>
    <w:rsid w:val="00534B8B"/>
    <w:rsid w:val="00534EE9"/>
    <w:rsid w:val="0054517A"/>
    <w:rsid w:val="00570072"/>
    <w:rsid w:val="00593FB8"/>
    <w:rsid w:val="005B1227"/>
    <w:rsid w:val="005F5150"/>
    <w:rsid w:val="006119F7"/>
    <w:rsid w:val="00622EBE"/>
    <w:rsid w:val="00654EAC"/>
    <w:rsid w:val="0065573F"/>
    <w:rsid w:val="0069437F"/>
    <w:rsid w:val="006B3975"/>
    <w:rsid w:val="006D3C9B"/>
    <w:rsid w:val="00724992"/>
    <w:rsid w:val="00757427"/>
    <w:rsid w:val="00762902"/>
    <w:rsid w:val="007B1258"/>
    <w:rsid w:val="007B535E"/>
    <w:rsid w:val="008011BF"/>
    <w:rsid w:val="00801E92"/>
    <w:rsid w:val="00853C0D"/>
    <w:rsid w:val="00871B2D"/>
    <w:rsid w:val="008C5260"/>
    <w:rsid w:val="008D0E6F"/>
    <w:rsid w:val="009142D4"/>
    <w:rsid w:val="00920BAF"/>
    <w:rsid w:val="009C484A"/>
    <w:rsid w:val="009C4AA4"/>
    <w:rsid w:val="009E5B78"/>
    <w:rsid w:val="00A06500"/>
    <w:rsid w:val="00A744AC"/>
    <w:rsid w:val="00A95B2F"/>
    <w:rsid w:val="00AA4DBF"/>
    <w:rsid w:val="00AA5372"/>
    <w:rsid w:val="00AC6618"/>
    <w:rsid w:val="00AD247F"/>
    <w:rsid w:val="00AE6627"/>
    <w:rsid w:val="00B10E34"/>
    <w:rsid w:val="00B30D42"/>
    <w:rsid w:val="00B46DFC"/>
    <w:rsid w:val="00B633FC"/>
    <w:rsid w:val="00B77E83"/>
    <w:rsid w:val="00B92677"/>
    <w:rsid w:val="00B97A05"/>
    <w:rsid w:val="00BC4B1E"/>
    <w:rsid w:val="00BD1209"/>
    <w:rsid w:val="00BD1D75"/>
    <w:rsid w:val="00BD20D9"/>
    <w:rsid w:val="00BE108A"/>
    <w:rsid w:val="00BE7373"/>
    <w:rsid w:val="00BF4A83"/>
    <w:rsid w:val="00C009A4"/>
    <w:rsid w:val="00C01800"/>
    <w:rsid w:val="00C0789D"/>
    <w:rsid w:val="00C579D5"/>
    <w:rsid w:val="00C912A7"/>
    <w:rsid w:val="00CA7603"/>
    <w:rsid w:val="00CC59BE"/>
    <w:rsid w:val="00D22EDD"/>
    <w:rsid w:val="00D32798"/>
    <w:rsid w:val="00D51CBD"/>
    <w:rsid w:val="00D82BC0"/>
    <w:rsid w:val="00D95937"/>
    <w:rsid w:val="00DC6BA3"/>
    <w:rsid w:val="00E1607C"/>
    <w:rsid w:val="00E21D02"/>
    <w:rsid w:val="00E23B0F"/>
    <w:rsid w:val="00E36E1E"/>
    <w:rsid w:val="00E417E9"/>
    <w:rsid w:val="00E662C1"/>
    <w:rsid w:val="00E670E9"/>
    <w:rsid w:val="00EA3F03"/>
    <w:rsid w:val="00ED241E"/>
    <w:rsid w:val="00EE3775"/>
    <w:rsid w:val="00EF6A7E"/>
    <w:rsid w:val="00F13C54"/>
    <w:rsid w:val="00F329BB"/>
    <w:rsid w:val="00F43107"/>
    <w:rsid w:val="00F45398"/>
    <w:rsid w:val="00F519FA"/>
    <w:rsid w:val="00F60F14"/>
    <w:rsid w:val="00F97E48"/>
    <w:rsid w:val="00FA1FF3"/>
    <w:rsid w:val="00FA2B3C"/>
    <w:rsid w:val="00FB3AF0"/>
    <w:rsid w:val="00FD3B7B"/>
    <w:rsid w:val="00FE0AB7"/>
    <w:rsid w:val="00FE5F80"/>
    <w:rsid w:val="00FF4B59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04E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E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E5F8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FE5F80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FE5F80"/>
    <w:pPr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00"/>
    <w:rPr>
      <w:rFonts w:ascii="Tahoma" w:eastAsia="Calibri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B97A05"/>
    <w:pPr>
      <w:ind w:left="720"/>
      <w:contextualSpacing/>
    </w:pPr>
  </w:style>
  <w:style w:type="table" w:styleId="TableGrid">
    <w:name w:val="Table Grid"/>
    <w:basedOn w:val="TableNormal"/>
    <w:uiPriority w:val="59"/>
    <w:rsid w:val="00B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6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C1C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C1C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FA2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3C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FA2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3C"/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E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E5F8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FE5F80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FE5F80"/>
    <w:pPr>
      <w:spacing w:after="567" w:line="360" w:lineRule="auto"/>
      <w:jc w:val="center"/>
    </w:pPr>
    <w:rPr>
      <w:rFonts w:ascii="Verdana" w:eastAsia="Times New Roman" w:hAnsi="Verdana"/>
      <w:b/>
      <w:b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00"/>
    <w:rPr>
      <w:rFonts w:ascii="Tahoma" w:eastAsia="Calibri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B97A05"/>
    <w:pPr>
      <w:ind w:left="720"/>
      <w:contextualSpacing/>
    </w:pPr>
  </w:style>
  <w:style w:type="table" w:styleId="TableGrid">
    <w:name w:val="Table Grid"/>
    <w:basedOn w:val="TableNormal"/>
    <w:uiPriority w:val="59"/>
    <w:rsid w:val="00B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6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C1C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C1C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FA2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3C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FA2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3C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1E0BF-8F7E-4966-8F0B-F265A186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1253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 gada 19. februāra noteikumos Nr. 96 "Noteikumi par tiesas sniegtajiem maksas pakalpojumiem"</vt:lpstr>
      <vt:lpstr>Grozījumi Ministru kabineta 2013. gada 19. februāra noteikumos Nr. 96 "Noteikumi par tiesas sniegtajiem maksas pakalpojumiem"</vt:lpstr>
    </vt:vector>
  </TitlesOfParts>
  <Company>Tieslietu ministrija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19. februāra noteikumos Nr. 96 "Noteikumi par tiesas sniegtajiem maksas pakalpojumiem"</dc:title>
  <dc:subject>Noteikumu projekts</dc:subject>
  <dc:creator>Olita Āboliņa</dc:creator>
  <dc:description>67063811, olita.abolina@ta.gov.lv</dc:description>
  <cp:lastModifiedBy>Leontīne Babkina</cp:lastModifiedBy>
  <cp:revision>8</cp:revision>
  <cp:lastPrinted>2017-07-24T11:24:00Z</cp:lastPrinted>
  <dcterms:created xsi:type="dcterms:W3CDTF">2017-07-13T07:28:00Z</dcterms:created>
  <dcterms:modified xsi:type="dcterms:W3CDTF">2017-08-09T08:33:00Z</dcterms:modified>
</cp:coreProperties>
</file>