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1DC" w:rsidRPr="00E322BE" w:rsidRDefault="00AD61DC" w:rsidP="00AD61DC">
      <w:pPr>
        <w:jc w:val="right"/>
        <w:rPr>
          <w:i/>
          <w:sz w:val="28"/>
          <w:szCs w:val="28"/>
          <w:lang w:val="lv-LV"/>
        </w:rPr>
      </w:pPr>
      <w:r w:rsidRPr="00E322BE">
        <w:rPr>
          <w:i/>
          <w:sz w:val="28"/>
          <w:szCs w:val="28"/>
          <w:lang w:val="lv-LV"/>
        </w:rPr>
        <w:t>Projekts</w:t>
      </w:r>
    </w:p>
    <w:p w:rsidR="004D0C20" w:rsidRPr="00E322BE" w:rsidRDefault="004D0C20" w:rsidP="00AD61DC">
      <w:pPr>
        <w:jc w:val="right"/>
        <w:rPr>
          <w:sz w:val="28"/>
          <w:szCs w:val="28"/>
          <w:lang w:val="lv-LV"/>
        </w:rPr>
      </w:pPr>
    </w:p>
    <w:p w:rsidR="004D0C20" w:rsidRPr="00E322BE" w:rsidRDefault="004D0C20">
      <w:pPr>
        <w:rPr>
          <w:sz w:val="28"/>
          <w:szCs w:val="28"/>
          <w:lang w:val="lv-LV"/>
        </w:rPr>
      </w:pPr>
    </w:p>
    <w:tbl>
      <w:tblPr>
        <w:tblW w:w="9236" w:type="dxa"/>
        <w:tblInd w:w="108" w:type="dxa"/>
        <w:tblLook w:val="04A0" w:firstRow="1" w:lastRow="0" w:firstColumn="1" w:lastColumn="0" w:noHBand="0" w:noVBand="1"/>
      </w:tblPr>
      <w:tblGrid>
        <w:gridCol w:w="4040"/>
        <w:gridCol w:w="898"/>
        <w:gridCol w:w="4298"/>
      </w:tblGrid>
      <w:tr w:rsidR="00B2548D" w:rsidRPr="00E322BE" w:rsidTr="00135B2C">
        <w:trPr>
          <w:cantSplit/>
        </w:trPr>
        <w:tc>
          <w:tcPr>
            <w:tcW w:w="4040" w:type="dxa"/>
            <w:hideMark/>
          </w:tcPr>
          <w:p w:rsidR="00B2548D" w:rsidRPr="00E322BE" w:rsidRDefault="00C95100" w:rsidP="00135B2C">
            <w:pPr>
              <w:jc w:val="both"/>
              <w:rPr>
                <w:sz w:val="28"/>
                <w:szCs w:val="28"/>
                <w:lang w:val="lv-LV"/>
              </w:rPr>
            </w:pPr>
            <w:r w:rsidRPr="00E322BE">
              <w:rPr>
                <w:sz w:val="28"/>
                <w:szCs w:val="28"/>
                <w:lang w:val="lv-LV"/>
              </w:rPr>
              <w:t>Rīgā</w:t>
            </w:r>
          </w:p>
        </w:tc>
        <w:tc>
          <w:tcPr>
            <w:tcW w:w="898" w:type="dxa"/>
            <w:hideMark/>
          </w:tcPr>
          <w:p w:rsidR="00B2548D" w:rsidRPr="00E322BE" w:rsidRDefault="00C95100" w:rsidP="00215FA3">
            <w:pPr>
              <w:jc w:val="center"/>
              <w:rPr>
                <w:sz w:val="28"/>
                <w:szCs w:val="28"/>
                <w:lang w:val="lv-LV"/>
              </w:rPr>
            </w:pPr>
            <w:r w:rsidRPr="00E322BE">
              <w:rPr>
                <w:sz w:val="28"/>
                <w:szCs w:val="28"/>
                <w:lang w:val="lv-LV"/>
              </w:rPr>
              <w:t>Nr.</w:t>
            </w:r>
          </w:p>
        </w:tc>
        <w:tc>
          <w:tcPr>
            <w:tcW w:w="4298" w:type="dxa"/>
            <w:hideMark/>
          </w:tcPr>
          <w:p w:rsidR="00B2548D" w:rsidRPr="00E322BE" w:rsidRDefault="00C95100" w:rsidP="004D0C20">
            <w:pPr>
              <w:jc w:val="right"/>
              <w:rPr>
                <w:sz w:val="28"/>
                <w:szCs w:val="28"/>
                <w:lang w:val="lv-LV"/>
              </w:rPr>
            </w:pPr>
            <w:r w:rsidRPr="00E322BE">
              <w:rPr>
                <w:sz w:val="28"/>
                <w:szCs w:val="28"/>
                <w:lang w:val="lv-LV"/>
              </w:rPr>
              <w:t>201</w:t>
            </w:r>
            <w:r w:rsidR="00160000" w:rsidRPr="00E322BE">
              <w:rPr>
                <w:sz w:val="28"/>
                <w:szCs w:val="28"/>
                <w:lang w:val="lv-LV"/>
              </w:rPr>
              <w:t>7</w:t>
            </w:r>
            <w:r w:rsidRPr="00E322BE">
              <w:rPr>
                <w:sz w:val="28"/>
                <w:szCs w:val="28"/>
                <w:lang w:val="lv-LV"/>
              </w:rPr>
              <w:t>.</w:t>
            </w:r>
            <w:r w:rsidR="004D0C20" w:rsidRPr="00E322BE">
              <w:rPr>
                <w:sz w:val="28"/>
                <w:szCs w:val="28"/>
                <w:lang w:val="lv-LV"/>
              </w:rPr>
              <w:t> </w:t>
            </w:r>
            <w:r w:rsidRPr="00E322BE">
              <w:rPr>
                <w:sz w:val="28"/>
                <w:szCs w:val="28"/>
                <w:lang w:val="lv-LV"/>
              </w:rPr>
              <w:t xml:space="preserve">gada </w:t>
            </w:r>
            <w:r w:rsidR="004D0C20" w:rsidRPr="00E322BE">
              <w:rPr>
                <w:sz w:val="28"/>
                <w:szCs w:val="28"/>
                <w:lang w:val="lv-LV"/>
              </w:rPr>
              <w:t>…</w:t>
            </w:r>
          </w:p>
        </w:tc>
      </w:tr>
    </w:tbl>
    <w:p w:rsidR="00B2548D" w:rsidRPr="00E322BE" w:rsidRDefault="00B2548D">
      <w:pPr>
        <w:jc w:val="both"/>
        <w:rPr>
          <w:sz w:val="28"/>
          <w:szCs w:val="28"/>
          <w:lang w:val="lv-LV"/>
        </w:rPr>
      </w:pPr>
    </w:p>
    <w:p w:rsidR="00B2548D" w:rsidRPr="00E322BE" w:rsidRDefault="00B2548D">
      <w:pPr>
        <w:jc w:val="both"/>
        <w:rPr>
          <w:sz w:val="28"/>
          <w:szCs w:val="28"/>
          <w:lang w:val="lv-LV"/>
        </w:rPr>
      </w:pPr>
    </w:p>
    <w:p w:rsidR="00B2548D" w:rsidRPr="00E322BE" w:rsidRDefault="004D0C20">
      <w:pPr>
        <w:jc w:val="center"/>
        <w:rPr>
          <w:sz w:val="28"/>
          <w:szCs w:val="28"/>
          <w:lang w:val="lv-LV"/>
        </w:rPr>
      </w:pPr>
      <w:r w:rsidRPr="00E322BE">
        <w:rPr>
          <w:b/>
          <w:bCs/>
          <w:sz w:val="28"/>
          <w:szCs w:val="28"/>
          <w:lang w:val="lv-LV"/>
        </w:rPr>
        <w:t> </w:t>
      </w:r>
      <w:r w:rsidR="00C95100" w:rsidRPr="00E322BE">
        <w:rPr>
          <w:b/>
          <w:bCs/>
          <w:sz w:val="28"/>
          <w:szCs w:val="28"/>
          <w:lang w:val="lv-LV"/>
        </w:rPr>
        <w:t>.</w:t>
      </w:r>
      <w:r w:rsidR="004E0FE4" w:rsidRPr="00E322BE">
        <w:rPr>
          <w:b/>
          <w:bCs/>
          <w:sz w:val="28"/>
          <w:szCs w:val="28"/>
          <w:lang w:val="lv-LV"/>
        </w:rPr>
        <w:t> </w:t>
      </w:r>
      <w:r w:rsidR="00C95100" w:rsidRPr="00E322BE">
        <w:rPr>
          <w:b/>
          <w:bCs/>
          <w:sz w:val="28"/>
          <w:szCs w:val="28"/>
          <w:lang w:val="lv-LV"/>
        </w:rPr>
        <w:t>§</w:t>
      </w:r>
    </w:p>
    <w:p w:rsidR="00B2548D" w:rsidRPr="00E322BE" w:rsidRDefault="00B2548D">
      <w:pPr>
        <w:rPr>
          <w:sz w:val="28"/>
          <w:szCs w:val="28"/>
          <w:lang w:val="lv-LV"/>
        </w:rPr>
      </w:pPr>
    </w:p>
    <w:p w:rsidR="00B2548D" w:rsidRPr="00E322BE" w:rsidRDefault="00160000">
      <w:pPr>
        <w:jc w:val="center"/>
        <w:rPr>
          <w:sz w:val="28"/>
          <w:szCs w:val="28"/>
          <w:lang w:val="lv-LV"/>
        </w:rPr>
      </w:pPr>
      <w:r w:rsidRPr="00E322BE">
        <w:rPr>
          <w:b/>
          <w:sz w:val="28"/>
          <w:szCs w:val="28"/>
          <w:lang w:val="lv-LV"/>
        </w:rPr>
        <w:t>Par atbildīgo ministriju kompetences sadalījumu par Ministru kabi</w:t>
      </w:r>
      <w:r w:rsidR="002B2DCE" w:rsidRPr="00E322BE">
        <w:rPr>
          <w:b/>
          <w:sz w:val="28"/>
          <w:szCs w:val="28"/>
          <w:lang w:val="lv-LV"/>
        </w:rPr>
        <w:t>neta noteikumiem, kas jāizdod</w:t>
      </w:r>
      <w:r w:rsidRPr="00E322BE">
        <w:rPr>
          <w:b/>
          <w:sz w:val="28"/>
          <w:szCs w:val="28"/>
          <w:lang w:val="lv-LV"/>
        </w:rPr>
        <w:t xml:space="preserve"> uz Administratīvo pārkāpumu procesa likuma pamata</w:t>
      </w:r>
    </w:p>
    <w:p w:rsidR="00B2548D" w:rsidRPr="00E322BE" w:rsidRDefault="00C95100">
      <w:pPr>
        <w:pStyle w:val="Pamatteksts"/>
      </w:pPr>
      <w:r w:rsidRPr="00E322BE">
        <w:t>___________________________________________________________</w:t>
      </w:r>
    </w:p>
    <w:p w:rsidR="00B2548D" w:rsidRPr="00E322BE" w:rsidRDefault="00C95100">
      <w:pPr>
        <w:pStyle w:val="Pamatteksts"/>
        <w:rPr>
          <w:b w:val="0"/>
        </w:rPr>
      </w:pPr>
      <w:r w:rsidRPr="00E322BE">
        <w:rPr>
          <w:b w:val="0"/>
        </w:rPr>
        <w:t>(</w:t>
      </w:r>
      <w:r w:rsidR="004D0C20" w:rsidRPr="00E322BE">
        <w:rPr>
          <w:b w:val="0"/>
        </w:rPr>
        <w:t>…</w:t>
      </w:r>
      <w:r w:rsidRPr="00E322BE">
        <w:rPr>
          <w:b w:val="0"/>
        </w:rPr>
        <w:t>)</w:t>
      </w:r>
    </w:p>
    <w:p w:rsidR="00B2548D" w:rsidRPr="00E322BE" w:rsidRDefault="00B2548D" w:rsidP="00BB278B">
      <w:pPr>
        <w:pStyle w:val="Pamatteksts"/>
        <w:ind w:firstLine="709"/>
        <w:jc w:val="left"/>
        <w:rPr>
          <w:b w:val="0"/>
        </w:rPr>
      </w:pPr>
    </w:p>
    <w:p w:rsidR="00B2548D" w:rsidRPr="00E322BE" w:rsidRDefault="00160000" w:rsidP="00BB278B">
      <w:pPr>
        <w:ind w:firstLine="709"/>
        <w:jc w:val="both"/>
        <w:rPr>
          <w:rStyle w:val="spelle"/>
          <w:sz w:val="28"/>
          <w:szCs w:val="28"/>
          <w:lang w:val="lv-LV"/>
        </w:rPr>
      </w:pPr>
      <w:r w:rsidRPr="00E322BE">
        <w:rPr>
          <w:rStyle w:val="spelle"/>
          <w:sz w:val="28"/>
          <w:szCs w:val="28"/>
          <w:lang w:val="lv-LV"/>
        </w:rPr>
        <w:t xml:space="preserve">Valsts sekretāriem </w:t>
      </w:r>
      <w:r w:rsidR="00E366F9" w:rsidRPr="00E322BE">
        <w:rPr>
          <w:rStyle w:val="spelle"/>
          <w:sz w:val="28"/>
          <w:szCs w:val="28"/>
          <w:lang w:val="lv-LV"/>
        </w:rPr>
        <w:t xml:space="preserve">līdz 2018. gada 1. martam </w:t>
      </w:r>
      <w:r w:rsidRPr="00E322BE">
        <w:rPr>
          <w:rStyle w:val="spelle"/>
          <w:sz w:val="28"/>
          <w:szCs w:val="28"/>
          <w:lang w:val="lv-LV"/>
        </w:rPr>
        <w:t xml:space="preserve">iesniegt izsludināšanai Valsts sekretāru sanāksmē Ministru kabineta noteikumu projektus, kas jāizdod uz Administratīvo pārkāpumu procesa likuma </w:t>
      </w:r>
      <w:r w:rsidR="00E366F9" w:rsidRPr="00E322BE">
        <w:rPr>
          <w:rStyle w:val="spelle"/>
          <w:sz w:val="28"/>
          <w:szCs w:val="28"/>
          <w:lang w:val="lv-LV"/>
        </w:rPr>
        <w:t>(turpmāk </w:t>
      </w:r>
      <w:r w:rsidR="004941E9" w:rsidRPr="00E322BE">
        <w:rPr>
          <w:rStyle w:val="spelle"/>
          <w:sz w:val="28"/>
          <w:szCs w:val="28"/>
          <w:lang w:val="lv-LV"/>
        </w:rPr>
        <w:t xml:space="preserve">– likums) </w:t>
      </w:r>
      <w:r w:rsidRPr="00E322BE">
        <w:rPr>
          <w:rStyle w:val="spelle"/>
          <w:sz w:val="28"/>
          <w:szCs w:val="28"/>
          <w:lang w:val="lv-LV"/>
        </w:rPr>
        <w:t>pamata, atbilstoši zemāk norādītajam kompetences sadalījumam.</w:t>
      </w:r>
    </w:p>
    <w:p w:rsidR="00B2548D" w:rsidRPr="00E322BE" w:rsidRDefault="00B2548D" w:rsidP="00BB278B">
      <w:pPr>
        <w:ind w:firstLine="709"/>
        <w:rPr>
          <w:rStyle w:val="spelle"/>
          <w:bCs/>
          <w:sz w:val="28"/>
          <w:szCs w:val="28"/>
          <w:lang w:val="lv-LV"/>
        </w:rPr>
      </w:pPr>
    </w:p>
    <w:tbl>
      <w:tblPr>
        <w:tblStyle w:val="Reatabula"/>
        <w:tblW w:w="9351" w:type="dxa"/>
        <w:tblLook w:val="04A0" w:firstRow="1" w:lastRow="0" w:firstColumn="1" w:lastColumn="0" w:noHBand="0" w:noVBand="1"/>
      </w:tblPr>
      <w:tblGrid>
        <w:gridCol w:w="5382"/>
        <w:gridCol w:w="2126"/>
        <w:gridCol w:w="1843"/>
      </w:tblGrid>
      <w:tr w:rsidR="00160000" w:rsidRPr="00E322BE" w:rsidTr="00215FA3">
        <w:tc>
          <w:tcPr>
            <w:tcW w:w="5382" w:type="dxa"/>
          </w:tcPr>
          <w:p w:rsidR="00160000" w:rsidRPr="00E322BE" w:rsidRDefault="00160000" w:rsidP="00160000">
            <w:pPr>
              <w:jc w:val="center"/>
              <w:rPr>
                <w:rFonts w:ascii="Times New Roman" w:hAnsi="Times New Roman" w:cs="Times New Roman"/>
                <w:sz w:val="28"/>
                <w:szCs w:val="28"/>
                <w:lang w:val="lv-LV"/>
              </w:rPr>
            </w:pPr>
            <w:r w:rsidRPr="00E322BE">
              <w:rPr>
                <w:rFonts w:ascii="Times New Roman" w:hAnsi="Times New Roman" w:cs="Times New Roman"/>
                <w:sz w:val="28"/>
                <w:szCs w:val="28"/>
                <w:lang w:val="lv-LV"/>
              </w:rPr>
              <w:t xml:space="preserve">Pilnvarojums </w:t>
            </w:r>
            <w:r w:rsidR="004941E9" w:rsidRPr="00E322BE">
              <w:rPr>
                <w:rFonts w:ascii="Times New Roman" w:hAnsi="Times New Roman" w:cs="Times New Roman"/>
                <w:sz w:val="28"/>
                <w:szCs w:val="28"/>
                <w:lang w:val="lv-LV"/>
              </w:rPr>
              <w:t>likumā</w:t>
            </w:r>
          </w:p>
        </w:tc>
        <w:tc>
          <w:tcPr>
            <w:tcW w:w="2126" w:type="dxa"/>
          </w:tcPr>
          <w:p w:rsidR="00160000" w:rsidRPr="00E322BE" w:rsidRDefault="004941E9" w:rsidP="00160000">
            <w:pPr>
              <w:jc w:val="center"/>
              <w:rPr>
                <w:rFonts w:ascii="Times New Roman" w:hAnsi="Times New Roman" w:cs="Times New Roman"/>
                <w:sz w:val="28"/>
                <w:szCs w:val="28"/>
                <w:lang w:val="lv-LV"/>
              </w:rPr>
            </w:pPr>
            <w:r w:rsidRPr="00E322BE">
              <w:rPr>
                <w:rFonts w:ascii="Times New Roman" w:hAnsi="Times New Roman" w:cs="Times New Roman"/>
                <w:sz w:val="28"/>
                <w:szCs w:val="28"/>
                <w:lang w:val="lv-LV"/>
              </w:rPr>
              <w:t>Likuma</w:t>
            </w:r>
            <w:r w:rsidR="00160000" w:rsidRPr="00E322BE">
              <w:rPr>
                <w:rFonts w:ascii="Times New Roman" w:hAnsi="Times New Roman" w:cs="Times New Roman"/>
                <w:sz w:val="28"/>
                <w:szCs w:val="28"/>
                <w:lang w:val="lv-LV"/>
              </w:rPr>
              <w:t xml:space="preserve"> tiesību norma, uz kuras pamata jāizdod </w:t>
            </w:r>
            <w:r w:rsidR="00215FA3" w:rsidRPr="00E322BE">
              <w:rPr>
                <w:rFonts w:ascii="Times New Roman" w:hAnsi="Times New Roman" w:cs="Times New Roman"/>
                <w:sz w:val="28"/>
                <w:szCs w:val="28"/>
                <w:lang w:val="lv-LV"/>
              </w:rPr>
              <w:t xml:space="preserve">Ministru kabineta </w:t>
            </w:r>
            <w:r w:rsidR="00160000" w:rsidRPr="00E322BE">
              <w:rPr>
                <w:rFonts w:ascii="Times New Roman" w:hAnsi="Times New Roman" w:cs="Times New Roman"/>
                <w:sz w:val="28"/>
                <w:szCs w:val="28"/>
                <w:lang w:val="lv-LV"/>
              </w:rPr>
              <w:t>noteikumi</w:t>
            </w:r>
          </w:p>
        </w:tc>
        <w:tc>
          <w:tcPr>
            <w:tcW w:w="1843" w:type="dxa"/>
          </w:tcPr>
          <w:p w:rsidR="00160000" w:rsidRPr="00E322BE" w:rsidRDefault="00160000" w:rsidP="00160000">
            <w:pPr>
              <w:jc w:val="center"/>
              <w:rPr>
                <w:rFonts w:ascii="Times New Roman" w:hAnsi="Times New Roman" w:cs="Times New Roman"/>
                <w:sz w:val="28"/>
                <w:szCs w:val="28"/>
                <w:lang w:val="lv-LV"/>
              </w:rPr>
            </w:pPr>
            <w:r w:rsidRPr="00E322BE">
              <w:rPr>
                <w:rFonts w:ascii="Times New Roman" w:hAnsi="Times New Roman" w:cs="Times New Roman"/>
                <w:sz w:val="28"/>
                <w:szCs w:val="28"/>
                <w:lang w:val="lv-LV"/>
              </w:rPr>
              <w:t>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pacing w:val="-2"/>
                <w:sz w:val="28"/>
                <w:szCs w:val="28"/>
                <w:lang w:val="lv-LV"/>
              </w:rPr>
            </w:pPr>
            <w:r w:rsidRPr="00E322BE">
              <w:rPr>
                <w:rFonts w:ascii="Times New Roman" w:hAnsi="Times New Roman" w:cs="Times New Roman"/>
                <w:spacing w:val="-2"/>
                <w:sz w:val="28"/>
                <w:szCs w:val="28"/>
                <w:lang w:val="lv-LV"/>
              </w:rPr>
              <w:t>Ministru kabinets nosaka kārtību, kādā nodod glabāšanā izņemto mantu vai dokumentus, kā arī institūcijas, kurām nodod glabāšan</w:t>
            </w:r>
            <w:r w:rsidR="004941E9" w:rsidRPr="00E322BE">
              <w:rPr>
                <w:rFonts w:ascii="Times New Roman" w:hAnsi="Times New Roman" w:cs="Times New Roman"/>
                <w:spacing w:val="-2"/>
                <w:sz w:val="28"/>
                <w:szCs w:val="28"/>
                <w:lang w:val="lv-LV"/>
              </w:rPr>
              <w:t>ā izņemto mantu vai dokumentus.</w:t>
            </w:r>
          </w:p>
          <w:p w:rsidR="002B2DCE" w:rsidRPr="00E322BE" w:rsidRDefault="002B2DCE" w:rsidP="004941E9">
            <w:pPr>
              <w:jc w:val="both"/>
              <w:rPr>
                <w:rFonts w:ascii="Times New Roman" w:hAnsi="Times New Roman" w:cs="Times New Roman"/>
                <w:spacing w:val="-2"/>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101. </w:t>
            </w:r>
            <w:r w:rsidR="00160000" w:rsidRPr="00E322BE">
              <w:rPr>
                <w:rFonts w:ascii="Times New Roman" w:hAnsi="Times New Roman" w:cs="Times New Roman"/>
                <w:sz w:val="28"/>
                <w:szCs w:val="28"/>
                <w:lang w:val="lv-LV"/>
              </w:rPr>
              <w:t>panta ceturtā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Ministru kabinets nosaka kārtību, kādā amatpersona pieņem lēmumu par mantu nodošanu realizācijai vai iznīcināšanai un kādā veicama šo mant</w:t>
            </w:r>
            <w:r w:rsidR="004941E9" w:rsidRPr="00E322BE">
              <w:rPr>
                <w:rFonts w:ascii="Times New Roman" w:hAnsi="Times New Roman" w:cs="Times New Roman"/>
                <w:sz w:val="28"/>
                <w:szCs w:val="28"/>
                <w:lang w:val="lv-LV"/>
              </w:rPr>
              <w:t>u realizācija vai iznīcināšana.</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101. </w:t>
            </w:r>
            <w:r w:rsidR="00160000" w:rsidRPr="00E322BE">
              <w:rPr>
                <w:rFonts w:ascii="Times New Roman" w:hAnsi="Times New Roman" w:cs="Times New Roman"/>
                <w:sz w:val="28"/>
                <w:szCs w:val="28"/>
                <w:lang w:val="lv-LV"/>
              </w:rPr>
              <w:t>panta piektā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160000">
            <w:pPr>
              <w:jc w:val="both"/>
              <w:rPr>
                <w:rFonts w:ascii="Times New Roman" w:hAnsi="Times New Roman" w:cs="Times New Roman"/>
                <w:spacing w:val="-2"/>
                <w:sz w:val="28"/>
                <w:szCs w:val="28"/>
                <w:lang w:val="lv-LV"/>
              </w:rPr>
            </w:pPr>
            <w:r w:rsidRPr="00E322BE">
              <w:rPr>
                <w:rFonts w:ascii="Times New Roman" w:hAnsi="Times New Roman" w:cs="Times New Roman"/>
                <w:spacing w:val="-2"/>
                <w:sz w:val="28"/>
                <w:szCs w:val="28"/>
                <w:lang w:val="lv-LV"/>
              </w:rPr>
              <w:t>Ministru kabinets nosaka kārtību, kādā realizēto vai iznīcināto mantu tās īpašniekam atlīdzina</w:t>
            </w:r>
            <w:proofErr w:type="gramStart"/>
            <w:r w:rsidRPr="00E322BE">
              <w:rPr>
                <w:rFonts w:ascii="Times New Roman" w:hAnsi="Times New Roman" w:cs="Times New Roman"/>
                <w:spacing w:val="-2"/>
                <w:sz w:val="28"/>
                <w:szCs w:val="28"/>
                <w:lang w:val="lv-LV"/>
              </w:rPr>
              <w:t xml:space="preserve"> vai aizvieto ar tādu pašu un tādas pašas kvalitātes mantu vai arī samaksā vērtību, kāda realizētajai vai iznīcinātajai mantai būtu bijusi atlīdzināšanas brīdī</w:t>
            </w:r>
            <w:proofErr w:type="gramEnd"/>
            <w:r w:rsidRPr="00E322BE">
              <w:rPr>
                <w:rFonts w:ascii="Times New Roman" w:hAnsi="Times New Roman" w:cs="Times New Roman"/>
                <w:spacing w:val="-2"/>
                <w:sz w:val="28"/>
                <w:szCs w:val="28"/>
                <w:lang w:val="lv-LV"/>
              </w:rPr>
              <w:t xml:space="preserve">. </w:t>
            </w:r>
          </w:p>
          <w:p w:rsidR="002B2DCE" w:rsidRPr="00E322BE" w:rsidRDefault="002B2DCE" w:rsidP="00160000">
            <w:pPr>
              <w:jc w:val="both"/>
              <w:rPr>
                <w:rFonts w:ascii="Times New Roman" w:hAnsi="Times New Roman" w:cs="Times New Roman"/>
                <w:spacing w:val="-2"/>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101. </w:t>
            </w:r>
            <w:r w:rsidR="00160000" w:rsidRPr="00E322BE">
              <w:rPr>
                <w:rFonts w:ascii="Times New Roman" w:hAnsi="Times New Roman" w:cs="Times New Roman"/>
                <w:sz w:val="28"/>
                <w:szCs w:val="28"/>
                <w:lang w:val="lv-LV"/>
              </w:rPr>
              <w:t>panta septītā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2B2DC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lastRenderedPageBreak/>
              <w:t xml:space="preserve">Ministru kabinets nosaka prasības attiecībā uz mēraparātu, ar kuru pārbauda personas izelpas gaisu. </w:t>
            </w:r>
          </w:p>
          <w:p w:rsidR="006D6F6F" w:rsidRPr="00E322BE" w:rsidRDefault="006D6F6F"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102. </w:t>
            </w:r>
            <w:r w:rsidR="00160000" w:rsidRPr="00E322BE">
              <w:rPr>
                <w:rFonts w:ascii="Times New Roman" w:hAnsi="Times New Roman" w:cs="Times New Roman"/>
                <w:sz w:val="28"/>
                <w:szCs w:val="28"/>
                <w:lang w:val="lv-LV"/>
              </w:rPr>
              <w:t>panta trešā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Veselības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 xml:space="preserve">Kārtību, </w:t>
            </w:r>
            <w:proofErr w:type="gramStart"/>
            <w:r w:rsidRPr="00E322BE">
              <w:rPr>
                <w:rFonts w:ascii="Times New Roman" w:hAnsi="Times New Roman" w:cs="Times New Roman"/>
                <w:sz w:val="28"/>
                <w:szCs w:val="28"/>
                <w:lang w:val="lv-LV"/>
              </w:rPr>
              <w:t>kādā nosakāma alkohola koncentrācija</w:t>
            </w:r>
            <w:proofErr w:type="gramEnd"/>
            <w:r w:rsidRPr="00E322BE">
              <w:rPr>
                <w:rFonts w:ascii="Times New Roman" w:hAnsi="Times New Roman" w:cs="Times New Roman"/>
                <w:sz w:val="28"/>
                <w:szCs w:val="28"/>
                <w:lang w:val="lv-LV"/>
              </w:rPr>
              <w:t xml:space="preserve"> izelpas gaisā, kā arī alkohola, narkotisko vai citu apreibinošo vielu ietekmes vai reibuma konstatēšanas (ekspertīzes) kā</w:t>
            </w:r>
            <w:r w:rsidR="004941E9" w:rsidRPr="00E322BE">
              <w:rPr>
                <w:rFonts w:ascii="Times New Roman" w:hAnsi="Times New Roman" w:cs="Times New Roman"/>
                <w:sz w:val="28"/>
                <w:szCs w:val="28"/>
                <w:lang w:val="lv-LV"/>
              </w:rPr>
              <w:t>rtību nosaka Ministru kabinets.</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102. </w:t>
            </w:r>
            <w:r w:rsidR="00160000" w:rsidRPr="00E322BE">
              <w:rPr>
                <w:rFonts w:ascii="Times New Roman" w:hAnsi="Times New Roman" w:cs="Times New Roman"/>
                <w:sz w:val="28"/>
                <w:szCs w:val="28"/>
                <w:lang w:val="lv-LV"/>
              </w:rPr>
              <w:t>panta piektā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Veselības ministrija</w:t>
            </w:r>
          </w:p>
        </w:tc>
      </w:tr>
      <w:tr w:rsidR="00160000" w:rsidRPr="00E322BE" w:rsidTr="00215FA3">
        <w:tc>
          <w:tcPr>
            <w:tcW w:w="5382" w:type="dxa"/>
          </w:tcPr>
          <w:p w:rsidR="00160000" w:rsidRPr="00E322BE" w:rsidRDefault="00160000" w:rsidP="00160000">
            <w:pPr>
              <w:jc w:val="both"/>
              <w:rPr>
                <w:rFonts w:ascii="Times New Roman" w:hAnsi="Times New Roman" w:cs="Times New Roman"/>
                <w:sz w:val="28"/>
                <w:szCs w:val="28"/>
                <w:lang w:val="lv-LV"/>
              </w:rPr>
            </w:pPr>
            <w:bookmarkStart w:id="0" w:name="_GoBack"/>
            <w:bookmarkEnd w:id="0"/>
            <w:r w:rsidRPr="00E322BE">
              <w:rPr>
                <w:rFonts w:ascii="Times New Roman" w:hAnsi="Times New Roman" w:cs="Times New Roman"/>
                <w:sz w:val="28"/>
                <w:szCs w:val="28"/>
                <w:lang w:val="lv-LV"/>
              </w:rPr>
              <w:t>Integrētajā iekšlietu informācijas sistēmā no administratīvā pārkāpuma lietas iekļaujamās ziņas, kas nepieciešamas personas, mantas vai dokumenta atrašanās vietas noskaidrošanai, šo ziņu apjomu, iekļaušanas pamatu un mērķi, to iekļaušanas, izmantošanas un dzēšanas kārtību, institūcijas, kurām piešķirama piekļuve minētajā sistēmā iekļautajām ziņām, kā arī amatpersonu rīcību, konstatējot tādas personas, mantas vai dokumenta atrašanās vietu, par kuru ziņas ir iekļautas Integrētajā iekšlietu informācijas sistēmā, nosaka Ministru kabinets</w:t>
            </w:r>
            <w:r w:rsidR="00E366F9" w:rsidRPr="00E322BE">
              <w:rPr>
                <w:rFonts w:ascii="Times New Roman" w:hAnsi="Times New Roman" w:cs="Times New Roman"/>
                <w:sz w:val="28"/>
                <w:szCs w:val="28"/>
                <w:lang w:val="lv-LV"/>
              </w:rPr>
              <w:t>.</w:t>
            </w:r>
          </w:p>
          <w:p w:rsidR="002B2DCE" w:rsidRPr="00E322BE" w:rsidRDefault="002B2DCE" w:rsidP="00160000">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122. </w:t>
            </w:r>
            <w:r w:rsidR="00160000" w:rsidRPr="00E322BE">
              <w:rPr>
                <w:rFonts w:ascii="Times New Roman" w:hAnsi="Times New Roman" w:cs="Times New Roman"/>
                <w:sz w:val="28"/>
                <w:szCs w:val="28"/>
                <w:lang w:val="lv-LV"/>
              </w:rPr>
              <w:t>panta trešā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Ministru kabinets nosaka kārtību, kādā atmaksā samaksāto naudas summu un atd</w:t>
            </w:r>
            <w:r w:rsidR="004941E9" w:rsidRPr="00E322BE">
              <w:rPr>
                <w:rFonts w:ascii="Times New Roman" w:hAnsi="Times New Roman" w:cs="Times New Roman"/>
                <w:sz w:val="28"/>
                <w:szCs w:val="28"/>
                <w:lang w:val="lv-LV"/>
              </w:rPr>
              <w:t>od izņemto mantu un dokumentus.</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168. </w:t>
            </w:r>
            <w:r w:rsidR="00160000" w:rsidRPr="00E322BE">
              <w:rPr>
                <w:rFonts w:ascii="Times New Roman" w:hAnsi="Times New Roman" w:cs="Times New Roman"/>
                <w:sz w:val="28"/>
                <w:szCs w:val="28"/>
                <w:lang w:val="lv-LV"/>
              </w:rPr>
              <w:t>panta trešā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Ministru kabinets nosaka apmēru un kārtību, kādā šā panta pirmajā daļā minētos procesuālos izdevumus sedz no val</w:t>
            </w:r>
            <w:r w:rsidR="00E366F9" w:rsidRPr="00E322BE">
              <w:rPr>
                <w:rFonts w:ascii="Times New Roman" w:hAnsi="Times New Roman" w:cs="Times New Roman"/>
                <w:sz w:val="28"/>
                <w:szCs w:val="28"/>
                <w:lang w:val="lv-LV"/>
              </w:rPr>
              <w:t>sts un pašvaldības līdzekļiem.</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279. </w:t>
            </w:r>
            <w:r w:rsidR="00160000" w:rsidRPr="00E322BE">
              <w:rPr>
                <w:rFonts w:ascii="Times New Roman" w:hAnsi="Times New Roman" w:cs="Times New Roman"/>
                <w:sz w:val="28"/>
                <w:szCs w:val="28"/>
                <w:lang w:val="lv-LV"/>
              </w:rPr>
              <w:t>panta otrā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Tieslietu ministrija</w:t>
            </w:r>
          </w:p>
        </w:tc>
      </w:tr>
      <w:tr w:rsidR="00160000" w:rsidRPr="00E322BE" w:rsidTr="00215FA3">
        <w:tc>
          <w:tcPr>
            <w:tcW w:w="5382" w:type="dxa"/>
          </w:tcPr>
          <w:p w:rsidR="002B2DC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Ministru kabinets nosaka kārtību, kādā aprēķina izdevumus, kas saistīti ar apreibinošo vielu ietekmes konstatēšanai veiktajām pārbaudēm, un kārtību, kādā par minētajiem izdevumiem informē iestādi, kuras amatpe</w:t>
            </w:r>
            <w:r w:rsidR="004941E9" w:rsidRPr="00E322BE">
              <w:rPr>
                <w:rFonts w:ascii="Times New Roman" w:hAnsi="Times New Roman" w:cs="Times New Roman"/>
                <w:sz w:val="28"/>
                <w:szCs w:val="28"/>
                <w:lang w:val="lv-LV"/>
              </w:rPr>
              <w:t>rsona pieņem nolēmumu par sodu.</w:t>
            </w:r>
          </w:p>
          <w:p w:rsidR="006D6F6F" w:rsidRPr="00E322BE" w:rsidRDefault="006D6F6F" w:rsidP="004941E9">
            <w:pPr>
              <w:jc w:val="both"/>
              <w:rPr>
                <w:rFonts w:ascii="Times New Roman" w:hAnsi="Times New Roman" w:cs="Times New Roman"/>
                <w:sz w:val="28"/>
                <w:szCs w:val="28"/>
                <w:lang w:val="lv-LV"/>
              </w:rPr>
            </w:pPr>
          </w:p>
        </w:tc>
        <w:tc>
          <w:tcPr>
            <w:tcW w:w="2126" w:type="dxa"/>
          </w:tcPr>
          <w:p w:rsidR="00160000" w:rsidRPr="00E322BE" w:rsidRDefault="00E366F9" w:rsidP="00E366F9">
            <w:pPr>
              <w:rPr>
                <w:rFonts w:ascii="Times New Roman" w:hAnsi="Times New Roman" w:cs="Times New Roman"/>
                <w:sz w:val="28"/>
                <w:szCs w:val="28"/>
                <w:lang w:val="lv-LV"/>
              </w:rPr>
            </w:pPr>
            <w:r w:rsidRPr="00E322BE">
              <w:rPr>
                <w:rFonts w:ascii="Times New Roman" w:hAnsi="Times New Roman" w:cs="Times New Roman"/>
                <w:sz w:val="28"/>
                <w:szCs w:val="28"/>
                <w:lang w:val="lv-LV"/>
              </w:rPr>
              <w:t>279. </w:t>
            </w:r>
            <w:r w:rsidR="00160000" w:rsidRPr="00E322BE">
              <w:rPr>
                <w:rFonts w:ascii="Times New Roman" w:hAnsi="Times New Roman" w:cs="Times New Roman"/>
                <w:sz w:val="28"/>
                <w:szCs w:val="28"/>
                <w:lang w:val="lv-LV"/>
              </w:rPr>
              <w:t>panta trešā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pacing w:val="-2"/>
                <w:sz w:val="28"/>
                <w:szCs w:val="28"/>
                <w:lang w:val="lv-LV"/>
              </w:rPr>
              <w:t xml:space="preserve">Ministru kabinets nosaka kārtību, kādā aprēķina izdevumus, kas radušies sakarā ar administratīvā pārkāpuma lietā izņemtās mantas un dokumentu nodošanu glabāšanā, </w:t>
            </w:r>
            <w:r w:rsidRPr="00E322BE">
              <w:rPr>
                <w:rFonts w:ascii="Times New Roman" w:hAnsi="Times New Roman" w:cs="Times New Roman"/>
                <w:spacing w:val="-2"/>
                <w:sz w:val="28"/>
                <w:szCs w:val="28"/>
                <w:lang w:val="lv-LV"/>
              </w:rPr>
              <w:lastRenderedPageBreak/>
              <w:t>glabāšanu, iznīcināšanu un realizāciju, un kārtību, kādā par minētajiem izdevumiem informē iestādi, kuras</w:t>
            </w:r>
            <w:r w:rsidRPr="00E322BE">
              <w:rPr>
                <w:rFonts w:ascii="Times New Roman" w:hAnsi="Times New Roman" w:cs="Times New Roman"/>
                <w:sz w:val="28"/>
                <w:szCs w:val="28"/>
                <w:lang w:val="lv-LV"/>
              </w:rPr>
              <w:t xml:space="preserve"> amatpe</w:t>
            </w:r>
            <w:r w:rsidR="004941E9" w:rsidRPr="00E322BE">
              <w:rPr>
                <w:rFonts w:ascii="Times New Roman" w:hAnsi="Times New Roman" w:cs="Times New Roman"/>
                <w:sz w:val="28"/>
                <w:szCs w:val="28"/>
                <w:lang w:val="lv-LV"/>
              </w:rPr>
              <w:t>rsona pieņem nolēmumu par sodu.</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lastRenderedPageBreak/>
              <w:t>279. </w:t>
            </w:r>
            <w:r w:rsidR="00160000" w:rsidRPr="00E322BE">
              <w:rPr>
                <w:rFonts w:ascii="Times New Roman" w:hAnsi="Times New Roman" w:cs="Times New Roman"/>
                <w:sz w:val="28"/>
                <w:szCs w:val="28"/>
                <w:lang w:val="lv-LV"/>
              </w:rPr>
              <w:t>panta ceturtā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 xml:space="preserve">Ja personai piemērots administratīvais sods un izņemtās mantas realizētas, tad no iegūtajiem līdzekļiem atskaita summu, kas </w:t>
            </w:r>
            <w:proofErr w:type="gramStart"/>
            <w:r w:rsidRPr="00E322BE">
              <w:rPr>
                <w:rFonts w:ascii="Times New Roman" w:hAnsi="Times New Roman" w:cs="Times New Roman"/>
                <w:sz w:val="28"/>
                <w:szCs w:val="28"/>
                <w:lang w:val="lv-LV"/>
              </w:rPr>
              <w:t>nepieciešama naudas soda</w:t>
            </w:r>
            <w:proofErr w:type="gramEnd"/>
            <w:r w:rsidRPr="00E322BE">
              <w:rPr>
                <w:rFonts w:ascii="Times New Roman" w:hAnsi="Times New Roman" w:cs="Times New Roman"/>
                <w:sz w:val="28"/>
                <w:szCs w:val="28"/>
                <w:lang w:val="lv-LV"/>
              </w:rPr>
              <w:t xml:space="preserve"> samaksai un to izdevumu segšanai, kuri ir saistīti ar izņemto mantu nogādāšanu glabāšanai, glabāšanu un realizāciju. Ministru kabinets nosaka minētā</w:t>
            </w:r>
            <w:r w:rsidR="004941E9" w:rsidRPr="00E322BE">
              <w:rPr>
                <w:rFonts w:ascii="Times New Roman" w:hAnsi="Times New Roman" w:cs="Times New Roman"/>
                <w:sz w:val="28"/>
                <w:szCs w:val="28"/>
                <w:lang w:val="lv-LV"/>
              </w:rPr>
              <w:t>s summas atskaitīšanas kārtību.</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280. </w:t>
            </w:r>
            <w:r w:rsidR="00160000" w:rsidRPr="00E322BE">
              <w:rPr>
                <w:rFonts w:ascii="Times New Roman" w:hAnsi="Times New Roman" w:cs="Times New Roman"/>
                <w:sz w:val="28"/>
                <w:szCs w:val="28"/>
                <w:lang w:val="lv-LV"/>
              </w:rPr>
              <w:t>panta piektā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Iekšlietu ministrija</w:t>
            </w:r>
          </w:p>
        </w:tc>
      </w:tr>
      <w:tr w:rsidR="00160000" w:rsidRPr="00E322BE" w:rsidTr="00215FA3">
        <w:tc>
          <w:tcPr>
            <w:tcW w:w="5382" w:type="dxa"/>
          </w:tcPr>
          <w:p w:rsidR="00160000" w:rsidRPr="00E322BE" w:rsidRDefault="00160000" w:rsidP="004941E9">
            <w:pPr>
              <w:jc w:val="both"/>
              <w:rPr>
                <w:rFonts w:ascii="Times New Roman" w:hAnsi="Times New Roman" w:cs="Times New Roman"/>
                <w:sz w:val="28"/>
                <w:szCs w:val="28"/>
                <w:lang w:val="lv-LV"/>
              </w:rPr>
            </w:pPr>
            <w:r w:rsidRPr="00E322BE">
              <w:rPr>
                <w:rFonts w:ascii="Times New Roman" w:hAnsi="Times New Roman" w:cs="Times New Roman"/>
                <w:sz w:val="28"/>
                <w:szCs w:val="28"/>
                <w:lang w:val="lv-LV"/>
              </w:rPr>
              <w:t>Ministru kabinets nosaka īpašas formas apliecinājumu un tā saturu mantiska rakstura piedziņas nodrošināšanai sadarbībā</w:t>
            </w:r>
            <w:r w:rsidR="004941E9" w:rsidRPr="00E322BE">
              <w:rPr>
                <w:rFonts w:ascii="Times New Roman" w:hAnsi="Times New Roman" w:cs="Times New Roman"/>
                <w:sz w:val="28"/>
                <w:szCs w:val="28"/>
                <w:lang w:val="lv-LV"/>
              </w:rPr>
              <w:t xml:space="preserve"> ar Eiropas Savienības valstīm.</w:t>
            </w:r>
          </w:p>
          <w:p w:rsidR="002B2DCE" w:rsidRPr="00E322BE" w:rsidRDefault="002B2DCE" w:rsidP="004941E9">
            <w:pPr>
              <w:jc w:val="both"/>
              <w:rPr>
                <w:rFonts w:ascii="Times New Roman" w:hAnsi="Times New Roman" w:cs="Times New Roman"/>
                <w:sz w:val="28"/>
                <w:szCs w:val="28"/>
                <w:lang w:val="lv-LV"/>
              </w:rPr>
            </w:pPr>
          </w:p>
        </w:tc>
        <w:tc>
          <w:tcPr>
            <w:tcW w:w="2126" w:type="dxa"/>
          </w:tcPr>
          <w:p w:rsidR="00160000" w:rsidRPr="00E322BE" w:rsidRDefault="00E366F9"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295. </w:t>
            </w:r>
            <w:r w:rsidR="00160000" w:rsidRPr="00E322BE">
              <w:rPr>
                <w:rFonts w:ascii="Times New Roman" w:hAnsi="Times New Roman" w:cs="Times New Roman"/>
                <w:sz w:val="28"/>
                <w:szCs w:val="28"/>
                <w:lang w:val="lv-LV"/>
              </w:rPr>
              <w:t>panta otrā daļa</w:t>
            </w:r>
          </w:p>
        </w:tc>
        <w:tc>
          <w:tcPr>
            <w:tcW w:w="1843" w:type="dxa"/>
          </w:tcPr>
          <w:p w:rsidR="00160000" w:rsidRPr="00E322BE" w:rsidRDefault="00160000" w:rsidP="00160000">
            <w:pPr>
              <w:rPr>
                <w:rFonts w:ascii="Times New Roman" w:hAnsi="Times New Roman" w:cs="Times New Roman"/>
                <w:sz w:val="28"/>
                <w:szCs w:val="28"/>
                <w:lang w:val="lv-LV"/>
              </w:rPr>
            </w:pPr>
            <w:r w:rsidRPr="00E322BE">
              <w:rPr>
                <w:rFonts w:ascii="Times New Roman" w:hAnsi="Times New Roman" w:cs="Times New Roman"/>
                <w:sz w:val="28"/>
                <w:szCs w:val="28"/>
                <w:lang w:val="lv-LV"/>
              </w:rPr>
              <w:t>Tieslietu ministrija</w:t>
            </w:r>
          </w:p>
        </w:tc>
      </w:tr>
    </w:tbl>
    <w:p w:rsidR="00160000" w:rsidRPr="00E322BE" w:rsidRDefault="00160000" w:rsidP="00160000">
      <w:pPr>
        <w:rPr>
          <w:sz w:val="28"/>
          <w:szCs w:val="28"/>
          <w:lang w:val="lv-LV"/>
        </w:rPr>
      </w:pPr>
    </w:p>
    <w:p w:rsidR="001923D4" w:rsidRPr="00E322BE" w:rsidRDefault="001923D4" w:rsidP="001923D4">
      <w:pPr>
        <w:jc w:val="both"/>
        <w:rPr>
          <w:sz w:val="28"/>
          <w:szCs w:val="28"/>
          <w:lang w:val="lv-LV"/>
        </w:rPr>
      </w:pPr>
    </w:p>
    <w:p w:rsidR="001923D4" w:rsidRPr="00E322BE" w:rsidRDefault="00E366F9" w:rsidP="00E366F9">
      <w:pPr>
        <w:tabs>
          <w:tab w:val="left" w:pos="7088"/>
        </w:tabs>
        <w:jc w:val="both"/>
        <w:rPr>
          <w:sz w:val="28"/>
          <w:szCs w:val="28"/>
          <w:lang w:val="lv-LV"/>
        </w:rPr>
      </w:pPr>
      <w:r w:rsidRPr="00E322BE">
        <w:rPr>
          <w:sz w:val="28"/>
          <w:szCs w:val="28"/>
          <w:lang w:val="lv-LV"/>
        </w:rPr>
        <w:t>Valsts kancelejas direktors</w:t>
      </w:r>
      <w:r w:rsidRPr="00E322BE">
        <w:rPr>
          <w:sz w:val="28"/>
          <w:szCs w:val="28"/>
          <w:lang w:val="lv-LV"/>
        </w:rPr>
        <w:tab/>
      </w:r>
      <w:r w:rsidR="004941E9" w:rsidRPr="00E322BE">
        <w:rPr>
          <w:sz w:val="28"/>
          <w:szCs w:val="28"/>
          <w:lang w:val="lv-LV"/>
        </w:rPr>
        <w:t>Jānis Citskovskis</w:t>
      </w:r>
    </w:p>
    <w:p w:rsidR="004941E9" w:rsidRPr="00E322BE" w:rsidRDefault="004941E9" w:rsidP="00E366F9">
      <w:pPr>
        <w:tabs>
          <w:tab w:val="left" w:pos="6521"/>
        </w:tabs>
        <w:jc w:val="both"/>
        <w:rPr>
          <w:sz w:val="28"/>
          <w:szCs w:val="28"/>
          <w:lang w:val="lv-LV"/>
        </w:rPr>
      </w:pPr>
    </w:p>
    <w:p w:rsidR="002B2DCE" w:rsidRPr="00E322BE" w:rsidRDefault="002B2DCE" w:rsidP="004941E9">
      <w:pPr>
        <w:pStyle w:val="StyleRight"/>
        <w:spacing w:after="0"/>
        <w:ind w:firstLine="0"/>
        <w:jc w:val="both"/>
      </w:pPr>
    </w:p>
    <w:p w:rsidR="004941E9" w:rsidRPr="00E322BE" w:rsidRDefault="004941E9" w:rsidP="004941E9">
      <w:pPr>
        <w:pStyle w:val="StyleRight"/>
        <w:spacing w:after="0"/>
        <w:ind w:firstLine="0"/>
        <w:jc w:val="both"/>
      </w:pPr>
      <w:r w:rsidRPr="00E322BE">
        <w:t>Iesniedzējs:</w:t>
      </w:r>
    </w:p>
    <w:p w:rsidR="004941E9" w:rsidRPr="00E322BE" w:rsidRDefault="004941E9" w:rsidP="00E366F9">
      <w:pPr>
        <w:pStyle w:val="StyleRight"/>
        <w:tabs>
          <w:tab w:val="left" w:pos="7088"/>
        </w:tabs>
        <w:spacing w:after="0"/>
        <w:ind w:firstLine="0"/>
        <w:jc w:val="both"/>
      </w:pPr>
      <w:r w:rsidRPr="00E322BE">
        <w:t xml:space="preserve">Tieslietu </w:t>
      </w:r>
      <w:r w:rsidR="00E366F9" w:rsidRPr="00E322BE">
        <w:t>ministrijas valsts sekretārs</w:t>
      </w:r>
      <w:r w:rsidR="00E366F9" w:rsidRPr="00E322BE">
        <w:tab/>
      </w:r>
      <w:r w:rsidRPr="00E322BE">
        <w:t>Raivis Kronbergs</w:t>
      </w:r>
    </w:p>
    <w:p w:rsidR="004941E9" w:rsidRPr="00E322BE" w:rsidRDefault="004941E9" w:rsidP="00E366F9">
      <w:pPr>
        <w:tabs>
          <w:tab w:val="left" w:pos="6521"/>
        </w:tabs>
        <w:jc w:val="both"/>
        <w:rPr>
          <w:sz w:val="28"/>
          <w:szCs w:val="28"/>
          <w:lang w:val="lv-LV"/>
        </w:rPr>
      </w:pPr>
    </w:p>
    <w:p w:rsidR="00AD61DC" w:rsidRPr="00E322BE" w:rsidRDefault="00AD61DC" w:rsidP="00E366F9">
      <w:pPr>
        <w:tabs>
          <w:tab w:val="left" w:pos="6521"/>
        </w:tabs>
        <w:jc w:val="both"/>
        <w:rPr>
          <w:sz w:val="28"/>
          <w:szCs w:val="28"/>
          <w:lang w:val="lv-LV"/>
        </w:rPr>
      </w:pPr>
    </w:p>
    <w:p w:rsidR="00AD61DC" w:rsidRPr="00E322BE" w:rsidRDefault="00AD61DC" w:rsidP="00AD61DC">
      <w:pPr>
        <w:jc w:val="both"/>
        <w:rPr>
          <w:lang w:val="lv-LV"/>
        </w:rPr>
      </w:pPr>
      <w:r w:rsidRPr="00E322BE">
        <w:rPr>
          <w:lang w:val="lv-LV"/>
        </w:rPr>
        <w:t>Laura 67036909</w:t>
      </w:r>
    </w:p>
    <w:p w:rsidR="00AD61DC" w:rsidRPr="00E322BE" w:rsidRDefault="00621272" w:rsidP="00215FA3">
      <w:pPr>
        <w:jc w:val="both"/>
        <w:rPr>
          <w:lang w:val="lv-LV"/>
        </w:rPr>
      </w:pPr>
      <w:hyperlink r:id="rId6" w:history="1">
        <w:r w:rsidR="00AD61DC" w:rsidRPr="00E322BE">
          <w:rPr>
            <w:rStyle w:val="Hipersaite"/>
            <w:lang w:val="lv-LV"/>
          </w:rPr>
          <w:t>Jolanta.Laura@tm.gov.lv</w:t>
        </w:r>
      </w:hyperlink>
    </w:p>
    <w:sectPr w:rsidR="00AD61DC" w:rsidRPr="00E322BE" w:rsidSect="00215FA3">
      <w:headerReference w:type="default" r:id="rId7"/>
      <w:footerReference w:type="default" r:id="rId8"/>
      <w:foot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2C2" w:rsidRDefault="005872C2">
      <w:r>
        <w:separator/>
      </w:r>
    </w:p>
  </w:endnote>
  <w:endnote w:type="continuationSeparator" w:id="0">
    <w:p w:rsidR="005872C2" w:rsidRDefault="0058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2C2" w:rsidRPr="00160000" w:rsidRDefault="00E366F9" w:rsidP="006D6F6F">
    <w:pPr>
      <w:pStyle w:val="Kjene"/>
    </w:pPr>
    <w:r w:rsidRPr="00160000">
      <w:t>TM</w:t>
    </w:r>
    <w:r>
      <w:t>p</w:t>
    </w:r>
    <w:r w:rsidRPr="00160000">
      <w:t>rot_21</w:t>
    </w:r>
    <w:r>
      <w:t>0</w:t>
    </w:r>
    <w:r w:rsidRPr="00160000">
      <w:t>7</w:t>
    </w:r>
    <w:r>
      <w:t>17</w:t>
    </w:r>
    <w:r w:rsidRPr="00160000">
      <w:t>_APPL_MKnot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911" w:rsidRDefault="00E366F9">
    <w:pPr>
      <w:pStyle w:val="Kjene"/>
    </w:pPr>
    <w:r w:rsidRPr="00160000">
      <w:t>TM</w:t>
    </w:r>
    <w:r>
      <w:t>p</w:t>
    </w:r>
    <w:r w:rsidRPr="00160000">
      <w:t>rot_21</w:t>
    </w:r>
    <w:r>
      <w:t>0</w:t>
    </w:r>
    <w:r w:rsidRPr="00160000">
      <w:t>7</w:t>
    </w:r>
    <w:r>
      <w:t>17</w:t>
    </w:r>
    <w:r w:rsidRPr="00160000">
      <w:t>_APPL_MKnot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2C2" w:rsidRDefault="005872C2">
      <w:r>
        <w:separator/>
      </w:r>
    </w:p>
  </w:footnote>
  <w:footnote w:type="continuationSeparator" w:id="0">
    <w:p w:rsidR="005872C2" w:rsidRDefault="00587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812782"/>
      <w:docPartObj>
        <w:docPartGallery w:val="Page Numbers (Top of Page)"/>
        <w:docPartUnique/>
      </w:docPartObj>
    </w:sdtPr>
    <w:sdtEndPr/>
    <w:sdtContent>
      <w:p w:rsidR="00215FA3" w:rsidRDefault="00215FA3">
        <w:pPr>
          <w:pStyle w:val="Galvene"/>
          <w:jc w:val="center"/>
        </w:pPr>
        <w:r>
          <w:fldChar w:fldCharType="begin"/>
        </w:r>
        <w:r>
          <w:instrText>PAGE   \* MERGEFORMAT</w:instrText>
        </w:r>
        <w:r>
          <w:fldChar w:fldCharType="separate"/>
        </w:r>
        <w:r w:rsidR="00621272" w:rsidRPr="00621272">
          <w:rPr>
            <w:noProof/>
            <w:lang w:val="lv-LV"/>
          </w:rPr>
          <w:t>3</w:t>
        </w:r>
        <w:r>
          <w:fldChar w:fldCharType="end"/>
        </w:r>
      </w:p>
    </w:sdtContent>
  </w:sdt>
  <w:p w:rsidR="00215FA3" w:rsidRDefault="00215FA3">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02"/>
    <w:rsid w:val="00037A61"/>
    <w:rsid w:val="00135B2C"/>
    <w:rsid w:val="00160000"/>
    <w:rsid w:val="001923D4"/>
    <w:rsid w:val="00195100"/>
    <w:rsid w:val="001B2613"/>
    <w:rsid w:val="00215FA3"/>
    <w:rsid w:val="00235ED7"/>
    <w:rsid w:val="002B2DCE"/>
    <w:rsid w:val="00344EE6"/>
    <w:rsid w:val="003D1FEA"/>
    <w:rsid w:val="004941E9"/>
    <w:rsid w:val="004D0C20"/>
    <w:rsid w:val="004E0FE4"/>
    <w:rsid w:val="0053207E"/>
    <w:rsid w:val="0054499C"/>
    <w:rsid w:val="005872C2"/>
    <w:rsid w:val="005B70FE"/>
    <w:rsid w:val="00621272"/>
    <w:rsid w:val="0063318A"/>
    <w:rsid w:val="00654C66"/>
    <w:rsid w:val="006963A9"/>
    <w:rsid w:val="006D6F6F"/>
    <w:rsid w:val="008A63DA"/>
    <w:rsid w:val="008B7493"/>
    <w:rsid w:val="00904DFD"/>
    <w:rsid w:val="009C2D2E"/>
    <w:rsid w:val="009C6B7F"/>
    <w:rsid w:val="009C6BF1"/>
    <w:rsid w:val="00A25341"/>
    <w:rsid w:val="00AB4911"/>
    <w:rsid w:val="00AD61DC"/>
    <w:rsid w:val="00B2548D"/>
    <w:rsid w:val="00BA70D1"/>
    <w:rsid w:val="00BB278B"/>
    <w:rsid w:val="00C95100"/>
    <w:rsid w:val="00CC56C7"/>
    <w:rsid w:val="00CF6620"/>
    <w:rsid w:val="00E07CB6"/>
    <w:rsid w:val="00E322BE"/>
    <w:rsid w:val="00E366F9"/>
    <w:rsid w:val="00E61D65"/>
    <w:rsid w:val="00F52D27"/>
    <w:rsid w:val="00FC60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61C800-EF2F-4BD0-A5EE-9BEB2A02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Pr>
      <w:sz w:val="24"/>
      <w:szCs w:val="24"/>
      <w:lang w:val="en-GB"/>
    </w:rPr>
  </w:style>
  <w:style w:type="paragraph" w:styleId="Virsraksts1">
    <w:name w:val="heading 1"/>
    <w:basedOn w:val="Parasts"/>
    <w:next w:val="Parasts"/>
    <w:link w:val="Virsraksts1Rakstz"/>
    <w:qFormat/>
    <w:pPr>
      <w:keepNext/>
      <w:jc w:val="both"/>
      <w:outlineLvl w:val="0"/>
    </w:pPr>
    <w:rPr>
      <w:rFonts w:eastAsiaTheme="minorEastAsia"/>
      <w:sz w:val="28"/>
      <w:szCs w:val="28"/>
      <w:lang w:val="lv-LV"/>
    </w:rPr>
  </w:style>
  <w:style w:type="paragraph" w:styleId="Virsraksts2">
    <w:name w:val="heading 2"/>
    <w:basedOn w:val="Parasts"/>
    <w:next w:val="Parasts"/>
    <w:link w:val="Virsraksts2Rakstz"/>
    <w:qFormat/>
    <w:pPr>
      <w:keepNext/>
      <w:jc w:val="center"/>
      <w:outlineLvl w:val="1"/>
    </w:pPr>
    <w:rPr>
      <w:rFonts w:eastAsiaTheme="minorEastAsia"/>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Pr>
      <w:rFonts w:asciiTheme="majorHAnsi" w:eastAsiaTheme="majorEastAsia" w:hAnsiTheme="majorHAnsi" w:cstheme="majorBidi"/>
      <w:color w:val="2E74B5" w:themeColor="accent1" w:themeShade="BF"/>
      <w:sz w:val="32"/>
      <w:szCs w:val="32"/>
      <w:lang w:val="en-GB"/>
    </w:rPr>
  </w:style>
  <w:style w:type="character" w:customStyle="1" w:styleId="Virsraksts2Rakstz">
    <w:name w:val="Virsraksts 2 Rakstz."/>
    <w:basedOn w:val="Noklusjumarindkopasfonts"/>
    <w:link w:val="Virsraksts2"/>
    <w:semiHidden/>
    <w:rPr>
      <w:rFonts w:asciiTheme="majorHAnsi" w:eastAsiaTheme="majorEastAsia" w:hAnsiTheme="majorHAnsi" w:cstheme="majorBidi"/>
      <w:color w:val="2E74B5" w:themeColor="accent1" w:themeShade="BF"/>
      <w:sz w:val="26"/>
      <w:szCs w:val="26"/>
      <w:lang w:val="en-GB"/>
    </w:rPr>
  </w:style>
  <w:style w:type="paragraph" w:styleId="Komentrateksts">
    <w:name w:val="annotation text"/>
    <w:basedOn w:val="Parasts"/>
    <w:link w:val="KomentratekstsRakstz"/>
    <w:semiHidden/>
    <w:unhideWhenUsed/>
    <w:rPr>
      <w:sz w:val="20"/>
      <w:szCs w:val="20"/>
    </w:rPr>
  </w:style>
  <w:style w:type="character" w:customStyle="1" w:styleId="KomentratekstsRakstz">
    <w:name w:val="Komentāra teksts Rakstz."/>
    <w:basedOn w:val="Noklusjumarindkopasfonts"/>
    <w:link w:val="Komentrateksts"/>
    <w:semiHidden/>
    <w:rPr>
      <w:lang w:val="en-GB"/>
    </w:rPr>
  </w:style>
  <w:style w:type="paragraph" w:styleId="Galvene">
    <w:name w:val="header"/>
    <w:basedOn w:val="Parasts"/>
    <w:link w:val="GalveneRakstz"/>
    <w:uiPriority w:val="99"/>
    <w:unhideWhenUsed/>
    <w:pPr>
      <w:tabs>
        <w:tab w:val="center" w:pos="4153"/>
        <w:tab w:val="right" w:pos="8306"/>
      </w:tabs>
    </w:pPr>
  </w:style>
  <w:style w:type="character" w:customStyle="1" w:styleId="GalveneRakstz">
    <w:name w:val="Galvene Rakstz."/>
    <w:basedOn w:val="Noklusjumarindkopasfonts"/>
    <w:link w:val="Galvene"/>
    <w:uiPriority w:val="99"/>
    <w:rPr>
      <w:sz w:val="24"/>
      <w:szCs w:val="24"/>
      <w:lang w:val="en-GB"/>
    </w:rPr>
  </w:style>
  <w:style w:type="paragraph" w:styleId="Kjene">
    <w:name w:val="footer"/>
    <w:basedOn w:val="Parasts"/>
    <w:link w:val="KjeneRakstz"/>
    <w:uiPriority w:val="99"/>
    <w:unhideWhenUsed/>
    <w:pPr>
      <w:tabs>
        <w:tab w:val="center" w:pos="4153"/>
        <w:tab w:val="right" w:pos="8306"/>
      </w:tabs>
    </w:pPr>
    <w:rPr>
      <w:sz w:val="20"/>
      <w:szCs w:val="20"/>
      <w:lang w:val="lv-LV"/>
    </w:rPr>
  </w:style>
  <w:style w:type="character" w:customStyle="1" w:styleId="KjeneRakstz">
    <w:name w:val="Kājene Rakstz."/>
    <w:basedOn w:val="Noklusjumarindkopasfonts"/>
    <w:link w:val="Kjene"/>
    <w:uiPriority w:val="99"/>
    <w:rPr>
      <w:sz w:val="24"/>
      <w:szCs w:val="24"/>
      <w:lang w:val="en-GB"/>
    </w:rPr>
  </w:style>
  <w:style w:type="paragraph" w:styleId="Nosaukums">
    <w:name w:val="Title"/>
    <w:basedOn w:val="Parasts"/>
    <w:link w:val="NosaukumsRakstz"/>
    <w:qFormat/>
    <w:pPr>
      <w:jc w:val="center"/>
    </w:pPr>
    <w:rPr>
      <w:sz w:val="28"/>
      <w:szCs w:val="28"/>
      <w:lang w:val="lv-LV"/>
    </w:rPr>
  </w:style>
  <w:style w:type="character" w:customStyle="1" w:styleId="NosaukumsRakstz">
    <w:name w:val="Nosaukums Rakstz."/>
    <w:basedOn w:val="Noklusjumarindkopasfonts"/>
    <w:link w:val="Nosaukums"/>
    <w:rPr>
      <w:rFonts w:asciiTheme="majorHAnsi" w:eastAsiaTheme="majorEastAsia" w:hAnsiTheme="majorHAnsi" w:cstheme="majorBidi"/>
      <w:spacing w:val="-10"/>
      <w:kern w:val="28"/>
      <w:sz w:val="56"/>
      <w:szCs w:val="56"/>
      <w:lang w:val="en-GB"/>
    </w:rPr>
  </w:style>
  <w:style w:type="paragraph" w:styleId="Pamatteksts">
    <w:name w:val="Body Text"/>
    <w:basedOn w:val="Parasts"/>
    <w:link w:val="PamattekstsRakstz"/>
    <w:semiHidden/>
    <w:unhideWhenUsed/>
    <w:pPr>
      <w:jc w:val="center"/>
    </w:pPr>
    <w:rPr>
      <w:b/>
      <w:bCs/>
      <w:sz w:val="28"/>
      <w:szCs w:val="28"/>
      <w:lang w:val="lv-LV"/>
    </w:rPr>
  </w:style>
  <w:style w:type="character" w:customStyle="1" w:styleId="PamattekstsRakstz">
    <w:name w:val="Pamatteksts Rakstz."/>
    <w:basedOn w:val="Noklusjumarindkopasfonts"/>
    <w:link w:val="Pamatteksts"/>
    <w:semiHidden/>
    <w:rPr>
      <w:sz w:val="24"/>
      <w:szCs w:val="24"/>
      <w:lang w:val="en-GB"/>
    </w:rPr>
  </w:style>
  <w:style w:type="paragraph" w:styleId="Dokumentakarte">
    <w:name w:val="Document Map"/>
    <w:basedOn w:val="Parasts"/>
    <w:link w:val="DokumentakarteRakstz"/>
    <w:semiHidden/>
    <w:unhideWhenUsed/>
    <w:pPr>
      <w:shd w:val="clear" w:color="auto" w:fill="000080"/>
    </w:pPr>
    <w:rPr>
      <w:rFonts w:ascii="Tahoma" w:hAnsi="Tahoma" w:cs="Tahoma"/>
      <w:sz w:val="20"/>
      <w:szCs w:val="20"/>
    </w:rPr>
  </w:style>
  <w:style w:type="character" w:customStyle="1" w:styleId="DokumentakarteRakstz">
    <w:name w:val="Dokumenta karte Rakstz."/>
    <w:basedOn w:val="Noklusjumarindkopasfonts"/>
    <w:link w:val="Dokumentakarte"/>
    <w:semiHidden/>
    <w:rPr>
      <w:rFonts w:ascii="Segoe UI" w:hAnsi="Segoe UI" w:cs="Segoe UI"/>
      <w:sz w:val="16"/>
      <w:szCs w:val="16"/>
      <w:lang w:val="en-GB"/>
    </w:rPr>
  </w:style>
  <w:style w:type="paragraph" w:styleId="Komentratma">
    <w:name w:val="annotation subject"/>
    <w:basedOn w:val="Komentrateksts"/>
    <w:next w:val="Komentrateksts"/>
    <w:link w:val="KomentratmaRakstz"/>
    <w:semiHidden/>
    <w:unhideWhenUsed/>
    <w:rPr>
      <w:b/>
      <w:bCs/>
    </w:rPr>
  </w:style>
  <w:style w:type="character" w:customStyle="1" w:styleId="KomentratmaRakstz">
    <w:name w:val="Komentāra tēma Rakstz."/>
    <w:basedOn w:val="KomentratekstsRakstz"/>
    <w:link w:val="Komentratma"/>
    <w:semiHidden/>
    <w:rPr>
      <w:b/>
      <w:bCs/>
      <w:lang w:val="en-GB"/>
    </w:rPr>
  </w:style>
  <w:style w:type="paragraph" w:styleId="Balonteksts">
    <w:name w:val="Balloon Text"/>
    <w:basedOn w:val="Parasts"/>
    <w:link w:val="BalontekstsRakstz"/>
    <w:semiHidden/>
    <w:unhideWhenUsed/>
    <w:rPr>
      <w:rFonts w:ascii="Tahoma" w:hAnsi="Tahoma" w:cs="Tahoma"/>
      <w:sz w:val="16"/>
      <w:szCs w:val="16"/>
    </w:rPr>
  </w:style>
  <w:style w:type="character" w:customStyle="1" w:styleId="BalontekstsRakstz">
    <w:name w:val="Balonteksts Rakstz."/>
    <w:basedOn w:val="Noklusjumarindkopasfonts"/>
    <w:link w:val="Balonteksts"/>
    <w:semiHidden/>
    <w:rPr>
      <w:rFonts w:ascii="Segoe UI" w:hAnsi="Segoe UI" w:cs="Segoe UI"/>
      <w:sz w:val="18"/>
      <w:szCs w:val="18"/>
      <w:lang w:val="en-GB"/>
    </w:rPr>
  </w:style>
  <w:style w:type="paragraph" w:customStyle="1" w:styleId="Rakstz">
    <w:name w:val="Rakstz."/>
    <w:basedOn w:val="Parasts"/>
    <w:semiHidden/>
    <w:pPr>
      <w:spacing w:after="160" w:line="240" w:lineRule="exact"/>
    </w:pPr>
    <w:rPr>
      <w:rFonts w:ascii="Verdana" w:hAnsi="Verdana"/>
      <w:sz w:val="20"/>
      <w:szCs w:val="20"/>
      <w:lang w:val="lv-LV"/>
    </w:rPr>
  </w:style>
  <w:style w:type="character" w:styleId="Komentraatsauce">
    <w:name w:val="annotation reference"/>
    <w:basedOn w:val="Noklusjumarindkopasfonts"/>
    <w:semiHidden/>
    <w:unhideWhenUsed/>
    <w:rPr>
      <w:sz w:val="16"/>
      <w:szCs w:val="16"/>
    </w:rPr>
  </w:style>
  <w:style w:type="paragraph" w:styleId="Paraststmeklis">
    <w:name w:val="Normal (Web)"/>
    <w:basedOn w:val="Parasts"/>
    <w:semiHidden/>
    <w:unhideWhenUsed/>
    <w:pPr>
      <w:spacing w:before="100" w:beforeAutospacing="1" w:after="100" w:afterAutospacing="1"/>
    </w:pPr>
    <w:rPr>
      <w:rFonts w:eastAsiaTheme="minorEastAsia"/>
      <w:lang w:val="lv-LV"/>
    </w:rPr>
  </w:style>
  <w:style w:type="character" w:customStyle="1" w:styleId="spelle">
    <w:name w:val="spelle"/>
    <w:basedOn w:val="Noklusjumarindkopasfonts"/>
  </w:style>
  <w:style w:type="table" w:styleId="Reatabula">
    <w:name w:val="Table Grid"/>
    <w:basedOn w:val="Parastatabula"/>
    <w:uiPriority w:val="39"/>
    <w:rsid w:val="001600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
    <w:name w:val="Style Right"/>
    <w:basedOn w:val="Parasts"/>
    <w:rsid w:val="004941E9"/>
    <w:pPr>
      <w:spacing w:after="120"/>
      <w:ind w:firstLine="720"/>
      <w:jc w:val="right"/>
    </w:pPr>
    <w:rPr>
      <w:sz w:val="28"/>
      <w:szCs w:val="28"/>
      <w:lang w:val="lv-LV" w:eastAsia="en-US"/>
    </w:rPr>
  </w:style>
  <w:style w:type="character" w:styleId="Hipersaite">
    <w:name w:val="Hyperlink"/>
    <w:uiPriority w:val="99"/>
    <w:unhideWhenUsed/>
    <w:rsid w:val="00AD61DC"/>
    <w:rPr>
      <w:color w:val="0000FF"/>
      <w:u w:val="single"/>
    </w:rPr>
  </w:style>
  <w:style w:type="character" w:styleId="Neatrisintapieminana">
    <w:name w:val="Unresolved Mention"/>
    <w:basedOn w:val="Noklusjumarindkopasfonts"/>
    <w:uiPriority w:val="99"/>
    <w:semiHidden/>
    <w:unhideWhenUsed/>
    <w:rsid w:val="00AD61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204057">
      <w:marLeft w:val="0"/>
      <w:marRight w:val="0"/>
      <w:marTop w:val="0"/>
      <w:marBottom w:val="0"/>
      <w:divBdr>
        <w:top w:val="none" w:sz="0" w:space="0" w:color="auto"/>
        <w:left w:val="none" w:sz="0" w:space="0" w:color="auto"/>
        <w:bottom w:val="none" w:sz="0" w:space="0" w:color="auto"/>
        <w:right w:val="none" w:sz="0" w:space="0" w:color="auto"/>
      </w:divBdr>
    </w:div>
    <w:div w:id="607934260">
      <w:marLeft w:val="0"/>
      <w:marRight w:val="0"/>
      <w:marTop w:val="0"/>
      <w:marBottom w:val="0"/>
      <w:divBdr>
        <w:top w:val="none" w:sz="0" w:space="0" w:color="auto"/>
        <w:left w:val="none" w:sz="0" w:space="0" w:color="auto"/>
        <w:bottom w:val="none" w:sz="0" w:space="0" w:color="auto"/>
        <w:right w:val="none" w:sz="0" w:space="0" w:color="auto"/>
      </w:divBdr>
      <w:divsChild>
        <w:div w:id="1796753741">
          <w:marLeft w:val="0"/>
          <w:marRight w:val="0"/>
          <w:marTop w:val="0"/>
          <w:marBottom w:val="0"/>
          <w:divBdr>
            <w:top w:val="none" w:sz="0" w:space="0" w:color="auto"/>
            <w:left w:val="none" w:sz="0" w:space="0" w:color="auto"/>
            <w:bottom w:val="none" w:sz="0" w:space="0" w:color="auto"/>
            <w:right w:val="none" w:sz="0" w:space="0" w:color="auto"/>
          </w:divBdr>
          <w:divsChild>
            <w:div w:id="763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1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anta.Laura@t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500</Words>
  <Characters>3585</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atbildīgo ministriju kompetences sadalījumu par Ministru kabineta noteikumiem, kas jāizdod uz Administratīvo pārkāpumu procesa likuma pamata"</vt:lpstr>
      <vt:lpstr>Likumprojekts "Par Latvijas Republikas (valdības) un … līgumu par …"</vt:lpstr>
    </vt:vector>
  </TitlesOfParts>
  <Company>Tieslietu ministrija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atbildīgo ministriju kompetences sadalījumu par Ministru kabineta noteikumiem, kas jāizdod uz Administratīvo pārkāpumu procesa likuma pamata"</dc:title>
  <dc:subject>Valsts sekretāru sanāksmes protokollēmuma projekts</dc:subject>
  <dc:creator>Jolanta Laura</dc:creator>
  <cp:keywords/>
  <dc:description>67036909, Jolanta.Laura@tm.gov.lv</dc:description>
  <cp:lastModifiedBy>Jolanta Laura</cp:lastModifiedBy>
  <cp:revision>3</cp:revision>
  <cp:lastPrinted>2017-07-21T06:27:00Z</cp:lastPrinted>
  <dcterms:created xsi:type="dcterms:W3CDTF">2017-07-21T08:02:00Z</dcterms:created>
  <dcterms:modified xsi:type="dcterms:W3CDTF">2017-07-21T08:34:00Z</dcterms:modified>
</cp:coreProperties>
</file>