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DFEA" w14:textId="77777777" w:rsidR="006A6294" w:rsidRPr="00F161C4" w:rsidRDefault="008A5E5A" w:rsidP="009774CF">
      <w:pPr>
        <w:shd w:val="clear" w:color="auto" w:fill="FFFFFF"/>
        <w:jc w:val="center"/>
        <w:rPr>
          <w:b/>
        </w:rPr>
      </w:pPr>
      <w:r w:rsidRPr="00F161C4">
        <w:rPr>
          <w:b/>
        </w:rPr>
        <w:t>Minist</w:t>
      </w:r>
      <w:r w:rsidR="00A30EB9" w:rsidRPr="00F161C4">
        <w:rPr>
          <w:b/>
        </w:rPr>
        <w:t xml:space="preserve">ru kabineta </w:t>
      </w:r>
      <w:r w:rsidR="00F870FE" w:rsidRPr="00F161C4">
        <w:rPr>
          <w:b/>
        </w:rPr>
        <w:t>noteikumu</w:t>
      </w:r>
      <w:r w:rsidR="00A30EB9" w:rsidRPr="00F161C4">
        <w:rPr>
          <w:b/>
        </w:rPr>
        <w:t xml:space="preserve"> projekta </w:t>
      </w:r>
      <w:bookmarkStart w:id="0" w:name="OLE_LINK1"/>
      <w:bookmarkStart w:id="1" w:name="OLE_LINK2"/>
      <w:r w:rsidR="00A30EB9" w:rsidRPr="00F161C4">
        <w:rPr>
          <w:b/>
        </w:rPr>
        <w:t>“</w:t>
      </w:r>
      <w:r w:rsidR="00066620" w:rsidRPr="00F161C4">
        <w:rPr>
          <w:b/>
        </w:rPr>
        <w:t>Grozījumi</w:t>
      </w:r>
      <w:r w:rsidR="00EF7BA2" w:rsidRPr="00F161C4">
        <w:rPr>
          <w:b/>
        </w:rPr>
        <w:t xml:space="preserve"> </w:t>
      </w:r>
      <w:bookmarkEnd w:id="0"/>
      <w:bookmarkEnd w:id="1"/>
      <w:r w:rsidR="000E0C27" w:rsidRPr="00F161C4">
        <w:rPr>
          <w:b/>
          <w:bCs/>
        </w:rPr>
        <w:t xml:space="preserve">Ministru kabineta </w:t>
      </w:r>
      <w:r w:rsidR="00AC2742" w:rsidRPr="00F161C4">
        <w:rPr>
          <w:b/>
        </w:rPr>
        <w:t>2011.gada 4.janvāra noteikumos Nr.12 „</w:t>
      </w:r>
      <w:r w:rsidR="00AC2742" w:rsidRPr="00F161C4">
        <w:rPr>
          <w:b/>
          <w:bCs/>
        </w:rPr>
        <w:t>Klimata pārmaiņu finanšu instrumenta finansēto projektu atklāta konkursa „Atjaunojamo energoresursu izmantošana siltumnīcefekta gāzu emisiju samazināšanai</w:t>
      </w:r>
      <w:r w:rsidR="009A4DF1" w:rsidRPr="00F161C4">
        <w:rPr>
          <w:b/>
          <w:bCs/>
        </w:rPr>
        <w:t>”</w:t>
      </w:r>
      <w:r w:rsidR="000E0C27" w:rsidRPr="00F161C4">
        <w:rPr>
          <w:b/>
          <w:bCs/>
        </w:rPr>
        <w:t xml:space="preserve"> nolikums”</w:t>
      </w:r>
      <w:r w:rsidR="00EF7BA2" w:rsidRPr="00F161C4">
        <w:rPr>
          <w:b/>
        </w:rPr>
        <w:t>”</w:t>
      </w:r>
      <w:r w:rsidR="009774CF" w:rsidRPr="00F161C4">
        <w:rPr>
          <w:b/>
        </w:rPr>
        <w:t xml:space="preserve"> </w:t>
      </w:r>
      <w:r w:rsidR="002173D4" w:rsidRPr="00F161C4">
        <w:rPr>
          <w:b/>
        </w:rPr>
        <w:t xml:space="preserve"> </w:t>
      </w:r>
      <w:r w:rsidR="006A6294" w:rsidRPr="00F161C4">
        <w:rPr>
          <w:b/>
        </w:rPr>
        <w:t xml:space="preserve">sākotnējās ietekmes novērtējuma </w:t>
      </w:r>
      <w:smartTag w:uri="schemas-tilde-lv/tildestengine" w:element="veidnes">
        <w:smartTagPr>
          <w:attr w:name="id" w:val="-1"/>
          <w:attr w:name="baseform" w:val="ziņojums"/>
          <w:attr w:name="text" w:val="ziņojums"/>
        </w:smartTagPr>
        <w:r w:rsidR="006A6294" w:rsidRPr="00F161C4">
          <w:rPr>
            <w:b/>
          </w:rPr>
          <w:t>ziņojums</w:t>
        </w:r>
      </w:smartTag>
      <w:r w:rsidR="006A6294" w:rsidRPr="00F161C4">
        <w:rPr>
          <w:b/>
        </w:rPr>
        <w:t xml:space="preserve"> (anotācija)</w:t>
      </w:r>
    </w:p>
    <w:p w14:paraId="2B251410" w14:textId="77777777" w:rsidR="006A6294" w:rsidRPr="00F161C4" w:rsidRDefault="006A6294" w:rsidP="006A6294">
      <w:pPr>
        <w:jc w:val="cente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F161C4" w:rsidRPr="00F161C4" w14:paraId="5B9D555C"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487F6D9F" w14:textId="77777777" w:rsidR="006A6294" w:rsidRPr="00F161C4" w:rsidRDefault="006A6294" w:rsidP="00873154">
            <w:pPr>
              <w:jc w:val="center"/>
              <w:rPr>
                <w:b/>
              </w:rPr>
            </w:pPr>
            <w:r w:rsidRPr="00F161C4">
              <w:rPr>
                <w:b/>
              </w:rPr>
              <w:t xml:space="preserve">I.Tiesību akta projekta izstrādes nepieciešamība </w:t>
            </w:r>
          </w:p>
        </w:tc>
      </w:tr>
      <w:tr w:rsidR="00F161C4" w:rsidRPr="00F161C4" w14:paraId="5D28A431"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3DE09A24" w14:textId="77777777" w:rsidR="006A6294" w:rsidRPr="00F161C4" w:rsidRDefault="006A6294" w:rsidP="00873154">
            <w:pPr>
              <w:pStyle w:val="naisf"/>
              <w:spacing w:before="0" w:after="0"/>
              <w:ind w:firstLine="0"/>
            </w:pPr>
            <w:r w:rsidRPr="00F161C4">
              <w:t>1.</w:t>
            </w:r>
          </w:p>
        </w:tc>
        <w:tc>
          <w:tcPr>
            <w:tcW w:w="2538" w:type="dxa"/>
            <w:tcBorders>
              <w:top w:val="outset" w:sz="6" w:space="0" w:color="auto"/>
              <w:left w:val="outset" w:sz="6" w:space="0" w:color="auto"/>
              <w:bottom w:val="outset" w:sz="6" w:space="0" w:color="auto"/>
              <w:right w:val="outset" w:sz="6" w:space="0" w:color="auto"/>
            </w:tcBorders>
          </w:tcPr>
          <w:p w14:paraId="6C862A3F" w14:textId="77777777" w:rsidR="006A6294" w:rsidRPr="00F161C4" w:rsidRDefault="006A6294" w:rsidP="00873154">
            <w:pPr>
              <w:pStyle w:val="naisf"/>
              <w:spacing w:before="0" w:after="0"/>
              <w:ind w:firstLine="0"/>
            </w:pPr>
            <w:r w:rsidRPr="00F161C4">
              <w:t> Pamatojums</w:t>
            </w:r>
          </w:p>
        </w:tc>
        <w:tc>
          <w:tcPr>
            <w:tcW w:w="6527" w:type="dxa"/>
            <w:tcBorders>
              <w:top w:val="outset" w:sz="6" w:space="0" w:color="auto"/>
              <w:left w:val="outset" w:sz="6" w:space="0" w:color="auto"/>
              <w:bottom w:val="outset" w:sz="6" w:space="0" w:color="auto"/>
              <w:right w:val="outset" w:sz="6" w:space="0" w:color="auto"/>
            </w:tcBorders>
          </w:tcPr>
          <w:p w14:paraId="720FA48D" w14:textId="77777777" w:rsidR="006A6294" w:rsidRPr="00F161C4" w:rsidRDefault="003D29C3" w:rsidP="00414F3D">
            <w:pPr>
              <w:jc w:val="both"/>
              <w:rPr>
                <w:lang w:eastAsia="en-US"/>
              </w:rPr>
            </w:pPr>
            <w:r w:rsidRPr="00F161C4">
              <w:t xml:space="preserve">Ministru kabineta noteikumu projekts “Grozījumi Ministru kabineta 2011.gada 4.janvāra noteikumos Nr.12 „Klimata pārmaiņu finanšu instrumenta finansēto projektu atklāta konkursa „Atjaunojamo energoresursu izmantošana siltumnīcefekta gāzu emisiju samazināšanai” nolikums”” (turpmāk- </w:t>
            </w:r>
            <w:r w:rsidR="00FA4DC6" w:rsidRPr="00F161C4">
              <w:t xml:space="preserve">MK </w:t>
            </w:r>
            <w:r w:rsidRPr="00F161C4">
              <w:t xml:space="preserve">noteikumu projekts) </w:t>
            </w:r>
            <w:r w:rsidR="00A30EB9" w:rsidRPr="00F161C4">
              <w:t xml:space="preserve">sagatavots saskaņā ar likuma „Par Latvijas Republikas dalību Kioto protokola elastīgajos mehānismos” </w:t>
            </w:r>
            <w:r w:rsidR="009B4C2F" w:rsidRPr="00F161C4">
              <w:t xml:space="preserve">(turpmāk – likums) </w:t>
            </w:r>
            <w:r w:rsidR="00A30EB9" w:rsidRPr="00F161C4">
              <w:t xml:space="preserve">10.panta trešās daļas </w:t>
            </w:r>
            <w:r w:rsidR="00EB260F" w:rsidRPr="00FD2D36">
              <w:t xml:space="preserve">1.un </w:t>
            </w:r>
            <w:r w:rsidR="005B1E08" w:rsidRPr="00FD2D36">
              <w:t>2</w:t>
            </w:r>
            <w:r w:rsidR="00A30EB9" w:rsidRPr="00FD2D36">
              <w:t>. punktu.</w:t>
            </w:r>
            <w:r w:rsidR="00A30EB9" w:rsidRPr="00FD2D36">
              <w:rPr>
                <w:b/>
                <w:bCs/>
              </w:rPr>
              <w:t xml:space="preserve">  </w:t>
            </w:r>
          </w:p>
        </w:tc>
      </w:tr>
      <w:tr w:rsidR="00F161C4" w:rsidRPr="00F161C4" w14:paraId="1084A925"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7B2FC616" w14:textId="77777777" w:rsidR="006A6294" w:rsidRPr="00F161C4" w:rsidRDefault="006A6294" w:rsidP="00873154">
            <w:pPr>
              <w:spacing w:before="100" w:beforeAutospacing="1" w:after="100" w:afterAutospacing="1"/>
            </w:pPr>
            <w:r w:rsidRPr="00F161C4">
              <w:t>2.</w:t>
            </w:r>
          </w:p>
        </w:tc>
        <w:tc>
          <w:tcPr>
            <w:tcW w:w="2538" w:type="dxa"/>
            <w:tcBorders>
              <w:top w:val="single" w:sz="6" w:space="0" w:color="auto"/>
              <w:left w:val="single" w:sz="6" w:space="0" w:color="auto"/>
              <w:bottom w:val="single" w:sz="6" w:space="0" w:color="auto"/>
              <w:right w:val="single" w:sz="6" w:space="0" w:color="auto"/>
            </w:tcBorders>
          </w:tcPr>
          <w:p w14:paraId="72CF3579" w14:textId="77777777" w:rsidR="006A6294" w:rsidRPr="00F161C4" w:rsidRDefault="006A6294" w:rsidP="00873154">
            <w:pPr>
              <w:spacing w:before="100" w:beforeAutospacing="1" w:after="100" w:afterAutospacing="1"/>
              <w:rPr>
                <w:lang w:eastAsia="en-US"/>
              </w:rPr>
            </w:pPr>
            <w:r w:rsidRPr="00F161C4">
              <w:t>Pašreizējā situācija un problēmas, kuru risināšanai tiesību akta projekts izstrādāts, tiesiskā regulējuma mērķis un būtība</w:t>
            </w:r>
          </w:p>
          <w:p w14:paraId="124349FD" w14:textId="77777777" w:rsidR="006A6294" w:rsidRPr="00F161C4"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3A7A1918" w14:textId="77777777" w:rsidR="009B4C2F" w:rsidRPr="00F161C4" w:rsidRDefault="009B4C2F" w:rsidP="009B4C2F">
            <w:pPr>
              <w:pStyle w:val="PlainText"/>
              <w:jc w:val="both"/>
              <w:rPr>
                <w:rFonts w:ascii="Times New Roman" w:hAnsi="Times New Roman"/>
                <w:sz w:val="24"/>
                <w:szCs w:val="24"/>
              </w:rPr>
            </w:pPr>
            <w:r w:rsidRPr="00F161C4">
              <w:rPr>
                <w:rFonts w:ascii="Times New Roman" w:hAnsi="Times New Roman"/>
                <w:sz w:val="24"/>
                <w:szCs w:val="24"/>
              </w:rPr>
              <w:t xml:space="preserve">Spēkā esošais </w:t>
            </w:r>
            <w:r w:rsidRPr="00F161C4">
              <w:rPr>
                <w:rFonts w:ascii="Times New Roman" w:hAnsi="Times New Roman"/>
                <w:bCs/>
                <w:sz w:val="24"/>
                <w:szCs w:val="24"/>
              </w:rPr>
              <w:t xml:space="preserve"> Ministru kabineta </w:t>
            </w:r>
            <w:r w:rsidRPr="00F161C4">
              <w:rPr>
                <w:rFonts w:ascii="Times New Roman" w:hAnsi="Times New Roman"/>
                <w:sz w:val="24"/>
                <w:szCs w:val="24"/>
              </w:rPr>
              <w:t>2011.gada 4.janvāra noteikumu Nr.12 „</w:t>
            </w:r>
            <w:r w:rsidRPr="00F161C4">
              <w:rPr>
                <w:rFonts w:ascii="Times New Roman" w:hAnsi="Times New Roman"/>
                <w:bCs/>
                <w:sz w:val="24"/>
                <w:szCs w:val="24"/>
              </w:rPr>
              <w:t xml:space="preserve">Klimata pārmaiņu finanšu instrumenta finansēto projektu atklāta konkursa „Atjaunojamo energoresursu izmantošana siltumnīcefekta gāzu emisiju samazināšanai” nolikums” </w:t>
            </w:r>
            <w:r w:rsidRPr="00F161C4">
              <w:rPr>
                <w:rFonts w:ascii="Times New Roman" w:hAnsi="Times New Roman"/>
                <w:sz w:val="24"/>
                <w:szCs w:val="24"/>
              </w:rPr>
              <w:t>(turpmāk – MK noteikumi Nr.12)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792191AC" w14:textId="77777777" w:rsidR="009B4C2F" w:rsidRPr="00F161C4" w:rsidRDefault="009B4C2F" w:rsidP="009B4C2F">
            <w:pPr>
              <w:pStyle w:val="PlainText"/>
              <w:jc w:val="both"/>
              <w:rPr>
                <w:rFonts w:ascii="Times New Roman" w:hAnsi="Times New Roman"/>
                <w:sz w:val="24"/>
                <w:szCs w:val="24"/>
              </w:rPr>
            </w:pPr>
            <w:r w:rsidRPr="00F161C4">
              <w:rPr>
                <w:rFonts w:ascii="Times New Roman" w:eastAsia="Times New Roman" w:hAnsi="Times New Roman"/>
                <w:sz w:val="24"/>
                <w:szCs w:val="24"/>
                <w:lang w:eastAsia="lv-LV"/>
              </w:rPr>
              <w:t xml:space="preserve">MK noteikumu projekta mērķis kopumā ir novērst nepilnības spēkā esošajā tiesiskajā regulējumā par </w:t>
            </w:r>
            <w:r w:rsidR="00F73B0D" w:rsidRPr="00F161C4">
              <w:rPr>
                <w:rFonts w:ascii="Times New Roman" w:eastAsia="Times New Roman" w:hAnsi="Times New Roman"/>
                <w:sz w:val="24"/>
                <w:szCs w:val="24"/>
                <w:lang w:eastAsia="lv-LV"/>
              </w:rPr>
              <w:t xml:space="preserve"> Klimata pārmaiņu finanšu instrumenta (turpmāk – KPFI)</w:t>
            </w:r>
            <w:r w:rsidRPr="00F161C4">
              <w:rPr>
                <w:rFonts w:ascii="Times New Roman" w:eastAsia="Times New Roman" w:hAnsi="Times New Roman"/>
                <w:sz w:val="24"/>
                <w:szCs w:val="24"/>
                <w:lang w:eastAsia="lv-LV"/>
              </w:rPr>
              <w:t xml:space="preserve"> ietvaros īstenoto projektu monitoringa periodu un principiem, kā arī veicināt projekta rezultātu sasniegšanu. MK noteikumu projekts neietekmē projektu konkursa vērtēšanas rezultātus.</w:t>
            </w:r>
          </w:p>
          <w:p w14:paraId="17DE592A" w14:textId="05BBACEF" w:rsidR="00B244AF" w:rsidRPr="00F161C4" w:rsidRDefault="007B441B" w:rsidP="00B244AF">
            <w:pPr>
              <w:jc w:val="both"/>
            </w:pPr>
            <w:r w:rsidRPr="00F161C4">
              <w:t>MK noteikum</w:t>
            </w:r>
            <w:r w:rsidR="00E278B8" w:rsidRPr="00F161C4">
              <w:t>u</w:t>
            </w:r>
            <w:r w:rsidRPr="00F161C4">
              <w:t xml:space="preserve"> Nr.</w:t>
            </w:r>
            <w:r w:rsidR="00AC2742" w:rsidRPr="00F161C4">
              <w:t>12</w:t>
            </w:r>
            <w:r w:rsidR="00E8230D" w:rsidRPr="00F161C4">
              <w:t xml:space="preserve"> 73.punkts nosaka, ka</w:t>
            </w:r>
            <w:r w:rsidRPr="00F161C4">
              <w:t xml:space="preserve"> </w:t>
            </w:r>
            <w:r w:rsidR="00B244AF" w:rsidRPr="00F161C4">
              <w:t xml:space="preserve">piecus gadus pēc projekta īstenošanas termiņa beigām finansējuma saņēmējs katru gadu veic projekta rezultātu monitoringu un līdz nākamā gada 31.janvārim iesniedz </w:t>
            </w:r>
            <w:r w:rsidR="009E7666">
              <w:t>sabiedrīb</w:t>
            </w:r>
            <w:r w:rsidR="000C7110">
              <w:t>ā</w:t>
            </w:r>
            <w:r w:rsidR="009E7666">
              <w:t xml:space="preserve"> ar ierobežotu atbildību  </w:t>
            </w:r>
            <w:r w:rsidR="00F20546" w:rsidRPr="00F161C4">
              <w:t>„</w:t>
            </w:r>
            <w:r w:rsidR="00B244AF" w:rsidRPr="00F161C4">
              <w:t>Vides investīciju fond</w:t>
            </w:r>
            <w:r w:rsidR="00F20546" w:rsidRPr="00F161C4">
              <w:t>s”</w:t>
            </w:r>
            <w:r w:rsidR="00935F3E">
              <w:t xml:space="preserve"> </w:t>
            </w:r>
            <w:r w:rsidR="00F20546" w:rsidRPr="00F161C4">
              <w:t>(turpmāk – Vides investīciju fonds)</w:t>
            </w:r>
            <w:r w:rsidR="00B244AF" w:rsidRPr="00F161C4">
              <w:t xml:space="preserve"> projekta rezultātu monitoringa pārskatu. </w:t>
            </w:r>
            <w:r w:rsidR="00203BED" w:rsidRPr="00F161C4">
              <w:t>Ja atbilstoši finansējuma saņēmēja iesniegtajam monitoringa pārskatam par pirmo ekspluatācijas gadu pēc projekta pabeigšanas tiek konstatēts, ka projekta iesniegumā norādītais oglekļa dioksīda emisiju samazinājums gadā, salīdzinot ar monitoringa pārskatā norādīto samazinājumu netiek sasniegts finansējuma saņēmējam ir jāizstrādā un jāīsteno pasākumu plāns oglekļa dioksīda emisiju samazinājuma neatbilstības novēršanai (turpmāk – plāns).</w:t>
            </w:r>
            <w:r w:rsidR="00B244AF" w:rsidRPr="00F161C4">
              <w:t xml:space="preserve"> MK noteikum</w:t>
            </w:r>
            <w:r w:rsidR="00203BED" w:rsidRPr="00F161C4">
              <w:t>u</w:t>
            </w:r>
            <w:r w:rsidR="00B244AF" w:rsidRPr="00F161C4">
              <w:t xml:space="preserve"> Nr.12 </w:t>
            </w:r>
            <w:r w:rsidR="003E45DC" w:rsidRPr="00F161C4">
              <w:t>87</w:t>
            </w:r>
            <w:r w:rsidR="00B244AF" w:rsidRPr="00F161C4">
              <w:t xml:space="preserve">.punkts nosaka, ka, ja </w:t>
            </w:r>
            <w:r w:rsidR="005E616C" w:rsidRPr="00F161C4">
              <w:rPr>
                <w:shd w:val="clear" w:color="auto" w:fill="FFFFFF"/>
              </w:rPr>
              <w:t xml:space="preserve">Vides investīciju fonds atbilstoši finansējuma saņēmēja iesniegtajam monitoringa pārskatam par otro gadu pēc projekta pabeigšanas atkārtoti konstatē </w:t>
            </w:r>
            <w:r w:rsidR="00B244AF" w:rsidRPr="00F161C4">
              <w:t xml:space="preserve">projekta iesniegumā norādītais oglekļa dioksīda emisiju plānotais samazinājums gadā, salīdzinot ar monitoringa pārskatā </w:t>
            </w:r>
            <w:r w:rsidR="00B244AF" w:rsidRPr="00F161C4">
              <w:lastRenderedPageBreak/>
              <w:t xml:space="preserve">norādīto samazinājumu, nav sasniegts, Vides investīciju fonds aprēķina oglekļa dioksīda emisiju samazinājuma neatbilstības apmēru un rakstiski par to informē finansējuma saņēmēju un atbildīgo iestādi. Atbildīgā iestāde pieņem lēmumu par projektam izmaksāto finanšu instrumenta līdzekļu atzīšanu par neattiecināmiem un finanšu instrumenta līdzekļu atgūšanu, ja finansējuma saņēmējs ir komersants. </w:t>
            </w:r>
          </w:p>
          <w:p w14:paraId="480F6677" w14:textId="77777777" w:rsidR="00E8230D" w:rsidRPr="00F161C4" w:rsidRDefault="00E8230D" w:rsidP="00B244AF">
            <w:pPr>
              <w:jc w:val="both"/>
            </w:pPr>
          </w:p>
          <w:p w14:paraId="11DAC4A4" w14:textId="77777777" w:rsidR="00B244AF" w:rsidRPr="00F161C4" w:rsidRDefault="00506D62" w:rsidP="00B244AF">
            <w:pPr>
              <w:pStyle w:val="PlainText"/>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S</w:t>
            </w:r>
            <w:r w:rsidR="00B244AF" w:rsidRPr="00F161C4">
              <w:rPr>
                <w:rFonts w:ascii="Times New Roman" w:eastAsia="Times New Roman" w:hAnsi="Times New Roman"/>
                <w:sz w:val="24"/>
                <w:szCs w:val="24"/>
                <w:lang w:eastAsia="lv-LV"/>
              </w:rPr>
              <w:t>pēkā esošā tiesiskā regulējuma ietvaros Vides aizsardzības un reģionālās attīstības ministrija kā KPFI atbildīgā iestāde ir saskārusies ar šādām problēmām.</w:t>
            </w:r>
          </w:p>
          <w:p w14:paraId="10B68027" w14:textId="77777777" w:rsidR="00AE1A32" w:rsidRPr="00F161C4" w:rsidRDefault="00203BED" w:rsidP="00AE1A32">
            <w:pPr>
              <w:pStyle w:val="PlainText"/>
              <w:jc w:val="both"/>
              <w:rPr>
                <w:rFonts w:ascii="Times New Roman" w:eastAsia="Times New Roman" w:hAnsi="Times New Roman"/>
                <w:sz w:val="24"/>
                <w:szCs w:val="24"/>
                <w:lang w:eastAsia="lv-LV"/>
              </w:rPr>
            </w:pPr>
            <w:r w:rsidRPr="00F161C4">
              <w:rPr>
                <w:rFonts w:ascii="Times New Roman" w:hAnsi="Times New Roman"/>
                <w:bCs/>
                <w:sz w:val="24"/>
                <w:szCs w:val="24"/>
              </w:rPr>
              <w:t xml:space="preserve">  </w:t>
            </w:r>
            <w:r w:rsidR="00B244AF" w:rsidRPr="00F161C4">
              <w:rPr>
                <w:rFonts w:ascii="Times New Roman" w:hAnsi="Times New Roman"/>
                <w:bCs/>
                <w:sz w:val="24"/>
                <w:szCs w:val="24"/>
              </w:rPr>
              <w:t xml:space="preserve">1) </w:t>
            </w:r>
            <w:r w:rsidRPr="00F161C4">
              <w:rPr>
                <w:rFonts w:ascii="Times New Roman" w:hAnsi="Times New Roman"/>
                <w:bCs/>
                <w:sz w:val="24"/>
                <w:szCs w:val="24"/>
              </w:rPr>
              <w:t>Esošajā regulējumā nav norādīts monitoringa</w:t>
            </w:r>
            <w:r w:rsidR="00541433" w:rsidRPr="00F161C4">
              <w:rPr>
                <w:rFonts w:ascii="Times New Roman" w:hAnsi="Times New Roman"/>
                <w:bCs/>
                <w:sz w:val="24"/>
                <w:szCs w:val="24"/>
              </w:rPr>
              <w:t xml:space="preserve"> un monitoringa gada</w:t>
            </w:r>
            <w:r w:rsidRPr="00F161C4">
              <w:rPr>
                <w:rFonts w:ascii="Times New Roman" w:hAnsi="Times New Roman"/>
                <w:bCs/>
                <w:sz w:val="24"/>
                <w:szCs w:val="24"/>
              </w:rPr>
              <w:t xml:space="preserve"> perioda sākuma un beigu datums, kā arī nav atrunāts, ka projekta monitorings tiek apturēts laikā, kad finansējuma saņēmējs īsteno </w:t>
            </w:r>
            <w:r w:rsidR="001A2CA4" w:rsidRPr="00F161C4">
              <w:rPr>
                <w:rFonts w:ascii="Times New Roman" w:hAnsi="Times New Roman"/>
                <w:bCs/>
                <w:sz w:val="24"/>
                <w:szCs w:val="24"/>
              </w:rPr>
              <w:t>papildu pasākumus</w:t>
            </w:r>
            <w:r w:rsidRPr="00F161C4">
              <w:rPr>
                <w:rFonts w:ascii="Times New Roman" w:hAnsi="Times New Roman"/>
                <w:bCs/>
                <w:sz w:val="24"/>
                <w:szCs w:val="24"/>
              </w:rPr>
              <w:t xml:space="preserve">. Tādejādi rodas situācija, kad pēc projekta īstenošanas </w:t>
            </w:r>
            <w:r w:rsidR="003E45DC" w:rsidRPr="00F161C4">
              <w:rPr>
                <w:rFonts w:ascii="Times New Roman" w:hAnsi="Times New Roman"/>
                <w:bCs/>
                <w:sz w:val="24"/>
                <w:szCs w:val="24"/>
              </w:rPr>
              <w:t xml:space="preserve">un </w:t>
            </w:r>
            <w:r w:rsidRPr="00F161C4">
              <w:rPr>
                <w:rFonts w:ascii="Times New Roman" w:hAnsi="Times New Roman"/>
                <w:bCs/>
                <w:sz w:val="24"/>
                <w:szCs w:val="24"/>
              </w:rPr>
              <w:t xml:space="preserve">pēc plāna īstenošanas nav pilns kalendārais gads, lai novērtētu projekta līgumā noteikto sasniedzamo rezultātu un monitoringa </w:t>
            </w:r>
            <w:r w:rsidR="00F6265C">
              <w:rPr>
                <w:rFonts w:ascii="Times New Roman" w:hAnsi="Times New Roman"/>
                <w:bCs/>
                <w:sz w:val="24"/>
                <w:szCs w:val="24"/>
              </w:rPr>
              <w:t>pārskatā</w:t>
            </w:r>
            <w:r w:rsidRPr="00F161C4">
              <w:rPr>
                <w:rFonts w:ascii="Times New Roman" w:hAnsi="Times New Roman"/>
                <w:bCs/>
                <w:sz w:val="24"/>
                <w:szCs w:val="24"/>
              </w:rPr>
              <w:t xml:space="preserve"> norādīto sasniegto rezultātu</w:t>
            </w:r>
            <w:r w:rsidR="00B244AF" w:rsidRPr="00F161C4">
              <w:rPr>
                <w:rFonts w:ascii="Times New Roman" w:hAnsi="Times New Roman"/>
                <w:bCs/>
                <w:sz w:val="24"/>
                <w:szCs w:val="24"/>
              </w:rPr>
              <w:t>.</w:t>
            </w:r>
            <w:r w:rsidR="008B1B36" w:rsidRPr="00F161C4">
              <w:rPr>
                <w:rFonts w:ascii="Times New Roman" w:hAnsi="Times New Roman"/>
                <w:bCs/>
                <w:sz w:val="24"/>
                <w:szCs w:val="24"/>
              </w:rPr>
              <w:t xml:space="preserve"> </w:t>
            </w:r>
            <w:r w:rsidR="00FA4DC6" w:rsidRPr="00F161C4">
              <w:rPr>
                <w:rFonts w:ascii="Times New Roman" w:eastAsia="Times New Roman" w:hAnsi="Times New Roman"/>
                <w:sz w:val="24"/>
                <w:szCs w:val="24"/>
                <w:lang w:eastAsia="lv-LV"/>
              </w:rPr>
              <w:t>MK n</w:t>
            </w:r>
            <w:r w:rsidR="003D29C3" w:rsidRPr="00F161C4">
              <w:rPr>
                <w:rFonts w:ascii="Times New Roman" w:eastAsia="Times New Roman" w:hAnsi="Times New Roman"/>
                <w:sz w:val="24"/>
                <w:szCs w:val="24"/>
                <w:lang w:eastAsia="lv-LV"/>
              </w:rPr>
              <w:t xml:space="preserve">oteikumu projekts </w:t>
            </w:r>
            <w:r w:rsidR="00E26B90" w:rsidRPr="00F161C4">
              <w:rPr>
                <w:rFonts w:ascii="Times New Roman" w:eastAsia="Times New Roman" w:hAnsi="Times New Roman"/>
                <w:sz w:val="24"/>
                <w:szCs w:val="24"/>
                <w:lang w:eastAsia="lv-LV"/>
              </w:rPr>
              <w:t xml:space="preserve">nosaka monitoringa gada sākuma un beigu datumu un </w:t>
            </w:r>
            <w:r w:rsidR="00AE1A32" w:rsidRPr="00F161C4">
              <w:rPr>
                <w:rFonts w:ascii="Times New Roman" w:eastAsia="Times New Roman" w:hAnsi="Times New Roman"/>
                <w:sz w:val="24"/>
                <w:szCs w:val="24"/>
                <w:lang w:eastAsia="lv-LV"/>
              </w:rPr>
              <w:t>konkretizē, ka par nepilnu monitoringa gadu neatbilstību neaprēķina.</w:t>
            </w:r>
          </w:p>
          <w:p w14:paraId="445F10F7" w14:textId="77777777" w:rsidR="00E278B8" w:rsidRPr="00F161C4" w:rsidRDefault="00E278B8" w:rsidP="00E278B8">
            <w:pPr>
              <w:pStyle w:val="naisc"/>
              <w:spacing w:before="0" w:after="0"/>
              <w:jc w:val="both"/>
            </w:pPr>
            <w:r w:rsidRPr="00F161C4">
              <w:t xml:space="preserve">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w:t>
            </w:r>
            <w:r w:rsidR="00A871C2">
              <w:t>četrus</w:t>
            </w:r>
            <w:r w:rsidRPr="00F161C4">
              <w:t xml:space="preserve"> monitoringa pārskatus par </w:t>
            </w:r>
            <w:r w:rsidR="00A871C2">
              <w:t>četriem</w:t>
            </w:r>
            <w:r w:rsidRPr="00F161C4">
              <w:t xml:space="preserve"> pilniem monitoringa gadiem.</w:t>
            </w:r>
          </w:p>
          <w:p w14:paraId="0E1AA16F" w14:textId="77777777" w:rsidR="00E278B8" w:rsidRPr="00F161C4" w:rsidRDefault="00E278B8" w:rsidP="00E278B8">
            <w:pPr>
              <w:pStyle w:val="PlainText"/>
              <w:jc w:val="both"/>
              <w:rPr>
                <w:rFonts w:ascii="Times New Roman" w:hAnsi="Times New Roman"/>
                <w:sz w:val="24"/>
                <w:szCs w:val="24"/>
              </w:rPr>
            </w:pPr>
            <w:r w:rsidRPr="00F161C4">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w:t>
            </w:r>
            <w:r w:rsidR="00A871C2">
              <w:rPr>
                <w:rFonts w:ascii="Times New Roman" w:hAnsi="Times New Roman"/>
                <w:sz w:val="24"/>
                <w:szCs w:val="24"/>
              </w:rPr>
              <w:t>e</w:t>
            </w:r>
            <w:r w:rsidRPr="00F161C4">
              <w:rPr>
                <w:rFonts w:ascii="Times New Roman" w:hAnsi="Times New Roman"/>
                <w:sz w:val="24"/>
                <w:szCs w:val="24"/>
              </w:rPr>
              <w:t xml:space="preserve"> dati tiks salīdzināti un uzskaitīti par periodu, kādu paredz noteikumu projekts, t.i., par monitoringa (kalendāro) gadu.</w:t>
            </w:r>
          </w:p>
          <w:p w14:paraId="2EAFE0AA" w14:textId="77777777" w:rsidR="00E278B8" w:rsidRPr="00F161C4" w:rsidRDefault="00203BED" w:rsidP="00E278B8">
            <w:pPr>
              <w:pStyle w:val="PlainText"/>
              <w:jc w:val="both"/>
              <w:rPr>
                <w:rFonts w:ascii="Times New Roman" w:hAnsi="Times New Roman"/>
                <w:sz w:val="24"/>
                <w:szCs w:val="24"/>
              </w:rPr>
            </w:pPr>
            <w:r w:rsidRPr="00F161C4">
              <w:rPr>
                <w:rFonts w:ascii="Times New Roman" w:hAnsi="Times New Roman"/>
                <w:bCs/>
                <w:sz w:val="24"/>
                <w:szCs w:val="24"/>
              </w:rPr>
              <w:t xml:space="preserve">  </w:t>
            </w:r>
            <w:r w:rsidR="006D79A2" w:rsidRPr="00F161C4">
              <w:rPr>
                <w:rFonts w:ascii="Times New Roman" w:hAnsi="Times New Roman"/>
                <w:bCs/>
                <w:sz w:val="24"/>
                <w:szCs w:val="24"/>
              </w:rPr>
              <w:t>2</w:t>
            </w:r>
            <w:r w:rsidR="00B244AF" w:rsidRPr="00F161C4">
              <w:rPr>
                <w:rFonts w:ascii="Times New Roman" w:hAnsi="Times New Roman"/>
                <w:bCs/>
                <w:sz w:val="24"/>
                <w:szCs w:val="24"/>
              </w:rPr>
              <w:t>)</w:t>
            </w:r>
            <w:r w:rsidRPr="00F161C4">
              <w:rPr>
                <w:rFonts w:ascii="Times New Roman" w:hAnsi="Times New Roman"/>
                <w:bCs/>
                <w:sz w:val="24"/>
                <w:szCs w:val="24"/>
              </w:rPr>
              <w:t xml:space="preserve"> </w:t>
            </w:r>
            <w:r w:rsidR="00E278B8" w:rsidRPr="00F161C4">
              <w:rPr>
                <w:rFonts w:ascii="Times New Roman" w:hAnsi="Times New Roman"/>
                <w:sz w:val="24"/>
                <w:szCs w:val="24"/>
              </w:rPr>
              <w:t xml:space="preserve"> Spēkā esošais regulējums paredz pienākumu iesniegt plānu oglekļa dioksīda emisijas samazināšanas neatbilstības novēršanai, taču </w:t>
            </w:r>
            <w:r w:rsidR="00E278B8" w:rsidRPr="00F161C4">
              <w:rPr>
                <w:rFonts w:ascii="Times New Roman" w:hAnsi="Times New Roman"/>
                <w:bCs/>
                <w:sz w:val="24"/>
                <w:szCs w:val="24"/>
              </w:rPr>
              <w:t xml:space="preserve">tas </w:t>
            </w:r>
            <w:r w:rsidRPr="00F161C4">
              <w:rPr>
                <w:rFonts w:ascii="Times New Roman" w:hAnsi="Times New Roman"/>
                <w:bCs/>
                <w:sz w:val="24"/>
                <w:szCs w:val="24"/>
              </w:rPr>
              <w:t xml:space="preserve">ir </w:t>
            </w:r>
            <w:r w:rsidR="009D6BA6" w:rsidRPr="00F161C4">
              <w:rPr>
                <w:rFonts w:ascii="Times New Roman" w:hAnsi="Times New Roman"/>
                <w:bCs/>
                <w:sz w:val="24"/>
                <w:szCs w:val="24"/>
              </w:rPr>
              <w:t xml:space="preserve">neskaidrs </w:t>
            </w:r>
            <w:r w:rsidRPr="00F161C4">
              <w:rPr>
                <w:rFonts w:ascii="Times New Roman" w:hAnsi="Times New Roman"/>
                <w:bCs/>
                <w:sz w:val="24"/>
                <w:szCs w:val="24"/>
              </w:rPr>
              <w:t>attiecībā uz plānā iekļaujamajiem pasākumiem</w:t>
            </w:r>
            <w:r w:rsidR="00B244AF" w:rsidRPr="00F161C4">
              <w:rPr>
                <w:rFonts w:ascii="Times New Roman" w:hAnsi="Times New Roman"/>
                <w:bCs/>
                <w:sz w:val="24"/>
                <w:szCs w:val="24"/>
              </w:rPr>
              <w:t>.</w:t>
            </w:r>
            <w:r w:rsidR="00AE1A32" w:rsidRPr="00F161C4">
              <w:rPr>
                <w:rFonts w:ascii="Times New Roman" w:hAnsi="Times New Roman"/>
                <w:bCs/>
                <w:sz w:val="24"/>
                <w:szCs w:val="24"/>
              </w:rPr>
              <w:t xml:space="preserve"> </w:t>
            </w:r>
            <w:r w:rsidR="00AE1A32" w:rsidRPr="00F161C4">
              <w:rPr>
                <w:rFonts w:ascii="Times New Roman" w:eastAsia="Times New Roman" w:hAnsi="Times New Roman"/>
                <w:sz w:val="24"/>
                <w:szCs w:val="24"/>
                <w:lang w:eastAsia="lv-LV"/>
              </w:rPr>
              <w:t xml:space="preserve"> </w:t>
            </w:r>
            <w:r w:rsidR="009D6BA6" w:rsidRPr="00F161C4">
              <w:rPr>
                <w:rFonts w:ascii="Times New Roman" w:eastAsia="Times New Roman" w:hAnsi="Times New Roman"/>
                <w:sz w:val="24"/>
                <w:szCs w:val="24"/>
                <w:lang w:eastAsia="lv-LV"/>
              </w:rPr>
              <w:t xml:space="preserve"> </w:t>
            </w:r>
            <w:r w:rsidR="00FA4DC6" w:rsidRPr="00F161C4">
              <w:rPr>
                <w:rFonts w:ascii="Times New Roman" w:eastAsia="Times New Roman" w:hAnsi="Times New Roman"/>
                <w:sz w:val="24"/>
                <w:szCs w:val="24"/>
                <w:lang w:eastAsia="lv-LV"/>
              </w:rPr>
              <w:t>MK n</w:t>
            </w:r>
            <w:r w:rsidR="003D29C3" w:rsidRPr="00F161C4">
              <w:rPr>
                <w:rFonts w:ascii="Times New Roman" w:eastAsia="Times New Roman" w:hAnsi="Times New Roman"/>
                <w:sz w:val="24"/>
                <w:szCs w:val="24"/>
                <w:lang w:eastAsia="lv-LV"/>
              </w:rPr>
              <w:t xml:space="preserve">oteikumu projekts </w:t>
            </w:r>
            <w:r w:rsidR="009D6BA6" w:rsidRPr="00F161C4">
              <w:rPr>
                <w:rFonts w:ascii="Times New Roman" w:eastAsia="Times New Roman" w:hAnsi="Times New Roman"/>
                <w:sz w:val="24"/>
                <w:szCs w:val="24"/>
                <w:lang w:eastAsia="lv-LV"/>
              </w:rPr>
              <w:t xml:space="preserve"> paredz uzskaitījumu pasākumiem, kas var tikt ietverti plānā neatbilstības novēršanai.  </w:t>
            </w:r>
            <w:r w:rsidR="00E278B8" w:rsidRPr="00F161C4">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A871C2">
              <w:rPr>
                <w:rFonts w:ascii="Times New Roman" w:hAnsi="Times New Roman"/>
                <w:sz w:val="24"/>
                <w:szCs w:val="24"/>
              </w:rPr>
              <w:t>inistru kabineta</w:t>
            </w:r>
            <w:r w:rsidR="00E278B8" w:rsidRPr="00F161C4">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w:t>
            </w:r>
            <w:r w:rsidR="00E278B8" w:rsidRPr="00F161C4">
              <w:rPr>
                <w:rFonts w:ascii="Times New Roman" w:hAnsi="Times New Roman"/>
                <w:sz w:val="24"/>
                <w:szCs w:val="24"/>
              </w:rPr>
              <w:lastRenderedPageBreak/>
              <w:t xml:space="preserve">un rezultātu sasniegšana par saviem līdzekļiem. </w:t>
            </w:r>
          </w:p>
          <w:p w14:paraId="2C4A9C39" w14:textId="77777777" w:rsidR="00B244AF" w:rsidRPr="00F161C4" w:rsidRDefault="009D6BA6" w:rsidP="00B244AF">
            <w:pPr>
              <w:pStyle w:val="PlainText"/>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FA4DC6" w:rsidRPr="00F161C4">
              <w:rPr>
                <w:rFonts w:ascii="Times New Roman" w:eastAsia="Times New Roman" w:hAnsi="Times New Roman"/>
                <w:sz w:val="24"/>
                <w:szCs w:val="24"/>
                <w:lang w:eastAsia="lv-LV"/>
              </w:rPr>
              <w:t xml:space="preserve">MK </w:t>
            </w:r>
            <w:r w:rsidR="005C1357" w:rsidRPr="00F161C4">
              <w:rPr>
                <w:rFonts w:ascii="Times New Roman" w:eastAsia="Times New Roman" w:hAnsi="Times New Roman"/>
                <w:sz w:val="24"/>
                <w:szCs w:val="24"/>
                <w:lang w:eastAsia="lv-LV"/>
              </w:rPr>
              <w:t xml:space="preserve">noteikumu projekts </w:t>
            </w:r>
            <w:r w:rsidRPr="00F161C4">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3670B2" w:rsidRPr="00F161C4">
              <w:rPr>
                <w:rFonts w:ascii="Times New Roman" w:eastAsia="Times New Roman" w:hAnsi="Times New Roman"/>
                <w:sz w:val="24"/>
                <w:szCs w:val="24"/>
                <w:lang w:eastAsia="lv-LV"/>
              </w:rPr>
              <w:t xml:space="preserve"> un sniegt </w:t>
            </w:r>
            <w:r w:rsidR="003670B2" w:rsidRPr="00F161C4">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Pr="00F161C4">
              <w:rPr>
                <w:rFonts w:ascii="Times New Roman" w:eastAsia="Times New Roman" w:hAnsi="Times New Roman"/>
                <w:sz w:val="24"/>
                <w:szCs w:val="24"/>
                <w:lang w:eastAsia="lv-LV"/>
              </w:rPr>
              <w:t>.</w:t>
            </w:r>
          </w:p>
          <w:p w14:paraId="4557EE9B" w14:textId="77777777" w:rsidR="00E278B8" w:rsidRPr="00F161C4" w:rsidRDefault="00E278B8" w:rsidP="00B244AF">
            <w:pPr>
              <w:pStyle w:val="PlainText"/>
              <w:jc w:val="both"/>
              <w:rPr>
                <w:rFonts w:ascii="Times New Roman" w:eastAsia="Times New Roman" w:hAnsi="Times New Roman"/>
                <w:sz w:val="24"/>
                <w:szCs w:val="24"/>
                <w:lang w:eastAsia="lv-LV"/>
              </w:rPr>
            </w:pPr>
            <w:r w:rsidRPr="00F161C4">
              <w:rPr>
                <w:rFonts w:ascii="Times New Roman" w:hAnsi="Times New Roman"/>
                <w:sz w:val="24"/>
                <w:szCs w:val="24"/>
              </w:rPr>
              <w:t xml:space="preserve">Likums nenosaka termiņu KPFI projektu īstenošanai un monitoringa periodam. </w:t>
            </w:r>
            <w:r w:rsidR="00650711" w:rsidRPr="000F31FE">
              <w:rPr>
                <w:rFonts w:ascii="Times New Roman" w:hAnsi="Times New Roman"/>
                <w:sz w:val="24"/>
                <w:szCs w:val="24"/>
              </w:rPr>
              <w:t xml:space="preserve"> Atbilstoši likuma 10.</w:t>
            </w:r>
            <w:r w:rsidR="00650711" w:rsidRPr="000C7110">
              <w:rPr>
                <w:rFonts w:ascii="Times New Roman" w:hAnsi="Times New Roman"/>
                <w:sz w:val="24"/>
                <w:szCs w:val="24"/>
              </w:rPr>
              <w:t xml:space="preserve">panta </w:t>
            </w:r>
            <w:r w:rsidR="00650711" w:rsidRPr="002E3A8A">
              <w:rPr>
                <w:rFonts w:ascii="Times New Roman" w:hAnsi="Times New Roman"/>
                <w:sz w:val="24"/>
                <w:szCs w:val="24"/>
              </w:rPr>
              <w:t>trešās daļas</w:t>
            </w:r>
            <w:r w:rsidR="00650711">
              <w:rPr>
                <w:rFonts w:ascii="Times New Roman" w:hAnsi="Times New Roman"/>
                <w:sz w:val="24"/>
                <w:szCs w:val="24"/>
              </w:rPr>
              <w:t xml:space="preserve"> </w:t>
            </w:r>
            <w:r w:rsidR="00650711" w:rsidRPr="000F31FE">
              <w:rPr>
                <w:rFonts w:ascii="Times New Roman" w:hAnsi="Times New Roman"/>
                <w:sz w:val="24"/>
                <w:szCs w:val="24"/>
              </w:rPr>
              <w:t>1.un 2.</w:t>
            </w:r>
            <w:r w:rsidR="00650711">
              <w:rPr>
                <w:rFonts w:ascii="Times New Roman" w:hAnsi="Times New Roman"/>
                <w:sz w:val="24"/>
                <w:szCs w:val="24"/>
              </w:rPr>
              <w:t>punktam</w:t>
            </w:r>
            <w:r w:rsidR="00650711" w:rsidRPr="00F161C4">
              <w:rPr>
                <w:rFonts w:ascii="Times New Roman" w:hAnsi="Times New Roman"/>
                <w:sz w:val="24"/>
                <w:szCs w:val="24"/>
              </w:rPr>
              <w:t xml:space="preserve"> </w:t>
            </w:r>
            <w:r w:rsidR="00900FC2"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900FC2" w:rsidRPr="00F201B7">
              <w:rPr>
                <w:rFonts w:ascii="Times New Roman" w:hAnsi="Times New Roman"/>
                <w:sz w:val="24"/>
                <w:szCs w:val="24"/>
              </w:rPr>
              <w:t>.</w:t>
            </w:r>
            <w:r w:rsidR="00900FC2" w:rsidRPr="0061151A">
              <w:rPr>
                <w:rFonts w:ascii="Times New Roman" w:hAnsi="Times New Roman"/>
                <w:sz w:val="24"/>
                <w:szCs w:val="24"/>
              </w:rPr>
              <w:t xml:space="preserve"> </w:t>
            </w:r>
            <w:r w:rsidR="00900FC2">
              <w:rPr>
                <w:rFonts w:ascii="Times New Roman" w:hAnsi="Times New Roman"/>
                <w:sz w:val="24"/>
                <w:szCs w:val="24"/>
              </w:rPr>
              <w:t>P</w:t>
            </w:r>
            <w:r w:rsidR="00900FC2" w:rsidRPr="0061151A">
              <w:rPr>
                <w:rFonts w:ascii="Times New Roman" w:hAnsi="Times New Roman"/>
                <w:sz w:val="24"/>
                <w:szCs w:val="24"/>
              </w:rPr>
              <w:t>iecu</w:t>
            </w:r>
            <w:r w:rsidRPr="00F161C4">
              <w:rPr>
                <w:rFonts w:ascii="Times New Roman" w:hAnsi="Times New Roman"/>
                <w:sz w:val="24"/>
                <w:szCs w:val="24"/>
              </w:rPr>
              <w:t xml:space="preserve"> gadu monitoringa termiņš ir noteikts MK </w:t>
            </w:r>
            <w:r w:rsidR="00A871C2">
              <w:rPr>
                <w:rFonts w:ascii="Times New Roman" w:hAnsi="Times New Roman"/>
                <w:sz w:val="24"/>
                <w:szCs w:val="24"/>
              </w:rPr>
              <w:t>apstiprinātajā</w:t>
            </w:r>
            <w:r w:rsidRPr="00F161C4">
              <w:rPr>
                <w:rFonts w:ascii="Times New Roman" w:hAnsi="Times New Roman"/>
                <w:sz w:val="24"/>
                <w:szCs w:val="24"/>
              </w:rPr>
              <w:t xml:space="preserve"> konkursa nolikumā.  Pagarinot projekta monitoringa termiņu tiks</w:t>
            </w:r>
            <w:r w:rsidRPr="00F161C4">
              <w:rPr>
                <w:rFonts w:ascii="Times New Roman" w:eastAsia="Times New Roman" w:hAnsi="Times New Roman"/>
                <w:sz w:val="24"/>
                <w:szCs w:val="24"/>
                <w:lang w:eastAsia="lv-LV"/>
              </w:rPr>
              <w:t xml:space="preserve"> veicināta projekta rezultātu sasniegšanu un to ilgtspēja.</w:t>
            </w:r>
          </w:p>
          <w:p w14:paraId="5969771D" w14:textId="77777777" w:rsidR="00E278B8" w:rsidRPr="00F161C4" w:rsidRDefault="00203BED" w:rsidP="00E278B8">
            <w:pPr>
              <w:jc w:val="both"/>
            </w:pPr>
            <w:r w:rsidRPr="00F161C4">
              <w:t xml:space="preserve">  </w:t>
            </w:r>
            <w:r w:rsidR="006D79A2" w:rsidRPr="00F161C4">
              <w:t>3</w:t>
            </w:r>
            <w:r w:rsidR="00B244AF" w:rsidRPr="00F161C4">
              <w:t xml:space="preserve">) </w:t>
            </w:r>
            <w:r w:rsidRPr="00F161C4">
              <w:t>Esošais regulējums ir nepilnīgs attiecībā uz monitoringa gadiem, par kuriem aprēķina oglekļa dioksīda emisijas samazinājuma neatbilstību</w:t>
            </w:r>
            <w:r w:rsidR="00512386" w:rsidRPr="00F161C4">
              <w:t xml:space="preserve">. Atbilstoši esošajam regulējumam </w:t>
            </w:r>
            <w:r w:rsidRPr="00F161C4">
              <w:t xml:space="preserve">pasākuma plānu var iesniegt pēc pirmā ekspluatācijas gada, ja </w:t>
            </w:r>
            <w:r w:rsidR="00512386" w:rsidRPr="00F161C4">
              <w:t xml:space="preserve">projekta līgumā noteiktais </w:t>
            </w:r>
            <w:r w:rsidRPr="00F161C4">
              <w:t>rādītājs netiek sasniegts</w:t>
            </w:r>
            <w:r w:rsidR="00512386" w:rsidRPr="00F161C4">
              <w:t>. Ja pēc plāna ieviešanas un otrā ekspluatācijas gada atkārtoti konstatē, ka projekta līgumā noteiktais</w:t>
            </w:r>
            <w:r w:rsidRPr="00F161C4">
              <w:t xml:space="preserve"> rādītājs nav sasniegts</w:t>
            </w:r>
            <w:r w:rsidR="00512386" w:rsidRPr="00F161C4">
              <w:t>, aprēķina neatbilstību</w:t>
            </w:r>
            <w:r w:rsidRPr="00F161C4">
              <w:t xml:space="preserve">. Neatbilstības aprēķināšanas gads pēc otrā monitoringa perioda ir nesamērīgs, ņemot vērā, ka monitoringa periods un pienākums iesniegt pārskatus turpinās </w:t>
            </w:r>
            <w:r w:rsidR="00F73B0D">
              <w:t>piecus</w:t>
            </w:r>
            <w:r w:rsidRPr="00F161C4">
              <w:t xml:space="preserve"> gadus.</w:t>
            </w:r>
            <w:r w:rsidR="00B244AF" w:rsidRPr="00F161C4">
              <w:t xml:space="preserve"> </w:t>
            </w:r>
            <w:r w:rsidR="00AE1A32" w:rsidRPr="00F161C4">
              <w:t xml:space="preserve"> </w:t>
            </w:r>
            <w:r w:rsidR="009D6BA6" w:rsidRPr="00F161C4">
              <w:t xml:space="preserve"> </w:t>
            </w:r>
            <w:r w:rsidR="00FA4DC6" w:rsidRPr="00F161C4">
              <w:t>MK n</w:t>
            </w:r>
            <w:r w:rsidR="003D29C3" w:rsidRPr="00F161C4">
              <w:t>oteikumu projekts</w:t>
            </w:r>
            <w:r w:rsidR="009D6BA6" w:rsidRPr="00F161C4">
              <w:t xml:space="preserve"> paredz iespēju finansējuma saņēmējam īstenot plānu neatbilstības novēršanai jebkurā no monitoringa gadiem </w:t>
            </w:r>
            <w:r w:rsidR="0008350E" w:rsidRPr="002E3A8A">
              <w:t>(izņemot pēdējo monitoringa gadu) un  monitoringa periodam noslēdzoties oglekļa dioksīda emisijas samazinājuma neatbilstības noteikšanai ņemt vērā visu monitoringa gadu vidējo sasniegto rezultātu</w:t>
            </w:r>
            <w:r w:rsidR="009D6BA6" w:rsidRPr="000C7110">
              <w:t>.</w:t>
            </w:r>
            <w:r w:rsidR="00456578" w:rsidRPr="000C7110">
              <w:t xml:space="preserve"> </w:t>
            </w:r>
            <w:r w:rsidR="00456578" w:rsidRPr="002E3A8A">
              <w:t xml:space="preserve"> Plānu neatbilstības novēršanai nevar īstenot pēdējā monitoringa gadā, jo projekta monitoringa periods tajā noslēdzas un pēc pēdējā monitoringa gada aprēķina neatbilstības apmēru.</w:t>
            </w:r>
            <w:r w:rsidR="0067184A" w:rsidRPr="002E3A8A">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r w:rsidR="00E278B8" w:rsidRPr="00F161C4">
              <w:t xml:space="preserve"> </w:t>
            </w:r>
          </w:p>
          <w:p w14:paraId="3E0B8653" w14:textId="77777777" w:rsidR="00E278B8" w:rsidRPr="00F161C4" w:rsidRDefault="00E278B8" w:rsidP="00E278B8">
            <w:pPr>
              <w:jc w:val="both"/>
            </w:pPr>
            <w:r w:rsidRPr="00F161C4">
              <w:t xml:space="preserve">MK noteikumu projekts paredz aprēķināt neatbilstību, vērtējot projektā sasniegto vidējo rādītāju visā projekta monitoringa periodā. </w:t>
            </w:r>
            <w:r w:rsidR="00DA0F31" w:rsidRPr="00F161C4">
              <w:t xml:space="preserve"> Šāds regulējums atsevišķiem finansējuma saņēmējiem </w:t>
            </w:r>
            <w:r w:rsidR="00DA0F31" w:rsidRPr="00F161C4">
              <w:lastRenderedPageBreak/>
              <w:t xml:space="preserve">var palielināt atmaksājamā finansējuma daļu, ja projekts nesasniedz projektā solīto rezultātu un finansējuma saņēmējs nepagarina projekta monitoringa periodu, un neīsteno plānu oglekļa dioksīda emisijas samazinājuma  novēršanai. MK noteikumu projekta redakcija ir labvēlīgāka, jo pagarinot monitoringa periodu, tiks ņemti vērā </w:t>
            </w:r>
            <w:r w:rsidR="00F73B0D">
              <w:t>pieci</w:t>
            </w:r>
            <w:r w:rsidR="00DA0F31" w:rsidRPr="00F161C4">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F161C4">
              <w:t xml:space="preserve"> Finansējuma saņēmējam, iesniedzot projekta iesniegumu finansējuma saņemšanai un apņemoties par saņemto finansējumu sasniegt solīto oglekļa dioksīda emisijas samazinājumu gadā un monitorēt projekta rezultātus </w:t>
            </w:r>
            <w:r w:rsidR="00F73B0D">
              <w:t>piecus</w:t>
            </w:r>
            <w:r w:rsidRPr="00F161C4">
              <w:t xml:space="preserve"> gadus, nevarēja rasties tiesiskā paļāv</w:t>
            </w:r>
            <w:r w:rsidR="00F73B0D">
              <w:t>ība</w:t>
            </w:r>
            <w:r w:rsidRPr="00F161C4">
              <w:t xml:space="preserve">, ka projekta rezultāts var netikt sasniegts visu monitoringa periodu. Spēkā esošais regulējums ir vērsts uz ilgtspējīgu rezultātu nodrošināšanu. </w:t>
            </w:r>
            <w:r w:rsidR="00F73B0D">
              <w:t>MK n</w:t>
            </w:r>
            <w:r w:rsidRPr="00F161C4">
              <w:t xml:space="preserve">oteikumu projektā ietverto regulējumu nevar vērtēt kā nelabvēlīgāku, jo kopējais monitoringa periods paliek nemainīgs. MK noteikumu </w:t>
            </w:r>
            <w:r w:rsidR="00F73B0D">
              <w:t xml:space="preserve">Nr. 12 </w:t>
            </w:r>
            <w:r w:rsidRPr="00F161C4">
              <w:t xml:space="preserve">spēkā esošā redakcija paredz veikt projekta monitoringu </w:t>
            </w:r>
            <w:r w:rsidR="00F73B0D">
              <w:t>piecus</w:t>
            </w:r>
            <w:r w:rsidRPr="00F161C4">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F73B0D">
              <w:t>piecus</w:t>
            </w:r>
            <w:r w:rsidRPr="00F161C4">
              <w:t xml:space="preserve"> gadus pēc kārtas, t.i., visā monitoringa periodā.  </w:t>
            </w:r>
          </w:p>
          <w:p w14:paraId="5B2D027B" w14:textId="77777777" w:rsidR="00E278B8" w:rsidRPr="00F161C4" w:rsidRDefault="00E278B8" w:rsidP="00E278B8">
            <w:pPr>
              <w:jc w:val="both"/>
            </w:pPr>
            <w:r w:rsidRPr="00F161C4">
              <w:t xml:space="preserve">Atbildīgā iestāde līdz šim nav pieņēmusi nevienu lēmumu par neattiecināmo līdzekļu atgūšanu konstatējot oglekļa dioksīda emisijas samazinājumu. </w:t>
            </w:r>
            <w:r w:rsidR="00A871C2">
              <w:t>MK n</w:t>
            </w:r>
            <w:r w:rsidRPr="00F161C4">
              <w:t xml:space="preserve">oteikumu projekts paredz piemērot precizēto regulējumu attiecībā uz visiem finansējuma saņēmējiem, kuri nesasniedz projektā solīto rādītāju vidēji par </w:t>
            </w:r>
            <w:r w:rsidR="00F73B0D">
              <w:t>pieciem</w:t>
            </w:r>
            <w:r w:rsidRPr="00F161C4">
              <w:t xml:space="preserve"> gadiem, t.i., visu monitoringa </w:t>
            </w:r>
            <w:r w:rsidR="00FD2FC5" w:rsidRPr="00F161C4">
              <w:t>periodu</w:t>
            </w:r>
            <w:r w:rsidRPr="00F161C4">
              <w:t>.</w:t>
            </w:r>
          </w:p>
          <w:p w14:paraId="68C50AD6" w14:textId="77777777" w:rsidR="00B244AF" w:rsidRPr="00F161C4" w:rsidRDefault="00F73B0D" w:rsidP="00E278B8">
            <w:pPr>
              <w:pStyle w:val="PlainText"/>
              <w:jc w:val="both"/>
              <w:rPr>
                <w:rFonts w:ascii="Times New Roman" w:hAnsi="Times New Roman"/>
                <w:sz w:val="24"/>
                <w:szCs w:val="24"/>
              </w:rPr>
            </w:pPr>
            <w:r>
              <w:rPr>
                <w:rFonts w:ascii="Times New Roman" w:hAnsi="Times New Roman"/>
                <w:sz w:val="24"/>
                <w:szCs w:val="24"/>
              </w:rPr>
              <w:t>MK n</w:t>
            </w:r>
            <w:r w:rsidR="00E278B8" w:rsidRPr="00F161C4">
              <w:rPr>
                <w:rFonts w:ascii="Times New Roman" w:hAnsi="Times New Roman"/>
                <w:sz w:val="24"/>
                <w:szCs w:val="24"/>
              </w:rPr>
              <w:t>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6A3DB1FE" w14:textId="77777777" w:rsidR="00AE1A32" w:rsidRPr="00F161C4" w:rsidRDefault="00203BED" w:rsidP="00AE1A32">
            <w:pPr>
              <w:pStyle w:val="PlainText"/>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 xml:space="preserve">  </w:t>
            </w:r>
            <w:r w:rsidR="006D79A2" w:rsidRPr="00F161C4">
              <w:rPr>
                <w:rFonts w:ascii="Times New Roman" w:eastAsia="Times New Roman" w:hAnsi="Times New Roman"/>
                <w:sz w:val="24"/>
                <w:szCs w:val="24"/>
                <w:lang w:eastAsia="lv-LV"/>
              </w:rPr>
              <w:t>4</w:t>
            </w:r>
            <w:r w:rsidRPr="00F161C4">
              <w:rPr>
                <w:rFonts w:ascii="Times New Roman" w:eastAsia="Times New Roman" w:hAnsi="Times New Roman"/>
                <w:sz w:val="24"/>
                <w:szCs w:val="24"/>
                <w:lang w:eastAsia="lv-LV"/>
              </w:rPr>
              <w:t>) 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rādītājs netiek sasniegts (piemēram, samazinājies pieprasītais enerģijas apjoms no katlu mājas, jo apkalpotās ēkas tiek nosiltinātas un tml.).</w:t>
            </w:r>
            <w:r w:rsidR="00AE1A32" w:rsidRPr="00F161C4">
              <w:rPr>
                <w:rFonts w:ascii="Times New Roman" w:eastAsia="Times New Roman" w:hAnsi="Times New Roman"/>
                <w:sz w:val="24"/>
                <w:szCs w:val="24"/>
                <w:lang w:eastAsia="lv-LV"/>
              </w:rPr>
              <w:t xml:space="preserve">  </w:t>
            </w:r>
            <w:r w:rsidR="009D6BA6" w:rsidRPr="00F161C4">
              <w:rPr>
                <w:rFonts w:ascii="Times New Roman" w:eastAsia="Times New Roman" w:hAnsi="Times New Roman"/>
                <w:sz w:val="24"/>
                <w:szCs w:val="24"/>
                <w:lang w:eastAsia="lv-LV"/>
              </w:rPr>
              <w:t xml:space="preserve"> Attiecībā uz lēmumu pieņemšanas kārtību </w:t>
            </w:r>
            <w:r w:rsidR="00FA4DC6" w:rsidRPr="00F161C4">
              <w:rPr>
                <w:rFonts w:ascii="Times New Roman" w:eastAsia="Times New Roman" w:hAnsi="Times New Roman"/>
                <w:sz w:val="24"/>
                <w:szCs w:val="24"/>
                <w:lang w:eastAsia="lv-LV"/>
              </w:rPr>
              <w:t xml:space="preserve">MK </w:t>
            </w:r>
            <w:r w:rsidR="003D29C3" w:rsidRPr="00F161C4">
              <w:rPr>
                <w:rFonts w:ascii="Times New Roman" w:eastAsia="Times New Roman" w:hAnsi="Times New Roman"/>
                <w:sz w:val="24"/>
                <w:szCs w:val="24"/>
                <w:lang w:eastAsia="lv-LV"/>
              </w:rPr>
              <w:t>noteikumu projekts</w:t>
            </w:r>
            <w:r w:rsidR="00506D62" w:rsidRPr="00F161C4">
              <w:rPr>
                <w:rFonts w:ascii="Times New Roman" w:eastAsia="Times New Roman" w:hAnsi="Times New Roman"/>
                <w:sz w:val="24"/>
                <w:szCs w:val="24"/>
                <w:lang w:eastAsia="lv-LV"/>
              </w:rPr>
              <w:t xml:space="preserve"> paredz</w:t>
            </w:r>
            <w:r w:rsidR="003D29C3" w:rsidRPr="00F161C4">
              <w:rPr>
                <w:rFonts w:ascii="Times New Roman" w:eastAsia="Times New Roman" w:hAnsi="Times New Roman"/>
                <w:sz w:val="24"/>
                <w:szCs w:val="24"/>
                <w:lang w:eastAsia="lv-LV"/>
              </w:rPr>
              <w:t xml:space="preserve"> </w:t>
            </w:r>
            <w:r w:rsidR="009D6BA6" w:rsidRPr="00F161C4">
              <w:rPr>
                <w:rFonts w:ascii="Times New Roman" w:eastAsia="Times New Roman" w:hAnsi="Times New Roman"/>
                <w:sz w:val="24"/>
                <w:szCs w:val="24"/>
                <w:lang w:eastAsia="lv-LV"/>
              </w:rPr>
              <w:t>aritmētiski pilnveido</w:t>
            </w:r>
            <w:r w:rsidR="00506D62" w:rsidRPr="00F161C4">
              <w:rPr>
                <w:rFonts w:ascii="Times New Roman" w:eastAsia="Times New Roman" w:hAnsi="Times New Roman"/>
                <w:sz w:val="24"/>
                <w:szCs w:val="24"/>
                <w:lang w:eastAsia="lv-LV"/>
              </w:rPr>
              <w:t>t</w:t>
            </w:r>
            <w:r w:rsidR="009D6BA6" w:rsidRPr="00F161C4">
              <w:rPr>
                <w:rFonts w:ascii="Times New Roman" w:eastAsia="Times New Roman" w:hAnsi="Times New Roman"/>
                <w:sz w:val="24"/>
                <w:szCs w:val="24"/>
                <w:lang w:eastAsia="lv-LV"/>
              </w:rPr>
              <w:t xml:space="preserve"> neatbilstības aprēķināšanas formulu, kā arī atbilstoši pilnveidotajam uzskaitījumam par plānā iekļautajiem pasākumiem, pilnveido formulējumu par apstākļiem, kurus ņem vērā pie lēmuma par finanšu instrumenta līdzekļu atgūšanu  pieņemšanas.</w:t>
            </w:r>
          </w:p>
          <w:p w14:paraId="5BE25FF2" w14:textId="77777777" w:rsidR="00E278B8" w:rsidRPr="00F161C4" w:rsidRDefault="00E278B8" w:rsidP="00E278B8">
            <w:pPr>
              <w:pStyle w:val="PlainText"/>
              <w:jc w:val="both"/>
              <w:rPr>
                <w:rFonts w:ascii="Times New Roman" w:hAnsi="Times New Roman"/>
                <w:sz w:val="24"/>
                <w:szCs w:val="24"/>
              </w:rPr>
            </w:pPr>
            <w:r w:rsidRPr="00F161C4">
              <w:rPr>
                <w:rFonts w:ascii="Times New Roman" w:hAnsi="Times New Roman"/>
                <w:sz w:val="24"/>
                <w:szCs w:val="24"/>
              </w:rPr>
              <w:t xml:space="preserve">MK noteikumu projekts paredz, ka Vides investīciju fonds </w:t>
            </w:r>
            <w:r w:rsidRPr="00F161C4">
              <w:rPr>
                <w:rFonts w:ascii="Times New Roman" w:hAnsi="Times New Roman"/>
                <w:sz w:val="24"/>
                <w:szCs w:val="24"/>
              </w:rPr>
              <w:lastRenderedPageBreak/>
              <w:t xml:space="preserve">aprēķina oglekļa dioksīda emisijas samazinājumu par monitoringa gadu, ja finansējuma saņēmējs neiesniedz pārskatu. Šāds regulējums nepieciešams, jo atsevišķi finansējuma saņēmēji nepilda MK noteikumos </w:t>
            </w:r>
            <w:r w:rsidR="00F73B0D">
              <w:rPr>
                <w:rFonts w:ascii="Times New Roman" w:hAnsi="Times New Roman"/>
                <w:sz w:val="24"/>
                <w:szCs w:val="24"/>
              </w:rPr>
              <w:t xml:space="preserve">Nr. 12 </w:t>
            </w:r>
            <w:r w:rsidRPr="00F161C4">
              <w:rPr>
                <w:rFonts w:ascii="Times New Roman" w:hAnsi="Times New Roman"/>
                <w:sz w:val="24"/>
                <w:szCs w:val="24"/>
              </w:rPr>
              <w:t>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A871C2">
              <w:rPr>
                <w:rFonts w:ascii="Times New Roman" w:hAnsi="Times New Roman"/>
                <w:sz w:val="24"/>
                <w:szCs w:val="24"/>
              </w:rPr>
              <w:t>am</w:t>
            </w:r>
            <w:r w:rsidRPr="00F161C4">
              <w:rPr>
                <w:rFonts w:ascii="Times New Roman" w:hAnsi="Times New Roman"/>
                <w:sz w:val="24"/>
                <w:szCs w:val="24"/>
              </w:rPr>
              <w:t xml:space="preserve"> un atbildīg</w:t>
            </w:r>
            <w:r w:rsidR="00A871C2">
              <w:rPr>
                <w:rFonts w:ascii="Times New Roman" w:hAnsi="Times New Roman"/>
                <w:sz w:val="24"/>
                <w:szCs w:val="24"/>
              </w:rPr>
              <w:t>ajai</w:t>
            </w:r>
            <w:r w:rsidRPr="00F161C4">
              <w:rPr>
                <w:rFonts w:ascii="Times New Roman" w:hAnsi="Times New Roman"/>
                <w:sz w:val="24"/>
                <w:szCs w:val="24"/>
              </w:rPr>
              <w:t xml:space="preserve"> iestādei nav zināms, vai projektā solīto rezultātu ilgtspēja tiek nodrošināta.</w:t>
            </w:r>
          </w:p>
          <w:p w14:paraId="1687BEBA" w14:textId="77777777" w:rsidR="002C783E" w:rsidRPr="00F161C4" w:rsidRDefault="00203BED" w:rsidP="00203BED">
            <w:pPr>
              <w:pStyle w:val="PlainText"/>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 xml:space="preserve">  </w:t>
            </w:r>
            <w:r w:rsidR="006E50CA" w:rsidRPr="00F161C4">
              <w:rPr>
                <w:rFonts w:ascii="Times New Roman" w:eastAsia="Times New Roman" w:hAnsi="Times New Roman"/>
                <w:sz w:val="24"/>
                <w:szCs w:val="24"/>
                <w:lang w:eastAsia="lv-LV"/>
              </w:rPr>
              <w:t>5</w:t>
            </w:r>
            <w:r w:rsidRPr="00F161C4">
              <w:rPr>
                <w:rFonts w:ascii="Times New Roman" w:eastAsia="Times New Roman" w:hAnsi="Times New Roman"/>
                <w:sz w:val="24"/>
                <w:szCs w:val="24"/>
                <w:lang w:eastAsia="lv-LV"/>
              </w:rPr>
              <w:t>) Esošais regulējums nav izsmeļošs attiecībā uz situācijām saistībā ar projektu monitoringu un tā principiem.</w:t>
            </w:r>
            <w:r w:rsidR="00AE1A32" w:rsidRPr="00F161C4">
              <w:rPr>
                <w:rFonts w:ascii="Times New Roman" w:eastAsia="Times New Roman" w:hAnsi="Times New Roman"/>
                <w:sz w:val="24"/>
                <w:szCs w:val="24"/>
                <w:lang w:eastAsia="lv-LV"/>
              </w:rPr>
              <w:t xml:space="preserve">  </w:t>
            </w:r>
            <w:r w:rsidR="009D6BA6" w:rsidRPr="00F161C4">
              <w:rPr>
                <w:rFonts w:ascii="Times New Roman" w:eastAsia="Times New Roman" w:hAnsi="Times New Roman"/>
                <w:sz w:val="24"/>
                <w:szCs w:val="24"/>
                <w:lang w:eastAsia="lv-LV"/>
              </w:rPr>
              <w:t xml:space="preserve"> </w:t>
            </w:r>
            <w:r w:rsidR="00FA4DC6" w:rsidRPr="00F161C4">
              <w:rPr>
                <w:rFonts w:ascii="Times New Roman" w:eastAsia="Times New Roman" w:hAnsi="Times New Roman"/>
                <w:sz w:val="24"/>
                <w:szCs w:val="24"/>
                <w:lang w:eastAsia="lv-LV"/>
              </w:rPr>
              <w:t>MK n</w:t>
            </w:r>
            <w:r w:rsidR="003D29C3" w:rsidRPr="00F161C4">
              <w:rPr>
                <w:rFonts w:ascii="Times New Roman" w:eastAsia="Times New Roman" w:hAnsi="Times New Roman"/>
                <w:sz w:val="24"/>
                <w:szCs w:val="24"/>
                <w:lang w:eastAsia="lv-LV"/>
              </w:rPr>
              <w:t>oteikumu projekts</w:t>
            </w:r>
            <w:r w:rsidR="009D6BA6" w:rsidRPr="00F161C4">
              <w:rPr>
                <w:rFonts w:ascii="Times New Roman" w:eastAsia="Times New Roman" w:hAnsi="Times New Roman"/>
                <w:sz w:val="24"/>
                <w:szCs w:val="24"/>
                <w:lang w:eastAsia="lv-LV"/>
              </w:rPr>
              <w:t xml:space="preserve"> paredz sagatavot vadlīnijas, kurās</w:t>
            </w:r>
            <w:r w:rsidR="009D6BA6" w:rsidRPr="00F161C4">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p>
          <w:p w14:paraId="70ACAA0D" w14:textId="77777777" w:rsidR="002C783E" w:rsidRPr="00F161C4" w:rsidRDefault="002C783E" w:rsidP="002C783E">
            <w:pPr>
              <w:pStyle w:val="PlainText"/>
              <w:jc w:val="both"/>
              <w:rPr>
                <w:rFonts w:ascii="Times New Roman" w:eastAsia="Times New Roman" w:hAnsi="Times New Roman"/>
                <w:sz w:val="24"/>
                <w:szCs w:val="24"/>
                <w:lang w:eastAsia="lv-LV"/>
              </w:rPr>
            </w:pPr>
          </w:p>
          <w:p w14:paraId="2B04B5AD" w14:textId="77777777" w:rsidR="00B244AF" w:rsidRPr="00F161C4" w:rsidRDefault="00B244AF" w:rsidP="00B244AF">
            <w:pPr>
              <w:pStyle w:val="PlainText"/>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 xml:space="preserve">Sagatavotais </w:t>
            </w:r>
            <w:r w:rsidR="00FA4DC6" w:rsidRPr="00F161C4">
              <w:rPr>
                <w:rFonts w:ascii="Times New Roman" w:eastAsia="Times New Roman" w:hAnsi="Times New Roman"/>
                <w:sz w:val="24"/>
                <w:szCs w:val="24"/>
                <w:lang w:eastAsia="lv-LV"/>
              </w:rPr>
              <w:t xml:space="preserve">MK </w:t>
            </w:r>
            <w:r w:rsidR="003D29C3" w:rsidRPr="00F161C4">
              <w:rPr>
                <w:rFonts w:ascii="Times New Roman" w:eastAsia="Times New Roman" w:hAnsi="Times New Roman"/>
                <w:sz w:val="24"/>
                <w:szCs w:val="24"/>
                <w:lang w:eastAsia="lv-LV"/>
              </w:rPr>
              <w:t>noteikumu projekts</w:t>
            </w:r>
            <w:r w:rsidRPr="00F161C4">
              <w:rPr>
                <w:rFonts w:ascii="Times New Roman" w:eastAsia="Times New Roman" w:hAnsi="Times New Roman"/>
                <w:sz w:val="24"/>
                <w:szCs w:val="24"/>
                <w:lang w:eastAsia="lv-LV"/>
              </w:rPr>
              <w:t xml:space="preserve"> paredz izdarīt grozījumus MK noteikumos Nr.</w:t>
            </w:r>
            <w:r w:rsidR="003B05E7" w:rsidRPr="00F161C4">
              <w:rPr>
                <w:rFonts w:ascii="Times New Roman" w:eastAsia="Times New Roman" w:hAnsi="Times New Roman"/>
                <w:sz w:val="24"/>
                <w:szCs w:val="24"/>
                <w:lang w:eastAsia="lv-LV"/>
              </w:rPr>
              <w:t>12</w:t>
            </w:r>
            <w:r w:rsidRPr="00F161C4">
              <w:rPr>
                <w:rFonts w:ascii="Times New Roman" w:eastAsia="Times New Roman" w:hAnsi="Times New Roman"/>
                <w:sz w:val="24"/>
                <w:szCs w:val="24"/>
                <w:lang w:eastAsia="lv-LV"/>
              </w:rPr>
              <w:t>:</w:t>
            </w:r>
          </w:p>
          <w:p w14:paraId="6EBA788C" w14:textId="77777777" w:rsidR="00A02DBD" w:rsidRPr="00F161C4" w:rsidRDefault="00875EE9" w:rsidP="00C9227F">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p</w:t>
            </w:r>
            <w:r w:rsidR="00A02DBD" w:rsidRPr="00F161C4">
              <w:rPr>
                <w:rFonts w:ascii="Times New Roman" w:eastAsia="Times New Roman" w:hAnsi="Times New Roman"/>
                <w:sz w:val="24"/>
                <w:szCs w:val="24"/>
                <w:lang w:eastAsia="lv-LV"/>
              </w:rPr>
              <w:t>recizēt 73.punktu, definējot monitoringa periodu un nosakot  monitoringa perioda un mo</w:t>
            </w:r>
            <w:r w:rsidR="00935F3E">
              <w:rPr>
                <w:rFonts w:ascii="Times New Roman" w:eastAsia="Times New Roman" w:hAnsi="Times New Roman"/>
                <w:sz w:val="24"/>
                <w:szCs w:val="24"/>
                <w:lang w:eastAsia="lv-LV"/>
              </w:rPr>
              <w:t>nitoringa gada sākumu un beigas;</w:t>
            </w:r>
          </w:p>
          <w:p w14:paraId="02AF96BD" w14:textId="77777777" w:rsidR="005B0816" w:rsidRPr="00F161C4" w:rsidRDefault="005B0816"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precizēt 83.punktu. Atkarībā no projektā iekļautās tehnoloģijas, precizēts, par kādu periodu aprēķina vidējo oglekļ</w:t>
            </w:r>
            <w:r w:rsidR="00935F3E">
              <w:rPr>
                <w:rFonts w:ascii="Times New Roman" w:eastAsia="Times New Roman" w:hAnsi="Times New Roman"/>
                <w:sz w:val="24"/>
                <w:szCs w:val="24"/>
                <w:lang w:eastAsia="lv-LV"/>
              </w:rPr>
              <w:t>a dioksīda emisiju samazinājumu;</w:t>
            </w:r>
          </w:p>
          <w:p w14:paraId="25367826" w14:textId="77777777" w:rsidR="00B244AF" w:rsidRPr="00F161C4" w:rsidRDefault="00541433"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precizēt 84.punkt</w:t>
            </w:r>
            <w:r w:rsidR="000C0DD3" w:rsidRPr="00F161C4">
              <w:rPr>
                <w:rFonts w:ascii="Times New Roman" w:eastAsia="Times New Roman" w:hAnsi="Times New Roman"/>
                <w:sz w:val="24"/>
                <w:szCs w:val="24"/>
                <w:lang w:eastAsia="lv-LV"/>
              </w:rPr>
              <w:t>u</w:t>
            </w:r>
            <w:r w:rsidRPr="00F161C4">
              <w:rPr>
                <w:rFonts w:ascii="Times New Roman" w:eastAsia="Times New Roman" w:hAnsi="Times New Roman"/>
                <w:sz w:val="24"/>
                <w:szCs w:val="24"/>
                <w:lang w:eastAsia="lv-LV"/>
              </w:rPr>
              <w:t xml:space="preserve">. </w:t>
            </w:r>
            <w:r w:rsidR="00882CB9" w:rsidRPr="00F161C4">
              <w:rPr>
                <w:rFonts w:ascii="Times New Roman" w:hAnsi="Times New Roman"/>
                <w:sz w:val="24"/>
                <w:szCs w:val="24"/>
              </w:rPr>
              <w:t>Papildināts ar termiņu, kādā Vides investīciju fonds  izskata monitoringa pārskatu</w:t>
            </w:r>
            <w:r w:rsidR="00DA0C89" w:rsidRPr="00F161C4">
              <w:rPr>
                <w:rFonts w:ascii="Times New Roman" w:hAnsi="Times New Roman"/>
                <w:sz w:val="24"/>
                <w:szCs w:val="24"/>
              </w:rPr>
              <w:t>. Projektiem, kas neizmanto vēja un ūdens tehnoloģijas, paredzēta iespēja iesniegt plānu neatbilstības novēršanai jebkurā no pirmajiem četriem monitoringa gadiem</w:t>
            </w:r>
            <w:r w:rsidR="003360FD" w:rsidRPr="00F161C4">
              <w:rPr>
                <w:rFonts w:ascii="Times New Roman" w:hAnsi="Times New Roman"/>
                <w:sz w:val="24"/>
                <w:szCs w:val="24"/>
              </w:rPr>
              <w:t>;</w:t>
            </w:r>
          </w:p>
          <w:p w14:paraId="35AC1915" w14:textId="77777777" w:rsidR="00541433" w:rsidRPr="00F161C4" w:rsidRDefault="00541433"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hAnsi="Times New Roman"/>
                <w:sz w:val="24"/>
                <w:szCs w:val="24"/>
              </w:rPr>
              <w:t>precizēt 85.punktu. Noteikts, ka, ja  finansējuma saņēmējs neiesniedz monitoringa pārskatu vai pasākuma plānu šajos noteikumos minētajā termiņā, Vides investīciju fond</w:t>
            </w:r>
            <w:r w:rsidR="00A02DBD" w:rsidRPr="00F161C4">
              <w:rPr>
                <w:rFonts w:ascii="Times New Roman" w:hAnsi="Times New Roman"/>
                <w:sz w:val="24"/>
                <w:szCs w:val="24"/>
              </w:rPr>
              <w:t>s</w:t>
            </w:r>
            <w:r w:rsidRPr="00F161C4">
              <w:rPr>
                <w:rFonts w:ascii="Times New Roman" w:hAnsi="Times New Roman"/>
                <w:sz w:val="24"/>
                <w:szCs w:val="24"/>
              </w:rPr>
              <w:t xml:space="preserve"> aprēķin</w:t>
            </w:r>
            <w:r w:rsidR="00A02DBD" w:rsidRPr="00F161C4">
              <w:rPr>
                <w:rFonts w:ascii="Times New Roman" w:hAnsi="Times New Roman"/>
                <w:sz w:val="24"/>
                <w:szCs w:val="24"/>
              </w:rPr>
              <w:t>a</w:t>
            </w:r>
            <w:r w:rsidRPr="00F161C4">
              <w:rPr>
                <w:rFonts w:ascii="Times New Roman" w:hAnsi="Times New Roman"/>
                <w:sz w:val="24"/>
                <w:szCs w:val="24"/>
              </w:rPr>
              <w:t xml:space="preserve"> oglekļa dioksīda emisijas neatbilstību par pilnu monitoringa gadu</w:t>
            </w:r>
            <w:r w:rsidR="00A93AC7" w:rsidRPr="00F161C4">
              <w:rPr>
                <w:rFonts w:ascii="Times New Roman" w:hAnsi="Times New Roman"/>
                <w:sz w:val="24"/>
                <w:szCs w:val="24"/>
              </w:rPr>
              <w:t>;</w:t>
            </w:r>
          </w:p>
          <w:p w14:paraId="264B0BDA" w14:textId="77777777" w:rsidR="00122DCF" w:rsidRPr="00F161C4" w:rsidRDefault="00122DCF"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p</w:t>
            </w:r>
            <w:r w:rsidR="005F3A4B" w:rsidRPr="00F161C4">
              <w:rPr>
                <w:rFonts w:ascii="Times New Roman" w:eastAsia="Times New Roman" w:hAnsi="Times New Roman"/>
                <w:sz w:val="24"/>
                <w:szCs w:val="24"/>
                <w:lang w:eastAsia="lv-LV"/>
              </w:rPr>
              <w:t>apildināt ar jaunu</w:t>
            </w:r>
            <w:r w:rsidRPr="00F161C4">
              <w:rPr>
                <w:rFonts w:ascii="Times New Roman" w:eastAsia="Times New Roman" w:hAnsi="Times New Roman"/>
                <w:sz w:val="24"/>
                <w:szCs w:val="24"/>
                <w:lang w:eastAsia="lv-LV"/>
              </w:rPr>
              <w:t xml:space="preserve"> </w:t>
            </w:r>
            <w:r w:rsidR="00B529B5" w:rsidRPr="00F161C4">
              <w:rPr>
                <w:rFonts w:ascii="Times New Roman" w:hAnsi="Times New Roman"/>
                <w:sz w:val="24"/>
                <w:szCs w:val="24"/>
              </w:rPr>
              <w:t>86.</w:t>
            </w:r>
            <w:r w:rsidRPr="00F161C4">
              <w:rPr>
                <w:rFonts w:ascii="Times New Roman" w:eastAsia="Times New Roman" w:hAnsi="Times New Roman"/>
                <w:sz w:val="24"/>
                <w:szCs w:val="24"/>
                <w:lang w:eastAsia="lv-LV"/>
              </w:rPr>
              <w:t> punkt</w:t>
            </w:r>
            <w:r w:rsidR="005F3A4B" w:rsidRPr="00F161C4">
              <w:rPr>
                <w:rFonts w:ascii="Times New Roman" w:eastAsia="Times New Roman" w:hAnsi="Times New Roman"/>
                <w:sz w:val="24"/>
                <w:szCs w:val="24"/>
                <w:lang w:eastAsia="lv-LV"/>
              </w:rPr>
              <w:t>u</w:t>
            </w:r>
            <w:r w:rsidRPr="00F161C4">
              <w:rPr>
                <w:rFonts w:ascii="Times New Roman" w:eastAsia="Times New Roman" w:hAnsi="Times New Roman"/>
                <w:sz w:val="24"/>
                <w:szCs w:val="24"/>
                <w:lang w:eastAsia="lv-LV"/>
              </w:rPr>
              <w:t xml:space="preserve">. </w:t>
            </w:r>
            <w:r w:rsidR="00ED5DAC" w:rsidRPr="00F161C4">
              <w:rPr>
                <w:rFonts w:ascii="Times New Roman" w:eastAsia="Times New Roman" w:hAnsi="Times New Roman"/>
                <w:sz w:val="24"/>
                <w:szCs w:val="24"/>
                <w:lang w:eastAsia="lv-LV"/>
              </w:rPr>
              <w:t>P</w:t>
            </w:r>
            <w:r w:rsidR="005F3A4B" w:rsidRPr="00F161C4">
              <w:rPr>
                <w:rFonts w:ascii="Times New Roman" w:eastAsia="Times New Roman" w:hAnsi="Times New Roman"/>
                <w:sz w:val="24"/>
                <w:szCs w:val="24"/>
                <w:lang w:eastAsia="lv-LV"/>
              </w:rPr>
              <w:t>recizē</w:t>
            </w:r>
            <w:r w:rsidR="00ED5DAC" w:rsidRPr="00F161C4">
              <w:rPr>
                <w:rFonts w:ascii="Times New Roman" w:eastAsia="Times New Roman" w:hAnsi="Times New Roman"/>
                <w:sz w:val="24"/>
                <w:szCs w:val="24"/>
                <w:lang w:eastAsia="lv-LV"/>
              </w:rPr>
              <w:t>ts</w:t>
            </w:r>
            <w:r w:rsidR="005F3A4B" w:rsidRPr="00F161C4">
              <w:rPr>
                <w:rFonts w:ascii="Times New Roman" w:eastAsia="Times New Roman" w:hAnsi="Times New Roman"/>
                <w:sz w:val="24"/>
                <w:szCs w:val="24"/>
                <w:lang w:eastAsia="lv-LV"/>
              </w:rPr>
              <w:t>, kādus</w:t>
            </w:r>
            <w:r w:rsidRPr="00F161C4">
              <w:rPr>
                <w:rFonts w:ascii="Times New Roman" w:eastAsia="Times New Roman" w:hAnsi="Times New Roman"/>
                <w:sz w:val="24"/>
                <w:szCs w:val="24"/>
                <w:lang w:eastAsia="lv-LV"/>
              </w:rPr>
              <w:t xml:space="preserve"> pasākum</w:t>
            </w:r>
            <w:r w:rsidR="005F3A4B" w:rsidRPr="00F161C4">
              <w:rPr>
                <w:rFonts w:ascii="Times New Roman" w:eastAsia="Times New Roman" w:hAnsi="Times New Roman"/>
                <w:sz w:val="24"/>
                <w:szCs w:val="24"/>
                <w:lang w:eastAsia="lv-LV"/>
              </w:rPr>
              <w:t>us</w:t>
            </w:r>
            <w:r w:rsidRPr="00F161C4">
              <w:rPr>
                <w:rFonts w:ascii="Times New Roman" w:eastAsia="Times New Roman" w:hAnsi="Times New Roman"/>
                <w:sz w:val="24"/>
                <w:szCs w:val="24"/>
                <w:lang w:eastAsia="lv-LV"/>
              </w:rPr>
              <w:t xml:space="preserve"> var iekļaut pasākuma plānā </w:t>
            </w:r>
            <w:r w:rsidR="005F3A4B" w:rsidRPr="00F161C4">
              <w:rPr>
                <w:rFonts w:ascii="Times New Roman" w:eastAsia="Times New Roman" w:hAnsi="Times New Roman"/>
                <w:sz w:val="24"/>
                <w:szCs w:val="24"/>
                <w:lang w:eastAsia="lv-LV"/>
              </w:rPr>
              <w:t>.</w:t>
            </w:r>
            <w:r w:rsidR="00DA0C89" w:rsidRPr="00F161C4">
              <w:rPr>
                <w:rFonts w:ascii="Times New Roman" w:eastAsia="Times New Roman" w:hAnsi="Times New Roman"/>
                <w:sz w:val="24"/>
                <w:szCs w:val="24"/>
                <w:lang w:eastAsia="lv-LV"/>
              </w:rPr>
              <w:t xml:space="preserve"> </w:t>
            </w:r>
            <w:r w:rsidR="005F3A4B" w:rsidRPr="00F161C4">
              <w:rPr>
                <w:rFonts w:ascii="Times New Roman" w:hAnsi="Times New Roman"/>
                <w:sz w:val="24"/>
                <w:szCs w:val="24"/>
              </w:rPr>
              <w:t>P</w:t>
            </w:r>
            <w:r w:rsidRPr="00F161C4">
              <w:rPr>
                <w:rFonts w:ascii="Times New Roman" w:hAnsi="Times New Roman"/>
                <w:sz w:val="24"/>
                <w:szCs w:val="24"/>
              </w:rPr>
              <w:t>asākuma plānā var paredzēt</w:t>
            </w:r>
            <w:r w:rsidRPr="00F161C4">
              <w:rPr>
                <w:rFonts w:ascii="Times New Roman" w:hAnsi="Times New Roman"/>
                <w:bCs/>
                <w:sz w:val="24"/>
                <w:szCs w:val="24"/>
              </w:rPr>
              <w:t xml:space="preserve"> papildu pasākumus, kā arī  </w:t>
            </w:r>
            <w:r w:rsidRPr="00F161C4">
              <w:rPr>
                <w:rFonts w:ascii="Times New Roman" w:eastAsia="Times New Roman" w:hAnsi="Times New Roman"/>
                <w:sz w:val="24"/>
                <w:szCs w:val="24"/>
                <w:lang w:eastAsia="lv-LV"/>
              </w:rPr>
              <w:t xml:space="preserve"> sniegt argumentētu informāciju par projekta līgumā plānotā oglekļa dioksīda emisijas samazinājuma nesasniegšanu</w:t>
            </w:r>
            <w:r w:rsidR="00E1721F" w:rsidRPr="00F161C4">
              <w:rPr>
                <w:rFonts w:ascii="Times New Roman" w:eastAsia="Times New Roman" w:hAnsi="Times New Roman"/>
                <w:sz w:val="24"/>
                <w:szCs w:val="24"/>
                <w:lang w:eastAsia="lv-LV"/>
              </w:rPr>
              <w:t xml:space="preserve">. </w:t>
            </w:r>
            <w:r w:rsidR="00E1721F" w:rsidRPr="00F161C4">
              <w:rPr>
                <w:rFonts w:ascii="Times New Roman" w:hAnsi="Times New Roman"/>
                <w:sz w:val="24"/>
                <w:szCs w:val="24"/>
              </w:rPr>
              <w:t xml:space="preserve"> </w:t>
            </w:r>
            <w:r w:rsidR="00FA4DC6" w:rsidRPr="00F161C4">
              <w:rPr>
                <w:rFonts w:ascii="Times New Roman" w:hAnsi="Times New Roman"/>
                <w:sz w:val="24"/>
                <w:szCs w:val="24"/>
              </w:rPr>
              <w:t>MK n</w:t>
            </w:r>
            <w:r w:rsidR="005C1357" w:rsidRPr="00F161C4">
              <w:rPr>
                <w:rFonts w:ascii="Times New Roman" w:hAnsi="Times New Roman"/>
                <w:sz w:val="24"/>
                <w:szCs w:val="24"/>
              </w:rPr>
              <w:t xml:space="preserve">oteikumu projekts </w:t>
            </w:r>
            <w:r w:rsidR="00E1721F" w:rsidRPr="00F161C4">
              <w:rPr>
                <w:rFonts w:ascii="Times New Roman" w:hAnsi="Times New Roman"/>
                <w:sz w:val="24"/>
                <w:szCs w:val="24"/>
              </w:rPr>
              <w:t xml:space="preserve">paredz, ka, ja finansējuma saņēmējam ir jāiesniedz plāns un tajā paredzēti papildu pasākumi, tad tiem ir jābūt </w:t>
            </w:r>
            <w:r w:rsidR="00E1721F" w:rsidRPr="00F161C4">
              <w:rPr>
                <w:rFonts w:ascii="Times New Roman" w:eastAsia="Times New Roman" w:hAnsi="Times New Roman"/>
                <w:sz w:val="24"/>
                <w:szCs w:val="24"/>
                <w:lang w:eastAsia="lv-LV"/>
              </w:rPr>
              <w:t xml:space="preserve">neatkarīga eksperta </w:t>
            </w:r>
            <w:r w:rsidR="00533DCA" w:rsidRPr="00F161C4">
              <w:rPr>
                <w:rFonts w:ascii="Times New Roman" w:eastAsia="Times New Roman" w:hAnsi="Times New Roman"/>
                <w:sz w:val="24"/>
                <w:szCs w:val="24"/>
                <w:lang w:eastAsia="lv-LV"/>
              </w:rPr>
              <w:t xml:space="preserve">energoefektivitātes </w:t>
            </w:r>
            <w:r w:rsidR="00E1721F" w:rsidRPr="00F161C4">
              <w:rPr>
                <w:rFonts w:ascii="Times New Roman" w:eastAsia="Times New Roman" w:hAnsi="Times New Roman"/>
                <w:sz w:val="24"/>
                <w:szCs w:val="24"/>
                <w:lang w:eastAsia="lv-LV"/>
              </w:rPr>
              <w:t>jomā apstiprinātam</w:t>
            </w:r>
            <w:r w:rsidR="00935F3E">
              <w:rPr>
                <w:rFonts w:ascii="Times New Roman" w:eastAsia="Times New Roman" w:hAnsi="Times New Roman"/>
                <w:sz w:val="24"/>
                <w:szCs w:val="24"/>
                <w:lang w:eastAsia="lv-LV"/>
              </w:rPr>
              <w:t>;</w:t>
            </w:r>
            <w:r w:rsidR="00036F17" w:rsidRPr="00F161C4">
              <w:rPr>
                <w:rFonts w:ascii="Times New Roman" w:hAnsi="Times New Roman"/>
                <w:bCs/>
                <w:sz w:val="24"/>
                <w:szCs w:val="24"/>
              </w:rPr>
              <w:t xml:space="preserve"> </w:t>
            </w:r>
            <w:r w:rsidR="00036F17" w:rsidRPr="00F161C4">
              <w:rPr>
                <w:rFonts w:ascii="Times New Roman" w:hAnsi="Times New Roman"/>
                <w:sz w:val="24"/>
                <w:szCs w:val="24"/>
              </w:rPr>
              <w:t xml:space="preserve"> </w:t>
            </w:r>
          </w:p>
          <w:p w14:paraId="28128024" w14:textId="77777777" w:rsidR="00A27446" w:rsidRPr="00F161C4" w:rsidRDefault="00A27446"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 xml:space="preserve">papildināt ar jaunu  </w:t>
            </w:r>
            <w:r w:rsidR="00B529B5" w:rsidRPr="00F161C4">
              <w:rPr>
                <w:rFonts w:ascii="Times New Roman" w:hAnsi="Times New Roman"/>
                <w:sz w:val="24"/>
                <w:szCs w:val="24"/>
              </w:rPr>
              <w:t>87.</w:t>
            </w:r>
            <w:r w:rsidRPr="00F161C4">
              <w:rPr>
                <w:rFonts w:ascii="Times New Roman" w:eastAsia="Times New Roman" w:hAnsi="Times New Roman"/>
                <w:sz w:val="24"/>
                <w:szCs w:val="24"/>
                <w:lang w:eastAsia="lv-LV"/>
              </w:rPr>
              <w:t xml:space="preserve"> punktu.</w:t>
            </w:r>
            <w:r w:rsidRPr="00F161C4">
              <w:rPr>
                <w:rFonts w:ascii="Times New Roman" w:hAnsi="Times New Roman"/>
                <w:sz w:val="24"/>
                <w:szCs w:val="24"/>
              </w:rPr>
              <w:t xml:space="preserve"> Paredzēts, ka Vides investīciju fonds pārbauda plāna atbilstību noteikumiem</w:t>
            </w:r>
            <w:r w:rsidR="00A93AC7" w:rsidRPr="00F161C4">
              <w:rPr>
                <w:rFonts w:ascii="Times New Roman" w:hAnsi="Times New Roman"/>
                <w:sz w:val="24"/>
                <w:szCs w:val="24"/>
              </w:rPr>
              <w:t>;</w:t>
            </w:r>
          </w:p>
          <w:p w14:paraId="68CAA5AA" w14:textId="77777777" w:rsidR="00B244AF" w:rsidRPr="00F161C4" w:rsidRDefault="00716761"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lastRenderedPageBreak/>
              <w:t>precizēt 86.punktu</w:t>
            </w:r>
            <w:r w:rsidR="00B529B5" w:rsidRPr="00F161C4">
              <w:rPr>
                <w:rFonts w:ascii="Times New Roman" w:eastAsia="Times New Roman" w:hAnsi="Times New Roman"/>
                <w:sz w:val="24"/>
                <w:szCs w:val="24"/>
                <w:lang w:eastAsia="lv-LV"/>
              </w:rPr>
              <w:t xml:space="preserve"> (no jauna izteiktās redakcijas numerācijā 88.punkts)</w:t>
            </w:r>
            <w:r w:rsidRPr="00F161C4">
              <w:rPr>
                <w:rFonts w:ascii="Times New Roman" w:eastAsia="Times New Roman" w:hAnsi="Times New Roman"/>
                <w:sz w:val="24"/>
                <w:szCs w:val="24"/>
                <w:lang w:eastAsia="lv-LV"/>
              </w:rPr>
              <w:t>. P</w:t>
            </w:r>
            <w:r w:rsidR="000C0DD3" w:rsidRPr="00F161C4">
              <w:rPr>
                <w:rFonts w:ascii="Times New Roman" w:eastAsia="Times New Roman" w:hAnsi="Times New Roman"/>
                <w:sz w:val="24"/>
                <w:szCs w:val="24"/>
                <w:lang w:eastAsia="lv-LV"/>
              </w:rPr>
              <w:t>recizēts</w:t>
            </w:r>
            <w:r w:rsidR="00B244AF" w:rsidRPr="00F161C4">
              <w:rPr>
                <w:rFonts w:ascii="Times New Roman" w:eastAsia="Times New Roman" w:hAnsi="Times New Roman"/>
                <w:sz w:val="24"/>
                <w:szCs w:val="24"/>
                <w:lang w:eastAsia="lv-LV"/>
              </w:rPr>
              <w:t xml:space="preserve">, ka projekta monitorings tiek apturēts laikā, kad finansējuma saņēmējs veic </w:t>
            </w:r>
            <w:r w:rsidR="00AE6B9D" w:rsidRPr="00F161C4">
              <w:rPr>
                <w:rFonts w:ascii="Times New Roman" w:eastAsia="Times New Roman" w:hAnsi="Times New Roman"/>
                <w:sz w:val="24"/>
                <w:szCs w:val="24"/>
                <w:lang w:eastAsia="lv-LV"/>
              </w:rPr>
              <w:t>plānā paredzētos papildu pasākumus</w:t>
            </w:r>
            <w:r w:rsidR="00B244AF" w:rsidRPr="00F161C4">
              <w:rPr>
                <w:rFonts w:ascii="Times New Roman" w:eastAsia="Times New Roman" w:hAnsi="Times New Roman"/>
                <w:sz w:val="24"/>
                <w:szCs w:val="24"/>
                <w:lang w:eastAsia="lv-LV"/>
              </w:rPr>
              <w:t xml:space="preserve"> </w:t>
            </w:r>
            <w:r w:rsidR="00B244AF" w:rsidRPr="00F161C4">
              <w:rPr>
                <w:rFonts w:ascii="Times New Roman" w:hAnsi="Times New Roman"/>
                <w:bCs/>
                <w:sz w:val="24"/>
                <w:szCs w:val="24"/>
              </w:rPr>
              <w:t xml:space="preserve"> oglekļa dioksīda emisiju neatbilstības novēršanai;</w:t>
            </w:r>
            <w:r w:rsidR="00B244AF" w:rsidRPr="00F161C4">
              <w:rPr>
                <w:rFonts w:ascii="Times New Roman" w:eastAsia="Times New Roman" w:hAnsi="Times New Roman"/>
                <w:sz w:val="24"/>
                <w:szCs w:val="24"/>
                <w:lang w:eastAsia="lv-LV"/>
              </w:rPr>
              <w:t xml:space="preserve"> </w:t>
            </w:r>
          </w:p>
          <w:p w14:paraId="41425AA0" w14:textId="77777777" w:rsidR="00B244AF" w:rsidRPr="00F161C4" w:rsidRDefault="00DA0C89"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precizēt 88.punktu</w:t>
            </w:r>
            <w:r w:rsidR="00B529B5" w:rsidRPr="00F161C4">
              <w:rPr>
                <w:rFonts w:ascii="Times New Roman" w:eastAsia="Times New Roman" w:hAnsi="Times New Roman"/>
                <w:sz w:val="24"/>
                <w:szCs w:val="24"/>
                <w:lang w:eastAsia="lv-LV"/>
              </w:rPr>
              <w:t xml:space="preserve"> (no jauna izteiktās redakcijas numerācijā 90.punkts)</w:t>
            </w:r>
            <w:r w:rsidRPr="00F161C4">
              <w:rPr>
                <w:rFonts w:ascii="Times New Roman" w:eastAsia="Times New Roman" w:hAnsi="Times New Roman"/>
                <w:sz w:val="24"/>
                <w:szCs w:val="24"/>
                <w:lang w:eastAsia="lv-LV"/>
              </w:rPr>
              <w:t>, pilnveidojot neattiecināmo līdzekļu aprēķina formulu. Noteikts, ka oglekļa</w:t>
            </w:r>
            <w:r w:rsidR="00244E14" w:rsidRPr="00F161C4">
              <w:rPr>
                <w:rFonts w:ascii="Times New Roman" w:eastAsia="Times New Roman" w:hAnsi="Times New Roman"/>
                <w:sz w:val="24"/>
                <w:szCs w:val="24"/>
                <w:lang w:eastAsia="lv-LV"/>
              </w:rPr>
              <w:t xml:space="preserve">  dioksīda emi</w:t>
            </w:r>
            <w:r w:rsidRPr="00F161C4">
              <w:rPr>
                <w:rFonts w:ascii="Times New Roman" w:eastAsia="Times New Roman" w:hAnsi="Times New Roman"/>
                <w:sz w:val="24"/>
                <w:szCs w:val="24"/>
                <w:lang w:eastAsia="lv-LV"/>
              </w:rPr>
              <w:t>sijas samazinājuma neatbilstības aprēķinā</w:t>
            </w:r>
            <w:r w:rsidR="00244E14" w:rsidRPr="00F161C4">
              <w:rPr>
                <w:rFonts w:ascii="Times New Roman" w:eastAsia="Times New Roman" w:hAnsi="Times New Roman"/>
                <w:sz w:val="24"/>
                <w:szCs w:val="24"/>
                <w:lang w:eastAsia="lv-LV"/>
              </w:rPr>
              <w:t>,  ņem</w:t>
            </w:r>
            <w:r w:rsidR="00244E14" w:rsidRPr="00F161C4" w:rsidDel="00244E14">
              <w:rPr>
                <w:rFonts w:ascii="Times New Roman" w:eastAsia="Times New Roman" w:hAnsi="Times New Roman"/>
                <w:sz w:val="24"/>
                <w:szCs w:val="24"/>
                <w:lang w:eastAsia="lv-LV"/>
              </w:rPr>
              <w:t xml:space="preserve"> </w:t>
            </w:r>
            <w:r w:rsidR="00882CB9" w:rsidRPr="00F161C4">
              <w:rPr>
                <w:rFonts w:ascii="Times New Roman" w:eastAsia="Times New Roman" w:hAnsi="Times New Roman"/>
                <w:sz w:val="24"/>
                <w:szCs w:val="24"/>
                <w:lang w:eastAsia="lv-LV"/>
              </w:rPr>
              <w:t xml:space="preserve"> vērā piecos gados sasniegto vidējo oglekļa dioksīda emisiju samazinājuma gadā</w:t>
            </w:r>
            <w:r w:rsidRPr="00F161C4">
              <w:rPr>
                <w:rFonts w:ascii="Times New Roman" w:eastAsia="Times New Roman" w:hAnsi="Times New Roman"/>
                <w:sz w:val="24"/>
                <w:szCs w:val="24"/>
                <w:lang w:eastAsia="lv-LV"/>
              </w:rPr>
              <w:t>. Ja monitoringa gads ir pagarināts, ņem vērā piecus labākos rezultātus vidējā oglekļa dioksīda emisiju samazinājuma gadā noteikšanai</w:t>
            </w:r>
            <w:r w:rsidR="00B244AF" w:rsidRPr="00F161C4">
              <w:rPr>
                <w:rFonts w:ascii="Times New Roman" w:eastAsia="Times New Roman" w:hAnsi="Times New Roman"/>
                <w:sz w:val="24"/>
                <w:szCs w:val="24"/>
                <w:lang w:eastAsia="lv-LV"/>
              </w:rPr>
              <w:t>;</w:t>
            </w:r>
          </w:p>
          <w:p w14:paraId="299B8D3C" w14:textId="77777777" w:rsidR="00ED5DAC" w:rsidRPr="00F161C4" w:rsidRDefault="00DA0C89"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 xml:space="preserve">papildināt </w:t>
            </w:r>
            <w:r w:rsidR="00B244AF" w:rsidRPr="00F161C4">
              <w:rPr>
                <w:rFonts w:ascii="Times New Roman" w:eastAsia="Times New Roman" w:hAnsi="Times New Roman"/>
                <w:sz w:val="24"/>
                <w:szCs w:val="24"/>
                <w:lang w:eastAsia="lv-LV"/>
              </w:rPr>
              <w:t xml:space="preserve">ar jaunu </w:t>
            </w:r>
            <w:r w:rsidR="00B529B5" w:rsidRPr="00F161C4">
              <w:rPr>
                <w:rFonts w:ascii="Times New Roman" w:eastAsia="Times New Roman" w:hAnsi="Times New Roman"/>
                <w:sz w:val="24"/>
                <w:szCs w:val="24"/>
                <w:lang w:eastAsia="lv-LV"/>
              </w:rPr>
              <w:t>91</w:t>
            </w:r>
            <w:r w:rsidR="00382A0D" w:rsidRPr="00F161C4">
              <w:rPr>
                <w:rFonts w:ascii="Times New Roman" w:eastAsia="Times New Roman" w:hAnsi="Times New Roman"/>
                <w:sz w:val="24"/>
                <w:szCs w:val="24"/>
                <w:lang w:eastAsia="lv-LV"/>
              </w:rPr>
              <w:t>.</w:t>
            </w:r>
            <w:r w:rsidRPr="00F161C4">
              <w:rPr>
                <w:rFonts w:ascii="Times New Roman" w:eastAsia="Times New Roman" w:hAnsi="Times New Roman"/>
                <w:sz w:val="24"/>
                <w:szCs w:val="24"/>
                <w:lang w:eastAsia="lv-LV"/>
              </w:rPr>
              <w:t>p</w:t>
            </w:r>
            <w:r w:rsidR="00B244AF" w:rsidRPr="00F161C4">
              <w:rPr>
                <w:rFonts w:ascii="Times New Roman" w:eastAsia="Times New Roman" w:hAnsi="Times New Roman"/>
                <w:sz w:val="24"/>
                <w:szCs w:val="24"/>
                <w:lang w:eastAsia="lv-LV"/>
              </w:rPr>
              <w:t>unktu</w:t>
            </w:r>
            <w:r w:rsidRPr="00F161C4">
              <w:rPr>
                <w:rFonts w:ascii="Times New Roman" w:eastAsia="Times New Roman" w:hAnsi="Times New Roman"/>
                <w:sz w:val="24"/>
                <w:szCs w:val="24"/>
                <w:lang w:eastAsia="lv-LV"/>
              </w:rPr>
              <w:t xml:space="preserve">, </w:t>
            </w:r>
            <w:r w:rsidR="00ED5DAC" w:rsidRPr="00F161C4">
              <w:rPr>
                <w:rFonts w:ascii="Times New Roman" w:eastAsia="Times New Roman" w:hAnsi="Times New Roman"/>
                <w:sz w:val="24"/>
                <w:szCs w:val="24"/>
                <w:lang w:eastAsia="lv-LV"/>
              </w:rPr>
              <w:t>kurā noteikta neattiecināmo līdzekļu aprēķina formula oglekļa dioksīda emisijas samazinājuma neatbilstības gadījumā projektos, kas izm</w:t>
            </w:r>
            <w:r w:rsidR="000C0DD3" w:rsidRPr="00F161C4">
              <w:rPr>
                <w:rFonts w:ascii="Times New Roman" w:eastAsia="Times New Roman" w:hAnsi="Times New Roman"/>
                <w:sz w:val="24"/>
                <w:szCs w:val="24"/>
                <w:lang w:eastAsia="lv-LV"/>
              </w:rPr>
              <w:t>anto vēja un ūdens tehnoloģijas;</w:t>
            </w:r>
          </w:p>
          <w:p w14:paraId="4F85F9DB" w14:textId="77777777" w:rsidR="00B244AF" w:rsidRPr="00F161C4" w:rsidRDefault="00ED5DAC" w:rsidP="00B529B5">
            <w:pPr>
              <w:pStyle w:val="PlainText"/>
              <w:numPr>
                <w:ilvl w:val="0"/>
                <w:numId w:val="4"/>
              </w:numPr>
              <w:jc w:val="both"/>
              <w:rPr>
                <w:rFonts w:ascii="Times New Roman" w:eastAsia="Times New Roman" w:hAnsi="Times New Roman"/>
                <w:sz w:val="24"/>
                <w:szCs w:val="24"/>
                <w:lang w:eastAsia="lv-LV"/>
              </w:rPr>
            </w:pPr>
            <w:r w:rsidRPr="00F161C4">
              <w:rPr>
                <w:rFonts w:ascii="Times New Roman" w:eastAsia="Times New Roman" w:hAnsi="Times New Roman"/>
                <w:sz w:val="24"/>
                <w:szCs w:val="24"/>
                <w:lang w:eastAsia="lv-LV"/>
              </w:rPr>
              <w:t>papildināt ar jaunu 9</w:t>
            </w:r>
            <w:r w:rsidR="00B529B5" w:rsidRPr="00F161C4">
              <w:rPr>
                <w:rFonts w:ascii="Times New Roman" w:eastAsia="Times New Roman" w:hAnsi="Times New Roman"/>
                <w:sz w:val="24"/>
                <w:szCs w:val="24"/>
                <w:lang w:eastAsia="lv-LV"/>
              </w:rPr>
              <w:t>2</w:t>
            </w:r>
            <w:r w:rsidRPr="00F161C4">
              <w:rPr>
                <w:rFonts w:ascii="Times New Roman" w:eastAsia="Times New Roman" w:hAnsi="Times New Roman"/>
                <w:sz w:val="24"/>
                <w:szCs w:val="24"/>
                <w:lang w:eastAsia="lv-LV"/>
              </w:rPr>
              <w:t xml:space="preserve">.punktu, </w:t>
            </w:r>
            <w:r w:rsidR="00DA0C89" w:rsidRPr="00F161C4">
              <w:rPr>
                <w:rFonts w:ascii="Times New Roman" w:eastAsia="Times New Roman" w:hAnsi="Times New Roman"/>
                <w:sz w:val="24"/>
                <w:szCs w:val="24"/>
                <w:lang w:eastAsia="lv-LV"/>
              </w:rPr>
              <w:t>kurā</w:t>
            </w:r>
            <w:r w:rsidR="00B244AF" w:rsidRPr="00F161C4">
              <w:rPr>
                <w:rFonts w:ascii="Times New Roman" w:eastAsia="Times New Roman" w:hAnsi="Times New Roman"/>
                <w:sz w:val="24"/>
                <w:szCs w:val="24"/>
                <w:lang w:eastAsia="lv-LV"/>
              </w:rPr>
              <w:t xml:space="preserve"> tiek noteikts, ka atbildīgā iestāde, novērtējot projekta rezultātu un pieņemot lēmumu par projektam izmaksāto finanšu instrumenta līdzekļu atzīšanu par neattiecināmiem, ņem vērā pēc projekta īstenošanas veiktos </w:t>
            </w:r>
            <w:r w:rsidR="002E0C76" w:rsidRPr="00F161C4">
              <w:rPr>
                <w:rFonts w:ascii="Times New Roman" w:eastAsia="Times New Roman" w:hAnsi="Times New Roman"/>
                <w:sz w:val="24"/>
                <w:szCs w:val="24"/>
                <w:lang w:eastAsia="lv-LV"/>
              </w:rPr>
              <w:t>papildu</w:t>
            </w:r>
            <w:r w:rsidR="00B244AF" w:rsidRPr="00F161C4">
              <w:rPr>
                <w:rFonts w:ascii="Times New Roman" w:eastAsia="Times New Roman" w:hAnsi="Times New Roman"/>
                <w:sz w:val="24"/>
                <w:szCs w:val="24"/>
                <w:lang w:eastAsia="lv-LV"/>
              </w:rPr>
              <w:t xml:space="preserve"> pasākumus</w:t>
            </w:r>
            <w:r w:rsidR="003670B2" w:rsidRPr="00F161C4">
              <w:rPr>
                <w:rFonts w:ascii="Times New Roman" w:eastAsia="Times New Roman" w:hAnsi="Times New Roman"/>
                <w:sz w:val="24"/>
                <w:szCs w:val="24"/>
                <w:lang w:eastAsia="lv-LV"/>
              </w:rPr>
              <w:t xml:space="preserve">, kā </w:t>
            </w:r>
            <w:r w:rsidR="003670B2" w:rsidRPr="00F161C4">
              <w:rPr>
                <w:rFonts w:ascii="Times New Roman" w:hAnsi="Times New Roman"/>
                <w:sz w:val="24"/>
                <w:szCs w:val="24"/>
              </w:rPr>
              <w:t xml:space="preserve"> neatkarīgus ārējus apstākļus, kas ir ietekmējuši projekta līgumā un projekta iesniegumā noteikto rezultātu sasniegšanu</w:t>
            </w:r>
            <w:r w:rsidR="003670B2" w:rsidRPr="00F161C4">
              <w:rPr>
                <w:rFonts w:ascii="Times New Roman" w:eastAsia="Times New Roman" w:hAnsi="Times New Roman"/>
                <w:sz w:val="24"/>
                <w:szCs w:val="24"/>
                <w:lang w:eastAsia="lv-LV"/>
              </w:rPr>
              <w:t>;</w:t>
            </w:r>
          </w:p>
          <w:p w14:paraId="61CF3633" w14:textId="77777777" w:rsidR="00B529B5" w:rsidRPr="00F161C4" w:rsidRDefault="00A02DBD" w:rsidP="00A02DBD">
            <w:pPr>
              <w:pStyle w:val="PlainText"/>
              <w:numPr>
                <w:ilvl w:val="0"/>
                <w:numId w:val="4"/>
              </w:numPr>
              <w:jc w:val="both"/>
              <w:rPr>
                <w:rFonts w:ascii="Times New Roman" w:hAnsi="Times New Roman"/>
                <w:b/>
                <w:bCs/>
                <w:sz w:val="24"/>
                <w:szCs w:val="24"/>
              </w:rPr>
            </w:pPr>
            <w:r w:rsidRPr="00F161C4">
              <w:rPr>
                <w:rFonts w:ascii="Times New Roman" w:hAnsi="Times New Roman"/>
                <w:sz w:val="24"/>
                <w:szCs w:val="24"/>
              </w:rPr>
              <w:t xml:space="preserve">papildināt noteikumus ar noslēguma jautājumiem. </w:t>
            </w:r>
            <w:r w:rsidR="0008350E" w:rsidRPr="002E3A8A">
              <w:rPr>
                <w:rFonts w:ascii="Times New Roman" w:hAnsi="Times New Roman"/>
                <w:sz w:val="24"/>
                <w:szCs w:val="24"/>
              </w:rPr>
              <w:t xml:space="preserve">Noteikts MK noteikumu projektā paredzēto grozījumu spēkā stāšanās laiks. </w:t>
            </w:r>
            <w:r w:rsidRPr="000C7110">
              <w:rPr>
                <w:rFonts w:ascii="Times New Roman" w:hAnsi="Times New Roman"/>
                <w:sz w:val="24"/>
                <w:szCs w:val="24"/>
              </w:rPr>
              <w:t>Ar jaunu 93.punktu paredzēti pārejas noteikumi kārtībai par monitoringa pārskatu iesniegšanu tiem projekta iesniedzējiem, kuriem šobrīd turpinās monitoringa periods</w:t>
            </w:r>
            <w:r w:rsidR="0008350E" w:rsidRPr="000C7110">
              <w:rPr>
                <w:rFonts w:ascii="Times New Roman" w:hAnsi="Times New Roman"/>
                <w:sz w:val="24"/>
                <w:szCs w:val="24"/>
              </w:rPr>
              <w:t xml:space="preserve">, </w:t>
            </w:r>
            <w:r w:rsidR="0008350E" w:rsidRPr="002E3A8A">
              <w:rPr>
                <w:rFonts w:ascii="Times New Roman" w:hAnsi="Times New Roman"/>
                <w:sz w:val="24"/>
                <w:szCs w:val="24"/>
              </w:rPr>
              <w:t>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Pr="000C7110">
              <w:rPr>
                <w:rFonts w:ascii="Times New Roman" w:hAnsi="Times New Roman"/>
                <w:sz w:val="24"/>
                <w:szCs w:val="24"/>
              </w:rPr>
              <w:t>.</w:t>
            </w:r>
            <w:r w:rsidR="005A2E0C" w:rsidRPr="000C7110">
              <w:rPr>
                <w:rFonts w:ascii="Times New Roman" w:hAnsi="Times New Roman"/>
                <w:sz w:val="24"/>
                <w:szCs w:val="24"/>
              </w:rPr>
              <w:t xml:space="preserve"> </w:t>
            </w:r>
            <w:r w:rsidRPr="000C7110">
              <w:rPr>
                <w:rFonts w:ascii="Times New Roman" w:hAnsi="Times New Roman"/>
                <w:sz w:val="24"/>
                <w:szCs w:val="24"/>
              </w:rPr>
              <w:t xml:space="preserve">94.punkts nosaka līdz  2017.gada </w:t>
            </w:r>
            <w:r w:rsidR="009D25F2" w:rsidRPr="000C7110">
              <w:rPr>
                <w:rFonts w:ascii="Times New Roman" w:hAnsi="Times New Roman"/>
                <w:sz w:val="24"/>
                <w:szCs w:val="24"/>
              </w:rPr>
              <w:t xml:space="preserve">31. jūlijam </w:t>
            </w:r>
            <w:r w:rsidRPr="000C7110">
              <w:rPr>
                <w:rFonts w:ascii="Times New Roman" w:eastAsia="Times New Roman" w:hAnsi="Times New Roman"/>
                <w:sz w:val="24"/>
                <w:szCs w:val="24"/>
                <w:lang w:eastAsia="lv-LV"/>
              </w:rPr>
              <w:t xml:space="preserve">atbildīgā iestāde sadarbībā ar Vides investīciju fondu sagatavo un publicē atbildīgās iestādes un </w:t>
            </w:r>
            <w:r w:rsidRPr="000C7110">
              <w:rPr>
                <w:rFonts w:ascii="Times New Roman" w:hAnsi="Times New Roman"/>
                <w:sz w:val="24"/>
                <w:szCs w:val="24"/>
              </w:rPr>
              <w:t>Vides investīciju fonda tīmekļa vietnē</w:t>
            </w:r>
            <w:r w:rsidRPr="000C7110">
              <w:rPr>
                <w:rFonts w:ascii="Times New Roman" w:eastAsia="Times New Roman" w:hAnsi="Times New Roman"/>
                <w:sz w:val="24"/>
                <w:szCs w:val="24"/>
                <w:lang w:eastAsia="lv-LV"/>
              </w:rPr>
              <w:t xml:space="preserve"> </w:t>
            </w:r>
            <w:r w:rsidRPr="000C7110">
              <w:rPr>
                <w:rFonts w:ascii="Times New Roman" w:hAnsi="Times New Roman"/>
                <w:sz w:val="24"/>
                <w:szCs w:val="24"/>
              </w:rPr>
              <w:t>vadlīnijas</w:t>
            </w:r>
            <w:r w:rsidRPr="000C7110">
              <w:rPr>
                <w:rFonts w:ascii="Times New Roman" w:eastAsia="Times New Roman" w:hAnsi="Times New Roman"/>
                <w:sz w:val="24"/>
                <w:szCs w:val="24"/>
                <w:lang w:eastAsia="lv-LV"/>
              </w:rPr>
              <w:t xml:space="preserve"> </w:t>
            </w:r>
            <w:r w:rsidRPr="000C7110">
              <w:rPr>
                <w:rFonts w:ascii="Times New Roman" w:hAnsi="Times New Roman"/>
                <w:sz w:val="24"/>
                <w:szCs w:val="24"/>
              </w:rPr>
              <w:t xml:space="preserve"> projektu rezultā</w:t>
            </w:r>
            <w:r w:rsidR="0008350E" w:rsidRPr="000C7110">
              <w:rPr>
                <w:rFonts w:ascii="Times New Roman" w:hAnsi="Times New Roman"/>
                <w:sz w:val="24"/>
                <w:szCs w:val="24"/>
              </w:rPr>
              <w:t>tu monitoringa izvērtēšanai un papildu</w:t>
            </w:r>
            <w:r w:rsidRPr="000C7110">
              <w:rPr>
                <w:rFonts w:ascii="Times New Roman" w:hAnsi="Times New Roman"/>
                <w:sz w:val="24"/>
                <w:szCs w:val="24"/>
              </w:rPr>
              <w:t xml:space="preserve"> pasākumu piemērošanai.</w:t>
            </w:r>
            <w:r w:rsidR="0008350E" w:rsidRPr="000C7110">
              <w:rPr>
                <w:rFonts w:ascii="Times New Roman" w:hAnsi="Times New Roman"/>
                <w:sz w:val="24"/>
                <w:szCs w:val="24"/>
              </w:rPr>
              <w:t xml:space="preserve"> </w:t>
            </w:r>
            <w:r w:rsidR="00B165AE" w:rsidRPr="002E3A8A">
              <w:rPr>
                <w:rFonts w:ascii="Times New Roman" w:hAnsi="Times New Roman"/>
                <w:sz w:val="24"/>
                <w:szCs w:val="24"/>
              </w:rPr>
              <w:t xml:space="preserve">Vadlīnijas </w:t>
            </w:r>
            <w:r w:rsidR="00414F3D" w:rsidRPr="002E3A8A">
              <w:rPr>
                <w:rFonts w:ascii="Times New Roman" w:hAnsi="Times New Roman"/>
                <w:sz w:val="24"/>
                <w:szCs w:val="24"/>
              </w:rPr>
              <w:t>paredzētas</w:t>
            </w:r>
            <w:r w:rsidR="00B165AE" w:rsidRPr="002E3A8A">
              <w:rPr>
                <w:rFonts w:ascii="Times New Roman" w:hAnsi="Times New Roman"/>
                <w:sz w:val="24"/>
                <w:szCs w:val="24"/>
              </w:rPr>
              <w:t xml:space="preserve"> atbildīgās iestādes</w:t>
            </w:r>
            <w:r w:rsidR="00414F3D" w:rsidRPr="002E3A8A">
              <w:rPr>
                <w:rFonts w:ascii="Times New Roman" w:hAnsi="Times New Roman"/>
                <w:sz w:val="24"/>
                <w:szCs w:val="24"/>
              </w:rPr>
              <w:t xml:space="preserve"> un</w:t>
            </w:r>
            <w:r w:rsidR="00B165AE" w:rsidRPr="002E3A8A">
              <w:rPr>
                <w:rFonts w:ascii="Times New Roman" w:hAnsi="Times New Roman"/>
                <w:sz w:val="24"/>
                <w:szCs w:val="24"/>
              </w:rPr>
              <w:t xml:space="preserve"> Vides investīciju fonda darbiniekiem</w:t>
            </w:r>
            <w:r w:rsidR="00414F3D" w:rsidRPr="002E3A8A">
              <w:rPr>
                <w:rFonts w:ascii="Times New Roman" w:hAnsi="Times New Roman"/>
                <w:sz w:val="24"/>
                <w:szCs w:val="24"/>
              </w:rPr>
              <w:t>, kā arī</w:t>
            </w:r>
            <w:r w:rsidR="00B165AE" w:rsidRPr="002E3A8A">
              <w:rPr>
                <w:rFonts w:ascii="Times New Roman" w:hAnsi="Times New Roman"/>
                <w:sz w:val="24"/>
                <w:szCs w:val="24"/>
              </w:rPr>
              <w:t xml:space="preserve">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Pr="000C7110">
              <w:rPr>
                <w:rFonts w:ascii="Times New Roman" w:hAnsi="Times New Roman"/>
                <w:sz w:val="24"/>
                <w:szCs w:val="24"/>
              </w:rPr>
              <w:t xml:space="preserve"> Ar</w:t>
            </w:r>
            <w:r w:rsidR="00B529B5" w:rsidRPr="000C7110">
              <w:rPr>
                <w:rFonts w:ascii="Times New Roman" w:hAnsi="Times New Roman"/>
                <w:sz w:val="24"/>
                <w:szCs w:val="24"/>
              </w:rPr>
              <w:t xml:space="preserve"> jaunu 9</w:t>
            </w:r>
            <w:r w:rsidRPr="000C7110">
              <w:rPr>
                <w:rFonts w:ascii="Times New Roman" w:hAnsi="Times New Roman"/>
                <w:sz w:val="24"/>
                <w:szCs w:val="24"/>
              </w:rPr>
              <w:t>5</w:t>
            </w:r>
            <w:r w:rsidR="00B529B5" w:rsidRPr="000C7110">
              <w:rPr>
                <w:rFonts w:ascii="Times New Roman" w:hAnsi="Times New Roman"/>
                <w:sz w:val="24"/>
                <w:szCs w:val="24"/>
              </w:rPr>
              <w:t>. </w:t>
            </w:r>
            <w:r w:rsidR="00B529B5" w:rsidRPr="000C7110">
              <w:rPr>
                <w:rFonts w:ascii="Times New Roman" w:eastAsia="Times New Roman" w:hAnsi="Times New Roman"/>
                <w:sz w:val="24"/>
                <w:szCs w:val="24"/>
                <w:lang w:eastAsia="lv-LV"/>
              </w:rPr>
              <w:t>punktu</w:t>
            </w:r>
            <w:r w:rsidRPr="000C7110">
              <w:rPr>
                <w:rFonts w:ascii="Times New Roman" w:eastAsia="Times New Roman" w:hAnsi="Times New Roman"/>
                <w:sz w:val="24"/>
                <w:szCs w:val="24"/>
                <w:lang w:eastAsia="lv-LV"/>
              </w:rPr>
              <w:t xml:space="preserve"> p</w:t>
            </w:r>
            <w:r w:rsidR="00B529B5" w:rsidRPr="000C7110">
              <w:rPr>
                <w:rFonts w:ascii="Times New Roman" w:hAnsi="Times New Roman"/>
                <w:sz w:val="24"/>
                <w:szCs w:val="24"/>
              </w:rPr>
              <w:t>aredzēta kārtībā,</w:t>
            </w:r>
            <w:r w:rsidR="00B529B5" w:rsidRPr="00F161C4">
              <w:rPr>
                <w:rFonts w:ascii="Times New Roman" w:hAnsi="Times New Roman"/>
                <w:sz w:val="24"/>
                <w:szCs w:val="24"/>
              </w:rPr>
              <w:t xml:space="preserve"> kādā finansējuma saņēmējs var lūgt pagarināt projekta monitoringa periodu un piemērot pilnveidoto monitoringa kārtību</w:t>
            </w:r>
            <w:r w:rsidRPr="00F161C4">
              <w:rPr>
                <w:rFonts w:ascii="Times New Roman" w:hAnsi="Times New Roman"/>
                <w:sz w:val="24"/>
                <w:szCs w:val="24"/>
              </w:rPr>
              <w:t>.</w:t>
            </w:r>
          </w:p>
          <w:p w14:paraId="655F3517" w14:textId="77777777" w:rsidR="000C4197" w:rsidRPr="00F161C4" w:rsidRDefault="000C4197" w:rsidP="00320EAE">
            <w:pPr>
              <w:shd w:val="clear" w:color="auto" w:fill="FFFFFF"/>
              <w:jc w:val="both"/>
              <w:rPr>
                <w:b/>
                <w:bCs/>
              </w:rPr>
            </w:pPr>
          </w:p>
        </w:tc>
      </w:tr>
      <w:tr w:rsidR="00F161C4" w:rsidRPr="00F161C4" w14:paraId="08F47F28"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4C59B899" w14:textId="77777777" w:rsidR="006A6294" w:rsidRPr="00F161C4" w:rsidRDefault="006A6294" w:rsidP="00873154">
            <w:pPr>
              <w:tabs>
                <w:tab w:val="left" w:pos="720"/>
                <w:tab w:val="center" w:pos="4153"/>
                <w:tab w:val="right" w:pos="8306"/>
              </w:tabs>
              <w:spacing w:before="100" w:beforeAutospacing="1" w:after="100" w:afterAutospacing="1"/>
            </w:pPr>
            <w:r w:rsidRPr="00F161C4">
              <w:lastRenderedPageBreak/>
              <w:t>3.</w:t>
            </w:r>
          </w:p>
        </w:tc>
        <w:tc>
          <w:tcPr>
            <w:tcW w:w="2538" w:type="dxa"/>
            <w:tcBorders>
              <w:top w:val="single" w:sz="6" w:space="0" w:color="auto"/>
              <w:left w:val="single" w:sz="6" w:space="0" w:color="auto"/>
              <w:bottom w:val="single" w:sz="6" w:space="0" w:color="auto"/>
              <w:right w:val="single" w:sz="6" w:space="0" w:color="auto"/>
            </w:tcBorders>
          </w:tcPr>
          <w:p w14:paraId="290B9C5A" w14:textId="77777777" w:rsidR="006A6294" w:rsidRPr="00F161C4" w:rsidRDefault="006A6294" w:rsidP="00873154">
            <w:pPr>
              <w:tabs>
                <w:tab w:val="left" w:pos="720"/>
                <w:tab w:val="center" w:pos="4153"/>
                <w:tab w:val="right" w:pos="8306"/>
              </w:tabs>
              <w:spacing w:before="100" w:beforeAutospacing="1" w:after="100" w:afterAutospacing="1"/>
            </w:pPr>
            <w:r w:rsidRPr="00F161C4">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3D79E936" w14:textId="0BE60EB1" w:rsidR="006A6294" w:rsidRPr="00F161C4" w:rsidRDefault="002B3950" w:rsidP="00410DE7">
            <w:pPr>
              <w:jc w:val="both"/>
            </w:pPr>
            <w:r w:rsidRPr="00F161C4">
              <w:t>Neformālā darba grupā iesaistīti Vides aizsardzības un reģionālās attīstības ministrijas struktūrvienību un Vides investīciju fonda pārstāvji.</w:t>
            </w:r>
          </w:p>
        </w:tc>
      </w:tr>
      <w:tr w:rsidR="00F161C4" w:rsidRPr="00F161C4" w14:paraId="4C469376"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26BEE066" w14:textId="77777777" w:rsidR="006A6294" w:rsidRPr="00F161C4" w:rsidRDefault="006A6294" w:rsidP="00873154">
            <w:pPr>
              <w:tabs>
                <w:tab w:val="left" w:pos="720"/>
                <w:tab w:val="center" w:pos="4153"/>
                <w:tab w:val="right" w:pos="8306"/>
              </w:tabs>
              <w:spacing w:before="100" w:beforeAutospacing="1" w:after="100" w:afterAutospacing="1"/>
            </w:pPr>
            <w:r w:rsidRPr="00F161C4">
              <w:t>4.</w:t>
            </w:r>
          </w:p>
        </w:tc>
        <w:tc>
          <w:tcPr>
            <w:tcW w:w="2538" w:type="dxa"/>
            <w:tcBorders>
              <w:top w:val="single" w:sz="6" w:space="0" w:color="auto"/>
              <w:left w:val="single" w:sz="6" w:space="0" w:color="auto"/>
              <w:bottom w:val="single" w:sz="6" w:space="0" w:color="auto"/>
              <w:right w:val="single" w:sz="6" w:space="0" w:color="auto"/>
            </w:tcBorders>
          </w:tcPr>
          <w:p w14:paraId="03B36BBF" w14:textId="77777777" w:rsidR="006A6294" w:rsidRPr="00F161C4" w:rsidRDefault="006A6294" w:rsidP="00873154">
            <w:pPr>
              <w:tabs>
                <w:tab w:val="left" w:pos="720"/>
                <w:tab w:val="center" w:pos="4153"/>
                <w:tab w:val="right" w:pos="8306"/>
              </w:tabs>
              <w:spacing w:before="100" w:beforeAutospacing="1" w:after="100" w:afterAutospacing="1"/>
            </w:pPr>
            <w:r w:rsidRPr="00F161C4">
              <w:t>Cita informācija</w:t>
            </w:r>
          </w:p>
        </w:tc>
        <w:tc>
          <w:tcPr>
            <w:tcW w:w="6527" w:type="dxa"/>
            <w:tcBorders>
              <w:top w:val="single" w:sz="6" w:space="0" w:color="auto"/>
              <w:left w:val="single" w:sz="6" w:space="0" w:color="auto"/>
              <w:bottom w:val="single" w:sz="6" w:space="0" w:color="auto"/>
              <w:right w:val="single" w:sz="6" w:space="0" w:color="auto"/>
            </w:tcBorders>
          </w:tcPr>
          <w:p w14:paraId="153924D4" w14:textId="77777777" w:rsidR="006A6294" w:rsidRPr="00F161C4" w:rsidRDefault="006A6294" w:rsidP="00873154">
            <w:pPr>
              <w:ind w:firstLine="783"/>
              <w:jc w:val="both"/>
            </w:pPr>
            <w:r w:rsidRPr="00F161C4">
              <w:t>Nav</w:t>
            </w:r>
          </w:p>
        </w:tc>
      </w:tr>
    </w:tbl>
    <w:p w14:paraId="4A93E36B" w14:textId="77777777" w:rsidR="006A6294" w:rsidRPr="00F161C4" w:rsidRDefault="006A6294" w:rsidP="006A6294">
      <w:pPr>
        <w:spacing w:before="120" w:after="120"/>
        <w:jc w:val="both"/>
        <w:rPr>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F161C4" w:rsidRPr="00F161C4" w14:paraId="57E38CEB" w14:textId="77777777" w:rsidTr="00AE1A32">
        <w:trPr>
          <w:trHeight w:val="555"/>
        </w:trPr>
        <w:tc>
          <w:tcPr>
            <w:tcW w:w="5000" w:type="pct"/>
            <w:gridSpan w:val="3"/>
          </w:tcPr>
          <w:p w14:paraId="268859A3" w14:textId="77777777" w:rsidR="00791E55" w:rsidRPr="00F161C4" w:rsidRDefault="00791E55" w:rsidP="00AE1A32">
            <w:pPr>
              <w:spacing w:before="100" w:beforeAutospacing="1" w:after="100" w:afterAutospacing="1"/>
              <w:ind w:firstLine="301"/>
              <w:jc w:val="center"/>
              <w:rPr>
                <w:b/>
                <w:bCs/>
              </w:rPr>
            </w:pPr>
            <w:r w:rsidRPr="00F161C4">
              <w:rPr>
                <w:b/>
                <w:bCs/>
              </w:rPr>
              <w:t>II. Tiesību akta projekta ietekme uz sabiedrību, tautsaimniecības attīstību un administratīvo slogu</w:t>
            </w:r>
          </w:p>
        </w:tc>
      </w:tr>
      <w:tr w:rsidR="00F161C4" w:rsidRPr="00F161C4" w14:paraId="12C66798" w14:textId="77777777" w:rsidTr="00AE1A32">
        <w:trPr>
          <w:trHeight w:val="465"/>
        </w:trPr>
        <w:tc>
          <w:tcPr>
            <w:tcW w:w="273" w:type="pct"/>
          </w:tcPr>
          <w:p w14:paraId="4FA1F0E2" w14:textId="77777777" w:rsidR="00791E55" w:rsidRPr="00F161C4" w:rsidRDefault="00791E55" w:rsidP="00AE1A32">
            <w:r w:rsidRPr="00F161C4">
              <w:t>1.</w:t>
            </w:r>
          </w:p>
        </w:tc>
        <w:tc>
          <w:tcPr>
            <w:tcW w:w="1202" w:type="pct"/>
          </w:tcPr>
          <w:p w14:paraId="12A2DBF5" w14:textId="77777777" w:rsidR="00791E55" w:rsidRPr="00F161C4" w:rsidRDefault="00791E55" w:rsidP="00AE1A32">
            <w:pPr>
              <w:rPr>
                <w:lang w:eastAsia="en-US"/>
              </w:rPr>
            </w:pPr>
            <w:r w:rsidRPr="00F161C4">
              <w:rPr>
                <w:lang w:eastAsia="en-US"/>
              </w:rPr>
              <w:t>Sabiedrības mērķgrupas, kuras tiesiskais regulējums ietekmē vai varētu ietekmēt</w:t>
            </w:r>
          </w:p>
        </w:tc>
        <w:tc>
          <w:tcPr>
            <w:tcW w:w="3525" w:type="pct"/>
          </w:tcPr>
          <w:p w14:paraId="0CDCEEEB" w14:textId="77777777" w:rsidR="00791E55" w:rsidRPr="00F161C4" w:rsidRDefault="00791E55" w:rsidP="006E1E62">
            <w:pPr>
              <w:pStyle w:val="naiskr"/>
              <w:jc w:val="both"/>
            </w:pPr>
            <w:r w:rsidRPr="00F161C4">
              <w:t xml:space="preserve">KPFI </w:t>
            </w:r>
            <w:r w:rsidR="00414F3D" w:rsidRPr="00414F3D">
              <w:rPr>
                <w:b/>
              </w:rPr>
              <w:t>projektu</w:t>
            </w:r>
            <w:r w:rsidR="00414F3D">
              <w:t xml:space="preserve"> </w:t>
            </w:r>
            <w:r w:rsidRPr="00F161C4">
              <w:t>konkursu finansējuma saņēmēji, kas nesasniedz projekta līgumā</w:t>
            </w:r>
            <w:r w:rsidR="00626D2B">
              <w:t xml:space="preserve"> </w:t>
            </w:r>
            <w:r w:rsidR="00626D2B" w:rsidRPr="00626D2B">
              <w:rPr>
                <w:b/>
              </w:rPr>
              <w:t>un projekta iesniegumā</w:t>
            </w:r>
            <w:r w:rsidRPr="00F161C4">
              <w:t xml:space="preserve"> noteikto sasniedzamo rādītāju. </w:t>
            </w:r>
          </w:p>
        </w:tc>
      </w:tr>
      <w:tr w:rsidR="00F161C4" w:rsidRPr="00F161C4" w14:paraId="31EB5B57" w14:textId="77777777" w:rsidTr="00AE1A32">
        <w:trPr>
          <w:trHeight w:val="510"/>
        </w:trPr>
        <w:tc>
          <w:tcPr>
            <w:tcW w:w="273" w:type="pct"/>
          </w:tcPr>
          <w:p w14:paraId="6080EADD" w14:textId="77777777" w:rsidR="00791E55" w:rsidRPr="00F161C4" w:rsidRDefault="00791E55" w:rsidP="00AE1A32">
            <w:r w:rsidRPr="00F161C4">
              <w:t>2.</w:t>
            </w:r>
          </w:p>
        </w:tc>
        <w:tc>
          <w:tcPr>
            <w:tcW w:w="1202" w:type="pct"/>
          </w:tcPr>
          <w:p w14:paraId="4CBF0669" w14:textId="77777777" w:rsidR="00791E55" w:rsidRPr="00F161C4" w:rsidRDefault="00791E55" w:rsidP="00AE1A32">
            <w:pPr>
              <w:rPr>
                <w:lang w:eastAsia="en-US"/>
              </w:rPr>
            </w:pPr>
            <w:r w:rsidRPr="00F161C4">
              <w:rPr>
                <w:lang w:eastAsia="en-US"/>
              </w:rPr>
              <w:t>Tiesiskā regulējuma ietekme uz tautsaimniecību un administratīvo slogu</w:t>
            </w:r>
          </w:p>
        </w:tc>
        <w:tc>
          <w:tcPr>
            <w:tcW w:w="3525" w:type="pct"/>
          </w:tcPr>
          <w:p w14:paraId="5765DA16" w14:textId="77777777" w:rsidR="002B3950" w:rsidRPr="00F161C4" w:rsidRDefault="002B3950" w:rsidP="002B3950">
            <w:pPr>
              <w:jc w:val="both"/>
              <w:rPr>
                <w:lang w:eastAsia="en-US"/>
              </w:rPr>
            </w:pPr>
            <w:r w:rsidRPr="00F161C4">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796C6610" w14:textId="77777777" w:rsidR="002B3950" w:rsidRPr="00F161C4" w:rsidRDefault="002B3950" w:rsidP="002B3950">
            <w:pPr>
              <w:jc w:val="both"/>
              <w:rPr>
                <w:lang w:eastAsia="en-US"/>
              </w:rPr>
            </w:pPr>
            <w:r w:rsidRPr="00F161C4">
              <w:rPr>
                <w:lang w:eastAsia="en-US"/>
              </w:rPr>
              <w:t xml:space="preserve">Ietekme uz administratīvo slogu: MK noteikumu projektā ietvertais regulējums radīs nelielu administratīvā sloga palielināšanos </w:t>
            </w:r>
            <w:r w:rsidRPr="00F161C4">
              <w:t>finansējuma saņēmējiem</w:t>
            </w:r>
            <w:r w:rsidRPr="00F161C4">
              <w:rPr>
                <w:lang w:eastAsia="en-US"/>
              </w:rPr>
              <w:t xml:space="preserve">, taču kopumā tiek saglabāta finansējuma administrēšanas iepriekšējā pieeja. </w:t>
            </w:r>
          </w:p>
          <w:p w14:paraId="4E947F7A" w14:textId="77777777" w:rsidR="00791E55" w:rsidRPr="00F161C4" w:rsidRDefault="002B3950" w:rsidP="00AE1A32">
            <w:pPr>
              <w:jc w:val="both"/>
              <w:rPr>
                <w:lang w:eastAsia="en-US"/>
              </w:rPr>
            </w:pPr>
            <w:r w:rsidRPr="00F161C4">
              <w:t>Finansējuma saņēmēji izmaksas par neatkarīga eksperta pakalpojumiem nodrošina savā budžetā esošo līdzekļu ietvaros.</w:t>
            </w:r>
          </w:p>
        </w:tc>
      </w:tr>
      <w:tr w:rsidR="00F161C4" w:rsidRPr="00F161C4" w14:paraId="7BDB259B" w14:textId="77777777" w:rsidTr="00AE1A32">
        <w:trPr>
          <w:trHeight w:val="510"/>
        </w:trPr>
        <w:tc>
          <w:tcPr>
            <w:tcW w:w="273" w:type="pct"/>
          </w:tcPr>
          <w:p w14:paraId="2D1BE14A" w14:textId="77777777" w:rsidR="00791E55" w:rsidRPr="00F161C4" w:rsidRDefault="00791E55" w:rsidP="00AE1A32">
            <w:r w:rsidRPr="00F161C4">
              <w:t>3.</w:t>
            </w:r>
          </w:p>
        </w:tc>
        <w:tc>
          <w:tcPr>
            <w:tcW w:w="1202" w:type="pct"/>
          </w:tcPr>
          <w:p w14:paraId="219E8EB4" w14:textId="77777777" w:rsidR="00791E55" w:rsidRPr="00F161C4" w:rsidRDefault="00791E55" w:rsidP="00AE1A32">
            <w:pPr>
              <w:rPr>
                <w:lang w:eastAsia="en-US"/>
              </w:rPr>
            </w:pPr>
            <w:r w:rsidRPr="00F161C4">
              <w:rPr>
                <w:lang w:eastAsia="en-US"/>
              </w:rPr>
              <w:t>Administratīvo izmaksu monetārs novērtējums.</w:t>
            </w:r>
          </w:p>
        </w:tc>
        <w:tc>
          <w:tcPr>
            <w:tcW w:w="3525" w:type="pct"/>
          </w:tcPr>
          <w:p w14:paraId="5AD5596B" w14:textId="77777777" w:rsidR="002A3A65" w:rsidRPr="00F161C4" w:rsidRDefault="002A3A65" w:rsidP="002A3A65">
            <w:pPr>
              <w:jc w:val="both"/>
              <w:rPr>
                <w:bCs/>
              </w:rPr>
            </w:pPr>
            <w:bookmarkStart w:id="2" w:name="p-468669"/>
            <w:bookmarkStart w:id="3" w:name="p24"/>
            <w:bookmarkEnd w:id="2"/>
            <w:bookmarkEnd w:id="3"/>
            <w:r w:rsidRPr="00F161C4">
              <w:rPr>
                <w:bCs/>
              </w:rPr>
              <w:t>Administratīvo izmaksu novērtējums veikts no šādiem pieņēmumiem un informācijas par iespējamām neatkarīgo ekspertu pakalpojuma cenām:</w:t>
            </w:r>
          </w:p>
          <w:p w14:paraId="45D44965" w14:textId="77777777" w:rsidR="002A3A65" w:rsidRPr="00F161C4" w:rsidRDefault="002A3A65" w:rsidP="002A3A65">
            <w:pPr>
              <w:jc w:val="both"/>
              <w:rPr>
                <w:bCs/>
              </w:rPr>
            </w:pPr>
          </w:p>
          <w:p w14:paraId="7C107444" w14:textId="77777777" w:rsidR="002A3A65" w:rsidRPr="00F161C4" w:rsidRDefault="002A3A65" w:rsidP="002A3A65">
            <w:pPr>
              <w:jc w:val="both"/>
            </w:pPr>
            <w:r w:rsidRPr="00F161C4">
              <w:rPr>
                <w:bCs/>
              </w:rPr>
              <w:t>C = (f x l) x (n x b)</w:t>
            </w:r>
            <w:r w:rsidRPr="00F161C4">
              <w:t>, kur</w:t>
            </w:r>
          </w:p>
          <w:p w14:paraId="1E4946F9" w14:textId="77777777" w:rsidR="002A3A65" w:rsidRPr="00F161C4" w:rsidRDefault="002A3A65" w:rsidP="002A3A65">
            <w:pPr>
              <w:jc w:val="both"/>
            </w:pPr>
            <w:r w:rsidRPr="00F161C4">
              <w:rPr>
                <w:bCs/>
              </w:rPr>
              <w:t>f</w:t>
            </w:r>
            <w:r w:rsidRPr="00F161C4">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7C347214" w14:textId="77777777" w:rsidR="002A3A65" w:rsidRPr="00F161C4" w:rsidRDefault="002A3A65" w:rsidP="002A3A65">
            <w:pPr>
              <w:jc w:val="both"/>
            </w:pPr>
            <w:r w:rsidRPr="00F161C4">
              <w:t xml:space="preserve"> Neatkarīga eksperta saskaņojums </w:t>
            </w:r>
            <w:r w:rsidR="00E1721F" w:rsidRPr="00F161C4">
              <w:t xml:space="preserve">papildu pasākumiem </w:t>
            </w:r>
            <w:r w:rsidRPr="00F161C4">
              <w:t>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w:t>
            </w:r>
            <w:r w:rsidR="00410DE7">
              <w:t xml:space="preserve"> </w:t>
            </w:r>
            <w:r w:rsidRPr="00F161C4">
              <w:t>EUR. Vidēji 500 EUR par plānu;</w:t>
            </w:r>
          </w:p>
          <w:p w14:paraId="03096F3E" w14:textId="77777777" w:rsidR="002A3A65" w:rsidRPr="00F161C4" w:rsidRDefault="002A3A65" w:rsidP="002A3A65">
            <w:pPr>
              <w:jc w:val="both"/>
            </w:pPr>
            <w:r w:rsidRPr="00F161C4">
              <w:rPr>
                <w:bCs/>
              </w:rPr>
              <w:t>l</w:t>
            </w:r>
            <w:r w:rsidRPr="00F161C4">
              <w:t xml:space="preserve"> – laika patēriņš, kas nepieciešams, lai sagatavotu informāciju, kuras sniegšanu paredz projekts (sagatavošanai (</w:t>
            </w:r>
            <w:r w:rsidRPr="00F161C4">
              <w:rPr>
                <w:lang w:eastAsia="en-US"/>
              </w:rPr>
              <w:t>vietas apmeklēšana, esošās dokumentācijas izskatīšana, priekšlikumu sagatavošana, paraksts)</w:t>
            </w:r>
            <w:r w:rsidRPr="00F161C4">
              <w:t xml:space="preserve"> vidēji būtu nepieciešamas 3 dienas, 24 h, bet samaksa nosakāma par vienu atzinumu kopā)</w:t>
            </w:r>
          </w:p>
          <w:p w14:paraId="1BFD484F" w14:textId="77777777" w:rsidR="002A3A65" w:rsidRPr="00F161C4" w:rsidRDefault="002A3A65" w:rsidP="002A3A65">
            <w:pPr>
              <w:jc w:val="both"/>
            </w:pPr>
            <w:r w:rsidRPr="00F161C4">
              <w:rPr>
                <w:bCs/>
              </w:rPr>
              <w:t>n</w:t>
            </w:r>
            <w:r w:rsidRPr="00F161C4">
              <w:t xml:space="preserve"> – subjektu skaits, uz ko attiecas projektā paredzētās informācijas sniegšanas prasības (aptuveni </w:t>
            </w:r>
            <w:r w:rsidR="00B55D77" w:rsidRPr="00F161C4">
              <w:t xml:space="preserve">5 </w:t>
            </w:r>
            <w:r w:rsidRPr="00F161C4">
              <w:t>finansējuma saņēmēji</w:t>
            </w:r>
            <w:r w:rsidR="00B55D77" w:rsidRPr="00F161C4">
              <w:t xml:space="preserve"> no 42 pabeigtajiem projektiem</w:t>
            </w:r>
            <w:r w:rsidRPr="00F161C4">
              <w:t xml:space="preserve"> šajā KPFI konkursā);</w:t>
            </w:r>
          </w:p>
          <w:p w14:paraId="5ECBCDAD" w14:textId="77777777" w:rsidR="002A3A65" w:rsidRPr="00F161C4" w:rsidRDefault="002A3A65" w:rsidP="002A3A65">
            <w:pPr>
              <w:jc w:val="both"/>
            </w:pPr>
            <w:r w:rsidRPr="00F161C4">
              <w:rPr>
                <w:bCs/>
              </w:rPr>
              <w:t>b</w:t>
            </w:r>
            <w:r w:rsidRPr="00F161C4">
              <w:t xml:space="preserve"> – cik bieži gada laikā projekts paredz informācijas sniegšanu (1 reizi)</w:t>
            </w:r>
          </w:p>
          <w:p w14:paraId="4B9E418F" w14:textId="77777777" w:rsidR="002A3A65" w:rsidRPr="00F161C4" w:rsidRDefault="002A3A65" w:rsidP="002A3A65">
            <w:pPr>
              <w:jc w:val="both"/>
              <w:rPr>
                <w:bCs/>
              </w:rPr>
            </w:pPr>
          </w:p>
          <w:p w14:paraId="1145F161" w14:textId="77777777" w:rsidR="002A3A65" w:rsidRPr="00F161C4" w:rsidRDefault="002A3A65" w:rsidP="002A3A65">
            <w:pPr>
              <w:jc w:val="both"/>
            </w:pPr>
            <w:r w:rsidRPr="00F161C4">
              <w:rPr>
                <w:bCs/>
              </w:rPr>
              <w:lastRenderedPageBreak/>
              <w:t>C</w:t>
            </w:r>
            <w:r w:rsidRPr="00F161C4">
              <w:t xml:space="preserve"> – informācijas sniegšanas pienākuma radītās izmaksas jeb administratīvās izmaksas</w:t>
            </w:r>
          </w:p>
          <w:p w14:paraId="4349D554" w14:textId="77777777" w:rsidR="002A3A65" w:rsidRPr="00F161C4" w:rsidRDefault="002A3A65" w:rsidP="002A3A65">
            <w:pPr>
              <w:jc w:val="both"/>
            </w:pPr>
          </w:p>
          <w:p w14:paraId="0289CF1C" w14:textId="77777777" w:rsidR="002C5578" w:rsidRPr="00F161C4" w:rsidRDefault="002A3A65" w:rsidP="00B55D77">
            <w:pPr>
              <w:jc w:val="both"/>
              <w:rPr>
                <w:highlight w:val="yellow"/>
              </w:rPr>
            </w:pPr>
            <w:r w:rsidRPr="00F161C4">
              <w:t>(500x1)x(</w:t>
            </w:r>
            <w:r w:rsidR="00B55D77" w:rsidRPr="00F161C4">
              <w:t>5</w:t>
            </w:r>
            <w:r w:rsidRPr="00F161C4">
              <w:t>x1)=</w:t>
            </w:r>
            <w:r w:rsidR="00B55D77" w:rsidRPr="00F161C4">
              <w:t>25</w:t>
            </w:r>
            <w:r w:rsidRPr="00F161C4">
              <w:t>00 EUR</w:t>
            </w:r>
          </w:p>
        </w:tc>
      </w:tr>
      <w:tr w:rsidR="00F161C4" w:rsidRPr="00F161C4" w14:paraId="1600BF7E" w14:textId="77777777" w:rsidTr="00AE1A32">
        <w:trPr>
          <w:trHeight w:val="345"/>
        </w:trPr>
        <w:tc>
          <w:tcPr>
            <w:tcW w:w="273" w:type="pct"/>
          </w:tcPr>
          <w:p w14:paraId="213EB39C" w14:textId="77777777" w:rsidR="00791E55" w:rsidRPr="00F161C4" w:rsidRDefault="00791E55" w:rsidP="00AE1A32">
            <w:r w:rsidRPr="00F161C4">
              <w:lastRenderedPageBreak/>
              <w:t>4.</w:t>
            </w:r>
          </w:p>
        </w:tc>
        <w:tc>
          <w:tcPr>
            <w:tcW w:w="1202" w:type="pct"/>
          </w:tcPr>
          <w:p w14:paraId="7D7D1B4B" w14:textId="77777777" w:rsidR="00791E55" w:rsidRPr="00F161C4" w:rsidRDefault="00791E55" w:rsidP="00AE1A32">
            <w:pPr>
              <w:rPr>
                <w:lang w:eastAsia="en-US"/>
              </w:rPr>
            </w:pPr>
            <w:r w:rsidRPr="00F161C4">
              <w:rPr>
                <w:lang w:eastAsia="en-US"/>
              </w:rPr>
              <w:t>Cita informācija</w:t>
            </w:r>
          </w:p>
        </w:tc>
        <w:tc>
          <w:tcPr>
            <w:tcW w:w="3525" w:type="pct"/>
          </w:tcPr>
          <w:p w14:paraId="438D1238" w14:textId="77777777" w:rsidR="00791E55" w:rsidRPr="00F161C4" w:rsidRDefault="00791E55" w:rsidP="00AE1A32">
            <w:pPr>
              <w:spacing w:before="100" w:beforeAutospacing="1" w:after="100" w:afterAutospacing="1" w:line="360" w:lineRule="auto"/>
            </w:pPr>
            <w:r w:rsidRPr="00F161C4">
              <w:t>Nav</w:t>
            </w:r>
          </w:p>
        </w:tc>
      </w:tr>
    </w:tbl>
    <w:p w14:paraId="35BF13C0" w14:textId="77777777" w:rsidR="00791E55" w:rsidRPr="00F161C4" w:rsidRDefault="00791E55" w:rsidP="006A6294">
      <w:pPr>
        <w:spacing w:before="120" w:after="120"/>
        <w:jc w:val="both"/>
        <w:rPr>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F161C4" w:rsidRPr="00F161C4" w14:paraId="14BE8500" w14:textId="77777777" w:rsidTr="00AE1A32">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7E657175" w14:textId="77777777" w:rsidR="009F7F79" w:rsidRPr="00F161C4" w:rsidRDefault="009F7F79" w:rsidP="00AE1A32">
            <w:pPr>
              <w:jc w:val="center"/>
              <w:rPr>
                <w:b/>
              </w:rPr>
            </w:pPr>
            <w:r w:rsidRPr="00F161C4">
              <w:rPr>
                <w:b/>
              </w:rPr>
              <w:t xml:space="preserve">VI. </w:t>
            </w:r>
            <w:r w:rsidRPr="00F161C4">
              <w:rPr>
                <w:b/>
                <w:bCs/>
              </w:rPr>
              <w:t>Sabiedrības līdzdalība un komunikācijas aktivitātes</w:t>
            </w:r>
          </w:p>
        </w:tc>
      </w:tr>
      <w:tr w:rsidR="00F161C4" w:rsidRPr="00F161C4" w14:paraId="2390B312" w14:textId="77777777" w:rsidTr="00AE1A32">
        <w:tc>
          <w:tcPr>
            <w:tcW w:w="3801" w:type="dxa"/>
            <w:gridSpan w:val="2"/>
            <w:tcBorders>
              <w:top w:val="single" w:sz="6" w:space="0" w:color="auto"/>
              <w:left w:val="single" w:sz="6" w:space="0" w:color="auto"/>
              <w:bottom w:val="single" w:sz="6" w:space="0" w:color="auto"/>
              <w:right w:val="single" w:sz="6" w:space="0" w:color="auto"/>
            </w:tcBorders>
          </w:tcPr>
          <w:p w14:paraId="6C010F43" w14:textId="77777777" w:rsidR="009F7F79" w:rsidRPr="00F161C4" w:rsidRDefault="009F7F79" w:rsidP="00AE1A32">
            <w:pPr>
              <w:spacing w:before="100" w:beforeAutospacing="1" w:after="100" w:afterAutospacing="1"/>
              <w:jc w:val="both"/>
            </w:pPr>
            <w:r w:rsidRPr="00F161C4">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7FB37B5E" w14:textId="6AE60D56" w:rsidR="002177FD" w:rsidRPr="00F161C4" w:rsidRDefault="000163FE" w:rsidP="00CE15F7">
            <w:pPr>
              <w:spacing w:before="120"/>
              <w:jc w:val="both"/>
            </w:pPr>
            <w:r w:rsidRPr="00F161C4">
              <w:t>MK n</w:t>
            </w:r>
            <w:r w:rsidR="009F7F79" w:rsidRPr="00F161C4">
              <w:t>oteikumu projekts ievietots Vides aizsardzības un reģionālās attīstības ministrijas tīmekļvietnē 201</w:t>
            </w:r>
            <w:r w:rsidR="00CE15F7" w:rsidRPr="00F161C4">
              <w:t>7</w:t>
            </w:r>
            <w:r w:rsidR="009F7F79" w:rsidRPr="00F161C4">
              <w:t xml:space="preserve">.gada </w:t>
            </w:r>
            <w:r w:rsidR="00CE15F7" w:rsidRPr="00F161C4">
              <w:t>janvārī</w:t>
            </w:r>
            <w:r w:rsidR="009F7F79" w:rsidRPr="00F161C4">
              <w:t>.</w:t>
            </w:r>
          </w:p>
        </w:tc>
      </w:tr>
      <w:tr w:rsidR="00F161C4" w:rsidRPr="00F161C4" w14:paraId="4CE75EC6" w14:textId="77777777" w:rsidTr="00AE1A32">
        <w:tc>
          <w:tcPr>
            <w:tcW w:w="3801" w:type="dxa"/>
            <w:gridSpan w:val="2"/>
            <w:tcBorders>
              <w:top w:val="single" w:sz="6" w:space="0" w:color="auto"/>
              <w:left w:val="single" w:sz="6" w:space="0" w:color="auto"/>
              <w:bottom w:val="single" w:sz="6" w:space="0" w:color="auto"/>
              <w:right w:val="single" w:sz="6" w:space="0" w:color="auto"/>
            </w:tcBorders>
          </w:tcPr>
          <w:p w14:paraId="01327F00" w14:textId="77777777" w:rsidR="009F7F79" w:rsidRPr="00F161C4" w:rsidRDefault="009F7F79" w:rsidP="00AE1A32">
            <w:pPr>
              <w:spacing w:before="100" w:beforeAutospacing="1" w:after="100" w:afterAutospacing="1"/>
              <w:jc w:val="both"/>
            </w:pPr>
            <w:r w:rsidRPr="00F161C4">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093EE517" w14:textId="77777777" w:rsidR="009F7F79" w:rsidRPr="00F161C4" w:rsidRDefault="003825C7" w:rsidP="006E1E62">
            <w:pPr>
              <w:jc w:val="both"/>
            </w:pPr>
            <w:r w:rsidRPr="00F161C4">
              <w:t>MK noteikumu projekta izstrādes posmā neformālās darba grupas ietvaros un elektroniskās saziņās veidā komentārus par noteikumu projektu sniedza Vides investīciju fonds, kas veic KPFI projektu</w:t>
            </w:r>
            <w:r w:rsidR="006E1E62">
              <w:t xml:space="preserve"> </w:t>
            </w:r>
            <w:r w:rsidR="006E1E62" w:rsidRPr="002E3A8A">
              <w:t>rezultātu</w:t>
            </w:r>
            <w:r w:rsidRPr="002E3A8A">
              <w:t xml:space="preserve"> monitoring</w:t>
            </w:r>
            <w:r w:rsidR="006E1E62" w:rsidRPr="002E3A8A">
              <w:t>a uzraudzību</w:t>
            </w:r>
            <w:r w:rsidRPr="002E3A8A">
              <w:t>.</w:t>
            </w:r>
          </w:p>
        </w:tc>
      </w:tr>
      <w:tr w:rsidR="00F161C4" w:rsidRPr="00F161C4" w14:paraId="7BF9F4E2" w14:textId="77777777" w:rsidTr="00AE1A32">
        <w:tc>
          <w:tcPr>
            <w:tcW w:w="3801" w:type="dxa"/>
            <w:gridSpan w:val="2"/>
            <w:tcBorders>
              <w:top w:val="single" w:sz="6" w:space="0" w:color="auto"/>
              <w:left w:val="single" w:sz="6" w:space="0" w:color="auto"/>
              <w:bottom w:val="single" w:sz="6" w:space="0" w:color="auto"/>
              <w:right w:val="single" w:sz="6" w:space="0" w:color="auto"/>
            </w:tcBorders>
          </w:tcPr>
          <w:p w14:paraId="632BB8D8" w14:textId="77777777" w:rsidR="009F7F79" w:rsidRPr="00F161C4" w:rsidRDefault="009F7F79" w:rsidP="00AE1A32">
            <w:pPr>
              <w:spacing w:before="100" w:beforeAutospacing="1" w:after="100" w:afterAutospacing="1"/>
              <w:jc w:val="both"/>
            </w:pPr>
            <w:r w:rsidRPr="00F161C4">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1F5F0FA3" w14:textId="77777777" w:rsidR="003825C7" w:rsidRPr="00F161C4" w:rsidRDefault="003825C7" w:rsidP="00153729">
            <w:pPr>
              <w:spacing w:before="100" w:beforeAutospacing="1" w:after="100" w:afterAutospacing="1"/>
              <w:jc w:val="both"/>
            </w:pPr>
            <w:r w:rsidRPr="00F161C4">
              <w:t>MK noteikumu projektu atbalsta Vides investīciju fonds. Projekta izstrādē ņemti vērā lielākā daļa no Vides investīciju fonds priekšlikumiem par monitoringa termiņu, plānā paredzamajām aktivitātēm un to īstenošanas kārtību u.c.</w:t>
            </w:r>
          </w:p>
          <w:p w14:paraId="1CE7998A" w14:textId="77777777" w:rsidR="001872A9" w:rsidRPr="00F161C4" w:rsidRDefault="001872A9" w:rsidP="00153729">
            <w:pPr>
              <w:spacing w:before="100" w:beforeAutospacing="1" w:after="100" w:afterAutospacing="1"/>
              <w:jc w:val="both"/>
            </w:pPr>
            <w:r w:rsidRPr="00F161C4">
              <w:t>Ventspils pilsētas dome iebildumos lūdza noteikt termiņu, kādā atbildīgā iestāde un Vides investīciju fonds sagatavo un publicē vadlīnijas projektu rezultātu monitoringa izvērtēšanai un kompensējošo pasākumu piemērošanai.</w:t>
            </w:r>
            <w:r w:rsidR="00153729" w:rsidRPr="00F161C4">
              <w:t xml:space="preserve"> D</w:t>
            </w:r>
            <w:r w:rsidRPr="00F161C4">
              <w:t>aļa izteikt</w:t>
            </w:r>
            <w:r w:rsidR="00153729" w:rsidRPr="00F161C4">
              <w:t>o</w:t>
            </w:r>
            <w:r w:rsidRPr="00F161C4">
              <w:t xml:space="preserve"> iebildum</w:t>
            </w:r>
            <w:r w:rsidR="00153729" w:rsidRPr="00F161C4">
              <w:t>u ņemti</w:t>
            </w:r>
            <w:r w:rsidRPr="00F161C4">
              <w:t xml:space="preserve"> vērā, nosakot atbildīgajai iestādei vien</w:t>
            </w:r>
            <w:r w:rsidR="00153729" w:rsidRPr="00F161C4">
              <w:t>a</w:t>
            </w:r>
            <w:r w:rsidRPr="00F161C4">
              <w:t xml:space="preserve"> kalendār</w:t>
            </w:r>
            <w:r w:rsidR="00153729" w:rsidRPr="00F161C4">
              <w:t>ā</w:t>
            </w:r>
            <w:r w:rsidRPr="00F161C4">
              <w:t xml:space="preserve"> mēne</w:t>
            </w:r>
            <w:r w:rsidR="00153729" w:rsidRPr="00F161C4">
              <w:t>ša laikā</w:t>
            </w:r>
            <w:r w:rsidRPr="00F161C4">
              <w:t xml:space="preserve"> pēc MK noteikumu projektā paredzēto grozījumu spēkā stāšanās sagatavot un publicēt minētās vadlīnijas. Atkarībā no MK noteikumu projekta saskaņošanas gaitas, tiks paredzēts konkrēts datums vadlīniju publicēšanai.</w:t>
            </w:r>
            <w:r w:rsidR="00153729" w:rsidRPr="00F161C4">
              <w:t xml:space="preserve"> </w:t>
            </w:r>
          </w:p>
        </w:tc>
      </w:tr>
      <w:tr w:rsidR="00F161C4" w:rsidRPr="00F161C4" w14:paraId="517497DA" w14:textId="77777777" w:rsidTr="00AE1A32">
        <w:tc>
          <w:tcPr>
            <w:tcW w:w="3801" w:type="dxa"/>
            <w:gridSpan w:val="2"/>
            <w:tcBorders>
              <w:top w:val="single" w:sz="6" w:space="0" w:color="auto"/>
              <w:left w:val="single" w:sz="6" w:space="0" w:color="auto"/>
              <w:bottom w:val="single" w:sz="6" w:space="0" w:color="auto"/>
              <w:right w:val="single" w:sz="6" w:space="0" w:color="auto"/>
            </w:tcBorders>
          </w:tcPr>
          <w:p w14:paraId="3F347352" w14:textId="77777777" w:rsidR="009F7F79" w:rsidRPr="00F161C4" w:rsidRDefault="009F7F79" w:rsidP="00AE1A32">
            <w:pPr>
              <w:spacing w:before="100" w:beforeAutospacing="1" w:after="100" w:afterAutospacing="1"/>
              <w:jc w:val="both"/>
            </w:pPr>
            <w:r w:rsidRPr="00F161C4">
              <w:t>Cita informācija</w:t>
            </w:r>
          </w:p>
        </w:tc>
        <w:tc>
          <w:tcPr>
            <w:tcW w:w="5813" w:type="dxa"/>
            <w:tcBorders>
              <w:top w:val="single" w:sz="6" w:space="0" w:color="auto"/>
              <w:left w:val="single" w:sz="6" w:space="0" w:color="auto"/>
              <w:bottom w:val="single" w:sz="6" w:space="0" w:color="auto"/>
              <w:right w:val="single" w:sz="6" w:space="0" w:color="auto"/>
            </w:tcBorders>
          </w:tcPr>
          <w:p w14:paraId="5A38D5F2" w14:textId="77777777" w:rsidR="009F7F79" w:rsidRPr="00F161C4" w:rsidRDefault="009F7F79" w:rsidP="00AE1A32">
            <w:pPr>
              <w:spacing w:before="100" w:beforeAutospacing="1" w:after="100" w:afterAutospacing="1"/>
              <w:jc w:val="both"/>
            </w:pPr>
          </w:p>
        </w:tc>
      </w:tr>
      <w:tr w:rsidR="00F161C4" w:rsidRPr="00F161C4" w14:paraId="710420C7" w14:textId="77777777" w:rsidTr="00AE1A32">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00F27877" w14:textId="77777777" w:rsidR="009F7F79" w:rsidRPr="00F161C4" w:rsidRDefault="009F7F79" w:rsidP="00AE1A32">
            <w:pPr>
              <w:jc w:val="center"/>
              <w:rPr>
                <w:b/>
              </w:rPr>
            </w:pPr>
            <w:r w:rsidRPr="00F161C4">
              <w:rPr>
                <w:b/>
              </w:rPr>
              <w:t>VII. Tiesību akta projekta izpildes nodrošināšana un tās ietekme uz institūcijām</w:t>
            </w:r>
          </w:p>
        </w:tc>
      </w:tr>
      <w:tr w:rsidR="00F161C4" w:rsidRPr="00F161C4" w14:paraId="423EC9E4" w14:textId="77777777" w:rsidTr="00AE1A32">
        <w:tc>
          <w:tcPr>
            <w:tcW w:w="396" w:type="dxa"/>
            <w:tcBorders>
              <w:top w:val="single" w:sz="6" w:space="0" w:color="auto"/>
              <w:left w:val="single" w:sz="6" w:space="0" w:color="auto"/>
              <w:bottom w:val="single" w:sz="6" w:space="0" w:color="auto"/>
              <w:right w:val="single" w:sz="6" w:space="0" w:color="auto"/>
            </w:tcBorders>
          </w:tcPr>
          <w:p w14:paraId="466A714C" w14:textId="77777777" w:rsidR="009F7F79" w:rsidRPr="00F161C4" w:rsidRDefault="009F7F79" w:rsidP="00AE1A32">
            <w:pPr>
              <w:spacing w:before="100" w:beforeAutospacing="1" w:after="100" w:afterAutospacing="1"/>
              <w:jc w:val="both"/>
            </w:pPr>
            <w:r w:rsidRPr="00F161C4">
              <w:t>1.</w:t>
            </w:r>
          </w:p>
        </w:tc>
        <w:tc>
          <w:tcPr>
            <w:tcW w:w="3405" w:type="dxa"/>
            <w:tcBorders>
              <w:top w:val="single" w:sz="6" w:space="0" w:color="auto"/>
              <w:left w:val="single" w:sz="6" w:space="0" w:color="auto"/>
              <w:bottom w:val="single" w:sz="6" w:space="0" w:color="auto"/>
              <w:right w:val="single" w:sz="6" w:space="0" w:color="auto"/>
            </w:tcBorders>
          </w:tcPr>
          <w:p w14:paraId="7C89517D" w14:textId="77777777" w:rsidR="009F7F79" w:rsidRPr="00F161C4" w:rsidRDefault="009F7F79" w:rsidP="00AE1A32">
            <w:pPr>
              <w:spacing w:before="100" w:beforeAutospacing="1" w:after="100" w:afterAutospacing="1"/>
              <w:jc w:val="both"/>
            </w:pPr>
            <w:r w:rsidRPr="00F161C4">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3B08234B" w14:textId="77777777" w:rsidR="009F7F79" w:rsidRPr="00F161C4" w:rsidRDefault="000163FE" w:rsidP="00B8519B">
            <w:pPr>
              <w:spacing w:before="120"/>
              <w:jc w:val="both"/>
            </w:pPr>
            <w:r w:rsidRPr="00F161C4">
              <w:t xml:space="preserve">MK noteikumu </w:t>
            </w:r>
            <w:r w:rsidR="009F7F79" w:rsidRPr="00F161C4">
              <w:t>projekta izpildi nodrošinās Vides aizsardzības un reģionālās attīstības ministrija un Vides investīciju fonds.</w:t>
            </w:r>
          </w:p>
        </w:tc>
      </w:tr>
      <w:tr w:rsidR="00F161C4" w:rsidRPr="00F161C4" w14:paraId="11B4AE81" w14:textId="77777777" w:rsidTr="00AE1A32">
        <w:tc>
          <w:tcPr>
            <w:tcW w:w="396" w:type="dxa"/>
            <w:tcBorders>
              <w:top w:val="single" w:sz="6" w:space="0" w:color="auto"/>
              <w:left w:val="single" w:sz="6" w:space="0" w:color="auto"/>
              <w:bottom w:val="single" w:sz="6" w:space="0" w:color="auto"/>
              <w:right w:val="single" w:sz="6" w:space="0" w:color="auto"/>
            </w:tcBorders>
          </w:tcPr>
          <w:p w14:paraId="7DD3FAE7" w14:textId="77777777" w:rsidR="009F7F79" w:rsidRPr="00FD2D36" w:rsidRDefault="009F7F79" w:rsidP="00AE1A32">
            <w:pPr>
              <w:spacing w:before="100" w:beforeAutospacing="1" w:after="100" w:afterAutospacing="1"/>
              <w:jc w:val="both"/>
            </w:pPr>
            <w:r w:rsidRPr="00F161C4">
              <w:t>2.</w:t>
            </w:r>
          </w:p>
        </w:tc>
        <w:tc>
          <w:tcPr>
            <w:tcW w:w="3405" w:type="dxa"/>
            <w:tcBorders>
              <w:top w:val="single" w:sz="6" w:space="0" w:color="auto"/>
              <w:left w:val="single" w:sz="6" w:space="0" w:color="auto"/>
              <w:bottom w:val="single" w:sz="6" w:space="0" w:color="auto"/>
              <w:right w:val="single" w:sz="6" w:space="0" w:color="auto"/>
            </w:tcBorders>
          </w:tcPr>
          <w:p w14:paraId="484D7045" w14:textId="77777777" w:rsidR="009F7F79" w:rsidRPr="00F161C4" w:rsidRDefault="009F7F79" w:rsidP="00AE1A32">
            <w:pPr>
              <w:spacing w:before="100" w:beforeAutospacing="1" w:after="100" w:afterAutospacing="1"/>
              <w:jc w:val="both"/>
            </w:pPr>
            <w:r w:rsidRPr="00F161C4">
              <w:t>Projekta izpildes ietekme uz pārvaldes funkcijām un institucionālo struktūru.</w:t>
            </w:r>
          </w:p>
          <w:p w14:paraId="5DD8E6C0" w14:textId="77777777" w:rsidR="009F7F79" w:rsidRPr="00F161C4" w:rsidRDefault="009F7F79" w:rsidP="00AE1A32">
            <w:pPr>
              <w:spacing w:before="100" w:beforeAutospacing="1" w:after="100" w:afterAutospacing="1"/>
              <w:jc w:val="both"/>
            </w:pPr>
            <w:r w:rsidRPr="00F161C4">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65192BDD" w14:textId="77777777" w:rsidR="009F7F79" w:rsidRPr="00F161C4" w:rsidRDefault="009F7F79" w:rsidP="00AE1A32">
            <w:pPr>
              <w:jc w:val="both"/>
            </w:pPr>
            <w:r w:rsidRPr="00F161C4">
              <w:t> </w:t>
            </w:r>
            <w:r w:rsidR="00FA4DC6" w:rsidRPr="00F161C4">
              <w:t>MK n</w:t>
            </w:r>
            <w:r w:rsidR="005C1357" w:rsidRPr="00F161C4">
              <w:t>oteikumu p</w:t>
            </w:r>
            <w:r w:rsidRPr="00F161C4">
              <w:t>rojekts šo jomu neskar</w:t>
            </w:r>
          </w:p>
        </w:tc>
      </w:tr>
      <w:tr w:rsidR="00F161C4" w:rsidRPr="00F161C4" w14:paraId="45980AF3" w14:textId="77777777" w:rsidTr="00AE1A32">
        <w:tc>
          <w:tcPr>
            <w:tcW w:w="396" w:type="dxa"/>
            <w:tcBorders>
              <w:top w:val="single" w:sz="6" w:space="0" w:color="auto"/>
              <w:left w:val="single" w:sz="6" w:space="0" w:color="auto"/>
              <w:bottom w:val="single" w:sz="6" w:space="0" w:color="auto"/>
              <w:right w:val="single" w:sz="6" w:space="0" w:color="auto"/>
            </w:tcBorders>
          </w:tcPr>
          <w:p w14:paraId="5B974FF2" w14:textId="77777777" w:rsidR="009F7F79" w:rsidRPr="00F161C4" w:rsidRDefault="009F7F79" w:rsidP="00AE1A32">
            <w:pPr>
              <w:spacing w:before="100" w:beforeAutospacing="1" w:after="100" w:afterAutospacing="1"/>
              <w:jc w:val="both"/>
            </w:pPr>
            <w:r w:rsidRPr="00F161C4">
              <w:t>3.</w:t>
            </w:r>
          </w:p>
        </w:tc>
        <w:tc>
          <w:tcPr>
            <w:tcW w:w="3405" w:type="dxa"/>
            <w:tcBorders>
              <w:top w:val="single" w:sz="6" w:space="0" w:color="auto"/>
              <w:left w:val="single" w:sz="6" w:space="0" w:color="auto"/>
              <w:bottom w:val="single" w:sz="6" w:space="0" w:color="auto"/>
              <w:right w:val="single" w:sz="6" w:space="0" w:color="auto"/>
            </w:tcBorders>
          </w:tcPr>
          <w:p w14:paraId="56E2E2E2" w14:textId="77777777" w:rsidR="009F7F79" w:rsidRPr="00F161C4" w:rsidRDefault="009F7F79" w:rsidP="00AE1A32">
            <w:pPr>
              <w:spacing w:before="100" w:beforeAutospacing="1" w:after="100" w:afterAutospacing="1"/>
              <w:jc w:val="both"/>
            </w:pPr>
            <w:r w:rsidRPr="00F161C4">
              <w:t>Cita informācija</w:t>
            </w:r>
          </w:p>
        </w:tc>
        <w:tc>
          <w:tcPr>
            <w:tcW w:w="5813" w:type="dxa"/>
            <w:tcBorders>
              <w:top w:val="single" w:sz="6" w:space="0" w:color="auto"/>
              <w:left w:val="single" w:sz="6" w:space="0" w:color="auto"/>
              <w:bottom w:val="single" w:sz="6" w:space="0" w:color="auto"/>
              <w:right w:val="single" w:sz="6" w:space="0" w:color="auto"/>
            </w:tcBorders>
          </w:tcPr>
          <w:p w14:paraId="5926EE7D" w14:textId="77777777" w:rsidR="009F7F79" w:rsidRPr="00F161C4" w:rsidRDefault="009F7F79" w:rsidP="00AE1A32">
            <w:pPr>
              <w:spacing w:before="100" w:beforeAutospacing="1" w:after="100" w:afterAutospacing="1"/>
              <w:jc w:val="both"/>
            </w:pPr>
            <w:r w:rsidRPr="00F161C4">
              <w:t>Nav</w:t>
            </w:r>
          </w:p>
        </w:tc>
      </w:tr>
    </w:tbl>
    <w:p w14:paraId="74E8E870" w14:textId="77777777" w:rsidR="009F7F79" w:rsidRPr="00F161C4" w:rsidRDefault="009F7F79" w:rsidP="006A6294">
      <w:pPr>
        <w:spacing w:before="120" w:after="120"/>
        <w:jc w:val="both"/>
        <w:rPr>
          <w:lang w:eastAsia="en-US"/>
        </w:rPr>
      </w:pPr>
    </w:p>
    <w:p w14:paraId="2629FA90" w14:textId="77777777" w:rsidR="006A6294" w:rsidRPr="00F161C4" w:rsidRDefault="00930480" w:rsidP="006A6294">
      <w:pPr>
        <w:spacing w:before="120" w:after="120"/>
        <w:jc w:val="both"/>
        <w:rPr>
          <w:lang w:eastAsia="en-US"/>
        </w:rPr>
      </w:pPr>
      <w:r w:rsidRPr="00F161C4">
        <w:rPr>
          <w:lang w:eastAsia="en-US"/>
        </w:rPr>
        <w:t xml:space="preserve">Anotācijas </w:t>
      </w:r>
      <w:r w:rsidR="00F05074" w:rsidRPr="00F161C4">
        <w:rPr>
          <w:lang w:eastAsia="en-US"/>
        </w:rPr>
        <w:t xml:space="preserve">III, </w:t>
      </w:r>
      <w:r w:rsidR="006A6294" w:rsidRPr="00F161C4">
        <w:rPr>
          <w:lang w:eastAsia="en-US"/>
        </w:rPr>
        <w:t xml:space="preserve">IV, V sadaļa </w:t>
      </w:r>
      <w:r w:rsidR="005C1357" w:rsidRPr="00F161C4">
        <w:rPr>
          <w:lang w:eastAsia="en-US"/>
        </w:rPr>
        <w:t xml:space="preserve">– </w:t>
      </w:r>
      <w:r w:rsidR="00FA4DC6" w:rsidRPr="00F161C4">
        <w:rPr>
          <w:lang w:eastAsia="en-US"/>
        </w:rPr>
        <w:t xml:space="preserve">MK </w:t>
      </w:r>
      <w:r w:rsidR="005C1357" w:rsidRPr="00F161C4">
        <w:rPr>
          <w:lang w:eastAsia="en-US"/>
        </w:rPr>
        <w:t xml:space="preserve">noteikumu </w:t>
      </w:r>
      <w:r w:rsidR="006A6294" w:rsidRPr="00F161C4">
        <w:rPr>
          <w:lang w:eastAsia="en-US"/>
        </w:rPr>
        <w:t>projekts šīs jomas neskar.</w:t>
      </w:r>
    </w:p>
    <w:p w14:paraId="337E331D" w14:textId="77777777" w:rsidR="005C1357" w:rsidRDefault="005C1357" w:rsidP="006A6294">
      <w:pPr>
        <w:pStyle w:val="naisf"/>
        <w:spacing w:before="0" w:after="0"/>
        <w:ind w:firstLine="684"/>
      </w:pPr>
    </w:p>
    <w:p w14:paraId="0B7BC059" w14:textId="77777777" w:rsidR="00410DE7" w:rsidRDefault="00410DE7" w:rsidP="006A6294">
      <w:pPr>
        <w:pStyle w:val="naisf"/>
        <w:spacing w:before="0" w:after="0"/>
        <w:ind w:firstLine="684"/>
      </w:pPr>
    </w:p>
    <w:p w14:paraId="258EBD85" w14:textId="77777777" w:rsidR="00410DE7" w:rsidRPr="00F161C4" w:rsidRDefault="00410DE7" w:rsidP="006A6294">
      <w:pPr>
        <w:pStyle w:val="naisf"/>
        <w:spacing w:before="0" w:after="0"/>
        <w:ind w:firstLine="684"/>
      </w:pPr>
    </w:p>
    <w:p w14:paraId="3E4041F0" w14:textId="77777777" w:rsidR="004E1BF2" w:rsidRDefault="004E1BF2" w:rsidP="004E1BF2">
      <w:pPr>
        <w:pStyle w:val="naisf"/>
        <w:spacing w:before="0" w:after="0"/>
        <w:ind w:firstLine="0"/>
      </w:pPr>
      <w:r>
        <w:t>Vides aizsardzības un reģionālās attīstības ministra vietā –</w:t>
      </w:r>
    </w:p>
    <w:p w14:paraId="422E7020" w14:textId="5424C7F5" w:rsidR="004E1BF2" w:rsidRDefault="004E1BF2" w:rsidP="004E1BF2">
      <w:pPr>
        <w:pStyle w:val="naisf"/>
        <w:spacing w:before="0" w:after="0"/>
        <w:ind w:firstLine="0"/>
      </w:pPr>
      <w:r>
        <w:t>tieslietu ministrs</w:t>
      </w:r>
      <w:r>
        <w:tab/>
      </w:r>
      <w:r>
        <w:tab/>
      </w:r>
      <w:r>
        <w:tab/>
      </w:r>
      <w:r>
        <w:tab/>
      </w:r>
      <w:r>
        <w:tab/>
      </w:r>
      <w:r>
        <w:tab/>
      </w:r>
      <w:r>
        <w:tab/>
      </w:r>
      <w:r>
        <w:tab/>
        <w:t>Dz.Rasnačs</w:t>
      </w:r>
    </w:p>
    <w:p w14:paraId="0A905099" w14:textId="77777777" w:rsidR="004E1BF2" w:rsidRDefault="004E1BF2" w:rsidP="004E1BF2"/>
    <w:p w14:paraId="52361DED" w14:textId="77777777" w:rsidR="004E1BF2" w:rsidRDefault="004E1BF2" w:rsidP="004E1BF2">
      <w:r>
        <w:t xml:space="preserve">Vīza: valsts sekretārs                                              </w:t>
      </w:r>
      <w:r>
        <w:tab/>
        <w:t xml:space="preserve">             </w:t>
      </w:r>
      <w:r>
        <w:tab/>
      </w:r>
      <w:r>
        <w:tab/>
        <w:t>R.Muciņš</w:t>
      </w:r>
      <w:r w:rsidR="006A6294" w:rsidRPr="00F161C4">
        <w:tab/>
      </w:r>
      <w:r w:rsidR="006A6294" w:rsidRPr="00F161C4">
        <w:tab/>
      </w:r>
    </w:p>
    <w:p w14:paraId="0C5A8378" w14:textId="0126FEC5" w:rsidR="0076313B" w:rsidRPr="00F161C4" w:rsidRDefault="006A6294" w:rsidP="004E1BF2">
      <w:r w:rsidRPr="00F161C4">
        <w:tab/>
      </w:r>
      <w:r w:rsidRPr="00F161C4">
        <w:tab/>
      </w:r>
    </w:p>
    <w:p w14:paraId="0772410E" w14:textId="169A8C0A" w:rsidR="005B1E08" w:rsidRPr="00F161C4" w:rsidRDefault="002E794F" w:rsidP="005B1E08">
      <w:pPr>
        <w:jc w:val="both"/>
      </w:pPr>
      <w:r w:rsidRPr="00F161C4">
        <w:fldChar w:fldCharType="begin"/>
      </w:r>
      <w:r w:rsidR="005B1E08" w:rsidRPr="00F161C4">
        <w:instrText xml:space="preserve"> TIME  \@ "yyyy.MM.dd. H:mm"  \* MERGEFORMAT </w:instrText>
      </w:r>
      <w:r w:rsidRPr="00F161C4">
        <w:fldChar w:fldCharType="separate"/>
      </w:r>
      <w:r w:rsidR="009B375E">
        <w:rPr>
          <w:noProof/>
        </w:rPr>
        <w:t>2017.07.04. 12:37</w:t>
      </w:r>
      <w:r w:rsidRPr="00F161C4">
        <w:fldChar w:fldCharType="end"/>
      </w:r>
    </w:p>
    <w:p w14:paraId="45365AE0" w14:textId="77777777" w:rsidR="005B1E08" w:rsidRPr="00F161C4" w:rsidRDefault="004E1BF2" w:rsidP="005B1E08">
      <w:pPr>
        <w:tabs>
          <w:tab w:val="center" w:pos="4536"/>
          <w:tab w:val="right" w:pos="8306"/>
        </w:tabs>
      </w:pPr>
      <w:fldSimple w:instr=" NUMWORDS   \* MERGEFORMAT ">
        <w:r>
          <w:rPr>
            <w:noProof/>
            <w:lang w:eastAsia="en-US"/>
          </w:rPr>
          <w:t>2667</w:t>
        </w:r>
      </w:fldSimple>
    </w:p>
    <w:p w14:paraId="51492455" w14:textId="77777777" w:rsidR="005B1E08" w:rsidRPr="00F161C4" w:rsidRDefault="005B1E08" w:rsidP="006A6294">
      <w:pPr>
        <w:jc w:val="both"/>
      </w:pPr>
      <w:r w:rsidRPr="00F161C4">
        <w:t>I.Vonda</w:t>
      </w:r>
    </w:p>
    <w:p w14:paraId="7E03AC5D" w14:textId="77777777" w:rsidR="008A4239" w:rsidRPr="00F161C4" w:rsidRDefault="005B1E08" w:rsidP="00626D2B">
      <w:pPr>
        <w:jc w:val="both"/>
      </w:pPr>
      <w:r w:rsidRPr="00F161C4">
        <w:t xml:space="preserve">67026554, </w:t>
      </w:r>
      <w:hyperlink r:id="rId8" w:history="1">
        <w:r w:rsidRPr="00F161C4">
          <w:rPr>
            <w:rStyle w:val="Hyperlink"/>
            <w:color w:val="auto"/>
          </w:rPr>
          <w:t>ilze.vonda@varam.gov.lv</w:t>
        </w:r>
      </w:hyperlink>
    </w:p>
    <w:sectPr w:rsidR="008A4239" w:rsidRPr="00F161C4"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7B24" w14:textId="77777777" w:rsidR="00AD24F3" w:rsidRDefault="00AD24F3" w:rsidP="000074B5">
      <w:r>
        <w:separator/>
      </w:r>
    </w:p>
  </w:endnote>
  <w:endnote w:type="continuationSeparator" w:id="0">
    <w:p w14:paraId="7F499D62" w14:textId="77777777" w:rsidR="00AD24F3" w:rsidRDefault="00AD24F3"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3F8A" w14:textId="77777777" w:rsidR="00DA0C89" w:rsidRPr="0076313B" w:rsidRDefault="00DA0C89"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B53A" w14:textId="77777777" w:rsidR="009B375E" w:rsidRPr="00631045" w:rsidRDefault="009B375E" w:rsidP="009B375E">
    <w:pPr>
      <w:shd w:val="clear" w:color="auto" w:fill="FFFFFF"/>
      <w:jc w:val="both"/>
    </w:pPr>
    <w:r>
      <w:fldChar w:fldCharType="begin"/>
    </w:r>
    <w:r>
      <w:instrText xml:space="preserve"> FILENAME  \* MERGEFORMAT </w:instrText>
    </w:r>
    <w:r>
      <w:fldChar w:fldCharType="separate"/>
    </w:r>
    <w:r w:rsidRPr="00036B9F">
      <w:rPr>
        <w:noProof/>
        <w:sz w:val="20"/>
        <w:szCs w:val="20"/>
      </w:rPr>
      <w:t>VARAMAnot_</w:t>
    </w:r>
    <w:r>
      <w:rPr>
        <w:noProof/>
        <w:sz w:val="20"/>
        <w:szCs w:val="20"/>
      </w:rPr>
      <w:t>0407</w:t>
    </w:r>
    <w:r w:rsidRPr="00036B9F">
      <w:rPr>
        <w:noProof/>
        <w:sz w:val="20"/>
        <w:szCs w:val="20"/>
      </w:rPr>
      <w:t>17_12_VSS-141</w:t>
    </w:r>
    <w:r>
      <w:rPr>
        <w:noProof/>
        <w:sz w:val="20"/>
        <w:szCs w:val="20"/>
      </w:rPr>
      <w:fldChar w:fldCharType="end"/>
    </w:r>
    <w:r w:rsidRPr="00AC2742">
      <w:rPr>
        <w:sz w:val="20"/>
        <w:szCs w:val="20"/>
      </w:rPr>
      <w:t>; Ministru kabineta noteikumu projekta “</w:t>
    </w:r>
    <w:r w:rsidRPr="00AC2742">
      <w:rPr>
        <w:bCs/>
        <w:sz w:val="20"/>
        <w:szCs w:val="20"/>
      </w:rPr>
      <w:t>Grozījum</w:t>
    </w:r>
    <w:r>
      <w:rPr>
        <w:bCs/>
        <w:sz w:val="20"/>
        <w:szCs w:val="20"/>
      </w:rPr>
      <w:t>i</w:t>
    </w:r>
    <w:r w:rsidRPr="00AC2742">
      <w:rPr>
        <w:bCs/>
        <w:sz w:val="20"/>
        <w:szCs w:val="20"/>
      </w:rPr>
      <w:t xml:space="preserve"> Ministru kabineta </w:t>
    </w:r>
    <w:r w:rsidRPr="00AC2742">
      <w:rPr>
        <w:sz w:val="20"/>
        <w:szCs w:val="20"/>
      </w:rPr>
      <w:t>2011.gada 4.janvāra noteikumos Nr.12 „</w:t>
    </w:r>
    <w:r w:rsidRPr="00AC2742">
      <w:rPr>
        <w:bCs/>
        <w:sz w:val="20"/>
        <w:szCs w:val="20"/>
      </w:rPr>
      <w:t>Klimata pārmaiņu finanšu instrumenta finansēto projektu atklāta konkursa „Atjaunojamo energoresursu izmantošana siltumnīcefekta gāzu emisiju samazināšanai” nolikums”</w:t>
    </w:r>
    <w:r w:rsidRPr="00AC2742">
      <w:rPr>
        <w:sz w:val="20"/>
        <w:szCs w:val="20"/>
      </w:rPr>
      <w:t xml:space="preserve">” sākotnējās ietekmes novērtējuma </w:t>
    </w:r>
    <w:smartTag w:uri="schemas-tilde-lv/tildestengine" w:element="veidnes">
      <w:smartTagPr>
        <w:attr w:name="id" w:val="-1"/>
        <w:attr w:name="baseform" w:val="ziņojums"/>
        <w:attr w:name="text" w:val="ziņojums"/>
      </w:smartTagPr>
      <w:r w:rsidRPr="00AC2742">
        <w:rPr>
          <w:sz w:val="20"/>
          <w:szCs w:val="20"/>
        </w:rPr>
        <w:t>ziņojums</w:t>
      </w:r>
    </w:smartTag>
    <w:r w:rsidRPr="00AC2742">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4889D" w14:textId="4A786A94" w:rsidR="00DA0C89" w:rsidRPr="00631045" w:rsidRDefault="009B375E" w:rsidP="006A67B8">
    <w:pPr>
      <w:shd w:val="clear" w:color="auto" w:fill="FFFFFF"/>
      <w:jc w:val="both"/>
    </w:pPr>
    <w:r>
      <w:fldChar w:fldCharType="begin"/>
    </w:r>
    <w:r>
      <w:instrText xml:space="preserve"> FILENAME  \* MERGEFORMAT </w:instrText>
    </w:r>
    <w:r>
      <w:fldChar w:fldCharType="separate"/>
    </w:r>
    <w:r w:rsidR="00036B9F" w:rsidRPr="00036B9F">
      <w:rPr>
        <w:noProof/>
        <w:sz w:val="20"/>
        <w:szCs w:val="20"/>
      </w:rPr>
      <w:t>VARAMAnot_</w:t>
    </w:r>
    <w:r>
      <w:rPr>
        <w:noProof/>
        <w:sz w:val="20"/>
        <w:szCs w:val="20"/>
      </w:rPr>
      <w:t>0407</w:t>
    </w:r>
    <w:r w:rsidR="00036B9F" w:rsidRPr="00036B9F">
      <w:rPr>
        <w:noProof/>
        <w:sz w:val="20"/>
        <w:szCs w:val="20"/>
      </w:rPr>
      <w:t>17_12_VSS-141</w:t>
    </w:r>
    <w:r>
      <w:rPr>
        <w:noProof/>
        <w:sz w:val="20"/>
        <w:szCs w:val="20"/>
      </w:rPr>
      <w:fldChar w:fldCharType="end"/>
    </w:r>
    <w:r w:rsidR="00DA0C89" w:rsidRPr="00AC2742">
      <w:rPr>
        <w:sz w:val="20"/>
        <w:szCs w:val="20"/>
      </w:rPr>
      <w:t>; Ministru kabineta noteikumu projekta “</w:t>
    </w:r>
    <w:r w:rsidR="00DA0C89" w:rsidRPr="00AC2742">
      <w:rPr>
        <w:bCs/>
        <w:sz w:val="20"/>
        <w:szCs w:val="20"/>
      </w:rPr>
      <w:t>Grozījum</w:t>
    </w:r>
    <w:r w:rsidR="00DA0C89">
      <w:rPr>
        <w:bCs/>
        <w:sz w:val="20"/>
        <w:szCs w:val="20"/>
      </w:rPr>
      <w:t>i</w:t>
    </w:r>
    <w:r w:rsidR="00DA0C89" w:rsidRPr="00AC2742">
      <w:rPr>
        <w:bCs/>
        <w:sz w:val="20"/>
        <w:szCs w:val="20"/>
      </w:rPr>
      <w:t xml:space="preserve"> Ministru kabineta </w:t>
    </w:r>
    <w:r w:rsidR="00DA0C89" w:rsidRPr="00AC2742">
      <w:rPr>
        <w:sz w:val="20"/>
        <w:szCs w:val="20"/>
      </w:rPr>
      <w:t>2011.gada 4.janvāra noteikumos Nr.12 „</w:t>
    </w:r>
    <w:r w:rsidR="00DA0C89" w:rsidRPr="00AC2742">
      <w:rPr>
        <w:bCs/>
        <w:sz w:val="20"/>
        <w:szCs w:val="20"/>
      </w:rPr>
      <w:t>Klimata pārmaiņu finanšu instrumenta finansēto projektu atklāta konkursa „Atjaunojamo energoresursu izmantošana siltumnīcefekta gāzu emisiju samazināšanai” nolikums”</w:t>
    </w:r>
    <w:r w:rsidR="00DA0C89" w:rsidRPr="00AC2742">
      <w:rPr>
        <w:sz w:val="20"/>
        <w:szCs w:val="20"/>
      </w:rPr>
      <w:t xml:space="preserve">” sākotnējās ietekmes novērtējuma </w:t>
    </w:r>
    <w:smartTag w:uri="schemas-tilde-lv/tildestengine" w:element="veidnes">
      <w:smartTagPr>
        <w:attr w:name="id" w:val="-1"/>
        <w:attr w:name="baseform" w:val="ziņojums"/>
        <w:attr w:name="text" w:val="ziņojums"/>
      </w:smartTagPr>
      <w:r w:rsidR="00DA0C89" w:rsidRPr="00AC2742">
        <w:rPr>
          <w:sz w:val="20"/>
          <w:szCs w:val="20"/>
        </w:rPr>
        <w:t>ziņojums</w:t>
      </w:r>
    </w:smartTag>
    <w:r w:rsidR="00DA0C89" w:rsidRPr="00AC274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312D" w14:textId="77777777" w:rsidR="00AD24F3" w:rsidRDefault="00AD24F3" w:rsidP="000074B5">
      <w:r>
        <w:separator/>
      </w:r>
    </w:p>
  </w:footnote>
  <w:footnote w:type="continuationSeparator" w:id="0">
    <w:p w14:paraId="16E6D95C" w14:textId="77777777" w:rsidR="00AD24F3" w:rsidRDefault="00AD24F3"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BDD1" w14:textId="77777777" w:rsidR="00DA0C89" w:rsidRDefault="002E794F" w:rsidP="00873154">
    <w:pPr>
      <w:pStyle w:val="Header"/>
      <w:framePr w:wrap="around" w:vAnchor="text" w:hAnchor="margin" w:xAlign="center" w:y="1"/>
      <w:rPr>
        <w:rStyle w:val="PageNumber"/>
      </w:rPr>
    </w:pPr>
    <w:r>
      <w:rPr>
        <w:rStyle w:val="PageNumber"/>
      </w:rPr>
      <w:fldChar w:fldCharType="begin"/>
    </w:r>
    <w:r w:rsidR="00DA0C89">
      <w:rPr>
        <w:rStyle w:val="PageNumber"/>
      </w:rPr>
      <w:instrText xml:space="preserve">PAGE  </w:instrText>
    </w:r>
    <w:r>
      <w:rPr>
        <w:rStyle w:val="PageNumber"/>
      </w:rPr>
      <w:fldChar w:fldCharType="end"/>
    </w:r>
  </w:p>
  <w:p w14:paraId="7085BA63" w14:textId="77777777" w:rsidR="00DA0C89" w:rsidRDefault="00DA0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B566" w14:textId="77777777" w:rsidR="00DA0C89" w:rsidRDefault="002E794F" w:rsidP="00873154">
    <w:pPr>
      <w:pStyle w:val="Header"/>
      <w:framePr w:wrap="around" w:vAnchor="text" w:hAnchor="margin" w:xAlign="center" w:y="1"/>
      <w:rPr>
        <w:rStyle w:val="PageNumber"/>
      </w:rPr>
    </w:pPr>
    <w:r>
      <w:rPr>
        <w:rStyle w:val="PageNumber"/>
      </w:rPr>
      <w:fldChar w:fldCharType="begin"/>
    </w:r>
    <w:r w:rsidR="00DA0C89">
      <w:rPr>
        <w:rStyle w:val="PageNumber"/>
      </w:rPr>
      <w:instrText xml:space="preserve">PAGE  </w:instrText>
    </w:r>
    <w:r>
      <w:rPr>
        <w:rStyle w:val="PageNumber"/>
      </w:rPr>
      <w:fldChar w:fldCharType="separate"/>
    </w:r>
    <w:r w:rsidR="009B375E">
      <w:rPr>
        <w:rStyle w:val="PageNumber"/>
        <w:noProof/>
      </w:rPr>
      <w:t>2</w:t>
    </w:r>
    <w:r>
      <w:rPr>
        <w:rStyle w:val="PageNumber"/>
      </w:rPr>
      <w:fldChar w:fldCharType="end"/>
    </w:r>
  </w:p>
  <w:p w14:paraId="1BA6FBCC" w14:textId="77777777" w:rsidR="00DA0C89" w:rsidRPr="0076313B" w:rsidRDefault="00DA0C89" w:rsidP="0076313B">
    <w:pPr>
      <w:pStyle w:val="Header"/>
      <w:jc w:val="both"/>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F119" w14:textId="77777777" w:rsidR="00A00B31" w:rsidRDefault="00A00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2A67AC"/>
    <w:multiLevelType w:val="hybridMultilevel"/>
    <w:tmpl w:val="4F24983C"/>
    <w:lvl w:ilvl="0" w:tplc="7324D05E">
      <w:start w:val="5"/>
      <w:numFmt w:val="bullet"/>
      <w:lvlText w:val="-"/>
      <w:lvlJc w:val="left"/>
      <w:pPr>
        <w:ind w:left="438" w:hanging="360"/>
      </w:pPr>
      <w:rPr>
        <w:rFonts w:ascii="Times New Roman" w:eastAsia="Calibri"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11BB6"/>
    <w:rsid w:val="000163FE"/>
    <w:rsid w:val="000164A0"/>
    <w:rsid w:val="0003537F"/>
    <w:rsid w:val="00036B9F"/>
    <w:rsid w:val="00036F17"/>
    <w:rsid w:val="0004201A"/>
    <w:rsid w:val="00053219"/>
    <w:rsid w:val="00066620"/>
    <w:rsid w:val="00073D26"/>
    <w:rsid w:val="00073E0E"/>
    <w:rsid w:val="000771BD"/>
    <w:rsid w:val="0008350E"/>
    <w:rsid w:val="00083527"/>
    <w:rsid w:val="00093281"/>
    <w:rsid w:val="000A197F"/>
    <w:rsid w:val="000C0DD3"/>
    <w:rsid w:val="000C4197"/>
    <w:rsid w:val="000C7110"/>
    <w:rsid w:val="000D3E07"/>
    <w:rsid w:val="000D70CF"/>
    <w:rsid w:val="000E0C27"/>
    <w:rsid w:val="000F022C"/>
    <w:rsid w:val="000F3650"/>
    <w:rsid w:val="000F5C24"/>
    <w:rsid w:val="00101BF5"/>
    <w:rsid w:val="00101E0A"/>
    <w:rsid w:val="00105CD0"/>
    <w:rsid w:val="00105FAE"/>
    <w:rsid w:val="00115754"/>
    <w:rsid w:val="00122DCF"/>
    <w:rsid w:val="00131684"/>
    <w:rsid w:val="001529FF"/>
    <w:rsid w:val="00153729"/>
    <w:rsid w:val="00164325"/>
    <w:rsid w:val="00181527"/>
    <w:rsid w:val="001872A9"/>
    <w:rsid w:val="001875C9"/>
    <w:rsid w:val="001A2CA4"/>
    <w:rsid w:val="002039E4"/>
    <w:rsid w:val="00203BED"/>
    <w:rsid w:val="00212B66"/>
    <w:rsid w:val="002173D4"/>
    <w:rsid w:val="002177FD"/>
    <w:rsid w:val="0023010D"/>
    <w:rsid w:val="00242EA1"/>
    <w:rsid w:val="00244E14"/>
    <w:rsid w:val="00256433"/>
    <w:rsid w:val="00257066"/>
    <w:rsid w:val="00271699"/>
    <w:rsid w:val="00284FB6"/>
    <w:rsid w:val="00294AA3"/>
    <w:rsid w:val="002957BA"/>
    <w:rsid w:val="002A0F83"/>
    <w:rsid w:val="002A3A65"/>
    <w:rsid w:val="002B3950"/>
    <w:rsid w:val="002B6139"/>
    <w:rsid w:val="002C06F9"/>
    <w:rsid w:val="002C5578"/>
    <w:rsid w:val="002C783E"/>
    <w:rsid w:val="002E0C76"/>
    <w:rsid w:val="002E3A8A"/>
    <w:rsid w:val="002E794F"/>
    <w:rsid w:val="00303738"/>
    <w:rsid w:val="00304D21"/>
    <w:rsid w:val="00306380"/>
    <w:rsid w:val="00315079"/>
    <w:rsid w:val="00320EAE"/>
    <w:rsid w:val="003360FD"/>
    <w:rsid w:val="00352295"/>
    <w:rsid w:val="00353554"/>
    <w:rsid w:val="0035477A"/>
    <w:rsid w:val="003604DF"/>
    <w:rsid w:val="003670B2"/>
    <w:rsid w:val="00377270"/>
    <w:rsid w:val="003819A3"/>
    <w:rsid w:val="003825C7"/>
    <w:rsid w:val="00382A0D"/>
    <w:rsid w:val="003946A6"/>
    <w:rsid w:val="003B05E7"/>
    <w:rsid w:val="003C455B"/>
    <w:rsid w:val="003D01FF"/>
    <w:rsid w:val="003D29C3"/>
    <w:rsid w:val="003D520B"/>
    <w:rsid w:val="003D6359"/>
    <w:rsid w:val="003E45DC"/>
    <w:rsid w:val="003E60B4"/>
    <w:rsid w:val="003F6120"/>
    <w:rsid w:val="00402851"/>
    <w:rsid w:val="00404C01"/>
    <w:rsid w:val="00410DE7"/>
    <w:rsid w:val="00412817"/>
    <w:rsid w:val="00414F3D"/>
    <w:rsid w:val="00424155"/>
    <w:rsid w:val="004324A0"/>
    <w:rsid w:val="00440307"/>
    <w:rsid w:val="0044697F"/>
    <w:rsid w:val="00447F27"/>
    <w:rsid w:val="00456578"/>
    <w:rsid w:val="0046280C"/>
    <w:rsid w:val="0046480E"/>
    <w:rsid w:val="00473512"/>
    <w:rsid w:val="00490C71"/>
    <w:rsid w:val="004B43D7"/>
    <w:rsid w:val="004B480B"/>
    <w:rsid w:val="004B7881"/>
    <w:rsid w:val="004C35B4"/>
    <w:rsid w:val="004D1E45"/>
    <w:rsid w:val="004E1BF2"/>
    <w:rsid w:val="004F042F"/>
    <w:rsid w:val="004F29F7"/>
    <w:rsid w:val="004F3FC0"/>
    <w:rsid w:val="00501324"/>
    <w:rsid w:val="00504C8F"/>
    <w:rsid w:val="00504E88"/>
    <w:rsid w:val="00506AE0"/>
    <w:rsid w:val="00506D62"/>
    <w:rsid w:val="00512386"/>
    <w:rsid w:val="00516041"/>
    <w:rsid w:val="0052665D"/>
    <w:rsid w:val="00533B6D"/>
    <w:rsid w:val="00533DCA"/>
    <w:rsid w:val="00541433"/>
    <w:rsid w:val="0056477D"/>
    <w:rsid w:val="005678A8"/>
    <w:rsid w:val="005721D9"/>
    <w:rsid w:val="00574A32"/>
    <w:rsid w:val="005837B9"/>
    <w:rsid w:val="005A2E0C"/>
    <w:rsid w:val="005A5A3B"/>
    <w:rsid w:val="005A6F95"/>
    <w:rsid w:val="005B0816"/>
    <w:rsid w:val="005B1E08"/>
    <w:rsid w:val="005B7AB7"/>
    <w:rsid w:val="005C1357"/>
    <w:rsid w:val="005C2F81"/>
    <w:rsid w:val="005C5C18"/>
    <w:rsid w:val="005D0BFF"/>
    <w:rsid w:val="005E616C"/>
    <w:rsid w:val="005F3A4B"/>
    <w:rsid w:val="00603153"/>
    <w:rsid w:val="0060584D"/>
    <w:rsid w:val="00617957"/>
    <w:rsid w:val="006229AD"/>
    <w:rsid w:val="00626D2B"/>
    <w:rsid w:val="00626FFD"/>
    <w:rsid w:val="00637851"/>
    <w:rsid w:val="00641ABF"/>
    <w:rsid w:val="006456AA"/>
    <w:rsid w:val="0064653A"/>
    <w:rsid w:val="00650711"/>
    <w:rsid w:val="00663595"/>
    <w:rsid w:val="0067184A"/>
    <w:rsid w:val="00676150"/>
    <w:rsid w:val="00690E13"/>
    <w:rsid w:val="006A6294"/>
    <w:rsid w:val="006A67B8"/>
    <w:rsid w:val="006D08B5"/>
    <w:rsid w:val="006D79A2"/>
    <w:rsid w:val="006E1E62"/>
    <w:rsid w:val="006E50CA"/>
    <w:rsid w:val="00702E45"/>
    <w:rsid w:val="007030E1"/>
    <w:rsid w:val="00716761"/>
    <w:rsid w:val="00716869"/>
    <w:rsid w:val="00720213"/>
    <w:rsid w:val="0073546D"/>
    <w:rsid w:val="00736F73"/>
    <w:rsid w:val="0075015A"/>
    <w:rsid w:val="0076313B"/>
    <w:rsid w:val="00771FAA"/>
    <w:rsid w:val="007846CB"/>
    <w:rsid w:val="007911DC"/>
    <w:rsid w:val="00791E55"/>
    <w:rsid w:val="007B441B"/>
    <w:rsid w:val="007D608C"/>
    <w:rsid w:val="007D65BD"/>
    <w:rsid w:val="007E6A46"/>
    <w:rsid w:val="007F7432"/>
    <w:rsid w:val="007F7960"/>
    <w:rsid w:val="00805AAC"/>
    <w:rsid w:val="00813E97"/>
    <w:rsid w:val="00823919"/>
    <w:rsid w:val="008407A6"/>
    <w:rsid w:val="0085219D"/>
    <w:rsid w:val="00873154"/>
    <w:rsid w:val="00875EE9"/>
    <w:rsid w:val="00882CB9"/>
    <w:rsid w:val="00883ED6"/>
    <w:rsid w:val="008847A7"/>
    <w:rsid w:val="00886807"/>
    <w:rsid w:val="008A4239"/>
    <w:rsid w:val="008A5E5A"/>
    <w:rsid w:val="008A5E71"/>
    <w:rsid w:val="008A6057"/>
    <w:rsid w:val="008B1B36"/>
    <w:rsid w:val="008C585D"/>
    <w:rsid w:val="008C7EA2"/>
    <w:rsid w:val="008E3FB0"/>
    <w:rsid w:val="008E6648"/>
    <w:rsid w:val="008F64F0"/>
    <w:rsid w:val="00900FC2"/>
    <w:rsid w:val="00906253"/>
    <w:rsid w:val="00914B33"/>
    <w:rsid w:val="00925B4F"/>
    <w:rsid w:val="00930480"/>
    <w:rsid w:val="00930FB9"/>
    <w:rsid w:val="00935F3E"/>
    <w:rsid w:val="009656CA"/>
    <w:rsid w:val="009774CF"/>
    <w:rsid w:val="00981D41"/>
    <w:rsid w:val="009963DF"/>
    <w:rsid w:val="009976E9"/>
    <w:rsid w:val="00997E9F"/>
    <w:rsid w:val="009A4DF1"/>
    <w:rsid w:val="009A5854"/>
    <w:rsid w:val="009B0A06"/>
    <w:rsid w:val="009B375E"/>
    <w:rsid w:val="009B4C2F"/>
    <w:rsid w:val="009B79C3"/>
    <w:rsid w:val="009B7B80"/>
    <w:rsid w:val="009D25F2"/>
    <w:rsid w:val="009D2944"/>
    <w:rsid w:val="009D6BA6"/>
    <w:rsid w:val="009E5771"/>
    <w:rsid w:val="009E7666"/>
    <w:rsid w:val="009E7B8F"/>
    <w:rsid w:val="009F7F79"/>
    <w:rsid w:val="00A00B31"/>
    <w:rsid w:val="00A01DC3"/>
    <w:rsid w:val="00A02DBD"/>
    <w:rsid w:val="00A27446"/>
    <w:rsid w:val="00A30EB9"/>
    <w:rsid w:val="00A41F72"/>
    <w:rsid w:val="00A43148"/>
    <w:rsid w:val="00A44AC7"/>
    <w:rsid w:val="00A605B5"/>
    <w:rsid w:val="00A72315"/>
    <w:rsid w:val="00A871C2"/>
    <w:rsid w:val="00A87CF6"/>
    <w:rsid w:val="00A90CF8"/>
    <w:rsid w:val="00A93AC7"/>
    <w:rsid w:val="00A97F69"/>
    <w:rsid w:val="00AA7E10"/>
    <w:rsid w:val="00AB5B05"/>
    <w:rsid w:val="00AB63D6"/>
    <w:rsid w:val="00AB6AA9"/>
    <w:rsid w:val="00AC2742"/>
    <w:rsid w:val="00AC59AC"/>
    <w:rsid w:val="00AD24F3"/>
    <w:rsid w:val="00AD6187"/>
    <w:rsid w:val="00AE1A32"/>
    <w:rsid w:val="00AE52EA"/>
    <w:rsid w:val="00AE6B9D"/>
    <w:rsid w:val="00AF5F0B"/>
    <w:rsid w:val="00B15D9F"/>
    <w:rsid w:val="00B165AE"/>
    <w:rsid w:val="00B244AF"/>
    <w:rsid w:val="00B529B5"/>
    <w:rsid w:val="00B55721"/>
    <w:rsid w:val="00B55D77"/>
    <w:rsid w:val="00B66AA9"/>
    <w:rsid w:val="00B75A28"/>
    <w:rsid w:val="00B816AB"/>
    <w:rsid w:val="00B8519B"/>
    <w:rsid w:val="00BB6207"/>
    <w:rsid w:val="00BC06C3"/>
    <w:rsid w:val="00BD6E91"/>
    <w:rsid w:val="00BF0898"/>
    <w:rsid w:val="00BF43E6"/>
    <w:rsid w:val="00C41F42"/>
    <w:rsid w:val="00C43EB0"/>
    <w:rsid w:val="00C46F3C"/>
    <w:rsid w:val="00C503BF"/>
    <w:rsid w:val="00C57922"/>
    <w:rsid w:val="00C7743B"/>
    <w:rsid w:val="00C81302"/>
    <w:rsid w:val="00C840DC"/>
    <w:rsid w:val="00C9227F"/>
    <w:rsid w:val="00C9739E"/>
    <w:rsid w:val="00CA009C"/>
    <w:rsid w:val="00CA2F73"/>
    <w:rsid w:val="00CB2888"/>
    <w:rsid w:val="00CD1C9C"/>
    <w:rsid w:val="00CE15F7"/>
    <w:rsid w:val="00CE2C6E"/>
    <w:rsid w:val="00CE7286"/>
    <w:rsid w:val="00CF3776"/>
    <w:rsid w:val="00D03722"/>
    <w:rsid w:val="00D0578A"/>
    <w:rsid w:val="00D2493F"/>
    <w:rsid w:val="00D27334"/>
    <w:rsid w:val="00D30440"/>
    <w:rsid w:val="00D4629D"/>
    <w:rsid w:val="00D72994"/>
    <w:rsid w:val="00D92A39"/>
    <w:rsid w:val="00D96EAD"/>
    <w:rsid w:val="00DA0C89"/>
    <w:rsid w:val="00DA0F31"/>
    <w:rsid w:val="00DA5560"/>
    <w:rsid w:val="00DB4CBD"/>
    <w:rsid w:val="00DC01E1"/>
    <w:rsid w:val="00DC034E"/>
    <w:rsid w:val="00DC7425"/>
    <w:rsid w:val="00DD1C4F"/>
    <w:rsid w:val="00DD3C5D"/>
    <w:rsid w:val="00DD40C7"/>
    <w:rsid w:val="00DE11DE"/>
    <w:rsid w:val="00DE449C"/>
    <w:rsid w:val="00DE6F2C"/>
    <w:rsid w:val="00E02140"/>
    <w:rsid w:val="00E1721F"/>
    <w:rsid w:val="00E26B90"/>
    <w:rsid w:val="00E278B8"/>
    <w:rsid w:val="00E31E0E"/>
    <w:rsid w:val="00E326D3"/>
    <w:rsid w:val="00E34206"/>
    <w:rsid w:val="00E63ED4"/>
    <w:rsid w:val="00E67908"/>
    <w:rsid w:val="00E74B75"/>
    <w:rsid w:val="00E820B6"/>
    <w:rsid w:val="00E8230D"/>
    <w:rsid w:val="00E869FA"/>
    <w:rsid w:val="00E95D30"/>
    <w:rsid w:val="00EA37B1"/>
    <w:rsid w:val="00EA5B68"/>
    <w:rsid w:val="00EB260F"/>
    <w:rsid w:val="00EB4D26"/>
    <w:rsid w:val="00EC7B20"/>
    <w:rsid w:val="00ED32EF"/>
    <w:rsid w:val="00ED5DAC"/>
    <w:rsid w:val="00EF3D7B"/>
    <w:rsid w:val="00EF5C50"/>
    <w:rsid w:val="00EF7BA2"/>
    <w:rsid w:val="00F05074"/>
    <w:rsid w:val="00F161C4"/>
    <w:rsid w:val="00F20546"/>
    <w:rsid w:val="00F2106C"/>
    <w:rsid w:val="00F42B3C"/>
    <w:rsid w:val="00F471F5"/>
    <w:rsid w:val="00F6265C"/>
    <w:rsid w:val="00F73B0D"/>
    <w:rsid w:val="00F758C0"/>
    <w:rsid w:val="00F7640D"/>
    <w:rsid w:val="00F77130"/>
    <w:rsid w:val="00F870FE"/>
    <w:rsid w:val="00FA4DC6"/>
    <w:rsid w:val="00FD2D36"/>
    <w:rsid w:val="00FD2FC5"/>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77887745"/>
  <w15:docId w15:val="{2AB97E00-50E5-4FA6-B06F-6D15F110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791E55"/>
    <w:pPr>
      <w:spacing w:before="75" w:after="75"/>
    </w:pPr>
  </w:style>
  <w:style w:type="paragraph" w:customStyle="1" w:styleId="naisc">
    <w:name w:val="naisc"/>
    <w:basedOn w:val="Normal"/>
    <w:rsid w:val="00E278B8"/>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695">
      <w:bodyDiv w:val="1"/>
      <w:marLeft w:val="0"/>
      <w:marRight w:val="0"/>
      <w:marTop w:val="0"/>
      <w:marBottom w:val="0"/>
      <w:divBdr>
        <w:top w:val="none" w:sz="0" w:space="0" w:color="auto"/>
        <w:left w:val="none" w:sz="0" w:space="0" w:color="auto"/>
        <w:bottom w:val="none" w:sz="0" w:space="0" w:color="auto"/>
        <w:right w:val="none" w:sz="0" w:space="0" w:color="auto"/>
      </w:divBdr>
    </w:div>
    <w:div w:id="80756790">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341707">
      <w:bodyDiv w:val="1"/>
      <w:marLeft w:val="0"/>
      <w:marRight w:val="0"/>
      <w:marTop w:val="0"/>
      <w:marBottom w:val="0"/>
      <w:divBdr>
        <w:top w:val="none" w:sz="0" w:space="0" w:color="auto"/>
        <w:left w:val="none" w:sz="0" w:space="0" w:color="auto"/>
        <w:bottom w:val="none" w:sz="0" w:space="0" w:color="auto"/>
        <w:right w:val="none" w:sz="0" w:space="0" w:color="auto"/>
      </w:divBdr>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35A24-18E7-400D-91D6-C51D85BC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14280</Words>
  <Characters>8141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103</cp:revision>
  <cp:lastPrinted>2015-01-30T07:54:00Z</cp:lastPrinted>
  <dcterms:created xsi:type="dcterms:W3CDTF">2016-11-14T06:56:00Z</dcterms:created>
  <dcterms:modified xsi:type="dcterms:W3CDTF">2017-07-04T09:38:00Z</dcterms:modified>
</cp:coreProperties>
</file>