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6 -->
  <w:body>
    <w:p w:rsidR="00A42733" w:rsidP="0074103C" w14:paraId="4A334F9D" w14:textId="77777777">
      <w:pPr>
        <w:pStyle w:val="naislab"/>
        <w:spacing w:before="0" w:after="60"/>
        <w:jc w:val="center"/>
        <w:outlineLvl w:val="0"/>
        <w:rPr>
          <w:b/>
        </w:rPr>
      </w:pPr>
    </w:p>
    <w:p w:rsidR="00A42733" w:rsidP="0074103C" w14:paraId="4A334F9E" w14:textId="77777777">
      <w:pPr>
        <w:pStyle w:val="naislab"/>
        <w:spacing w:before="0" w:after="60"/>
        <w:jc w:val="center"/>
        <w:outlineLvl w:val="0"/>
        <w:rPr>
          <w:b/>
        </w:rPr>
      </w:pPr>
    </w:p>
    <w:p w:rsidR="0074103C" w:rsidRPr="00751716" w:rsidP="0074103C" w14:paraId="4A334F9F" w14:textId="77777777">
      <w:pPr>
        <w:pStyle w:val="naislab"/>
        <w:spacing w:before="0" w:after="60"/>
        <w:jc w:val="center"/>
        <w:outlineLvl w:val="0"/>
        <w:rPr>
          <w:b/>
        </w:rPr>
      </w:pPr>
      <w:r w:rsidRPr="00751716">
        <w:rPr>
          <w:b/>
        </w:rPr>
        <w:t xml:space="preserve">Likumprojekta „Grozījumi likumā „Par piesārņojumu”” sākotnējās ietekmes novērtējuma </w:t>
      </w:r>
      <w:smartTag w:uri="schemas-tilde-lv/tildestengine" w:element="veidnes">
        <w:smartTagPr>
          <w:attr w:name="baseform" w:val="ziņojums"/>
          <w:attr w:name="id" w:val="-1"/>
          <w:attr w:name="text" w:val="ziņojums"/>
        </w:smartTagPr>
        <w:r w:rsidRPr="00751716">
          <w:rPr>
            <w:b/>
          </w:rPr>
          <w:t>ziņojums</w:t>
        </w:r>
      </w:smartTag>
      <w:r w:rsidRPr="00751716">
        <w:rPr>
          <w:b/>
        </w:rPr>
        <w:t xml:space="preserve"> (anotācija)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47"/>
        <w:gridCol w:w="1300"/>
        <w:gridCol w:w="7709"/>
      </w:tblGrid>
      <w:tr w14:paraId="4A334FA1" w14:textId="77777777" w:rsidTr="0074103C">
        <w:tblPrEx>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Ex>
        <w:trPr>
          <w:trHeight w:val="255"/>
          <w:jc w:val="center"/>
        </w:trPr>
        <w:tc>
          <w:tcPr>
            <w:tcW w:w="9185" w:type="dxa"/>
            <w:gridSpan w:val="3"/>
            <w:vAlign w:val="center"/>
          </w:tcPr>
          <w:p w:rsidR="0074103C" w:rsidRPr="00F122F9" w:rsidP="0074103C" w14:paraId="4A334FA0" w14:textId="77777777">
            <w:pPr>
              <w:spacing w:before="60" w:after="60"/>
              <w:jc w:val="center"/>
              <w:rPr>
                <w:rFonts w:ascii="Times New Roman" w:hAnsi="Times New Roman"/>
                <w:b/>
                <w:bCs/>
                <w:lang w:eastAsia="lv-LV"/>
              </w:rPr>
            </w:pPr>
            <w:r w:rsidRPr="00F122F9">
              <w:rPr>
                <w:rFonts w:ascii="Times New Roman" w:hAnsi="Times New Roman"/>
                <w:b/>
                <w:bCs/>
                <w:lang w:eastAsia="lv-LV"/>
              </w:rPr>
              <w:t>I.</w:t>
            </w:r>
            <w:r>
              <w:rPr>
                <w:rFonts w:ascii="Times New Roman" w:hAnsi="Times New Roman"/>
                <w:b/>
                <w:bCs/>
                <w:lang w:eastAsia="lv-LV"/>
              </w:rPr>
              <w:t> </w:t>
            </w:r>
            <w:r w:rsidRPr="00F122F9">
              <w:rPr>
                <w:rFonts w:ascii="Times New Roman" w:hAnsi="Times New Roman"/>
                <w:b/>
                <w:bCs/>
                <w:lang w:eastAsia="lv-LV"/>
              </w:rPr>
              <w:t>Tiesību akta projekta izstrādes nepieciešamība</w:t>
            </w:r>
          </w:p>
        </w:tc>
      </w:tr>
      <w:tr w14:paraId="4A334FAF" w14:textId="77777777" w:rsidTr="0074103C">
        <w:tblPrEx>
          <w:tblW w:w="9356" w:type="dxa"/>
          <w:jc w:val="center"/>
          <w:tblLayout w:type="fixed"/>
          <w:tblCellMar>
            <w:left w:w="57" w:type="dxa"/>
            <w:right w:w="57" w:type="dxa"/>
          </w:tblCellMar>
          <w:tblLook w:val="00A0"/>
        </w:tblPrEx>
        <w:trPr>
          <w:trHeight w:val="405"/>
          <w:jc w:val="center"/>
        </w:trPr>
        <w:tc>
          <w:tcPr>
            <w:tcW w:w="341" w:type="dxa"/>
          </w:tcPr>
          <w:p w:rsidR="0074103C" w:rsidRPr="00F122F9" w:rsidP="0074103C" w14:paraId="4A334FA2" w14:textId="77777777">
            <w:pPr>
              <w:spacing w:before="60" w:after="60"/>
              <w:jc w:val="center"/>
              <w:rPr>
                <w:rFonts w:ascii="Times New Roman" w:hAnsi="Times New Roman"/>
                <w:lang w:eastAsia="lv-LV"/>
              </w:rPr>
            </w:pPr>
            <w:r w:rsidRPr="00F122F9">
              <w:rPr>
                <w:rFonts w:ascii="Times New Roman" w:hAnsi="Times New Roman"/>
                <w:lang w:eastAsia="lv-LV"/>
              </w:rPr>
              <w:t>1.</w:t>
            </w:r>
          </w:p>
        </w:tc>
        <w:tc>
          <w:tcPr>
            <w:tcW w:w="1276" w:type="dxa"/>
          </w:tcPr>
          <w:p w:rsidR="0074103C" w:rsidRPr="00F122F9" w:rsidP="0074103C" w14:paraId="4A334FA3" w14:textId="77777777">
            <w:pPr>
              <w:spacing w:before="60" w:after="60"/>
              <w:jc w:val="left"/>
              <w:rPr>
                <w:rFonts w:ascii="Times New Roman" w:hAnsi="Times New Roman"/>
                <w:lang w:eastAsia="lv-LV"/>
              </w:rPr>
            </w:pPr>
            <w:r w:rsidRPr="00F122F9">
              <w:rPr>
                <w:rFonts w:ascii="Times New Roman" w:hAnsi="Times New Roman"/>
                <w:lang w:eastAsia="lv-LV"/>
              </w:rPr>
              <w:t>Pamatojums</w:t>
            </w:r>
          </w:p>
        </w:tc>
        <w:tc>
          <w:tcPr>
            <w:tcW w:w="7568" w:type="dxa"/>
          </w:tcPr>
          <w:p w:rsidR="0074103C" w:rsidRPr="00411594" w:rsidP="0074103C" w14:paraId="4A334FA4" w14:textId="77777777">
            <w:pPr>
              <w:pStyle w:val="naiskr"/>
              <w:spacing w:before="60" w:after="60"/>
              <w:jc w:val="both"/>
              <w:rPr>
                <w:sz w:val="22"/>
                <w:szCs w:val="22"/>
              </w:rPr>
            </w:pPr>
            <w:r w:rsidRPr="00411594">
              <w:rPr>
                <w:sz w:val="22"/>
                <w:szCs w:val="22"/>
              </w:rPr>
              <w:t>Likumprojekts „Grozījumi likumā „Par piesārņojumu”” (turpmāk – likumprojekts) izstrādāts:</w:t>
            </w:r>
          </w:p>
          <w:p w:rsidR="0074103C" w:rsidRPr="00411594" w:rsidP="0074103C" w14:paraId="4A334FA5" w14:textId="77777777">
            <w:pPr>
              <w:pStyle w:val="naiskr"/>
              <w:spacing w:before="60" w:after="60"/>
              <w:jc w:val="both"/>
              <w:rPr>
                <w:sz w:val="22"/>
                <w:szCs w:val="22"/>
              </w:rPr>
            </w:pPr>
            <w:r w:rsidRPr="000252D3">
              <w:rPr>
                <w:b/>
                <w:sz w:val="22"/>
                <w:szCs w:val="22"/>
              </w:rPr>
              <w:t>1.</w:t>
            </w:r>
            <w:r>
              <w:rPr>
                <w:b/>
                <w:sz w:val="22"/>
                <w:szCs w:val="22"/>
              </w:rPr>
              <w:t> </w:t>
            </w:r>
            <w:r>
              <w:rPr>
                <w:sz w:val="22"/>
                <w:szCs w:val="22"/>
              </w:rPr>
              <w:t>P</w:t>
            </w:r>
            <w:r w:rsidRPr="00411594">
              <w:rPr>
                <w:sz w:val="22"/>
                <w:szCs w:val="22"/>
              </w:rPr>
              <w:t>ēc Vides aizsardzības un reģionālās attīstības ministrijas (turpmāk – VARAM) iniciatīvas, lai:</w:t>
            </w:r>
          </w:p>
          <w:p w:rsidR="0074103C" w:rsidRPr="00411594" w:rsidP="0074103C" w14:paraId="4A334FA6" w14:textId="77777777">
            <w:pPr>
              <w:pStyle w:val="naiskr"/>
              <w:numPr>
                <w:ilvl w:val="0"/>
                <w:numId w:val="10"/>
              </w:numPr>
              <w:spacing w:before="60" w:after="60"/>
              <w:ind w:left="284" w:hanging="284"/>
              <w:jc w:val="both"/>
              <w:rPr>
                <w:color w:val="000000" w:themeColor="text1"/>
                <w:sz w:val="22"/>
                <w:szCs w:val="22"/>
              </w:rPr>
            </w:pPr>
            <w:r w:rsidRPr="00411594">
              <w:rPr>
                <w:color w:val="000000" w:themeColor="text1"/>
                <w:sz w:val="22"/>
                <w:szCs w:val="22"/>
              </w:rPr>
              <w:t xml:space="preserve">likuma </w:t>
            </w:r>
            <w:r w:rsidRPr="00411594">
              <w:rPr>
                <w:sz w:val="22"/>
                <w:szCs w:val="22"/>
              </w:rPr>
              <w:t xml:space="preserve">„Par piesārņojumu” (turpmāk – Likums) </w:t>
            </w:r>
            <w:r w:rsidRPr="00411594">
              <w:rPr>
                <w:color w:val="000000" w:themeColor="text1"/>
                <w:sz w:val="22"/>
                <w:szCs w:val="22"/>
              </w:rPr>
              <w:t>tvērumu paplašinātu arī attiecībā uz jūras transporta oglekļa dioksīda (</w:t>
            </w:r>
            <w:r>
              <w:rPr>
                <w:color w:val="000000" w:themeColor="text1"/>
                <w:sz w:val="22"/>
                <w:szCs w:val="22"/>
              </w:rPr>
              <w:t xml:space="preserve">turpmāk – </w:t>
            </w:r>
            <w:r w:rsidRPr="00411594">
              <w:rPr>
                <w:color w:val="000000" w:themeColor="text1"/>
                <w:sz w:val="22"/>
                <w:szCs w:val="22"/>
              </w:rPr>
              <w:t>CO</w:t>
            </w:r>
            <w:r w:rsidRPr="00411594">
              <w:rPr>
                <w:color w:val="000000" w:themeColor="text1"/>
                <w:sz w:val="22"/>
                <w:szCs w:val="22"/>
                <w:vertAlign w:val="subscript"/>
              </w:rPr>
              <w:t>2</w:t>
            </w:r>
            <w:r w:rsidRPr="00411594">
              <w:rPr>
                <w:color w:val="000000" w:themeColor="text1"/>
                <w:sz w:val="22"/>
                <w:szCs w:val="22"/>
              </w:rPr>
              <w:t>) emisiju monitoringu, ziņošanu un verifikāciju attiecībā uz noteiktiem jūras kuģiem</w:t>
            </w:r>
            <w:r>
              <w:rPr>
                <w:color w:val="000000" w:themeColor="text1"/>
                <w:sz w:val="22"/>
                <w:szCs w:val="22"/>
              </w:rPr>
              <w:t xml:space="preserve"> (</w:t>
            </w:r>
            <w:r w:rsidRPr="00920094">
              <w:rPr>
                <w:color w:val="000000" w:themeColor="text1"/>
                <w:sz w:val="22"/>
                <w:szCs w:val="22"/>
              </w:rPr>
              <w:t>kuģiem</w:t>
            </w:r>
            <w:r>
              <w:rPr>
                <w:color w:val="000000" w:themeColor="text1"/>
                <w:sz w:val="22"/>
                <w:szCs w:val="22"/>
              </w:rPr>
              <w:t xml:space="preserve"> ar bruto tonnāžu virs 5000</w:t>
            </w:r>
            <w:r w:rsidR="00CF55E5">
              <w:rPr>
                <w:color w:val="000000" w:themeColor="text1"/>
                <w:sz w:val="22"/>
                <w:szCs w:val="22"/>
              </w:rPr>
              <w:t xml:space="preserve"> </w:t>
            </w:r>
            <w:r>
              <w:rPr>
                <w:color w:val="000000" w:themeColor="text1"/>
                <w:sz w:val="22"/>
                <w:szCs w:val="22"/>
              </w:rPr>
              <w:t>t</w:t>
            </w:r>
            <w:r w:rsidR="00CF55E5">
              <w:rPr>
                <w:color w:val="000000" w:themeColor="text1"/>
                <w:sz w:val="22"/>
                <w:szCs w:val="22"/>
              </w:rPr>
              <w:t>onnām</w:t>
            </w:r>
            <w:r>
              <w:rPr>
                <w:color w:val="000000" w:themeColor="text1"/>
                <w:sz w:val="22"/>
                <w:szCs w:val="22"/>
              </w:rPr>
              <w:t xml:space="preserve">, uz kuriem attiecas </w:t>
            </w:r>
            <w:r w:rsidRPr="00920094">
              <w:rPr>
                <w:color w:val="000000" w:themeColor="text1"/>
                <w:sz w:val="22"/>
                <w:szCs w:val="22"/>
              </w:rPr>
              <w:t>Eiropas Parlamenta un Padomes 2015.</w:t>
            </w:r>
            <w:r>
              <w:rPr>
                <w:color w:val="000000" w:themeColor="text1"/>
                <w:sz w:val="22"/>
                <w:szCs w:val="22"/>
              </w:rPr>
              <w:t> </w:t>
            </w:r>
            <w:r w:rsidRPr="00920094">
              <w:rPr>
                <w:color w:val="000000" w:themeColor="text1"/>
                <w:sz w:val="22"/>
                <w:szCs w:val="22"/>
              </w:rPr>
              <w:t>gada 29.</w:t>
            </w:r>
            <w:r>
              <w:rPr>
                <w:color w:val="000000" w:themeColor="text1"/>
                <w:sz w:val="22"/>
                <w:szCs w:val="22"/>
              </w:rPr>
              <w:t> </w:t>
            </w:r>
            <w:r w:rsidRPr="00920094">
              <w:rPr>
                <w:color w:val="000000" w:themeColor="text1"/>
                <w:sz w:val="22"/>
                <w:szCs w:val="22"/>
              </w:rPr>
              <w:t xml:space="preserve">aprīļa </w:t>
            </w:r>
            <w:r>
              <w:rPr>
                <w:color w:val="000000" w:themeColor="text1"/>
                <w:sz w:val="22"/>
                <w:szCs w:val="22"/>
              </w:rPr>
              <w:t>R</w:t>
            </w:r>
            <w:r w:rsidRPr="00920094">
              <w:rPr>
                <w:color w:val="000000" w:themeColor="text1"/>
                <w:sz w:val="22"/>
                <w:szCs w:val="22"/>
              </w:rPr>
              <w:t>egul</w:t>
            </w:r>
            <w:r>
              <w:rPr>
                <w:color w:val="000000" w:themeColor="text1"/>
                <w:sz w:val="22"/>
                <w:szCs w:val="22"/>
              </w:rPr>
              <w:t>as</w:t>
            </w:r>
            <w:r w:rsidRPr="00920094">
              <w:rPr>
                <w:color w:val="000000" w:themeColor="text1"/>
                <w:sz w:val="22"/>
                <w:szCs w:val="22"/>
              </w:rPr>
              <w:t xml:space="preserve"> Nr.</w:t>
            </w:r>
            <w:r>
              <w:rPr>
                <w:color w:val="000000" w:themeColor="text1"/>
                <w:sz w:val="22"/>
                <w:szCs w:val="22"/>
              </w:rPr>
              <w:t> </w:t>
            </w:r>
            <w:r w:rsidRPr="00920094">
              <w:rPr>
                <w:color w:val="000000" w:themeColor="text1"/>
                <w:sz w:val="22"/>
                <w:szCs w:val="22"/>
              </w:rPr>
              <w:t>2015/757 par jūras transporta oglekļa dioksīda emisiju monitoringu, ziņošanu un verifikāciju un ar ko groza Direktīvu 2009/16/EK</w:t>
            </w:r>
            <w:r>
              <w:rPr>
                <w:color w:val="000000" w:themeColor="text1"/>
                <w:sz w:val="22"/>
                <w:szCs w:val="22"/>
              </w:rPr>
              <w:t xml:space="preserve"> (turpmāk – regula Nr. 2015/757) nosacījumi), tajā iekļaujot galvenos nosacījumus attiecībā uz jūras </w:t>
            </w:r>
            <w:r w:rsidRPr="00F31195">
              <w:rPr>
                <w:color w:val="000000" w:themeColor="text1"/>
                <w:sz w:val="22"/>
                <w:szCs w:val="22"/>
              </w:rPr>
              <w:t>transporta CO</w:t>
            </w:r>
            <w:r w:rsidRPr="00AB378B">
              <w:rPr>
                <w:color w:val="000000" w:themeColor="text1"/>
                <w:sz w:val="22"/>
                <w:szCs w:val="22"/>
                <w:vertAlign w:val="subscript"/>
              </w:rPr>
              <w:t>2</w:t>
            </w:r>
            <w:r w:rsidRPr="00F31195">
              <w:rPr>
                <w:color w:val="000000" w:themeColor="text1"/>
                <w:sz w:val="22"/>
                <w:szCs w:val="22"/>
              </w:rPr>
              <w:t xml:space="preserve"> emisiju monitoringu, ziņošanu un verifikāciju</w:t>
            </w:r>
            <w:r w:rsidRPr="00411594">
              <w:rPr>
                <w:color w:val="000000" w:themeColor="text1"/>
                <w:sz w:val="22"/>
                <w:szCs w:val="22"/>
              </w:rPr>
              <w:t xml:space="preserve">, </w:t>
            </w:r>
            <w:r>
              <w:rPr>
                <w:color w:val="000000" w:themeColor="text1"/>
                <w:sz w:val="22"/>
                <w:szCs w:val="22"/>
              </w:rPr>
              <w:t xml:space="preserve">nosakot </w:t>
            </w:r>
            <w:r w:rsidRPr="00411594">
              <w:rPr>
                <w:color w:val="000000" w:themeColor="text1"/>
                <w:sz w:val="22"/>
                <w:szCs w:val="22"/>
              </w:rPr>
              <w:t xml:space="preserve">deleģējumu detalizētu Ministru kabineta noteikumu izstrādei, kā arī </w:t>
            </w:r>
            <w:r>
              <w:rPr>
                <w:color w:val="000000" w:themeColor="text1"/>
                <w:sz w:val="22"/>
                <w:szCs w:val="22"/>
              </w:rPr>
              <w:t>nosakot</w:t>
            </w:r>
            <w:r w:rsidRPr="00411594">
              <w:rPr>
                <w:color w:val="000000" w:themeColor="text1"/>
                <w:sz w:val="22"/>
                <w:szCs w:val="22"/>
              </w:rPr>
              <w:t xml:space="preserve"> galvenās kompetentās iestādes Latvijā šajā jautājumā;</w:t>
            </w:r>
          </w:p>
          <w:p w:rsidR="0074103C" w:rsidRPr="00952392" w:rsidP="0074103C" w14:paraId="4A334FA7" w14:textId="77777777">
            <w:pPr>
              <w:pStyle w:val="naiskr"/>
              <w:numPr>
                <w:ilvl w:val="0"/>
                <w:numId w:val="10"/>
              </w:numPr>
              <w:spacing w:before="60" w:after="60"/>
              <w:ind w:left="284" w:hanging="284"/>
              <w:jc w:val="both"/>
              <w:rPr>
                <w:color w:val="000000" w:themeColor="text1"/>
                <w:sz w:val="22"/>
                <w:szCs w:val="22"/>
              </w:rPr>
            </w:pPr>
            <w:r w:rsidRPr="00411594">
              <w:rPr>
                <w:color w:val="000000" w:themeColor="text1"/>
                <w:sz w:val="22"/>
                <w:szCs w:val="22"/>
              </w:rPr>
              <w:t xml:space="preserve">izstrādātu nosacījumus Emisijas kvotu izsolīšanas instrumenta (turpmāk – EKII) konsultatīvajai padomei – priekšlikums šādas padomes izveidei tika izteikts no </w:t>
            </w:r>
            <w:r>
              <w:rPr>
                <w:color w:val="000000" w:themeColor="text1"/>
                <w:sz w:val="22"/>
                <w:szCs w:val="22"/>
              </w:rPr>
              <w:t xml:space="preserve">Latvijas Republikas </w:t>
            </w:r>
            <w:r w:rsidRPr="00411594">
              <w:rPr>
                <w:color w:val="000000" w:themeColor="text1"/>
                <w:sz w:val="22"/>
                <w:szCs w:val="22"/>
              </w:rPr>
              <w:t xml:space="preserve">Saeimas </w:t>
            </w:r>
            <w:r>
              <w:rPr>
                <w:color w:val="000000" w:themeColor="text1"/>
                <w:sz w:val="22"/>
                <w:szCs w:val="22"/>
              </w:rPr>
              <w:t xml:space="preserve">(turpmāk – Saeima) </w:t>
            </w:r>
            <w:r w:rsidRPr="00411594">
              <w:rPr>
                <w:color w:val="000000" w:themeColor="text1"/>
                <w:sz w:val="22"/>
                <w:szCs w:val="22"/>
              </w:rPr>
              <w:t>deputātu puses (A.</w:t>
            </w:r>
            <w:r>
              <w:rPr>
                <w:color w:val="000000" w:themeColor="text1"/>
                <w:sz w:val="22"/>
                <w:szCs w:val="22"/>
              </w:rPr>
              <w:t> </w:t>
            </w:r>
            <w:r w:rsidRPr="00411594">
              <w:rPr>
                <w:color w:val="000000" w:themeColor="text1"/>
                <w:sz w:val="22"/>
                <w:szCs w:val="22"/>
              </w:rPr>
              <w:t xml:space="preserve">Kaimiņš), kas tika iesniegts </w:t>
            </w:r>
            <w:r>
              <w:rPr>
                <w:color w:val="000000" w:themeColor="text1"/>
                <w:sz w:val="22"/>
                <w:szCs w:val="22"/>
              </w:rPr>
              <w:t xml:space="preserve">Saeimas </w:t>
            </w:r>
            <w:r w:rsidRPr="00411594">
              <w:rPr>
                <w:color w:val="000000" w:themeColor="text1"/>
                <w:sz w:val="22"/>
                <w:szCs w:val="22"/>
              </w:rPr>
              <w:t>2016.</w:t>
            </w:r>
            <w:r>
              <w:rPr>
                <w:color w:val="000000" w:themeColor="text1"/>
                <w:sz w:val="22"/>
                <w:szCs w:val="22"/>
              </w:rPr>
              <w:t> </w:t>
            </w:r>
            <w:r w:rsidRPr="00411594">
              <w:rPr>
                <w:color w:val="000000" w:themeColor="text1"/>
                <w:sz w:val="22"/>
                <w:szCs w:val="22"/>
              </w:rPr>
              <w:t>gada pavasara sesijā izskatītā likumprojekta „Grozījumi likumā „Par piesārņojumu”” otrajam lasījumam Saeimā</w:t>
            </w:r>
            <w:r>
              <w:rPr>
                <w:rStyle w:val="FootnoteReference"/>
                <w:color w:val="000000" w:themeColor="text1"/>
                <w:sz w:val="22"/>
                <w:szCs w:val="22"/>
              </w:rPr>
              <w:footnoteReference w:id="3"/>
            </w:r>
            <w:r w:rsidRPr="00411594">
              <w:rPr>
                <w:color w:val="000000" w:themeColor="text1"/>
                <w:sz w:val="22"/>
                <w:szCs w:val="22"/>
              </w:rPr>
              <w:t>, un tika a</w:t>
            </w:r>
            <w:r w:rsidRPr="00952392">
              <w:rPr>
                <w:color w:val="000000" w:themeColor="text1"/>
                <w:sz w:val="22"/>
                <w:szCs w:val="22"/>
              </w:rPr>
              <w:t>tbalstīts Saeimas Tautsaimniecības, agrārās, vides un reģionālās politikas komisijas 2016. gada 10. maija sēdē;</w:t>
            </w:r>
          </w:p>
          <w:p w:rsidR="0074103C" w:rsidRPr="00952392" w:rsidP="0074103C" w14:paraId="4A334FA8" w14:textId="77777777">
            <w:pPr>
              <w:pStyle w:val="naiskr"/>
              <w:numPr>
                <w:ilvl w:val="0"/>
                <w:numId w:val="10"/>
              </w:numPr>
              <w:spacing w:before="60" w:after="60"/>
              <w:ind w:left="284" w:hanging="284"/>
              <w:jc w:val="both"/>
              <w:rPr>
                <w:color w:val="000000" w:themeColor="text1"/>
                <w:sz w:val="22"/>
                <w:szCs w:val="22"/>
              </w:rPr>
            </w:pPr>
            <w:r w:rsidRPr="00952392">
              <w:rPr>
                <w:color w:val="000000" w:themeColor="text1"/>
                <w:sz w:val="22"/>
                <w:szCs w:val="22"/>
              </w:rPr>
              <w:t>lai uzlabotu siltumnīcefekta gāzu (</w:t>
            </w:r>
            <w:r>
              <w:rPr>
                <w:color w:val="000000" w:themeColor="text1"/>
                <w:sz w:val="22"/>
                <w:szCs w:val="22"/>
              </w:rPr>
              <w:t xml:space="preserve">turpmāk </w:t>
            </w:r>
            <w:r>
              <w:rPr>
                <w:color w:val="000000" w:themeColor="text1"/>
                <w:sz w:val="22"/>
                <w:szCs w:val="22"/>
              </w:rPr>
              <w:noBreakHyphen/>
              <w:t xml:space="preserve"> </w:t>
            </w:r>
            <w:r w:rsidRPr="00952392">
              <w:rPr>
                <w:color w:val="000000" w:themeColor="text1"/>
                <w:sz w:val="22"/>
                <w:szCs w:val="22"/>
              </w:rPr>
              <w:t>SEG) emisiju atļauju atcelšanas nosacījumus;</w:t>
            </w:r>
          </w:p>
          <w:p w:rsidR="0074103C" w:rsidRPr="00AB378B" w:rsidP="0074103C" w14:paraId="4A334FA9" w14:textId="77777777">
            <w:pPr>
              <w:pStyle w:val="naiskr"/>
              <w:numPr>
                <w:ilvl w:val="0"/>
                <w:numId w:val="10"/>
              </w:numPr>
              <w:spacing w:before="60" w:after="60"/>
              <w:ind w:left="284" w:hanging="284"/>
              <w:jc w:val="both"/>
              <w:rPr>
                <w:color w:val="000000" w:themeColor="text1"/>
                <w:sz w:val="22"/>
                <w:szCs w:val="22"/>
              </w:rPr>
            </w:pPr>
            <w:r>
              <w:rPr>
                <w:color w:val="000000" w:themeColor="text1"/>
                <w:sz w:val="22"/>
                <w:szCs w:val="22"/>
              </w:rPr>
              <w:t>ar Likumu</w:t>
            </w:r>
            <w:r w:rsidRPr="00952392">
              <w:rPr>
                <w:color w:val="000000" w:themeColor="text1"/>
                <w:sz w:val="22"/>
                <w:szCs w:val="22"/>
              </w:rPr>
              <w:t xml:space="preserve"> noteiktu, ka </w:t>
            </w:r>
            <w:r w:rsidRPr="00952392">
              <w:rPr>
                <w:sz w:val="22"/>
                <w:szCs w:val="22"/>
              </w:rPr>
              <w:t>E</w:t>
            </w:r>
            <w:r>
              <w:rPr>
                <w:sz w:val="22"/>
                <w:szCs w:val="22"/>
              </w:rPr>
              <w:t xml:space="preserve">iropas </w:t>
            </w:r>
            <w:r w:rsidRPr="00952392">
              <w:rPr>
                <w:sz w:val="22"/>
                <w:szCs w:val="22"/>
              </w:rPr>
              <w:t>S</w:t>
            </w:r>
            <w:r>
              <w:rPr>
                <w:sz w:val="22"/>
                <w:szCs w:val="22"/>
              </w:rPr>
              <w:t>avienības</w:t>
            </w:r>
            <w:r w:rsidRPr="00952392">
              <w:rPr>
                <w:sz w:val="22"/>
                <w:szCs w:val="22"/>
              </w:rPr>
              <w:t xml:space="preserve"> Emisijas kvotu tirdzniecības sistēmas (turpmāk – ES ETS) informācijas apmaiņa, t.s. iesniegumu atļaujas saņemšanai iesniegšana, atļaujas izsniegšana, ziņojumu iesniegšana, notiek, izmantojot Eiropas Komisijas izveidoto un uzturēto vienoto ES ETS informācijas apmaiņas sistēmu DECLARE, tādējādi būtiski samazinot administratīvo slogu un samazinātu ES ETS operatoriem darba apjomu, kas nepieciešams noteiktas informācijas iesniegšanai verificētājiem, Valsts vides dienestam, VARAM, kā arī noteiktas informācijas saņemšanai no tiem;</w:t>
            </w:r>
          </w:p>
          <w:p w:rsidR="0074103C" w:rsidP="0074103C" w14:paraId="4A334FAA" w14:textId="77777777">
            <w:pPr>
              <w:pStyle w:val="naiskr"/>
              <w:spacing w:before="60" w:after="60"/>
              <w:jc w:val="both"/>
              <w:rPr>
                <w:sz w:val="22"/>
                <w:szCs w:val="22"/>
              </w:rPr>
            </w:pPr>
            <w:r w:rsidRPr="000252D3">
              <w:rPr>
                <w:b/>
                <w:sz w:val="22"/>
                <w:szCs w:val="22"/>
              </w:rPr>
              <w:t>2.</w:t>
            </w:r>
            <w:r>
              <w:rPr>
                <w:b/>
                <w:sz w:val="22"/>
                <w:szCs w:val="22"/>
              </w:rPr>
              <w:t> </w:t>
            </w:r>
            <w:r>
              <w:rPr>
                <w:sz w:val="22"/>
                <w:szCs w:val="22"/>
              </w:rPr>
              <w:t>A</w:t>
            </w:r>
            <w:r w:rsidRPr="00411594">
              <w:rPr>
                <w:sz w:val="22"/>
                <w:szCs w:val="22"/>
              </w:rPr>
              <w:t xml:space="preserve">tbilstoši Ministru kabineta 2014. gada 25. novembra sēdes </w:t>
            </w:r>
            <w:r w:rsidRPr="00411594">
              <w:rPr>
                <w:sz w:val="22"/>
                <w:szCs w:val="22"/>
              </w:rPr>
              <w:t>protokollēmuma</w:t>
            </w:r>
            <w:r w:rsidRPr="00411594">
              <w:rPr>
                <w:sz w:val="22"/>
                <w:szCs w:val="22"/>
              </w:rPr>
              <w:t xml:space="preserve"> (prot. Nr. 66 25.§) </w:t>
            </w:r>
            <w:r>
              <w:rPr>
                <w:sz w:val="22"/>
                <w:szCs w:val="22"/>
              </w:rPr>
              <w:t xml:space="preserve">2.1. apakšpunkta </w:t>
            </w:r>
            <w:r w:rsidRPr="00411594">
              <w:rPr>
                <w:sz w:val="22"/>
                <w:szCs w:val="22"/>
              </w:rPr>
              <w:t>nosacījumam, lai nodrošinātu normatīvo regulējumu ostu termināļu radīto smaku, ietekmes uz cilvēku veselību mazināšanai, kā arī uzlabotu vides kvalitāti ostu terminā</w:t>
            </w:r>
            <w:r>
              <w:rPr>
                <w:sz w:val="22"/>
                <w:szCs w:val="22"/>
              </w:rPr>
              <w:t xml:space="preserve">ļiem, kas </w:t>
            </w:r>
            <w:r w:rsidRPr="00411594">
              <w:rPr>
                <w:sz w:val="22"/>
                <w:szCs w:val="22"/>
              </w:rPr>
              <w:t>veic naftas produktu vai bīstamu ķīmisku vielu pārkraušanu.</w:t>
            </w:r>
            <w:r>
              <w:rPr>
                <w:sz w:val="22"/>
                <w:szCs w:val="22"/>
              </w:rPr>
              <w:t xml:space="preserve"> Lai L</w:t>
            </w:r>
            <w:r w:rsidRPr="00721085">
              <w:rPr>
                <w:sz w:val="22"/>
                <w:szCs w:val="22"/>
              </w:rPr>
              <w:t>ikumā iekļautu nosacījumu attiecībā uz gaistošo organisko savienojumu (turpmāk – GOS) emisiju ostu termināļos ierobežošanu.</w:t>
            </w:r>
          </w:p>
          <w:p w:rsidR="0074103C" w:rsidP="0074103C" w14:paraId="4A334FAB" w14:textId="77777777">
            <w:pPr>
              <w:pStyle w:val="naiskr"/>
              <w:spacing w:before="60" w:after="60"/>
              <w:jc w:val="both"/>
              <w:rPr>
                <w:sz w:val="22"/>
                <w:szCs w:val="22"/>
              </w:rPr>
            </w:pPr>
            <w:r w:rsidRPr="000252D3">
              <w:rPr>
                <w:b/>
                <w:sz w:val="22"/>
                <w:szCs w:val="22"/>
              </w:rPr>
              <w:t>3.</w:t>
            </w:r>
            <w:r>
              <w:rPr>
                <w:b/>
                <w:sz w:val="22"/>
                <w:szCs w:val="22"/>
              </w:rPr>
              <w:t> </w:t>
            </w:r>
            <w:r>
              <w:rPr>
                <w:sz w:val="22"/>
                <w:szCs w:val="22"/>
              </w:rPr>
              <w:t>Pēc Ekonomikas ministrijas iniciatīvas, lai:</w:t>
            </w:r>
          </w:p>
          <w:p w:rsidR="0074103C" w:rsidP="0074103C" w14:paraId="4A334FAC" w14:textId="77777777">
            <w:pPr>
              <w:pStyle w:val="naiskr"/>
              <w:numPr>
                <w:ilvl w:val="0"/>
                <w:numId w:val="19"/>
              </w:numPr>
              <w:spacing w:before="60" w:after="60"/>
              <w:ind w:left="284" w:hanging="284"/>
              <w:jc w:val="both"/>
              <w:rPr>
                <w:sz w:val="22"/>
                <w:szCs w:val="22"/>
              </w:rPr>
            </w:pPr>
            <w:r w:rsidRPr="00D76CC5">
              <w:rPr>
                <w:sz w:val="22"/>
                <w:szCs w:val="22"/>
              </w:rPr>
              <w:t>Latvijas Republikas tiesību aktos pārņemt</w:t>
            </w:r>
            <w:r>
              <w:rPr>
                <w:sz w:val="22"/>
                <w:szCs w:val="22"/>
              </w:rPr>
              <w:t xml:space="preserve">u Eiropas Parlamenta un Padomes </w:t>
            </w:r>
            <w:r w:rsidRPr="00BF0857">
              <w:rPr>
                <w:sz w:val="22"/>
                <w:szCs w:val="22"/>
              </w:rPr>
              <w:t>2009.</w:t>
            </w:r>
            <w:r>
              <w:rPr>
                <w:sz w:val="22"/>
                <w:szCs w:val="22"/>
              </w:rPr>
              <w:t> </w:t>
            </w:r>
            <w:r w:rsidRPr="00BF0857">
              <w:rPr>
                <w:sz w:val="22"/>
                <w:szCs w:val="22"/>
              </w:rPr>
              <w:t>gada 23.</w:t>
            </w:r>
            <w:r>
              <w:rPr>
                <w:sz w:val="22"/>
                <w:szCs w:val="22"/>
              </w:rPr>
              <w:t> </w:t>
            </w:r>
            <w:r w:rsidRPr="00BF0857">
              <w:rPr>
                <w:sz w:val="22"/>
                <w:szCs w:val="22"/>
              </w:rPr>
              <w:t xml:space="preserve">aprīļa Direktīvu </w:t>
            </w:r>
            <w:r>
              <w:rPr>
                <w:sz w:val="22"/>
                <w:szCs w:val="22"/>
              </w:rPr>
              <w:t>Nr. </w:t>
            </w:r>
            <w:r w:rsidRPr="00BF0857">
              <w:rPr>
                <w:sz w:val="22"/>
                <w:szCs w:val="22"/>
              </w:rPr>
              <w:t>2009/30/EK</w:t>
            </w:r>
            <w:r w:rsidR="00A42733">
              <w:rPr>
                <w:sz w:val="22"/>
                <w:szCs w:val="22"/>
              </w:rPr>
              <w:t>,</w:t>
            </w:r>
            <w:r w:rsidRPr="00BF0857">
              <w:rPr>
                <w:sz w:val="22"/>
                <w:szCs w:val="22"/>
              </w:rPr>
              <w:t xml:space="preserve"> ar ko groza Direktīvu 98/70/EK attiecībā uz benzīna, dīzeļdegvielas un gāzeļļas specifikācijām un ievieš mehānismu autotransporta līdzekļos lietojamās degvielas radītās siltumnīcefekta gāzu emisijas kontrolei un samazināšanai, groza Padomes Direktīvu 1999/32/EK attiecībā uz tās degvielas specifikācijām, kuru lieto iekšējo ūdensceļu kuģos, un atceļ </w:t>
            </w:r>
            <w:r>
              <w:rPr>
                <w:sz w:val="22"/>
                <w:szCs w:val="22"/>
              </w:rPr>
              <w:t xml:space="preserve">direktīvu </w:t>
            </w:r>
            <w:r>
              <w:rPr>
                <w:sz w:val="22"/>
                <w:szCs w:val="22"/>
              </w:rPr>
              <w:t>93/12/EEK (turpmāk – d</w:t>
            </w:r>
            <w:r w:rsidRPr="00BF0857">
              <w:rPr>
                <w:sz w:val="22"/>
                <w:szCs w:val="22"/>
              </w:rPr>
              <w:t xml:space="preserve">irektīva </w:t>
            </w:r>
            <w:r>
              <w:rPr>
                <w:sz w:val="22"/>
                <w:szCs w:val="22"/>
              </w:rPr>
              <w:t>Nr. </w:t>
            </w:r>
            <w:r w:rsidRPr="00BF0857">
              <w:rPr>
                <w:sz w:val="22"/>
                <w:szCs w:val="22"/>
              </w:rPr>
              <w:t>2009/30/EK)</w:t>
            </w:r>
            <w:r>
              <w:rPr>
                <w:sz w:val="22"/>
                <w:szCs w:val="22"/>
              </w:rPr>
              <w:t xml:space="preserve"> un konkrētāk</w:t>
            </w:r>
            <w:r w:rsidRPr="00D76CC5">
              <w:rPr>
                <w:sz w:val="22"/>
                <w:szCs w:val="22"/>
              </w:rPr>
              <w:t xml:space="preserve"> </w:t>
            </w:r>
            <w:r w:rsidR="00A42733">
              <w:rPr>
                <w:sz w:val="22"/>
                <w:szCs w:val="22"/>
              </w:rPr>
              <w:noBreakHyphen/>
              <w:t xml:space="preserve"> </w:t>
            </w:r>
            <w:r>
              <w:rPr>
                <w:sz w:val="22"/>
                <w:szCs w:val="22"/>
              </w:rPr>
              <w:t xml:space="preserve">šajā direktīvā izteiktās </w:t>
            </w:r>
            <w:r w:rsidRPr="00D76CC5">
              <w:rPr>
                <w:sz w:val="22"/>
                <w:szCs w:val="22"/>
              </w:rPr>
              <w:t>Eiropas Parlamenta un Padomes 1998.</w:t>
            </w:r>
            <w:r>
              <w:rPr>
                <w:sz w:val="22"/>
                <w:szCs w:val="22"/>
              </w:rPr>
              <w:t> </w:t>
            </w:r>
            <w:r w:rsidRPr="00D76CC5">
              <w:rPr>
                <w:sz w:val="22"/>
                <w:szCs w:val="22"/>
              </w:rPr>
              <w:t>gada 13.</w:t>
            </w:r>
            <w:r>
              <w:rPr>
                <w:sz w:val="22"/>
                <w:szCs w:val="22"/>
              </w:rPr>
              <w:t> </w:t>
            </w:r>
            <w:r w:rsidRPr="00D76CC5">
              <w:rPr>
                <w:sz w:val="22"/>
                <w:szCs w:val="22"/>
              </w:rPr>
              <w:t>oktobra Direktīv</w:t>
            </w:r>
            <w:r>
              <w:rPr>
                <w:sz w:val="22"/>
                <w:szCs w:val="22"/>
              </w:rPr>
              <w:t>as</w:t>
            </w:r>
            <w:r w:rsidRPr="00D76CC5">
              <w:rPr>
                <w:sz w:val="22"/>
                <w:szCs w:val="22"/>
              </w:rPr>
              <w:t xml:space="preserve"> 98/70/EEK, kas attiecas uz benzīna un dīzeļdegvielu kvalitāti un ar ko groza Padomes Direktīvu 93/12/EEK</w:t>
            </w:r>
            <w:r>
              <w:rPr>
                <w:sz w:val="22"/>
                <w:szCs w:val="22"/>
              </w:rPr>
              <w:t xml:space="preserve"> (turpmāk – direktīva Nr. 98/70/EK)</w:t>
            </w:r>
            <w:r w:rsidRPr="00D76CC5">
              <w:rPr>
                <w:sz w:val="22"/>
                <w:szCs w:val="22"/>
              </w:rPr>
              <w:t xml:space="preserve"> 7.a</w:t>
            </w:r>
            <w:r w:rsidR="00A42733">
              <w:rPr>
                <w:sz w:val="22"/>
                <w:szCs w:val="22"/>
              </w:rPr>
              <w:t> </w:t>
            </w:r>
            <w:r w:rsidRPr="00D76CC5">
              <w:rPr>
                <w:sz w:val="22"/>
                <w:szCs w:val="22"/>
              </w:rPr>
              <w:t>panta prasības</w:t>
            </w:r>
            <w:r>
              <w:rPr>
                <w:sz w:val="22"/>
                <w:szCs w:val="22"/>
              </w:rPr>
              <w:t xml:space="preserve">, nosakot degvielas piegādātājiem pienākumu aprites cikla SEG emisiju samazināšanai un ziņošanai par </w:t>
            </w:r>
            <w:r w:rsidRPr="009A0023">
              <w:rPr>
                <w:sz w:val="22"/>
                <w:szCs w:val="22"/>
              </w:rPr>
              <w:t>Latvijā piegādātās degvielas un enerģijas daudzumu un siltumnīcefekta gāzu intensitāti piegādātajā degvielā</w:t>
            </w:r>
            <w:r>
              <w:rPr>
                <w:sz w:val="22"/>
                <w:szCs w:val="22"/>
              </w:rPr>
              <w:t>;</w:t>
            </w:r>
          </w:p>
          <w:p w:rsidR="0074103C" w:rsidP="0074103C" w14:paraId="4A334FAD" w14:textId="77777777">
            <w:pPr>
              <w:pStyle w:val="naiskr"/>
              <w:numPr>
                <w:ilvl w:val="0"/>
                <w:numId w:val="19"/>
              </w:numPr>
              <w:spacing w:before="60" w:after="60"/>
              <w:ind w:left="284" w:hanging="284"/>
              <w:jc w:val="both"/>
              <w:rPr>
                <w:sz w:val="22"/>
                <w:szCs w:val="22"/>
              </w:rPr>
            </w:pPr>
            <w:r>
              <w:rPr>
                <w:sz w:val="22"/>
                <w:szCs w:val="22"/>
              </w:rPr>
              <w:t xml:space="preserve">iekļautu deleģējumu Ministru kabinetam izdot noteikumus, ar kuriem tiks pārņemti </w:t>
            </w:r>
            <w:r w:rsidRPr="00D76CC5">
              <w:rPr>
                <w:sz w:val="22"/>
                <w:szCs w:val="22"/>
              </w:rPr>
              <w:t>Padomes 2015.</w:t>
            </w:r>
            <w:r>
              <w:rPr>
                <w:sz w:val="22"/>
                <w:szCs w:val="22"/>
              </w:rPr>
              <w:t> </w:t>
            </w:r>
            <w:r w:rsidRPr="00D76CC5">
              <w:rPr>
                <w:sz w:val="22"/>
                <w:szCs w:val="22"/>
              </w:rPr>
              <w:t>gada 20.</w:t>
            </w:r>
            <w:r>
              <w:rPr>
                <w:sz w:val="22"/>
                <w:szCs w:val="22"/>
              </w:rPr>
              <w:t> </w:t>
            </w:r>
            <w:r w:rsidRPr="00D76CC5">
              <w:rPr>
                <w:sz w:val="22"/>
                <w:szCs w:val="22"/>
              </w:rPr>
              <w:t>aprīļa Direktīv</w:t>
            </w:r>
            <w:r>
              <w:rPr>
                <w:sz w:val="22"/>
                <w:szCs w:val="22"/>
              </w:rPr>
              <w:t>as</w:t>
            </w:r>
            <w:r w:rsidRPr="00D76CC5">
              <w:rPr>
                <w:sz w:val="22"/>
                <w:szCs w:val="22"/>
              </w:rPr>
              <w:t xml:space="preserve"> </w:t>
            </w:r>
            <w:r>
              <w:rPr>
                <w:sz w:val="22"/>
                <w:szCs w:val="22"/>
              </w:rPr>
              <w:t>Nr. </w:t>
            </w:r>
            <w:r w:rsidRPr="00D76CC5">
              <w:rPr>
                <w:sz w:val="22"/>
                <w:szCs w:val="22"/>
              </w:rPr>
              <w:t>2015/652</w:t>
            </w:r>
            <w:r w:rsidR="00A42733">
              <w:rPr>
                <w:sz w:val="22"/>
                <w:szCs w:val="22"/>
              </w:rPr>
              <w:t>,</w:t>
            </w:r>
            <w:r w:rsidRPr="00D76CC5">
              <w:rPr>
                <w:sz w:val="22"/>
                <w:szCs w:val="22"/>
              </w:rPr>
              <w:t xml:space="preserve"> ar ko nosaka aprēķina metodes un ziņošanas prasības, ievērojot Eiropas Parlamenta un Padomes Direktīvu 98/70/EK, attiecībā uz benzīna un dīzeļdegvielu kvalitāti (turpmāk – Direktīva </w:t>
            </w:r>
            <w:r>
              <w:rPr>
                <w:sz w:val="22"/>
                <w:szCs w:val="22"/>
              </w:rPr>
              <w:t>Nr. </w:t>
            </w:r>
            <w:r w:rsidRPr="00D76CC5">
              <w:rPr>
                <w:sz w:val="22"/>
                <w:szCs w:val="22"/>
              </w:rPr>
              <w:t xml:space="preserve">2015/652) </w:t>
            </w:r>
            <w:r>
              <w:rPr>
                <w:sz w:val="22"/>
                <w:szCs w:val="22"/>
              </w:rPr>
              <w:t>nosacījumus un aprēķina metodes</w:t>
            </w:r>
            <w:r w:rsidRPr="00D76CC5">
              <w:rPr>
                <w:sz w:val="22"/>
                <w:szCs w:val="22"/>
              </w:rPr>
              <w:t>.</w:t>
            </w:r>
          </w:p>
          <w:p w:rsidR="0074103C" w:rsidRPr="00411594" w:rsidP="0074103C" w14:paraId="4A334FAE" w14:textId="77777777">
            <w:pPr>
              <w:pStyle w:val="naiskr"/>
              <w:spacing w:before="60" w:after="60"/>
              <w:jc w:val="both"/>
              <w:rPr>
                <w:sz w:val="22"/>
                <w:szCs w:val="22"/>
              </w:rPr>
            </w:pPr>
            <w:r w:rsidRPr="00D137E0">
              <w:rPr>
                <w:b/>
                <w:sz w:val="22"/>
                <w:szCs w:val="22"/>
              </w:rPr>
              <w:t>4.</w:t>
            </w:r>
            <w:r w:rsidR="00A42733">
              <w:rPr>
                <w:sz w:val="22"/>
                <w:szCs w:val="22"/>
              </w:rPr>
              <w:t> </w:t>
            </w:r>
            <w:r>
              <w:rPr>
                <w:sz w:val="22"/>
                <w:szCs w:val="22"/>
              </w:rPr>
              <w:t xml:space="preserve">Lai ņemtu vērā Veselības ministrijas ierosinājuma attiecībā uz </w:t>
            </w:r>
            <w:r w:rsidRPr="00E5749F">
              <w:rPr>
                <w:sz w:val="22"/>
                <w:szCs w:val="22"/>
              </w:rPr>
              <w:t>prasīb</w:t>
            </w:r>
            <w:r>
              <w:rPr>
                <w:sz w:val="22"/>
                <w:szCs w:val="22"/>
              </w:rPr>
              <w:t>ām</w:t>
            </w:r>
            <w:r w:rsidRPr="00E5749F">
              <w:rPr>
                <w:sz w:val="22"/>
                <w:szCs w:val="22"/>
              </w:rPr>
              <w:t xml:space="preserve"> elektromagnētisko lauku starojuma novērtēšanai</w:t>
            </w:r>
            <w:r>
              <w:rPr>
                <w:sz w:val="22"/>
                <w:szCs w:val="22"/>
              </w:rPr>
              <w:t>, kā arī normas precizēšanai</w:t>
            </w:r>
            <w:r w:rsidRPr="00E5749F">
              <w:rPr>
                <w:sz w:val="22"/>
                <w:szCs w:val="22"/>
              </w:rPr>
              <w:t>, kas attiecināma uz trokšņa fona līmeņa apzināšanu un attiecīgas informācijas sniegšanu piesārņojošas darbības A vai B kategorijas atļaujas pieteikšanas iesniegumā</w:t>
            </w:r>
            <w:r w:rsidR="00A42733">
              <w:rPr>
                <w:sz w:val="22"/>
                <w:szCs w:val="22"/>
              </w:rPr>
              <w:t>.</w:t>
            </w:r>
          </w:p>
        </w:tc>
      </w:tr>
      <w:tr w14:paraId="4A334FE5" w14:textId="77777777" w:rsidTr="0074103C">
        <w:tblPrEx>
          <w:tblW w:w="9356" w:type="dxa"/>
          <w:jc w:val="center"/>
          <w:tblLayout w:type="fixed"/>
          <w:tblCellMar>
            <w:left w:w="57" w:type="dxa"/>
            <w:right w:w="57" w:type="dxa"/>
          </w:tblCellMar>
          <w:tblLook w:val="00A0"/>
        </w:tblPrEx>
        <w:trPr>
          <w:trHeight w:val="465"/>
          <w:jc w:val="center"/>
        </w:trPr>
        <w:tc>
          <w:tcPr>
            <w:tcW w:w="341" w:type="dxa"/>
          </w:tcPr>
          <w:p w:rsidR="0074103C" w:rsidRPr="00F122F9" w:rsidP="0074103C" w14:paraId="4A334FB0" w14:textId="77777777">
            <w:pPr>
              <w:spacing w:before="60" w:after="60"/>
              <w:jc w:val="center"/>
              <w:rPr>
                <w:rFonts w:ascii="Times New Roman" w:hAnsi="Times New Roman"/>
                <w:lang w:eastAsia="lv-LV"/>
              </w:rPr>
            </w:pPr>
            <w:r w:rsidRPr="00F122F9">
              <w:rPr>
                <w:rFonts w:ascii="Times New Roman" w:hAnsi="Times New Roman"/>
                <w:lang w:eastAsia="lv-LV"/>
              </w:rPr>
              <w:t>2.</w:t>
            </w:r>
          </w:p>
        </w:tc>
        <w:tc>
          <w:tcPr>
            <w:tcW w:w="1276" w:type="dxa"/>
          </w:tcPr>
          <w:p w:rsidR="0074103C" w:rsidRPr="00F122F9" w:rsidP="0074103C" w14:paraId="4A334FB1" w14:textId="77777777">
            <w:pPr>
              <w:spacing w:before="60" w:after="60"/>
              <w:jc w:val="left"/>
              <w:rPr>
                <w:rFonts w:ascii="Times New Roman" w:hAnsi="Times New Roman"/>
                <w:lang w:eastAsia="lv-LV"/>
              </w:rPr>
            </w:pPr>
            <w:r w:rsidRPr="00F122F9">
              <w:rPr>
                <w:rFonts w:ascii="Times New Roman" w:hAnsi="Times New Roman"/>
                <w:lang w:eastAsia="lv-LV"/>
              </w:rPr>
              <w:t>Pašreizējā situācija un problēmas, kuru risināšanai tiesību akta projekts izstrādāts, tiesiskā regulējuma mērķis un būtība</w:t>
            </w:r>
          </w:p>
        </w:tc>
        <w:tc>
          <w:tcPr>
            <w:tcW w:w="7568" w:type="dxa"/>
          </w:tcPr>
          <w:p w:rsidR="0074103C" w:rsidRPr="00E5749F" w:rsidP="0074103C" w14:paraId="4A334FB2" w14:textId="77777777">
            <w:pPr>
              <w:pStyle w:val="naiskr"/>
              <w:spacing w:before="60" w:after="60"/>
              <w:jc w:val="both"/>
              <w:rPr>
                <w:sz w:val="22"/>
                <w:szCs w:val="22"/>
                <w:u w:val="single"/>
              </w:rPr>
            </w:pPr>
            <w:r>
              <w:rPr>
                <w:sz w:val="22"/>
                <w:szCs w:val="22"/>
                <w:u w:val="single"/>
              </w:rPr>
              <w:t>1. </w:t>
            </w:r>
            <w:r w:rsidRPr="006900EE" w:rsidR="00047A73">
              <w:rPr>
                <w:sz w:val="22"/>
                <w:szCs w:val="22"/>
                <w:u w:val="single"/>
              </w:rPr>
              <w:t xml:space="preserve">Pašreizējā situācija un problēmas, pastāvošais tiesiskais regulējums, tā būtība un </w:t>
            </w:r>
            <w:r w:rsidRPr="00E5749F" w:rsidR="00047A73">
              <w:rPr>
                <w:sz w:val="22"/>
                <w:szCs w:val="22"/>
                <w:u w:val="single"/>
              </w:rPr>
              <w:t>nepilnības</w:t>
            </w:r>
          </w:p>
          <w:p w:rsidR="0074103C" w:rsidRPr="00E5749F" w14:paraId="4A334FB3" w14:textId="77777777">
            <w:pPr>
              <w:pStyle w:val="naiskr"/>
              <w:spacing w:before="60" w:after="60"/>
              <w:jc w:val="both"/>
              <w:rPr>
                <w:sz w:val="22"/>
                <w:szCs w:val="22"/>
              </w:rPr>
            </w:pPr>
            <w:r w:rsidRPr="00E5749F">
              <w:rPr>
                <w:b/>
                <w:sz w:val="22"/>
                <w:szCs w:val="22"/>
              </w:rPr>
              <w:t>1.1. </w:t>
            </w:r>
            <w:r w:rsidRPr="00E5749F">
              <w:rPr>
                <w:sz w:val="22"/>
                <w:szCs w:val="22"/>
              </w:rPr>
              <w:t>Eiropas Parlaments un Padome 2015. gada 29. aprīlī pieņēma Regulu Nr. 2015/757</w:t>
            </w:r>
            <w:r w:rsidRPr="00D137E0">
              <w:rPr>
                <w:sz w:val="22"/>
                <w:szCs w:val="22"/>
              </w:rPr>
              <w:t xml:space="preserve">, kas nosaka obligātus pienākumus </w:t>
            </w:r>
            <w:r w:rsidRPr="006900EE">
              <w:rPr>
                <w:sz w:val="22"/>
                <w:szCs w:val="22"/>
              </w:rPr>
              <w:t>r</w:t>
            </w:r>
            <w:r w:rsidRPr="00E5749F">
              <w:rPr>
                <w:sz w:val="22"/>
                <w:szCs w:val="22"/>
              </w:rPr>
              <w:t>egulas Nr. 2015/757 3. panta „d” punktā definētajam uzņēmumam</w:t>
            </w:r>
            <w:r>
              <w:rPr>
                <w:sz w:val="22"/>
                <w:szCs w:val="22"/>
              </w:rPr>
              <w:t xml:space="preserve"> (likumprojektā definēts kā “kuģošanas sabiedrība”)</w:t>
            </w:r>
            <w:r w:rsidRPr="00D137E0">
              <w:rPr>
                <w:sz w:val="22"/>
                <w:szCs w:val="22"/>
              </w:rPr>
              <w:t xml:space="preserve">, kuru īpašumā ir un kuri izmanto noteikta veida jūras kuģus, </w:t>
            </w:r>
            <w:r w:rsidRPr="00D137E0">
              <w:rPr>
                <w:sz w:val="22"/>
                <w:szCs w:val="22"/>
              </w:rPr>
              <w:t>monitorēt</w:t>
            </w:r>
            <w:r w:rsidRPr="00D137E0">
              <w:rPr>
                <w:sz w:val="22"/>
                <w:szCs w:val="22"/>
              </w:rPr>
              <w:t xml:space="preserve"> un ziņot šo jūras kuģu radītās CO</w:t>
            </w:r>
            <w:r w:rsidRPr="00D137E0">
              <w:rPr>
                <w:sz w:val="22"/>
                <w:szCs w:val="22"/>
                <w:vertAlign w:val="subscript"/>
              </w:rPr>
              <w:t>2</w:t>
            </w:r>
            <w:r w:rsidRPr="00D137E0">
              <w:rPr>
                <w:sz w:val="22"/>
                <w:szCs w:val="22"/>
              </w:rPr>
              <w:t xml:space="preserve"> emisijas, kā arī nodrošināt šo ziņojumu verificēšanu, ko jāveic akreditētiem verificētājiem</w:t>
            </w:r>
            <w:r w:rsidRPr="006900EE">
              <w:rPr>
                <w:sz w:val="22"/>
                <w:szCs w:val="22"/>
              </w:rPr>
              <w:t>. Regulā Nr.</w:t>
            </w:r>
            <w:r w:rsidRPr="00E5749F">
              <w:rPr>
                <w:sz w:val="22"/>
                <w:szCs w:val="22"/>
              </w:rPr>
              <w:t> 2015/757 ir atrunāti regulas Nr. 2015/757 3.</w:t>
            </w:r>
            <w:r w:rsidR="00A42733">
              <w:rPr>
                <w:sz w:val="22"/>
                <w:szCs w:val="22"/>
              </w:rPr>
              <w:t> </w:t>
            </w:r>
            <w:r w:rsidRPr="00E5749F">
              <w:rPr>
                <w:sz w:val="22"/>
                <w:szCs w:val="22"/>
              </w:rPr>
              <w:t>panta „d” punktā definētā uzņēmuma, kā arī verificētāju pienākumi un atbildības, tomēr tajā ir noteikti arī nosacījumi, kas jāizpilda valsts kompetentajām iestādēm. Šobrīd Latvijas normatīvajos aktos nav definētas konkrētās kompetentās iestādes, kas ir atbildīgas par Regulas Nr. 2015/757 nosacījumu izpildes kontroli un uzraudzību.</w:t>
            </w:r>
          </w:p>
          <w:p w:rsidR="0074103C" w:rsidRPr="00E5749F" w14:paraId="4A334FB4" w14:textId="77777777">
            <w:pPr>
              <w:spacing w:before="60" w:after="60"/>
              <w:rPr>
                <w:rFonts w:ascii="Times New Roman" w:eastAsia="Times New Roman" w:hAnsi="Times New Roman"/>
                <w:lang w:eastAsia="lv-LV"/>
              </w:rPr>
            </w:pPr>
            <w:r w:rsidRPr="00E5749F">
              <w:rPr>
                <w:rFonts w:ascii="Times New Roman" w:eastAsia="Times New Roman" w:hAnsi="Times New Roman"/>
                <w:lang w:eastAsia="lv-LV"/>
              </w:rPr>
              <w:t>Uz Latvijas kompetentajām iestādēm attiecas nosacījumi par:</w:t>
            </w:r>
          </w:p>
          <w:p w:rsidR="0074103C" w:rsidRPr="00E5749F" w14:paraId="4A334FB5" w14:textId="77777777">
            <w:pPr>
              <w:pStyle w:val="ListParagraph"/>
              <w:numPr>
                <w:ilvl w:val="0"/>
                <w:numId w:val="16"/>
              </w:numPr>
              <w:spacing w:before="60" w:after="60"/>
              <w:ind w:left="284" w:hanging="284"/>
              <w:contextualSpacing w:val="0"/>
              <w:rPr>
                <w:sz w:val="22"/>
                <w:szCs w:val="22"/>
                <w:lang w:eastAsia="lv-LV"/>
              </w:rPr>
            </w:pPr>
            <w:r w:rsidRPr="00E5749F">
              <w:rPr>
                <w:sz w:val="22"/>
                <w:szCs w:val="22"/>
                <w:lang w:eastAsia="lv-LV"/>
              </w:rPr>
              <w:t>verificētā emisiju ziņojuma saņemšanu;</w:t>
            </w:r>
          </w:p>
          <w:p w:rsidR="0074103C" w:rsidRPr="00E5749F" w14:paraId="4A334FB6" w14:textId="77777777">
            <w:pPr>
              <w:pStyle w:val="ListParagraph"/>
              <w:numPr>
                <w:ilvl w:val="0"/>
                <w:numId w:val="16"/>
              </w:numPr>
              <w:spacing w:before="60" w:after="60"/>
              <w:ind w:left="284" w:hanging="284"/>
              <w:contextualSpacing w:val="0"/>
              <w:rPr>
                <w:sz w:val="22"/>
                <w:szCs w:val="22"/>
                <w:lang w:eastAsia="lv-LV"/>
              </w:rPr>
            </w:pPr>
            <w:r w:rsidRPr="00E5749F">
              <w:rPr>
                <w:sz w:val="22"/>
                <w:szCs w:val="22"/>
                <w:lang w:eastAsia="lv-LV"/>
              </w:rPr>
              <w:t>regulas Nr. 2015/757 17. pantā definētā atbilstības dokumenta esamības uz kuģa pārbaudi kuģa inspekciju laikā, kas tiek veikta saskaņā ar Direktīvu 2009/16/EK (Latvijā pārņemta ar Ministru kabineta 2010. gada 21. decembra noteikumiem Nr. 1164 „Ostas valsts kontroles kārtība”);</w:t>
            </w:r>
          </w:p>
          <w:p w:rsidR="0074103C" w:rsidRPr="00E5749F" w14:paraId="4A334FB7" w14:textId="77777777">
            <w:pPr>
              <w:pStyle w:val="ListParagraph"/>
              <w:numPr>
                <w:ilvl w:val="0"/>
                <w:numId w:val="16"/>
              </w:numPr>
              <w:spacing w:before="60" w:after="60"/>
              <w:ind w:left="284" w:hanging="284"/>
              <w:contextualSpacing w:val="0"/>
              <w:rPr>
                <w:sz w:val="22"/>
                <w:szCs w:val="22"/>
                <w:lang w:eastAsia="lv-LV"/>
              </w:rPr>
            </w:pPr>
            <w:r w:rsidRPr="00E5749F">
              <w:rPr>
                <w:sz w:val="22"/>
                <w:szCs w:val="22"/>
                <w:lang w:eastAsia="lv-LV"/>
              </w:rPr>
              <w:t>sankciju sistēmas par Regulas Nr. 2015/757 8. līdz 12. pantā paredzēto monitoringa un ziņošanas pienākumu nepildīšanu izveide un visu vajadzīgos pasākumu, lai nodrošinātu, ka minētās sankcijas tiek piemērotas, veikšanu;</w:t>
            </w:r>
          </w:p>
          <w:p w:rsidR="0074103C" w:rsidRPr="00E5749F" w14:paraId="4A334FB8" w14:textId="77777777">
            <w:pPr>
              <w:pStyle w:val="ListParagraph"/>
              <w:numPr>
                <w:ilvl w:val="0"/>
                <w:numId w:val="16"/>
              </w:numPr>
              <w:spacing w:before="60" w:after="60"/>
              <w:ind w:left="284" w:hanging="284"/>
              <w:contextualSpacing w:val="0"/>
              <w:rPr>
                <w:sz w:val="22"/>
                <w:szCs w:val="22"/>
                <w:lang w:eastAsia="lv-LV"/>
              </w:rPr>
            </w:pPr>
            <w:r w:rsidRPr="00E5749F">
              <w:rPr>
                <w:sz w:val="22"/>
                <w:szCs w:val="22"/>
                <w:lang w:eastAsia="lv-LV"/>
              </w:rPr>
              <w:t>efektīvu informācijas apmaiņu un efektīvu sadarbību starp valsts iestādēm, kas atbild par atbilstības nodrošināšanu monitoringa un ziņošanas pienākumiem, vai – attiecīgā gadījumā – iestādēm, kam uzticētas sankciju procedūras;</w:t>
            </w:r>
          </w:p>
          <w:p w:rsidR="0074103C" w:rsidRPr="00E5749F" w14:paraId="4A334FB9" w14:textId="77777777">
            <w:pPr>
              <w:pStyle w:val="ListParagraph"/>
              <w:numPr>
                <w:ilvl w:val="0"/>
                <w:numId w:val="16"/>
              </w:numPr>
              <w:spacing w:before="60" w:after="60"/>
              <w:ind w:left="284" w:hanging="284"/>
              <w:contextualSpacing w:val="0"/>
              <w:rPr>
                <w:sz w:val="22"/>
                <w:szCs w:val="22"/>
                <w:lang w:eastAsia="lv-LV"/>
              </w:rPr>
            </w:pPr>
            <w:r w:rsidRPr="00E5749F">
              <w:rPr>
                <w:sz w:val="22"/>
                <w:szCs w:val="22"/>
                <w:lang w:eastAsia="lv-LV"/>
              </w:rPr>
              <w:t>izraidīšanas rīkojuma un lēmuma par ienākšanu ostā lēmuma pieņemšanu un izpildi.</w:t>
            </w:r>
          </w:p>
          <w:p w:rsidR="0074103C" w:rsidRPr="00E5749F" w14:paraId="4A334FBA" w14:textId="77777777">
            <w:pPr>
              <w:spacing w:before="60" w:after="60"/>
              <w:rPr>
                <w:rFonts w:ascii="Times New Roman" w:eastAsia="Times New Roman" w:hAnsi="Times New Roman"/>
                <w:lang w:eastAsia="lv-LV"/>
              </w:rPr>
            </w:pPr>
            <w:r w:rsidRPr="00E5749F">
              <w:rPr>
                <w:rFonts w:ascii="Times New Roman" w:eastAsia="Times New Roman" w:hAnsi="Times New Roman"/>
                <w:lang w:eastAsia="lv-LV"/>
              </w:rPr>
              <w:t>Eiropas Parlamenta un Padomes 2009. gada 23. aprīļa Direktīvā 2009/16/EK par ostas valsts kontroli (pārstrādāta versija) noteiktās inspekcijas saskaņā ar Ministru kabineta 2010. gada 21. decembra noteikumiem Nr. 1164 „Ostas valsts kontroles kārtība” veic Latvijas Jūras administrācijas Kuģošanas drošības inspekcija. Savukārt izraidīšanas rīkojumu un lēmumu par ienākšanu ostā pieņemšanu un izpildi saskaņā ar Ministru kabineta 2010. gada 21. decembra noteikumiem Nr. 1164 „Ostas valsts kontroles kārtība” veic attiecīgi Latvijas Jūras administrācijas Kuģošanas drošības inspekcija un Nacionālo bruņoto spēku Jūras spēku flotiles Krasta apsardzes dienests.</w:t>
            </w:r>
          </w:p>
          <w:p w:rsidR="0074103C" w:rsidRPr="00E5749F" w14:paraId="4A334FBB" w14:textId="77777777">
            <w:pPr>
              <w:pStyle w:val="naiskr"/>
              <w:spacing w:before="60" w:after="60"/>
              <w:jc w:val="both"/>
              <w:rPr>
                <w:sz w:val="22"/>
                <w:szCs w:val="22"/>
              </w:rPr>
            </w:pPr>
            <w:r w:rsidRPr="00E5749F">
              <w:rPr>
                <w:sz w:val="22"/>
                <w:szCs w:val="22"/>
              </w:rPr>
              <w:t xml:space="preserve">Tādējādi Latvijas kompetentajām iestādēm būtu nepieciešams tikai papildus darbs attiecībā uz verificētā emisiju ziņojuma saņemšanu (ziņojums nav jāizvērtē, to veic </w:t>
            </w:r>
            <w:r w:rsidRPr="00E5749F">
              <w:rPr>
                <w:sz w:val="22"/>
                <w:szCs w:val="22"/>
              </w:rPr>
              <w:t>verificētājs, un ziņojums nav jāpublicē, jo to veiks Eiropas Komisija), kā arī attiecībā uz sankciju sistēmas izveidi un piemērošanu.</w:t>
            </w:r>
          </w:p>
          <w:p w:rsidR="0074103C" w:rsidRPr="00E5749F" w14:paraId="4A334FBC" w14:textId="77777777">
            <w:pPr>
              <w:pStyle w:val="naiskr"/>
              <w:spacing w:before="60" w:after="60"/>
              <w:jc w:val="both"/>
              <w:rPr>
                <w:sz w:val="22"/>
                <w:szCs w:val="22"/>
              </w:rPr>
            </w:pPr>
            <w:r w:rsidRPr="00E5749F">
              <w:rPr>
                <w:b/>
                <w:sz w:val="22"/>
                <w:szCs w:val="22"/>
              </w:rPr>
              <w:t>1.2.</w:t>
            </w:r>
            <w:r w:rsidR="00A42733">
              <w:rPr>
                <w:b/>
                <w:sz w:val="22"/>
                <w:szCs w:val="22"/>
              </w:rPr>
              <w:t> </w:t>
            </w:r>
            <w:r w:rsidRPr="00E5749F">
              <w:rPr>
                <w:sz w:val="22"/>
                <w:szCs w:val="22"/>
              </w:rPr>
              <w:t>Eiropa Savienības emisijas kvotu tirdzniecības sistēmas ES ETS 3. periods (2013.-2020. g.) sākās 2013. gada 1. janvārī, bet ES ETS no 2012. gada tika iekļautas arī aviācijas darbības. Sākot ar 2012. gadu saskaņā ar ES tiesību aktiem daļa emisijas kvotu operatoriem netiek piešķirtas bez maksas, bet tiek izsolītas kopīgajā ES izsoļu platformā. Šīm emisijas kvotu izsolēm katrai ES dalībvalstij ir noteikts konkrēts emisijas kvotu apjoms, ko tā izsola centralizēti saskaņā ar Eiropas Komisijas Regulu Nr. 1031/2010</w:t>
            </w:r>
            <w:r>
              <w:rPr>
                <w:rStyle w:val="FootnoteReference"/>
                <w:sz w:val="22"/>
                <w:szCs w:val="22"/>
              </w:rPr>
              <w:footnoteReference w:id="4"/>
            </w:r>
            <w:r w:rsidRPr="006900EE">
              <w:rPr>
                <w:sz w:val="22"/>
                <w:szCs w:val="22"/>
              </w:rPr>
              <w:t>. Ieņēmumu, ko Latvija gūst</w:t>
            </w:r>
            <w:r w:rsidRPr="00E5749F">
              <w:rPr>
                <w:sz w:val="22"/>
                <w:szCs w:val="22"/>
              </w:rPr>
              <w:t>, izsolot tai piešķirtās emisijas kvotas, izlietojums ir jau noregulēts Likumā, tomēr joprojām nav noteikts šo ieņēmumu uzraudzības mehānisms.</w:t>
            </w:r>
          </w:p>
          <w:p w:rsidR="0074103C" w:rsidRPr="00E5749F" w14:paraId="4A334FBD" w14:textId="77777777">
            <w:pPr>
              <w:pStyle w:val="naiskr"/>
              <w:spacing w:before="60" w:after="60"/>
              <w:jc w:val="both"/>
              <w:rPr>
                <w:sz w:val="22"/>
                <w:szCs w:val="22"/>
              </w:rPr>
            </w:pPr>
            <w:r w:rsidRPr="00E5749F">
              <w:rPr>
                <w:sz w:val="22"/>
                <w:szCs w:val="22"/>
              </w:rPr>
              <w:t>Šobrīd Latvijas normatīvajā regulējumā nav noteikti Emisijas kvotu izsolīšanas instrumenta uzraudzības nosacījumi, kas būtu iekļaujami Likumā tā attiecīgajā sadaļā, kas regulē visus nosacījumus attiecībā uz emisijas kvotām – Likuma V</w:t>
            </w:r>
            <w:r w:rsidRPr="00E5749F">
              <w:rPr>
                <w:sz w:val="22"/>
                <w:szCs w:val="22"/>
                <w:vertAlign w:val="superscript"/>
              </w:rPr>
              <w:t>1</w:t>
            </w:r>
            <w:r w:rsidRPr="00E5749F">
              <w:rPr>
                <w:sz w:val="22"/>
                <w:szCs w:val="22"/>
              </w:rPr>
              <w:t xml:space="preserve"> nodaļa. </w:t>
            </w:r>
          </w:p>
          <w:p w:rsidR="0074103C" w:rsidRPr="00E5749F" w14:paraId="4A334FBE" w14:textId="77777777">
            <w:pPr>
              <w:spacing w:before="60" w:after="60"/>
              <w:rPr>
                <w:rFonts w:ascii="Times New Roman" w:hAnsi="Times New Roman"/>
              </w:rPr>
            </w:pPr>
            <w:r w:rsidRPr="00E5749F">
              <w:rPr>
                <w:rFonts w:ascii="Times New Roman" w:hAnsi="Times New Roman"/>
                <w:b/>
              </w:rPr>
              <w:t>1.</w:t>
            </w:r>
            <w:r w:rsidR="00A42733">
              <w:rPr>
                <w:rFonts w:ascii="Times New Roman" w:hAnsi="Times New Roman"/>
                <w:b/>
              </w:rPr>
              <w:t>3</w:t>
            </w:r>
            <w:r w:rsidRPr="00E5749F">
              <w:rPr>
                <w:rFonts w:ascii="Times New Roman" w:hAnsi="Times New Roman"/>
                <w:b/>
              </w:rPr>
              <w:t>.</w:t>
            </w:r>
            <w:r w:rsidR="00A42733">
              <w:rPr>
                <w:rFonts w:ascii="Times New Roman" w:hAnsi="Times New Roman"/>
                <w:b/>
              </w:rPr>
              <w:t> </w:t>
            </w:r>
            <w:r w:rsidRPr="00E5749F">
              <w:rPr>
                <w:rFonts w:ascii="Times New Roman" w:hAnsi="Times New Roman"/>
              </w:rPr>
              <w:t>Šobrīd Latvijā ES ETS informācija apmaiņa notiek, izmantojot elektronisko pastu (elektroniski parakstīto dokumentu iesniegšanai) vai informācija tiek iesniegta pa pastu vai ierodoties personīgi, kas ES ETS operatoriem būtiski palielina darba apjomu un laiku, kas nepieciešams visas noteiktās informācijas iesniegšanai un saņemšanai. Informācijas uzglabāšanu ikviens ES ETS dalībnieks veic individuāli kādā sevis izvēlētā veidā, kas būtiski apgrūtina informācijas pārbaudi verificētājiem un palielina darba apjomu ES ETS operatoriem informācijas uzglabāšanas sistēmas aprakstam (katram ES ETS operatoram saskaņā ar Eiropas Komisijas 2012. gada 21. jūnija Regulu Nr. 601/2012 par siltumnīcefekta gāzu emisiju monitoringu un ziņošanu saskaņā ar Eiropas Parlamenta un Padomes Direktīvu 2003/87/EK ir jāsagatavo un jāiesniedz kompetentajai iestādei SEG atļaujas saņemšanai arī monitoringa plāns, kurā jāiekļauj detalizēta informācija par visas SEG monitoringam un ziņošanai nepieciešamās informācijas uzglabāšanas un arhivēšanas procedūru). Lielu daļu informācijas Valsts vides dienests (turpmāk – VVD) publicē savā tīmekļvietnē, kas palielina administratīvo slogu VVD un VVD reģionālo vides pārvalžu inspektoriem.</w:t>
            </w:r>
          </w:p>
          <w:p w:rsidR="0074103C" w:rsidRPr="00E5749F" w:rsidP="0074103C" w14:paraId="4A334FBF" w14:textId="77777777">
            <w:pPr>
              <w:spacing w:before="60" w:after="60"/>
              <w:rPr>
                <w:rFonts w:ascii="Times New Roman" w:hAnsi="Times New Roman"/>
              </w:rPr>
            </w:pPr>
            <w:r w:rsidRPr="00E5749F">
              <w:rPr>
                <w:rFonts w:ascii="Times New Roman" w:hAnsi="Times New Roman"/>
              </w:rPr>
              <w:t>Eiropas Komisija ir izstrādājusi un bez maksas ES dalībvalstīm piedāvā izmantot vienotu ES ETS informācijas apmaiņas sistēmu, kas būtiski atvieglos visu ES ETS dalībnieku – operatoru, verificētāju, VVD un to reģionālo vides pārvalžu, kā arī VARAM un emisijas reģistra nacionālo administratoru apmaiņu ar informāciju un pieejamību tai.</w:t>
            </w:r>
          </w:p>
          <w:p w:rsidR="0074103C" w:rsidRPr="00E5749F" w:rsidP="0074103C" w14:paraId="4A334FC0" w14:textId="77777777">
            <w:pPr>
              <w:pStyle w:val="naiskr"/>
              <w:spacing w:before="60" w:after="60"/>
              <w:jc w:val="both"/>
              <w:rPr>
                <w:sz w:val="22"/>
                <w:szCs w:val="22"/>
              </w:rPr>
            </w:pPr>
            <w:r w:rsidRPr="00E5749F">
              <w:rPr>
                <w:sz w:val="22"/>
                <w:szCs w:val="22"/>
              </w:rPr>
              <w:t>ES ETS informācijas apmaiņas sistēmā DECLARE katram operatoram (katrai iekārtai) tiks izveidots konts sistēmā, kurā notiks visa apmaiņa ar ES ETS informāciju – monitoringa plānu un iesniegumu SEG atļaujas saņemšanai vai grozīšanai iesniegšana VVD, emisiju ziņojumu iesniegšana verificētājam, verificētāja slēdziena iesniegšana operatoriem, emisiju ziņojumu un verificētāja slēdziena iesniegšana VVD, VVD lēmumu par emisiju ziņojumu apstiprināšanu vai noraidīšanu iesniegšana operatoram; kā arī tiks uzglabāta visa informācija vienkopus. ES ETS informācijas apmaiņas sistēmā DECLARE šobrīd ir paredzētas šādas funkcijas:</w:t>
            </w:r>
          </w:p>
          <w:p w:rsidR="0074103C" w:rsidRPr="00E5749F" w14:paraId="4A334FC1" w14:textId="77777777">
            <w:pPr>
              <w:pStyle w:val="naiskr"/>
              <w:numPr>
                <w:ilvl w:val="1"/>
                <w:numId w:val="26"/>
              </w:numPr>
              <w:spacing w:before="60" w:after="60"/>
              <w:ind w:left="284" w:hanging="284"/>
              <w:jc w:val="both"/>
              <w:rPr>
                <w:sz w:val="22"/>
                <w:szCs w:val="22"/>
              </w:rPr>
            </w:pPr>
            <w:r w:rsidRPr="00E5749F">
              <w:rPr>
                <w:sz w:val="22"/>
                <w:szCs w:val="22"/>
              </w:rPr>
              <w:t>monitoringa plānu iesniegšana un apstiprināšana (ar iespēju pievienot dažādus papildu dokumentus, piemēram, dažādus iesniegumus vai pamatojošo dokumentāciju) SEG atļaujas  saņemšanai vai SEG atļaujas grozījumiem;</w:t>
            </w:r>
          </w:p>
          <w:p w:rsidR="0074103C" w:rsidRPr="00E5749F" w14:paraId="4A334FC2" w14:textId="77777777">
            <w:pPr>
              <w:pStyle w:val="naiskr"/>
              <w:numPr>
                <w:ilvl w:val="1"/>
                <w:numId w:val="26"/>
              </w:numPr>
              <w:spacing w:before="60" w:after="60"/>
              <w:ind w:left="284" w:hanging="284"/>
              <w:jc w:val="both"/>
              <w:rPr>
                <w:sz w:val="22"/>
                <w:szCs w:val="22"/>
              </w:rPr>
            </w:pPr>
            <w:r w:rsidRPr="00E5749F">
              <w:rPr>
                <w:sz w:val="22"/>
                <w:szCs w:val="22"/>
              </w:rPr>
              <w:t>emisiju ziņojumu iesniegšana verificētājam;</w:t>
            </w:r>
          </w:p>
          <w:p w:rsidR="0074103C" w:rsidRPr="00E5749F" w14:paraId="4A334FC3" w14:textId="77777777">
            <w:pPr>
              <w:pStyle w:val="naiskr"/>
              <w:numPr>
                <w:ilvl w:val="1"/>
                <w:numId w:val="26"/>
              </w:numPr>
              <w:spacing w:before="60" w:after="60"/>
              <w:ind w:left="284" w:hanging="284"/>
              <w:jc w:val="both"/>
              <w:rPr>
                <w:sz w:val="22"/>
                <w:szCs w:val="22"/>
              </w:rPr>
            </w:pPr>
            <w:r w:rsidRPr="00E5749F">
              <w:rPr>
                <w:sz w:val="22"/>
                <w:szCs w:val="22"/>
              </w:rPr>
              <w:t>emisiju ziņojumu verifikācija un verifikācijas slēdziena sniegšana;</w:t>
            </w:r>
          </w:p>
          <w:p w:rsidR="0074103C" w:rsidRPr="00E5749F" w14:paraId="4A334FC4" w14:textId="77777777">
            <w:pPr>
              <w:pStyle w:val="naiskr"/>
              <w:numPr>
                <w:ilvl w:val="1"/>
                <w:numId w:val="26"/>
              </w:numPr>
              <w:spacing w:before="60" w:after="60"/>
              <w:ind w:left="284" w:hanging="284"/>
              <w:jc w:val="both"/>
              <w:rPr>
                <w:sz w:val="22"/>
                <w:szCs w:val="22"/>
              </w:rPr>
            </w:pPr>
            <w:r w:rsidRPr="00E5749F">
              <w:rPr>
                <w:sz w:val="22"/>
                <w:szCs w:val="22"/>
              </w:rPr>
              <w:t>emisiju ziņojumu iesniegšana kompetentajai iestādei;</w:t>
            </w:r>
          </w:p>
          <w:p w:rsidR="0074103C" w:rsidRPr="00E5749F" w14:paraId="4A334FC5" w14:textId="77777777">
            <w:pPr>
              <w:pStyle w:val="naiskr"/>
              <w:numPr>
                <w:ilvl w:val="1"/>
                <w:numId w:val="26"/>
              </w:numPr>
              <w:spacing w:before="60" w:after="60"/>
              <w:ind w:left="284" w:hanging="284"/>
              <w:jc w:val="both"/>
              <w:rPr>
                <w:sz w:val="22"/>
                <w:szCs w:val="22"/>
              </w:rPr>
            </w:pPr>
            <w:r w:rsidRPr="00E5749F">
              <w:rPr>
                <w:sz w:val="22"/>
                <w:szCs w:val="22"/>
              </w:rPr>
              <w:t>emisiju ziņojumu apstiprināšana;</w:t>
            </w:r>
          </w:p>
          <w:p w:rsidR="0074103C" w:rsidRPr="00E5749F" w14:paraId="4A334FC6" w14:textId="77777777">
            <w:pPr>
              <w:pStyle w:val="naiskr"/>
              <w:numPr>
                <w:ilvl w:val="1"/>
                <w:numId w:val="26"/>
              </w:numPr>
              <w:spacing w:before="60" w:after="60"/>
              <w:ind w:left="284" w:hanging="284"/>
              <w:jc w:val="both"/>
              <w:rPr>
                <w:sz w:val="22"/>
                <w:szCs w:val="22"/>
              </w:rPr>
            </w:pPr>
            <w:r w:rsidRPr="00E5749F">
              <w:rPr>
                <w:sz w:val="22"/>
                <w:szCs w:val="22"/>
              </w:rPr>
              <w:t>emisiju ziņojumu un monitoringu plānu vienkāršā pārbaude par aizpildes pareizumu (sistēma automātiska pārbauda obligātu lauku aizpildīšanu);</w:t>
            </w:r>
          </w:p>
          <w:p w:rsidR="0074103C" w:rsidRPr="00E5749F" w14:paraId="4A334FC7" w14:textId="77777777">
            <w:pPr>
              <w:pStyle w:val="naiskr"/>
              <w:numPr>
                <w:ilvl w:val="1"/>
                <w:numId w:val="26"/>
              </w:numPr>
              <w:spacing w:before="60" w:after="60"/>
              <w:ind w:left="284" w:hanging="284"/>
              <w:jc w:val="both"/>
              <w:rPr>
                <w:sz w:val="22"/>
                <w:szCs w:val="22"/>
              </w:rPr>
            </w:pPr>
            <w:r w:rsidRPr="00E5749F">
              <w:rPr>
                <w:sz w:val="22"/>
                <w:szCs w:val="22"/>
              </w:rPr>
              <w:t>datu apkopošanas rīki statistikas veikšanai, piemēram, Eiropas Parlamenta un Padomes 2003. gada 13. oktobra Direktīvas  2003/87/EK, ar kuru nosaka sistēmu siltumnīcas efektu izraisošo gāzu emisijas kvotu tirdzniecībai Kopienā un groza Padomes Direktīvu 96/61/EK 21. panta ziņošanas prasībām;</w:t>
            </w:r>
          </w:p>
          <w:p w:rsidR="0074103C" w:rsidRPr="00E5749F" w14:paraId="4A334FC8" w14:textId="77777777">
            <w:pPr>
              <w:pStyle w:val="naiskr"/>
              <w:numPr>
                <w:ilvl w:val="1"/>
                <w:numId w:val="26"/>
              </w:numPr>
              <w:spacing w:before="60" w:after="60"/>
              <w:ind w:left="284" w:hanging="284"/>
              <w:jc w:val="both"/>
              <w:rPr>
                <w:sz w:val="22"/>
                <w:szCs w:val="22"/>
              </w:rPr>
            </w:pPr>
            <w:r w:rsidRPr="00E5749F">
              <w:rPr>
                <w:sz w:val="22"/>
                <w:szCs w:val="22"/>
              </w:rPr>
              <w:t>uzlabojumu ziņojumu iesniegšana.</w:t>
            </w:r>
          </w:p>
          <w:p w:rsidR="0074103C" w:rsidRPr="00E5749F" w:rsidP="0074103C" w14:paraId="4A334FC9" w14:textId="77777777">
            <w:pPr>
              <w:pStyle w:val="naiskr"/>
              <w:spacing w:before="60" w:after="60"/>
              <w:jc w:val="both"/>
              <w:rPr>
                <w:sz w:val="22"/>
                <w:szCs w:val="22"/>
              </w:rPr>
            </w:pPr>
            <w:r w:rsidRPr="00E5749F">
              <w:rPr>
                <w:sz w:val="22"/>
                <w:szCs w:val="22"/>
              </w:rPr>
              <w:t>Papildus šajā sistēmā VVD varēs operatoriem nosūtīt (iesniegt) sagatavotās SEG atļaujas, SEG atļauju grozījumus, kā arī lēmumus par emisiju ziņojumu apstiprināšanu.</w:t>
            </w:r>
          </w:p>
          <w:p w:rsidR="0074103C" w:rsidRPr="00E5749F" w:rsidP="0074103C" w14:paraId="4A334FCA" w14:textId="77777777">
            <w:pPr>
              <w:spacing w:before="60" w:after="60"/>
              <w:rPr>
                <w:rFonts w:ascii="Times New Roman" w:hAnsi="Times New Roman"/>
              </w:rPr>
            </w:pPr>
            <w:r w:rsidRPr="00E5749F">
              <w:rPr>
                <w:rFonts w:ascii="Times New Roman" w:hAnsi="Times New Roman"/>
              </w:rPr>
              <w:t>Šai sistēmai un tajā esošajiem kontiem pieeja būs tikai konkrētiem nominētiem cilvēkiem (nebūs publiski pieejama informācija). ES dalībvalstīm ir brīva izvēle izmantot ES ETS informācijas apmaiņas sistēmu DECLARE.</w:t>
            </w:r>
          </w:p>
          <w:p w:rsidR="0074103C" w:rsidRPr="006900EE" w14:paraId="4A334FCB" w14:textId="77777777">
            <w:pPr>
              <w:pStyle w:val="naiskr"/>
              <w:spacing w:before="60" w:after="60"/>
              <w:jc w:val="both"/>
              <w:rPr>
                <w:sz w:val="22"/>
                <w:szCs w:val="22"/>
              </w:rPr>
            </w:pPr>
            <w:r w:rsidRPr="00E5749F">
              <w:rPr>
                <w:b/>
                <w:sz w:val="22"/>
                <w:szCs w:val="22"/>
              </w:rPr>
              <w:t xml:space="preserve">2.  </w:t>
            </w:r>
            <w:r w:rsidRPr="00E5749F">
              <w:rPr>
                <w:sz w:val="22"/>
                <w:szCs w:val="22"/>
              </w:rPr>
              <w:t>Ministru kabinets 2014. gadā pieņēma noteikumus, kuru regulējums attiecas uz saimniecisko darbību radīto smaku ierobežojumiem – Ministru kabineta 2014. gada 25. novembra noteikumi Nr. 724 „Noteikumi par piesārņojošās darbības izraisīto smaku noteikšanas metodēm, kā arī kārtību, kādā ierobežo šo smaku izplatīšanos”. Saistībā ar minēto problēmu arī Latvijas Republikas Tiesībsargs savā 2013. gada 28. decembra atzinumā Nr. 6-6/160 pārbaudes lietā Nr. 2012-196-22 par Sarkandaugavas iedzīvotāju tiesībām dzīvot labvēlīgā vidē norādīja, ka nepieciešams regulējums, kas ierobežotu piesārņojošas darbības radītu smaku no ostu terminālu darbībām</w:t>
            </w:r>
            <w:r>
              <w:rPr>
                <w:rStyle w:val="FootnoteReference"/>
                <w:sz w:val="22"/>
                <w:szCs w:val="22"/>
              </w:rPr>
              <w:footnoteReference w:id="5"/>
            </w:r>
            <w:r w:rsidRPr="006900EE">
              <w:rPr>
                <w:sz w:val="22"/>
                <w:szCs w:val="22"/>
              </w:rPr>
              <w:t>.</w:t>
            </w:r>
          </w:p>
          <w:p w:rsidR="0074103C" w:rsidRPr="00E5749F" w14:paraId="4A334FCC" w14:textId="77777777">
            <w:pPr>
              <w:pStyle w:val="naiskr"/>
              <w:spacing w:before="60" w:after="60"/>
              <w:jc w:val="both"/>
              <w:rPr>
                <w:sz w:val="22"/>
                <w:szCs w:val="22"/>
              </w:rPr>
            </w:pPr>
            <w:r w:rsidRPr="00E5749F">
              <w:rPr>
                <w:sz w:val="22"/>
                <w:szCs w:val="22"/>
              </w:rPr>
              <w:t xml:space="preserve">VARAM pasūtīts LVAFA pētījums „Gaisa piesārņojuma samazināšana no termināļiem un dzelzceļa cisternām” noslēdzās 2013. gadā, kurā citu atziņu starpā par iespējamiem grozījumiem regulējumā kā viens no Latvijā neregulētiem aspektiem iezīmējās emisijas, ko rada kuģu uzpilde ar naftas produktiem un bīstamām ķīmiskām vielām ostu termināļos. </w:t>
            </w:r>
          </w:p>
          <w:p w:rsidR="0074103C" w:rsidRPr="00E5749F" w14:paraId="4A334FCD" w14:textId="77777777">
            <w:pPr>
              <w:spacing w:before="60" w:after="60"/>
              <w:rPr>
                <w:rFonts w:ascii="Times New Roman" w:eastAsia="Times New Roman" w:hAnsi="Times New Roman"/>
                <w:bCs/>
                <w:iCs/>
              </w:rPr>
            </w:pPr>
            <w:r w:rsidRPr="00E5749F">
              <w:rPr>
                <w:rFonts w:ascii="Times New Roman" w:hAnsi="Times New Roman"/>
              </w:rPr>
              <w:t>Eiropas Komisija 2013. gadā nāca klajā ar priekšlikumu „</w:t>
            </w:r>
            <w:r w:rsidRPr="00E5749F">
              <w:rPr>
                <w:rFonts w:ascii="Times New Roman" w:eastAsia="Times New Roman" w:hAnsi="Times New Roman"/>
                <w:bCs/>
              </w:rPr>
              <w:t>Par priekšlikumu Eiropas Parlamenta un Padomes direktīvai par dažu atmosfēru piesārņojošo vielu emisiju samazināšanu un Direktīvas 2003/35/EK grozīšanu” (</w:t>
            </w:r>
            <w:r w:rsidRPr="00E5749F">
              <w:rPr>
                <w:rFonts w:ascii="Times New Roman" w:eastAsia="Times New Roman" w:hAnsi="Times New Roman"/>
              </w:rPr>
              <w:t>turpmāk – Valsts kopējo emisiju samazināšanas direktīvas priekšlikums</w:t>
            </w:r>
            <w:r w:rsidRPr="00E5749F">
              <w:rPr>
                <w:rFonts w:ascii="Times New Roman" w:eastAsia="Times New Roman" w:hAnsi="Times New Roman"/>
                <w:bCs/>
              </w:rPr>
              <w:t xml:space="preserve">), kas cita starpā Latvijai uzliek ambiciozu pienākumu nodrošināt nemetāna gaistošo organisko savienojumu (turpmāk – </w:t>
            </w:r>
            <w:r w:rsidRPr="00E5749F">
              <w:rPr>
                <w:rFonts w:ascii="Times New Roman" w:eastAsia="Times New Roman" w:hAnsi="Times New Roman"/>
                <w:bCs/>
                <w:iCs/>
              </w:rPr>
              <w:t>GOS) emisiju ievērojamu samazinājumu sākot no 2029. gada. Ņemot vērā to, ka tautsaimniecības procesi, tai skaitā ostu termināļu darbības, ir vieni no galvenajiem GOS emisiju avotiem, regulējuma mērķis ir mazināt ostu termināļu radītās emisijas GOS saturošu kravu radīto izgarojumu ierobežošanai.</w:t>
            </w:r>
          </w:p>
          <w:p w:rsidR="0074103C" w:rsidRPr="00E5749F" w14:paraId="4A334FCE" w14:textId="77777777">
            <w:pPr>
              <w:spacing w:before="60" w:after="60"/>
              <w:rPr>
                <w:rFonts w:ascii="Times New Roman" w:eastAsia="Times New Roman" w:hAnsi="Times New Roman"/>
                <w:bCs/>
                <w:iCs/>
              </w:rPr>
            </w:pPr>
            <w:r w:rsidRPr="00E5749F">
              <w:rPr>
                <w:rFonts w:ascii="Times New Roman" w:eastAsia="Times New Roman" w:hAnsi="Times New Roman"/>
                <w:b/>
                <w:bCs/>
                <w:iCs/>
              </w:rPr>
              <w:t>3. </w:t>
            </w:r>
            <w:r w:rsidRPr="00E5749F">
              <w:rPr>
                <w:rFonts w:ascii="Times New Roman" w:eastAsia="Times New Roman" w:hAnsi="Times New Roman"/>
                <w:bCs/>
                <w:iCs/>
              </w:rPr>
              <w:t xml:space="preserve">Ar direktīvu Nr. 2009/30/EK direktīva Nr.98/70/EK tika papildināta ar vairākām paradigmai par klimata pārmaiņu ierobežošanu atbilstošām prasībām, tostarp 7.a pantu </w:t>
            </w:r>
            <w:r w:rsidRPr="00E5749F">
              <w:rPr>
                <w:rFonts w:ascii="Times New Roman" w:eastAsia="Times New Roman" w:hAnsi="Times New Roman"/>
                <w:lang w:eastAsia="lv-LV"/>
              </w:rPr>
              <w:t>„</w:t>
            </w:r>
            <w:r w:rsidRPr="00E5749F">
              <w:rPr>
                <w:rFonts w:ascii="Times New Roman" w:eastAsia="Times New Roman" w:hAnsi="Times New Roman"/>
                <w:bCs/>
                <w:iCs/>
              </w:rPr>
              <w:t>Siltumnīcefekta gāzu emisijas samazināšana”. Šī panta 2. punktā ir noteikts, ka no 2011. gada 1. janvāra piegādātāji katru gadu ziņo par siltumnīcefekta gāzu  intensitāti degvielā, kā arī līdz 2020. gada 31. decembrim par 6 % samazina aprites cikla SEG emisiju apjomu, salīdzinot ar noteikto degvielas standartu. Tikai 2015. gadā pēc ilgstošas saskaņošanas ar Direktīvu Nr. 2015/652 visām ES dalībvalstīm ir noteikti vienoti aprēķini un ziņošanas nosacījumi.</w:t>
            </w:r>
          </w:p>
          <w:p w:rsidR="0074103C" w:rsidP="0074103C" w14:paraId="4A334FCF" w14:textId="77777777">
            <w:pPr>
              <w:spacing w:before="60" w:after="60"/>
              <w:rPr>
                <w:rFonts w:ascii="Times New Roman" w:eastAsia="Times New Roman" w:hAnsi="Times New Roman"/>
                <w:bCs/>
                <w:iCs/>
              </w:rPr>
            </w:pPr>
            <w:r w:rsidRPr="00E5749F">
              <w:rPr>
                <w:rFonts w:ascii="Times New Roman" w:eastAsia="Times New Roman" w:hAnsi="Times New Roman"/>
                <w:bCs/>
                <w:iCs/>
              </w:rPr>
              <w:t xml:space="preserve">Līdzšinējās direktīvas Nr. 98/70/EK prasības Latvijas Republikas tiesību aktos ir pārņemtas ar Ministru kabineta 2000. gada 26. septembra noteikumiem Nr. 332 </w:t>
            </w:r>
            <w:r w:rsidRPr="00E5749F">
              <w:rPr>
                <w:rFonts w:ascii="Times New Roman" w:eastAsia="Times New Roman" w:hAnsi="Times New Roman"/>
                <w:lang w:eastAsia="lv-LV"/>
              </w:rPr>
              <w:t>„</w:t>
            </w:r>
            <w:r w:rsidRPr="00E5749F">
              <w:rPr>
                <w:rFonts w:ascii="Times New Roman" w:eastAsia="Times New Roman" w:hAnsi="Times New Roman"/>
                <w:bCs/>
                <w:iCs/>
              </w:rPr>
              <w:t xml:space="preserve">Noteikumi par benzīna un dīzeļdegvielas atbilstības novērtēšanu”, ar Ministru kabineta 2005. gada 18. oktobra noteikumiem Nr. 772 </w:t>
            </w:r>
            <w:r w:rsidRPr="00E5749F">
              <w:rPr>
                <w:rFonts w:ascii="Times New Roman" w:eastAsia="Times New Roman" w:hAnsi="Times New Roman"/>
                <w:lang w:eastAsia="lv-LV"/>
              </w:rPr>
              <w:t>„</w:t>
            </w:r>
            <w:r w:rsidRPr="00E5749F">
              <w:rPr>
                <w:rFonts w:ascii="Times New Roman" w:eastAsia="Times New Roman" w:hAnsi="Times New Roman"/>
                <w:bCs/>
                <w:iCs/>
              </w:rPr>
              <w:t xml:space="preserve">Noteikumi par biodegvielas kvalitātes prasībām, atbilstības novērtēšanu, tirgus uzraudzību un patērētāju informēšanas kārtību”, kā arī ar Ministru kabineta 2011. gada 5. jūlija noteikumiem Nr. 545 </w:t>
            </w:r>
            <w:r w:rsidRPr="00E5749F">
              <w:rPr>
                <w:rFonts w:ascii="Times New Roman" w:eastAsia="Times New Roman" w:hAnsi="Times New Roman"/>
                <w:lang w:eastAsia="lv-LV"/>
              </w:rPr>
              <w:t>„</w:t>
            </w:r>
            <w:r w:rsidRPr="00E5749F">
              <w:rPr>
                <w:rFonts w:ascii="Times New Roman" w:eastAsia="Times New Roman" w:hAnsi="Times New Roman"/>
                <w:bCs/>
                <w:iCs/>
              </w:rPr>
              <w:t xml:space="preserve">Noteikumi par biodegvielu un bioloģisko šķidro kurināmo ilgtspējas kritērijiem, to ieviešanas mehānismu un uzraudzības un kontroles kārtību”. Direktīvas Nr. 98/70/EK 7.a panta prasības, kas šajā direktīvā ir iekļautas ar direktīvu Nr. 2009/30/EK, jo līdz šim nebija noteiktas ziņošanas un emisiju (un to samazinājumu) aprēķinu nosacījumi. Arī direktīvas Nr. 2015/652 prasības Latvijas Republikas tiesību aktos šobrīd nav pārņemtas. </w:t>
            </w:r>
          </w:p>
          <w:p w:rsidR="0074103C" w:rsidRPr="00C01952" w:rsidP="0074103C" w14:paraId="4A334FD0" w14:textId="77777777">
            <w:pPr>
              <w:pStyle w:val="NormalWeb"/>
              <w:shd w:val="clear" w:color="auto" w:fill="FFFFFF"/>
              <w:spacing w:before="60" w:after="60"/>
              <w:jc w:val="both"/>
              <w:rPr>
                <w:rFonts w:eastAsia="Calibri"/>
                <w:sz w:val="22"/>
                <w:szCs w:val="22"/>
                <w:lang w:eastAsia="en-US"/>
              </w:rPr>
            </w:pPr>
            <w:r w:rsidRPr="00D137E0">
              <w:rPr>
                <w:rFonts w:eastAsia="Times New Roman"/>
                <w:b/>
                <w:bCs/>
                <w:iCs/>
              </w:rPr>
              <w:t>4.</w:t>
            </w:r>
            <w:r w:rsidR="00A42733">
              <w:rPr>
                <w:rFonts w:eastAsia="Times New Roman"/>
                <w:bCs/>
                <w:iCs/>
              </w:rPr>
              <w:t> </w:t>
            </w:r>
            <w:r w:rsidRPr="00C01952">
              <w:rPr>
                <w:rFonts w:eastAsia="Calibri"/>
                <w:sz w:val="22"/>
                <w:szCs w:val="22"/>
                <w:lang w:eastAsia="en-US"/>
              </w:rPr>
              <w:t>Sabiedrības pārstāvji un arī Latvijas Republikas Tiesībsargs vairākkārt izteikuši aicinājumus Veselības ministrijai kā vadošajai valsts pārvaldes iestādei veselības nozarē izstrādāt Ministru kabineta noteikumus, nosakot elektromagnētisko lauku/radiofrekvenču lauku ierobežojumu vērtības.  Šāda ārējā normatīvā akta trūkums veicina iedzīvotāju bažas par elektromagnētisko lauku (turpmāk – EML) negatīvo iedarbību uz to veselību. Arī  Eiropas Komisija rekomendē dalībvalstīm izstrādāt savus normatīvos aktus šajā jomā, un daļa valstu to jau ir izdarījušas, turklāt vairākas valstis ir noteikušas stingrākas prasības par Eiropas Savienības (ES) Padomes 1999.</w:t>
            </w:r>
            <w:r w:rsidR="00A42733">
              <w:rPr>
                <w:rFonts w:eastAsia="Calibri"/>
                <w:sz w:val="22"/>
                <w:szCs w:val="22"/>
                <w:lang w:eastAsia="en-US"/>
              </w:rPr>
              <w:t> </w:t>
            </w:r>
            <w:r w:rsidRPr="00C01952">
              <w:rPr>
                <w:rFonts w:eastAsia="Calibri"/>
                <w:sz w:val="22"/>
                <w:szCs w:val="22"/>
                <w:lang w:eastAsia="en-US"/>
              </w:rPr>
              <w:t>gada 12.</w:t>
            </w:r>
            <w:r w:rsidR="00A42733">
              <w:rPr>
                <w:rFonts w:eastAsia="Calibri"/>
                <w:sz w:val="22"/>
                <w:szCs w:val="22"/>
                <w:lang w:eastAsia="en-US"/>
              </w:rPr>
              <w:t> </w:t>
            </w:r>
            <w:r w:rsidRPr="00C01952">
              <w:rPr>
                <w:rFonts w:eastAsia="Calibri"/>
                <w:sz w:val="22"/>
                <w:szCs w:val="22"/>
                <w:lang w:eastAsia="en-US"/>
              </w:rPr>
              <w:t>jūlija rekomendācijās „Par elektromagnētisko lauku iedarbības uz vispārējo sabiedrību ierobežošanu (0Hz līdz 300GHz)” (1999/519/EK) (turpmāk - ES rekomendācijas) minētajām.</w:t>
            </w:r>
          </w:p>
          <w:p w:rsidR="0074103C" w:rsidRPr="00C01952" w:rsidP="0074103C" w14:paraId="4A334FD1" w14:textId="77777777">
            <w:pPr>
              <w:pStyle w:val="NormalWeb"/>
              <w:shd w:val="clear" w:color="auto" w:fill="FFFFFF"/>
              <w:spacing w:before="60" w:after="60"/>
              <w:jc w:val="both"/>
              <w:rPr>
                <w:rFonts w:eastAsia="Calibri"/>
                <w:sz w:val="22"/>
                <w:szCs w:val="22"/>
                <w:lang w:eastAsia="en-US"/>
              </w:rPr>
            </w:pPr>
            <w:r w:rsidRPr="00C01952">
              <w:rPr>
                <w:rFonts w:eastAsia="Calibri"/>
                <w:sz w:val="22"/>
                <w:szCs w:val="22"/>
                <w:lang w:eastAsia="en-US"/>
              </w:rPr>
              <w:t xml:space="preserve">Latvijā līdz šim šādas prasības netika izstrādātas, jo likumdevējs nav noteicis atbilstošu deleģējumu un izmantotas tika minētās ES rekomendācijas, kas nav juridiski saistošas. </w:t>
            </w:r>
            <w:r w:rsidR="00A42733">
              <w:rPr>
                <w:rFonts w:eastAsia="Calibri"/>
                <w:sz w:val="22"/>
                <w:szCs w:val="22"/>
                <w:lang w:eastAsia="en-US"/>
              </w:rPr>
              <w:t xml:space="preserve">Veselības ministrijā </w:t>
            </w:r>
            <w:r w:rsidRPr="00C01952">
              <w:rPr>
                <w:rFonts w:eastAsia="Calibri"/>
                <w:sz w:val="22"/>
                <w:szCs w:val="22"/>
                <w:lang w:eastAsia="en-US"/>
              </w:rPr>
              <w:t>2016.</w:t>
            </w:r>
            <w:r w:rsidR="00A42733">
              <w:rPr>
                <w:rFonts w:eastAsia="Calibri"/>
                <w:sz w:val="22"/>
                <w:szCs w:val="22"/>
                <w:lang w:eastAsia="en-US"/>
              </w:rPr>
              <w:t> </w:t>
            </w:r>
            <w:r w:rsidRPr="00C01952">
              <w:rPr>
                <w:rFonts w:eastAsia="Calibri"/>
                <w:sz w:val="22"/>
                <w:szCs w:val="22"/>
                <w:lang w:eastAsia="en-US"/>
              </w:rPr>
              <w:t>gada 5.</w:t>
            </w:r>
            <w:r w:rsidR="00A42733">
              <w:rPr>
                <w:rFonts w:eastAsia="Calibri"/>
                <w:sz w:val="22"/>
                <w:szCs w:val="22"/>
                <w:lang w:eastAsia="en-US"/>
              </w:rPr>
              <w:t> </w:t>
            </w:r>
            <w:r w:rsidRPr="00C01952">
              <w:rPr>
                <w:rFonts w:eastAsia="Calibri"/>
                <w:sz w:val="22"/>
                <w:szCs w:val="22"/>
                <w:lang w:eastAsia="en-US"/>
              </w:rPr>
              <w:t>aprīlī notika sanāksme, kurā piedalījās pārstāvji no Latvijas Republikas tiesībsarga biroja, Pārtikas drošības, dzīvnieku veselības un vides zinātniskā institūta “BIOR”, Valsts vides dienesta, Veselības inspekcijas, Vides aizsardzības un reģionālās attīstības ministrijas, Vides pārraudzības valsts biroja un SIA „</w:t>
            </w:r>
            <w:r w:rsidRPr="00C01952">
              <w:rPr>
                <w:rFonts w:eastAsia="Calibri"/>
                <w:sz w:val="22"/>
                <w:szCs w:val="22"/>
                <w:lang w:eastAsia="en-US"/>
              </w:rPr>
              <w:t>Insalvo</w:t>
            </w:r>
            <w:r w:rsidRPr="00C01952">
              <w:rPr>
                <w:rFonts w:eastAsia="Calibri"/>
                <w:sz w:val="22"/>
                <w:szCs w:val="22"/>
                <w:lang w:eastAsia="en-US"/>
              </w:rPr>
              <w:t xml:space="preserve">”, kas vienojās par nepieciešamību sagatavot priekšlikumus deleģējuma noteikšanai, lai būtu  iespējams izstrādāt attiecīgos Ministru kabineta noteikumus. </w:t>
            </w:r>
          </w:p>
          <w:p w:rsidR="0074103C" w:rsidRPr="006900EE" w:rsidP="0074103C" w14:paraId="4A334FD2" w14:textId="77777777">
            <w:pPr>
              <w:spacing w:before="60" w:after="60"/>
              <w:rPr>
                <w:rFonts w:ascii="Times New Roman" w:eastAsia="Times New Roman" w:hAnsi="Times New Roman"/>
                <w:bCs/>
              </w:rPr>
            </w:pPr>
            <w:r w:rsidRPr="00C01952">
              <w:rPr>
                <w:rFonts w:ascii="Times New Roman" w:hAnsi="Times New Roman"/>
              </w:rPr>
              <w:t xml:space="preserve">Šobrīd Veselības inspekcija izsniedz atzinumus par testēšanas pārskatiem mobilo telefonu bāzes stacijām, pamatojoties uz Ministru kabineta </w:t>
            </w:r>
            <w:r w:rsidR="00A42733">
              <w:rPr>
                <w:rFonts w:ascii="Times New Roman" w:hAnsi="Times New Roman"/>
              </w:rPr>
              <w:t>2014. gada 19. augusta</w:t>
            </w:r>
            <w:r w:rsidRPr="00C01952">
              <w:rPr>
                <w:rFonts w:ascii="Times New Roman" w:hAnsi="Times New Roman"/>
              </w:rPr>
              <w:t xml:space="preserve"> noteikumiem Nr. 501 „Elektronisko sakaru tīklu ierīkošanas, būvniecības un uzraudzības kārtība”; pamatojoties uz attiecīgu iesniegumu, kontrolē ierīču EML robežlielumu ievērošanu. Kā arī Veselības inspekcija sagatavo un publicē savā </w:t>
            </w:r>
            <w:r w:rsidR="00A42733">
              <w:rPr>
                <w:rFonts w:ascii="Times New Roman" w:hAnsi="Times New Roman"/>
              </w:rPr>
              <w:t>tīmekļvietnē</w:t>
            </w:r>
            <w:r w:rsidRPr="00C01952">
              <w:rPr>
                <w:rFonts w:ascii="Times New Roman" w:hAnsi="Times New Roman"/>
              </w:rPr>
              <w:t xml:space="preserve"> sabiedrībai paredzētus informatīvus materiālus par EML ietekmi uz veselību. Nejonizējošā elektromagnētiskā starojuma rādītāju noteikšana, to piemērošanas kārtības un novērtēšanas metožu noteikšana, kā arī prasību noteikšana EML radītā riska novēršanai vai samazināšanai atvieglotu Veselības inspekcijas uzraudzības funkcijas nodrošināšanu, jo sabiedrībai un arī EML radošo ierīču īpašniekiem vai lietotājiem būtu skaidrākas un vieglāk saprotamas uz</w:t>
            </w:r>
            <w:r w:rsidR="00A42733">
              <w:rPr>
                <w:rFonts w:ascii="Times New Roman" w:hAnsi="Times New Roman"/>
              </w:rPr>
              <w:t xml:space="preserve"> </w:t>
            </w:r>
            <w:r w:rsidRPr="00C01952">
              <w:rPr>
                <w:rFonts w:ascii="Times New Roman" w:hAnsi="Times New Roman"/>
              </w:rPr>
              <w:t>EML attiecināmās prasības un to</w:t>
            </w:r>
            <w:r w:rsidR="00CF55E5">
              <w:rPr>
                <w:rFonts w:ascii="Times New Roman" w:hAnsi="Times New Roman"/>
              </w:rPr>
              <w:t xml:space="preserve"> </w:t>
            </w:r>
            <w:r w:rsidRPr="00C01952">
              <w:rPr>
                <w:rFonts w:ascii="Times New Roman" w:hAnsi="Times New Roman"/>
              </w:rPr>
              <w:t>un juridiskais pamatojums.</w:t>
            </w:r>
          </w:p>
          <w:p w:rsidR="0074103C" w:rsidRPr="00E5749F" w:rsidP="0074103C" w14:paraId="4A334FD3" w14:textId="77777777">
            <w:pPr>
              <w:pStyle w:val="naiskr"/>
              <w:spacing w:before="60" w:after="60"/>
              <w:jc w:val="both"/>
              <w:rPr>
                <w:sz w:val="22"/>
                <w:szCs w:val="22"/>
                <w:u w:val="single"/>
              </w:rPr>
            </w:pPr>
            <w:r>
              <w:rPr>
                <w:sz w:val="22"/>
                <w:szCs w:val="22"/>
                <w:u w:val="single"/>
              </w:rPr>
              <w:t>5. </w:t>
            </w:r>
            <w:r w:rsidRPr="00E5749F" w:rsidR="00047A73">
              <w:rPr>
                <w:sz w:val="22"/>
                <w:szCs w:val="22"/>
                <w:u w:val="single"/>
              </w:rPr>
              <w:t>Likumprojekts izstrādāts ar mērķi:</w:t>
            </w:r>
          </w:p>
          <w:p w:rsidR="0074103C" w:rsidRPr="00E5749F" w:rsidP="0074103C" w14:paraId="4A334FD4" w14:textId="77777777">
            <w:pPr>
              <w:pStyle w:val="naiskr"/>
              <w:spacing w:before="60" w:after="60"/>
              <w:jc w:val="both"/>
              <w:rPr>
                <w:sz w:val="22"/>
                <w:szCs w:val="22"/>
              </w:rPr>
            </w:pPr>
            <w:r>
              <w:rPr>
                <w:b/>
                <w:sz w:val="22"/>
                <w:szCs w:val="22"/>
              </w:rPr>
              <w:t>5</w:t>
            </w:r>
            <w:r w:rsidRPr="00E5749F" w:rsidR="00047A73">
              <w:rPr>
                <w:b/>
                <w:sz w:val="22"/>
                <w:szCs w:val="22"/>
              </w:rPr>
              <w:t>.1. </w:t>
            </w:r>
            <w:r w:rsidRPr="00E5749F" w:rsidR="00047A73">
              <w:rPr>
                <w:sz w:val="22"/>
                <w:szCs w:val="22"/>
              </w:rPr>
              <w:t>Likuma tvērums tiek paplašināts ar nosacījumiem attiecībā uz jūras transporta CO</w:t>
            </w:r>
            <w:r w:rsidRPr="00D137E0" w:rsidR="00047A73">
              <w:rPr>
                <w:sz w:val="22"/>
                <w:szCs w:val="22"/>
                <w:vertAlign w:val="subscript"/>
              </w:rPr>
              <w:t>2</w:t>
            </w:r>
            <w:r w:rsidRPr="00D137E0" w:rsidR="00047A73">
              <w:rPr>
                <w:sz w:val="22"/>
                <w:szCs w:val="22"/>
              </w:rPr>
              <w:t xml:space="preserve"> emisiju monitoringu un ziņošanu, kas jāveic R</w:t>
            </w:r>
            <w:r w:rsidRPr="006900EE" w:rsidR="00047A73">
              <w:rPr>
                <w:sz w:val="22"/>
                <w:szCs w:val="22"/>
              </w:rPr>
              <w:t>egulas Nr.</w:t>
            </w:r>
            <w:r w:rsidRPr="00E5749F" w:rsidR="00047A73">
              <w:rPr>
                <w:sz w:val="22"/>
                <w:szCs w:val="22"/>
              </w:rPr>
              <w:t> 2015/757 3.</w:t>
            </w:r>
            <w:r>
              <w:rPr>
                <w:sz w:val="22"/>
                <w:szCs w:val="22"/>
              </w:rPr>
              <w:t> </w:t>
            </w:r>
            <w:r w:rsidRPr="00E5749F" w:rsidR="00047A73">
              <w:rPr>
                <w:sz w:val="22"/>
                <w:szCs w:val="22"/>
              </w:rPr>
              <w:t>panta „d” punktā ir definētajam uzņēmumam, kā arī attiecībā uz verifikācijas un akreditācijas nosacījumiem, kas tiek piemēroti jūras transporta CO</w:t>
            </w:r>
            <w:r w:rsidRPr="00D137E0" w:rsidR="00047A73">
              <w:rPr>
                <w:sz w:val="22"/>
                <w:szCs w:val="22"/>
                <w:vertAlign w:val="subscript"/>
              </w:rPr>
              <w:t>2</w:t>
            </w:r>
            <w:r w:rsidRPr="00D137E0" w:rsidR="00047A73">
              <w:rPr>
                <w:sz w:val="22"/>
                <w:szCs w:val="22"/>
              </w:rPr>
              <w:t xml:space="preserve"> emisiju monitoringa plānu un ziņojumu verifikācijai un verifikācijas veicēju akreditēšanai. </w:t>
            </w:r>
            <w:r w:rsidRPr="006900EE" w:rsidR="00047A73">
              <w:rPr>
                <w:sz w:val="22"/>
                <w:szCs w:val="22"/>
              </w:rPr>
              <w:t>R</w:t>
            </w:r>
            <w:r w:rsidRPr="00E5749F" w:rsidR="00047A73">
              <w:rPr>
                <w:sz w:val="22"/>
                <w:szCs w:val="22"/>
              </w:rPr>
              <w:t>egulas Nr. 2015/757 3. panta „d” punktā ir definēts uzņēmums, uz kuru attiecas nosacījumi par jūras transporta oglekļa dioksīda emisiju monitoringu, ziņošanu un verifikāciju – „</w:t>
            </w:r>
            <w:r w:rsidRPr="00E5749F" w:rsidR="00047A73">
              <w:rPr>
                <w:b/>
                <w:sz w:val="22"/>
                <w:szCs w:val="22"/>
              </w:rPr>
              <w:t>uzņēmums</w:t>
            </w:r>
            <w:r w:rsidRPr="00E5749F" w:rsidR="00047A73">
              <w:rPr>
                <w:sz w:val="22"/>
                <w:szCs w:val="22"/>
              </w:rPr>
              <w:t xml:space="preserve"> ir kuģa īpašnieks vai jebkura cita organizācija vai persona, piemēram, pārvaldnieks vai bezapkalpes kuģa fraktētājs, kas no kuģa īpašnieka pārņēmis atbildību par kuģa darbību”. Līdz ar to likumprojektā iekļautās normas ir attiecināmas uz šo regulas Nr. 2015/757 3. panta „d” punktā definēto uzņēmumu (fiziska vai juridiska persona, kura veic kādu no darbībām ar kuģiem ar bruto tonnāžu virs 5 000 tonnām, izņemot karakuģiem, jūras spēku palīgkuģiem, zvejas un zivju apstrādes kuģiem, vienkāršas konstrukcijas koka kuģiem, kuģiem, kuru kustību nenodrošina mehāniski līdzekļi, vai nekomerciāli izmantotiem valsts dienesta kuģiem). Regulas Nr. 2015/757 2. pantā ir noteikts, ka šī regula tiek piemērota kuģiem ar bruto tonnāžu virs 5 000 tonnām attiecībā uz CO</w:t>
            </w:r>
            <w:r w:rsidRPr="00E5749F" w:rsidR="00047A73">
              <w:rPr>
                <w:sz w:val="22"/>
                <w:szCs w:val="22"/>
                <w:vertAlign w:val="subscript"/>
              </w:rPr>
              <w:t>2</w:t>
            </w:r>
            <w:r w:rsidRPr="00E5749F" w:rsidR="00047A73">
              <w:rPr>
                <w:sz w:val="22"/>
                <w:szCs w:val="22"/>
              </w:rPr>
              <w:t xml:space="preserve"> emisijām, kas radušās minēto kuģu reisos no to pēdējās ienākšanas ostas uz dalībvalsts jurisdikcijā esošu ienākšanas ostu, reisos no dalībvalsts jurisdikcijā esošas ienākšanas ostas uz nākamo ienākšanas ostu, kā arī dalībvalsts jurisdikcijā esošās ienākšanas ostās, bet šo regulu nepiemēro karakuģiem, jūras spēku palīgkuģiem, zvejas un zivju apstrādes kuģiem, vienkāršas konstrukcijas koka kuģiem, kuģiem, kuru kustību nenodrošina mehāniski līdzekļi, vai nekomerciāli izmantotiem valsts dienesta kuģiem.</w:t>
            </w:r>
          </w:p>
          <w:p w:rsidR="0074103C" w:rsidRPr="00D137E0" w14:paraId="4A334FD5" w14:textId="77777777">
            <w:pPr>
              <w:pStyle w:val="naiskr"/>
              <w:spacing w:before="60" w:after="60"/>
              <w:jc w:val="both"/>
              <w:rPr>
                <w:sz w:val="22"/>
                <w:szCs w:val="22"/>
              </w:rPr>
            </w:pPr>
            <w:r w:rsidRPr="00D137E0">
              <w:rPr>
                <w:sz w:val="22"/>
                <w:szCs w:val="22"/>
              </w:rPr>
              <w:t>Regulā Nr. 2015/757 ir noteiktas vairākas r</w:t>
            </w:r>
            <w:r w:rsidRPr="006900EE">
              <w:rPr>
                <w:sz w:val="22"/>
                <w:szCs w:val="22"/>
              </w:rPr>
              <w:t>egulas Nr.</w:t>
            </w:r>
            <w:r w:rsidRPr="00E5749F">
              <w:rPr>
                <w:sz w:val="22"/>
                <w:szCs w:val="22"/>
              </w:rPr>
              <w:t xml:space="preserve"> 2015/757 3. panta „d” punktā definētā uzņēmuma </w:t>
            </w:r>
            <w:r w:rsidRPr="00D137E0">
              <w:rPr>
                <w:sz w:val="22"/>
                <w:szCs w:val="22"/>
              </w:rPr>
              <w:t>rīcības brīvības, kā arī tajā ir noteikti nosacījumi attiecībā uz sankcijām – izraidīšanas rīkojums un liegums ienākt ostā, attiecībā uz informācijas apmaiņu. Sankciju piemērošanas sistēma un procedūras – sankciju piemērošanas iestādes, sankciju izpildes un kontroles iestādes, kā arī informācijas apmaiņas procedūras ir jāizstrādā valstij. Atbilstoši Regulas Nr. 2015/757 prasībām ir nepieciešams noteikt Latvijā par tās nosacījumu izpildes kontroli atbildīgo iestādi.</w:t>
            </w:r>
          </w:p>
          <w:p w:rsidR="0074103C" w:rsidRPr="00D137E0" w14:paraId="4A334FD6" w14:textId="77777777">
            <w:pPr>
              <w:pStyle w:val="naiskr"/>
              <w:spacing w:before="60" w:after="60"/>
              <w:jc w:val="both"/>
              <w:rPr>
                <w:sz w:val="22"/>
                <w:szCs w:val="22"/>
              </w:rPr>
            </w:pPr>
            <w:r>
              <w:rPr>
                <w:b/>
                <w:sz w:val="22"/>
                <w:szCs w:val="22"/>
              </w:rPr>
              <w:t>5</w:t>
            </w:r>
            <w:r w:rsidRPr="00D137E0" w:rsidR="00047A73">
              <w:rPr>
                <w:b/>
                <w:sz w:val="22"/>
                <w:szCs w:val="22"/>
              </w:rPr>
              <w:t>.2. </w:t>
            </w:r>
            <w:r w:rsidRPr="00D137E0" w:rsidR="00047A73">
              <w:rPr>
                <w:sz w:val="22"/>
                <w:szCs w:val="22"/>
              </w:rPr>
              <w:t xml:space="preserve">Ar grozījumiem Likumā tiks izveidota Emisijas kvotu izsolīšanas instrumenta konsultatīvā padome, tiks izstrādāti tās darbības galvenie nosacījumi un tiks dots deleģējums padomes nolikuma izstrādei. Emisijas kvotu izsolīšanas instrumenta konsultatīvā padomes darbu nodrošinās VARAM, veicot sekretariāta funkcijas (uzaicinās biedrības un nodibinājumus deleģēt pārstāvjus dalībai padomē, informēs par padomes sēdes norises vietu un laiku, apkopos priekšlikumus par sēdē izskatāmiem jautājumiem un dokumentiem, un  nosūtīs padomes locekļiem sēdes darba kārtību un izskatāmos dokumentus </w:t>
            </w:r>
            <w:r w:rsidRPr="00D137E0" w:rsidR="00047A73">
              <w:rPr>
                <w:sz w:val="22"/>
                <w:szCs w:val="22"/>
              </w:rPr>
              <w:t>utml</w:t>
            </w:r>
            <w:r w:rsidRPr="00D137E0" w:rsidR="00047A73">
              <w:rPr>
                <w:sz w:val="22"/>
                <w:szCs w:val="22"/>
              </w:rPr>
              <w:t>.). Šie nosacījumi ir iekļauti Likuma V</w:t>
            </w:r>
            <w:r w:rsidRPr="00D137E0" w:rsidR="00047A73">
              <w:rPr>
                <w:sz w:val="22"/>
                <w:szCs w:val="22"/>
                <w:vertAlign w:val="superscript"/>
              </w:rPr>
              <w:t>1</w:t>
            </w:r>
            <w:r w:rsidRPr="00D137E0" w:rsidR="00047A73">
              <w:rPr>
                <w:sz w:val="22"/>
                <w:szCs w:val="22"/>
              </w:rPr>
              <w:t> nodaļas 32.</w:t>
            </w:r>
            <w:r w:rsidRPr="00D137E0" w:rsidR="00047A73">
              <w:rPr>
                <w:sz w:val="22"/>
                <w:szCs w:val="22"/>
                <w:vertAlign w:val="superscript"/>
              </w:rPr>
              <w:t>6</w:t>
            </w:r>
            <w:r w:rsidRPr="00D137E0" w:rsidR="00047A73">
              <w:rPr>
                <w:sz w:val="22"/>
                <w:szCs w:val="22"/>
              </w:rPr>
              <w:t> pantā, aizstājot tajā izteiktos nosacījumus attiecībā uz nepārvaramu varu. No 2013. gada emisijas kvotu piešķiršanai ir noteikti harmonizēti ES līmeņa nosacījumi – Eiropas Komisijas Lēmums Nr. 2011/278/ES</w:t>
            </w:r>
            <w:r>
              <w:rPr>
                <w:rStyle w:val="FootnoteReference"/>
                <w:sz w:val="22"/>
                <w:szCs w:val="22"/>
              </w:rPr>
              <w:footnoteReference w:id="6"/>
            </w:r>
            <w:r w:rsidRPr="00D137E0" w:rsidR="00047A73">
              <w:rPr>
                <w:sz w:val="22"/>
                <w:szCs w:val="22"/>
              </w:rPr>
              <w:t>. Saskaņā ar šo ES tiesību aktu Latvija papildus emisijas kvotas nevienam operatoram nevar piešķirt, pamatojoties uz nepārvaramu varu. Likuma 32.</w:t>
            </w:r>
            <w:r w:rsidRPr="00D137E0" w:rsidR="00047A73">
              <w:rPr>
                <w:sz w:val="22"/>
                <w:szCs w:val="22"/>
                <w:vertAlign w:val="superscript"/>
              </w:rPr>
              <w:t>6</w:t>
            </w:r>
            <w:r w:rsidRPr="00D137E0" w:rsidR="00047A73">
              <w:rPr>
                <w:sz w:val="22"/>
                <w:szCs w:val="22"/>
              </w:rPr>
              <w:t xml:space="preserve"> panta pirmajā daļā ir noteikts, ka šis nosacījums attiecas uz „likuma 24. panta piektās daļas 1. punktā minēto periodu”, kas ir „1) pirmais periods — no 2005. gada 1. janvāra līdz 2007. gada 31. decembrim;”. Līdz ar to ir secināms, ka </w:t>
            </w:r>
            <w:r w:rsidRPr="00D137E0" w:rsidR="00047A73">
              <w:rPr>
                <w:sz w:val="22"/>
                <w:szCs w:val="22"/>
              </w:rPr>
              <w:t>šībrīžējā</w:t>
            </w:r>
            <w:r w:rsidRPr="00D137E0" w:rsidR="00047A73">
              <w:rPr>
                <w:sz w:val="22"/>
                <w:szCs w:val="22"/>
              </w:rPr>
              <w:t xml:space="preserve"> Likuma 32.</w:t>
            </w:r>
            <w:r w:rsidRPr="00D137E0" w:rsidR="00047A73">
              <w:rPr>
                <w:sz w:val="22"/>
                <w:szCs w:val="22"/>
                <w:vertAlign w:val="superscript"/>
              </w:rPr>
              <w:t>6 </w:t>
            </w:r>
            <w:r w:rsidRPr="00D137E0" w:rsidR="00047A73">
              <w:rPr>
                <w:sz w:val="22"/>
                <w:szCs w:val="22"/>
              </w:rPr>
              <w:t>pants ir zaudējis aktualitāti, un tāpēc tajā iekļautos nosacījumus var aizstāt ar aktuālajiem emisijas kvotu nosacījumiem.</w:t>
            </w:r>
          </w:p>
          <w:p w:rsidR="0074103C" w:rsidRPr="00D137E0" w14:paraId="4A334FD7" w14:textId="77777777">
            <w:pPr>
              <w:pStyle w:val="naiskr"/>
              <w:spacing w:before="60" w:after="60"/>
              <w:jc w:val="both"/>
              <w:rPr>
                <w:sz w:val="22"/>
                <w:szCs w:val="22"/>
              </w:rPr>
            </w:pPr>
            <w:r>
              <w:rPr>
                <w:b/>
                <w:sz w:val="22"/>
                <w:szCs w:val="22"/>
              </w:rPr>
              <w:t>5</w:t>
            </w:r>
            <w:r w:rsidRPr="00D137E0" w:rsidR="00047A73">
              <w:rPr>
                <w:b/>
                <w:sz w:val="22"/>
                <w:szCs w:val="22"/>
              </w:rPr>
              <w:t>.3. </w:t>
            </w:r>
            <w:r w:rsidRPr="00D137E0" w:rsidR="00047A73">
              <w:rPr>
                <w:sz w:val="22"/>
                <w:szCs w:val="22"/>
              </w:rPr>
              <w:t>Praksē ir konstatēts, ka nepieciešams rast risinājumu problēmsituācijai ar SEG emisiju atļauju atcelšanu, jo nav adekvāta šī brīža situācija, ka atļauja tiek atcelta gada beigās, nevis ar lēmuma pieņemšanas brīdi.</w:t>
            </w:r>
          </w:p>
          <w:p w:rsidR="0074103C" w:rsidRPr="00E5749F" w14:paraId="4A334FD8" w14:textId="77777777">
            <w:pPr>
              <w:spacing w:before="60" w:after="60"/>
              <w:rPr>
                <w:rFonts w:ascii="Times New Roman" w:hAnsi="Times New Roman"/>
              </w:rPr>
            </w:pPr>
            <w:r>
              <w:rPr>
                <w:rFonts w:ascii="Times New Roman" w:hAnsi="Times New Roman"/>
                <w:b/>
              </w:rPr>
              <w:t>5</w:t>
            </w:r>
            <w:r w:rsidRPr="00D137E0" w:rsidR="00047A73">
              <w:rPr>
                <w:rFonts w:ascii="Times New Roman" w:hAnsi="Times New Roman"/>
                <w:b/>
              </w:rPr>
              <w:t>.4. </w:t>
            </w:r>
            <w:r w:rsidRPr="00D137E0" w:rsidR="00047A73">
              <w:rPr>
                <w:rFonts w:ascii="Times New Roman" w:hAnsi="Times New Roman"/>
              </w:rPr>
              <w:t>Likum</w:t>
            </w:r>
            <w:r w:rsidRPr="006900EE" w:rsidR="00047A73">
              <w:rPr>
                <w:rFonts w:ascii="Times New Roman" w:hAnsi="Times New Roman"/>
              </w:rPr>
              <w:t>projektā, iekļaujot nosacījumu izman</w:t>
            </w:r>
            <w:r w:rsidR="00047A73">
              <w:rPr>
                <w:rFonts w:ascii="Times New Roman" w:hAnsi="Times New Roman"/>
              </w:rPr>
              <w:t>t</w:t>
            </w:r>
            <w:r w:rsidRPr="006900EE" w:rsidR="00047A73">
              <w:rPr>
                <w:rFonts w:ascii="Times New Roman" w:hAnsi="Times New Roman"/>
              </w:rPr>
              <w:t>oto ES ETS informācijas apmaiņas sistēmu DECLARE, kā arī izmantojot šādu informācijas apmaiņas un uzglabāšanas rīku, būtiski samazināsies administratīv</w:t>
            </w:r>
            <w:r w:rsidRPr="00E5749F" w:rsidR="00047A73">
              <w:rPr>
                <w:rFonts w:ascii="Times New Roman" w:hAnsi="Times New Roman"/>
              </w:rPr>
              <w:t>ais slogs ES ETS operatoriem – nepieciešamais darba apjoms un laiks noteiktās informācijas iesniegšanai verificētājiem un pēc tam arī VVD. Izmantojot šo sistēmu ES ETS operatori varēs pietiekami ātri un efektīvi iesniegt visu informāciju – VVD iesniedzamie iesniegumi SEG atļaujas saņemšanai vai grozīšanai un pavadošā dokumentācija – monitoringa plāns, datu kvalitātes kontroles un uzraudzības procedūru apraksti u.c., verificētājam iesniedzamie emisiju ziņojumi un pavadošā dokumentācija, VVD iesniedzamie gala emisiju ziņojumi, VARAM iesniedzamā informācija par ES ETS operatoru iekārtās izmantotā kurināmā un saražotās gala produkcijas (saražotā siltumenerģija un elektroenerģija, saražotās rūpnieciskās produkcijas apjomi un rūpnieciskās produkcijas ražošanā izmantoto izejvielu apjomi u.c., noteiktajām iestādēm, neizmantojot pastu, elektronisko pastu, datu nesēju, elektroniskos parakstus u.c. Šo sistēmu izmantojot ES ETS operatoram vairs nevajadzēs pašam uzturēt šīs iepriekšminētās informācijas uzglabāšanas vietni, jo tā visa tiks uzglabāta ES ETS informācijas apmaiņas sistēmā DECLARE.</w:t>
            </w:r>
          </w:p>
          <w:p w:rsidR="0074103C" w:rsidRPr="00E5749F" w14:paraId="4A334FD9" w14:textId="77777777">
            <w:pPr>
              <w:spacing w:before="60" w:after="60"/>
              <w:rPr>
                <w:rFonts w:ascii="Times New Roman" w:hAnsi="Times New Roman"/>
              </w:rPr>
            </w:pPr>
            <w:r w:rsidRPr="00E5749F">
              <w:rPr>
                <w:rFonts w:ascii="Times New Roman" w:hAnsi="Times New Roman"/>
              </w:rPr>
              <w:t>Papildus šī sistēma samazinās arī administratīvo slogu informācijas apmaiņai, kā arī informācijas uzglabāšanai VVD, VARAM un emisijas reģistra nacionālajiem administratoriem..</w:t>
            </w:r>
          </w:p>
          <w:p w:rsidR="0074103C" w:rsidRPr="00E5749F" w14:paraId="4A334FDA" w14:textId="77777777">
            <w:pPr>
              <w:pStyle w:val="naiskr"/>
              <w:keepNext/>
              <w:keepLines/>
              <w:spacing w:before="60" w:after="60"/>
              <w:jc w:val="both"/>
              <w:outlineLvl w:val="1"/>
              <w:rPr>
                <w:sz w:val="22"/>
                <w:szCs w:val="22"/>
              </w:rPr>
            </w:pPr>
            <w:r>
              <w:rPr>
                <w:b/>
                <w:sz w:val="22"/>
                <w:szCs w:val="22"/>
              </w:rPr>
              <w:t>6</w:t>
            </w:r>
            <w:r w:rsidRPr="00E5749F" w:rsidR="00047A73">
              <w:rPr>
                <w:b/>
                <w:sz w:val="22"/>
                <w:szCs w:val="22"/>
              </w:rPr>
              <w:t>. </w:t>
            </w:r>
            <w:r w:rsidRPr="00D137E0" w:rsidR="00047A73">
              <w:rPr>
                <w:sz w:val="22"/>
                <w:szCs w:val="22"/>
              </w:rPr>
              <w:t xml:space="preserve">Likumā </w:t>
            </w:r>
            <w:r w:rsidRPr="006900EE" w:rsidR="00047A73">
              <w:rPr>
                <w:sz w:val="22"/>
                <w:szCs w:val="22"/>
              </w:rPr>
              <w:t xml:space="preserve">jānodrošina regulējums, kura mērķis ir noteikt prasību ostu termināliem, kas savā darbībā veic </w:t>
            </w:r>
            <w:r w:rsidRPr="00E5749F" w:rsidR="00047A73">
              <w:rPr>
                <w:sz w:val="22"/>
                <w:szCs w:val="22"/>
              </w:rPr>
              <w:t>naftas produktu vai bīstamu ķīmisku vielu pārkraušanu, ieviest tehnoloģijas (izgarojumu kontroles sistēmas – piemēram, tvaiku savākšanas, tvaiku utilizēšanas, u.c. iekārtas), kas uztvertu tās emisijas, kas veidojas iepriekš minētos produktus iekraujot kuģos. Tādējādi tiks īstenoti tehniski risinājumi Latvijas ostās, kas nodrošinātu:</w:t>
            </w:r>
          </w:p>
          <w:p w:rsidR="0074103C" w:rsidRPr="00E5749F" w14:paraId="4A334FDB" w14:textId="77777777">
            <w:pPr>
              <w:pStyle w:val="ListParagraph"/>
              <w:numPr>
                <w:ilvl w:val="0"/>
                <w:numId w:val="9"/>
              </w:numPr>
              <w:spacing w:before="60" w:after="60"/>
              <w:ind w:left="284" w:hanging="284"/>
              <w:contextualSpacing w:val="0"/>
              <w:rPr>
                <w:sz w:val="22"/>
                <w:szCs w:val="22"/>
                <w:lang w:eastAsia="lv-LV"/>
              </w:rPr>
            </w:pPr>
            <w:r w:rsidRPr="00E5749F">
              <w:rPr>
                <w:sz w:val="22"/>
                <w:szCs w:val="22"/>
                <w:lang w:eastAsia="lv-LV"/>
              </w:rPr>
              <w:t>gaisu piesārņojošo vielu emisiju samazināšanu. Tai skaitā, lai nodrošinātu Valsts kopējo emisiju samazināšanas direktīvas priekšlikums) Latvijai izvirzīto nosacījumu nodrošināt GOS emisiju ievērojamu samazinājumu sākot no 2029. gada, kā arī starptautiskā līmenī – Ženēvas konvencijas „Par robežšķērsojošā gaisa piesārņojuma samazināšanu” Gēteborgas protokola „Par paskābināšanās, eitrofikācijas un piezemes ozona līmeņa samazināšanu”” prasību izpildi;</w:t>
            </w:r>
          </w:p>
          <w:p w:rsidR="0074103C" w:rsidRPr="00E5749F" w14:paraId="4A334FDC" w14:textId="77777777">
            <w:pPr>
              <w:pStyle w:val="ListParagraph"/>
              <w:numPr>
                <w:ilvl w:val="0"/>
                <w:numId w:val="9"/>
              </w:numPr>
              <w:spacing w:before="60" w:after="60"/>
              <w:ind w:left="284" w:hanging="284"/>
              <w:contextualSpacing w:val="0"/>
              <w:rPr>
                <w:sz w:val="22"/>
                <w:szCs w:val="22"/>
                <w:lang w:eastAsia="lv-LV"/>
              </w:rPr>
            </w:pPr>
            <w:r w:rsidRPr="00E5749F">
              <w:rPr>
                <w:sz w:val="22"/>
                <w:szCs w:val="22"/>
                <w:lang w:eastAsia="lv-LV"/>
              </w:rPr>
              <w:t>ierobežotu smaku traucējumus ostu termināļu tuvumā esošajā dzīvojamā apbūvē;</w:t>
            </w:r>
          </w:p>
          <w:p w:rsidR="0074103C" w:rsidRPr="00E5749F" w14:paraId="4A334FDD" w14:textId="77777777">
            <w:pPr>
              <w:pStyle w:val="ListParagraph"/>
              <w:numPr>
                <w:ilvl w:val="0"/>
                <w:numId w:val="9"/>
              </w:numPr>
              <w:spacing w:before="60" w:after="60"/>
              <w:ind w:left="284" w:hanging="284"/>
              <w:contextualSpacing w:val="0"/>
              <w:rPr>
                <w:sz w:val="22"/>
                <w:szCs w:val="22"/>
                <w:lang w:eastAsia="lv-LV"/>
              </w:rPr>
            </w:pPr>
            <w:r w:rsidRPr="00E5749F">
              <w:rPr>
                <w:sz w:val="22"/>
                <w:szCs w:val="22"/>
                <w:lang w:eastAsia="lv-LV"/>
              </w:rPr>
              <w:t>radītu iespēju ostas operatoram, izmantojot tehniskus risinājumus, mazināt zudumus kravu pārkraušanas darbībās;</w:t>
            </w:r>
          </w:p>
          <w:p w:rsidR="0074103C" w:rsidRPr="00E5749F" w14:paraId="4A334FDE" w14:textId="77777777">
            <w:pPr>
              <w:pStyle w:val="ListParagraph"/>
              <w:numPr>
                <w:ilvl w:val="0"/>
                <w:numId w:val="9"/>
              </w:numPr>
              <w:spacing w:before="60" w:after="60"/>
              <w:ind w:left="284" w:hanging="284"/>
              <w:contextualSpacing w:val="0"/>
              <w:rPr>
                <w:sz w:val="22"/>
                <w:szCs w:val="22"/>
                <w:lang w:eastAsia="lv-LV"/>
              </w:rPr>
            </w:pPr>
            <w:r w:rsidRPr="00E5749F">
              <w:rPr>
                <w:sz w:val="22"/>
                <w:szCs w:val="22"/>
                <w:lang w:eastAsia="lv-LV"/>
              </w:rPr>
              <w:t>stiprinātu Starptautiskās konvencijas par kuģu izraisītā piesārņojuma novēršanu (MARPOL) konvencijas VI pielikuma 15. noteikuma par gaistošajiem organiskajiem savienojumiem prasību īstenošanu;</w:t>
            </w:r>
          </w:p>
          <w:p w:rsidR="0074103C" w:rsidRPr="00E5749F" w14:paraId="4A334FDF" w14:textId="77777777">
            <w:pPr>
              <w:pStyle w:val="ListParagraph"/>
              <w:numPr>
                <w:ilvl w:val="0"/>
                <w:numId w:val="9"/>
              </w:numPr>
              <w:spacing w:before="60" w:after="60"/>
              <w:ind w:left="284" w:hanging="284"/>
              <w:contextualSpacing w:val="0"/>
              <w:rPr>
                <w:sz w:val="22"/>
                <w:szCs w:val="22"/>
              </w:rPr>
            </w:pPr>
            <w:r w:rsidRPr="00E5749F">
              <w:rPr>
                <w:sz w:val="22"/>
                <w:szCs w:val="22"/>
                <w:lang w:eastAsia="lv-LV"/>
              </w:rPr>
              <w:t xml:space="preserve">Ministru kabineta 2014. gada 25. novembra sēdes </w:t>
            </w:r>
            <w:r w:rsidRPr="00E5749F">
              <w:rPr>
                <w:sz w:val="22"/>
                <w:szCs w:val="22"/>
                <w:lang w:eastAsia="lv-LV"/>
              </w:rPr>
              <w:t>protokollēmuma</w:t>
            </w:r>
            <w:r w:rsidRPr="00E5749F">
              <w:rPr>
                <w:sz w:val="22"/>
                <w:szCs w:val="22"/>
                <w:lang w:eastAsia="lv-LV"/>
              </w:rPr>
              <w:t xml:space="preserve"> (prot. Nr. 66 25.§) dotā uzdevuma izpildi, lai samazinātu smakas, ko darbībā rada ostu terminā</w:t>
            </w:r>
            <w:r>
              <w:rPr>
                <w:sz w:val="22"/>
                <w:szCs w:val="22"/>
                <w:lang w:eastAsia="lv-LV"/>
              </w:rPr>
              <w:t>lo</w:t>
            </w:r>
            <w:r w:rsidRPr="00E5749F">
              <w:rPr>
                <w:sz w:val="22"/>
                <w:szCs w:val="22"/>
                <w:lang w:eastAsia="lv-LV"/>
              </w:rPr>
              <w:t>.</w:t>
            </w:r>
          </w:p>
          <w:p w:rsidR="0074103C" w:rsidRPr="00E5749F" w14:paraId="4A334FE0" w14:textId="77777777">
            <w:pPr>
              <w:spacing w:before="60" w:after="60"/>
              <w:rPr>
                <w:rFonts w:ascii="Times New Roman" w:hAnsi="Times New Roman"/>
              </w:rPr>
            </w:pPr>
            <w:r w:rsidRPr="00E5749F">
              <w:rPr>
                <w:rFonts w:ascii="Times New Roman" w:hAnsi="Times New Roman"/>
              </w:rPr>
              <w:t>Likumprojekts arī no</w:t>
            </w:r>
            <w:r>
              <w:rPr>
                <w:rFonts w:ascii="Times New Roman" w:hAnsi="Times New Roman"/>
              </w:rPr>
              <w:t>saka</w:t>
            </w:r>
            <w:r w:rsidRPr="00E5749F">
              <w:rPr>
                <w:rFonts w:ascii="Times New Roman" w:hAnsi="Times New Roman"/>
              </w:rPr>
              <w:t xml:space="preserve">, ka vietējai pašvaldībai ir tiesības izdot saistošos noteikumus, kuros var tikt noteiktas stingrākas prasības un kārtība piesārņojošās darbības operatoriem (ostu termināļiem) attiecībā uz izgarojumu emisijas kontroles sistēmu uzstādīšanas nepieciešamību, darbību un darbības monitoringu. </w:t>
            </w:r>
          </w:p>
          <w:p w:rsidR="0074103C" w:rsidRPr="00D137E0" w14:paraId="4A334FE1" w14:textId="77777777">
            <w:pPr>
              <w:spacing w:before="60" w:after="60"/>
              <w:rPr>
                <w:rFonts w:ascii="Times New Roman" w:eastAsia="Times New Roman" w:hAnsi="Times New Roman"/>
                <w:lang w:eastAsia="lv-LV"/>
              </w:rPr>
            </w:pPr>
            <w:r>
              <w:rPr>
                <w:rFonts w:ascii="Times New Roman" w:eastAsia="Times New Roman" w:hAnsi="Times New Roman"/>
                <w:b/>
                <w:lang w:eastAsia="lv-LV"/>
              </w:rPr>
              <w:t>7</w:t>
            </w:r>
            <w:r w:rsidRPr="00D137E0" w:rsidR="00047A73">
              <w:rPr>
                <w:rFonts w:ascii="Times New Roman" w:eastAsia="Times New Roman" w:hAnsi="Times New Roman"/>
                <w:b/>
                <w:lang w:eastAsia="lv-LV"/>
              </w:rPr>
              <w:t>.</w:t>
            </w:r>
            <w:r w:rsidRPr="00D137E0" w:rsidR="00047A73">
              <w:rPr>
                <w:rFonts w:ascii="Times New Roman" w:eastAsia="Times New Roman" w:hAnsi="Times New Roman"/>
                <w:lang w:eastAsia="lv-LV"/>
              </w:rPr>
              <w:t> Ar likumprojektu ir nodrošināts tiesiskais pamats direktīvas Nr. 98/70/EK 7.a</w:t>
            </w:r>
            <w:r>
              <w:rPr>
                <w:rFonts w:ascii="Times New Roman" w:eastAsia="Times New Roman" w:hAnsi="Times New Roman"/>
                <w:lang w:eastAsia="lv-LV"/>
              </w:rPr>
              <w:t> </w:t>
            </w:r>
            <w:r w:rsidRPr="00D137E0" w:rsidR="00047A73">
              <w:rPr>
                <w:rFonts w:ascii="Times New Roman" w:eastAsia="Times New Roman" w:hAnsi="Times New Roman"/>
                <w:lang w:eastAsia="lv-LV"/>
              </w:rPr>
              <w:t xml:space="preserve">panta un direktīvas Nr. 2015/652 noteikto prasību pārņemšanai, tai skaitā likumā ,,Par piesārņojumu” atrunājot regulējuma pārņemšanai nepieciešamās definīcijas, nosakot degvielas piegādātājam pienākumu nodrošināt SEG emisiju samazinājumu un ziņot datus, paredzot sankcijas par aprites cikla SEG emisiju samazinājuma neizpildi, kā arī paredzot deleģējumu Ministru kabinetam izdot attiecīgus noteikumus, kuros tiktu pārņemta direktīvā Nr. 2015/652 noteiktā siltumnīcefekta gāzu intensitātes aprēķinu metode un mehānismi attiecināma siltumnīcefekta gāzu samazinājuma sasniegšanai. Tādējādi tiks stimulēta SEG emisiju samazināšana, veicinot degvielas piegādātāju rīcības, ar kurām nodrošina </w:t>
            </w:r>
            <w:r w:rsidRPr="00D137E0" w:rsidR="00047A73">
              <w:rPr>
                <w:rFonts w:ascii="Times New Roman" w:eastAsia="Times New Roman" w:hAnsi="Times New Roman"/>
                <w:lang w:eastAsia="lv-LV"/>
              </w:rPr>
              <w:t>augšposma</w:t>
            </w:r>
            <w:r w:rsidRPr="00D137E0" w:rsidR="00047A73">
              <w:rPr>
                <w:rFonts w:ascii="Times New Roman" w:eastAsia="Times New Roman" w:hAnsi="Times New Roman"/>
                <w:lang w:eastAsia="lv-LV"/>
              </w:rPr>
              <w:t xml:space="preserve"> emisiju samazinājumu.</w:t>
            </w:r>
          </w:p>
          <w:p w:rsidR="0074103C" w:rsidRPr="00765671" w:rsidP="0074103C" w14:paraId="4A334FE2" w14:textId="77777777">
            <w:pPr>
              <w:spacing w:before="60" w:after="60"/>
              <w:rPr>
                <w:rFonts w:ascii="Times New Roman" w:hAnsi="Times New Roman"/>
              </w:rPr>
            </w:pPr>
            <w:r>
              <w:rPr>
                <w:rFonts w:ascii="Times New Roman" w:hAnsi="Times New Roman"/>
                <w:b/>
              </w:rPr>
              <w:t>8</w:t>
            </w:r>
            <w:r w:rsidRPr="00765671" w:rsidR="00047A73">
              <w:rPr>
                <w:rFonts w:ascii="Times New Roman" w:hAnsi="Times New Roman"/>
              </w:rPr>
              <w:t>.</w:t>
            </w:r>
            <w:r>
              <w:rPr>
                <w:rFonts w:ascii="Times New Roman" w:hAnsi="Times New Roman"/>
              </w:rPr>
              <w:t> </w:t>
            </w:r>
            <w:r w:rsidRPr="00C01952" w:rsidR="00047A73">
              <w:rPr>
                <w:rFonts w:ascii="Times New Roman" w:hAnsi="Times New Roman"/>
              </w:rPr>
              <w:t>Pēc Veselības ministrijas ierosinājuma un saskaņā ar Ministru kabineta komitejas 2017. gada 20. februāra sēdes protokolu Nr.6 3. § likumprojekts papildināts ar jaunu 18.</w:t>
            </w:r>
            <w:r w:rsidRPr="00E42D24" w:rsidR="00047A73">
              <w:rPr>
                <w:rFonts w:ascii="Times New Roman" w:hAnsi="Times New Roman"/>
                <w:vertAlign w:val="superscript"/>
              </w:rPr>
              <w:t>2</w:t>
            </w:r>
            <w:r w:rsidRPr="00C01952" w:rsidR="00047A73">
              <w:rPr>
                <w:rFonts w:ascii="Times New Roman" w:hAnsi="Times New Roman"/>
              </w:rPr>
              <w:t> pantu, kas nosaka</w:t>
            </w:r>
            <w:r w:rsidR="00074D3F">
              <w:rPr>
                <w:rFonts w:ascii="Times New Roman" w:hAnsi="Times New Roman"/>
              </w:rPr>
              <w:t>,</w:t>
            </w:r>
            <w:r w:rsidRPr="00C01952" w:rsidR="00047A73">
              <w:rPr>
                <w:rFonts w:ascii="Times New Roman" w:hAnsi="Times New Roman"/>
              </w:rPr>
              <w:t xml:space="preserve"> uz kādām ierīcēm attiecas prasības elektromagnētisko lauku starojuma novērtēšanai. Minētais pants arī deleģē Ministru kabinetam noteikt elektromagnētisko lauku starojuma robežlielumus un </w:t>
            </w:r>
            <w:r w:rsidRPr="00C01952" w:rsidR="00047A73">
              <w:rPr>
                <w:rFonts w:ascii="Times New Roman" w:hAnsi="Times New Roman"/>
              </w:rPr>
              <w:t>mērķlielumus</w:t>
            </w:r>
            <w:r w:rsidRPr="00C01952" w:rsidR="00047A73">
              <w:rPr>
                <w:rFonts w:ascii="Times New Roman" w:hAnsi="Times New Roman"/>
              </w:rPr>
              <w:t>, to piemērošanas kārtību un novērtēšanas metodes, kā arī noteikt prasības elektromagnētiskā lauka radītā riska novēršanai un samazināšanai.</w:t>
            </w:r>
          </w:p>
          <w:p w:rsidR="0074103C" w:rsidRPr="00E5749F" w:rsidP="0074103C" w14:paraId="4A334FE3" w14:textId="77777777">
            <w:pPr>
              <w:spacing w:before="60" w:after="60"/>
              <w:rPr>
                <w:rFonts w:ascii="Times New Roman" w:hAnsi="Times New Roman"/>
              </w:rPr>
            </w:pPr>
            <w:r w:rsidRPr="00E5749F">
              <w:rPr>
                <w:rFonts w:ascii="Times New Roman" w:hAnsi="Times New Roman"/>
              </w:rPr>
              <w:t xml:space="preserve">Pēc Veselības ministrijas priekšlikuma </w:t>
            </w:r>
            <w:r w:rsidRPr="006900EE">
              <w:rPr>
                <w:rFonts w:ascii="Times New Roman" w:hAnsi="Times New Roman"/>
              </w:rPr>
              <w:t>likum</w:t>
            </w:r>
            <w:r w:rsidRPr="00E5749F">
              <w:rPr>
                <w:rFonts w:ascii="Times New Roman" w:hAnsi="Times New Roman"/>
              </w:rPr>
              <w:t>projektā precizēta norma, kas attiecināma uz trokšņa fona līmeņa apzināšanu un attiecīgas informācijas sniegšanu piesārņojošas darbības A vai B kategorijas atļaujas pieteikšanas iesniegumā.</w:t>
            </w:r>
          </w:p>
          <w:p w:rsidR="0074103C" w:rsidRPr="00D137E0" w:rsidP="0074103C" w14:paraId="4A334FE4" w14:textId="77777777">
            <w:pPr>
              <w:spacing w:before="60" w:after="60"/>
              <w:rPr>
                <w:rFonts w:ascii="Times New Roman" w:eastAsia="Times New Roman" w:hAnsi="Times New Roman"/>
                <w:lang w:eastAsia="lv-LV"/>
              </w:rPr>
            </w:pPr>
            <w:r w:rsidRPr="00E5749F">
              <w:rPr>
                <w:rFonts w:ascii="Times New Roman" w:hAnsi="Times New Roman"/>
              </w:rPr>
              <w:t>Ņemot vērā Veselības inspekcijas līdzšinējo pieredzi trokšņa sūdzību izskatīšanā, tai skaitā par troksni, ko rada iekārtu darbība, un ierobežotās iespējas kompleksai problēmas risināšanai, nepieciešams jau sākotnēji apzināt trokšņa fona līmeni, plānojot iekārtu darbību.</w:t>
            </w:r>
          </w:p>
        </w:tc>
      </w:tr>
      <w:tr w14:paraId="4A334FEC" w14:textId="77777777" w:rsidTr="0074103C">
        <w:tblPrEx>
          <w:tblW w:w="9356" w:type="dxa"/>
          <w:jc w:val="center"/>
          <w:tblLayout w:type="fixed"/>
          <w:tblCellMar>
            <w:left w:w="57" w:type="dxa"/>
            <w:right w:w="57" w:type="dxa"/>
          </w:tblCellMar>
          <w:tblLook w:val="00A0"/>
        </w:tblPrEx>
        <w:trPr>
          <w:trHeight w:val="274"/>
          <w:jc w:val="center"/>
        </w:trPr>
        <w:tc>
          <w:tcPr>
            <w:tcW w:w="341" w:type="dxa"/>
          </w:tcPr>
          <w:p w:rsidR="0074103C" w:rsidRPr="00F122F9" w:rsidP="0074103C" w14:paraId="4A334FE6" w14:textId="77777777">
            <w:pPr>
              <w:spacing w:before="60" w:after="60"/>
              <w:jc w:val="center"/>
              <w:rPr>
                <w:rFonts w:ascii="Times New Roman" w:hAnsi="Times New Roman"/>
                <w:lang w:eastAsia="lv-LV"/>
              </w:rPr>
            </w:pPr>
            <w:r w:rsidRPr="00F122F9">
              <w:rPr>
                <w:rFonts w:ascii="Times New Roman" w:hAnsi="Times New Roman"/>
                <w:lang w:eastAsia="lv-LV"/>
              </w:rPr>
              <w:t>3.</w:t>
            </w:r>
          </w:p>
        </w:tc>
        <w:tc>
          <w:tcPr>
            <w:tcW w:w="1276" w:type="dxa"/>
          </w:tcPr>
          <w:p w:rsidR="0074103C" w:rsidRPr="00F122F9" w:rsidP="0074103C" w14:paraId="4A334FE7" w14:textId="77777777">
            <w:pPr>
              <w:spacing w:before="60" w:after="60"/>
              <w:jc w:val="left"/>
              <w:rPr>
                <w:rFonts w:ascii="Times New Roman" w:hAnsi="Times New Roman"/>
                <w:lang w:eastAsia="lv-LV"/>
              </w:rPr>
            </w:pPr>
            <w:r w:rsidRPr="00F122F9">
              <w:rPr>
                <w:rFonts w:ascii="Times New Roman" w:hAnsi="Times New Roman"/>
                <w:lang w:eastAsia="lv-LV"/>
              </w:rPr>
              <w:t>Projekta izstrādē iesaistītās institūcijas</w:t>
            </w:r>
          </w:p>
        </w:tc>
        <w:tc>
          <w:tcPr>
            <w:tcW w:w="7568" w:type="dxa"/>
          </w:tcPr>
          <w:p w:rsidR="0074103C" w:rsidRPr="00411594" w:rsidP="0074103C" w14:paraId="4A334FE8" w14:textId="77777777">
            <w:pPr>
              <w:pStyle w:val="naiskr"/>
              <w:spacing w:before="60" w:after="60"/>
              <w:jc w:val="both"/>
              <w:rPr>
                <w:iCs/>
                <w:sz w:val="22"/>
                <w:szCs w:val="22"/>
              </w:rPr>
            </w:pPr>
            <w:r w:rsidRPr="00411594">
              <w:rPr>
                <w:iCs/>
                <w:sz w:val="22"/>
                <w:szCs w:val="22"/>
              </w:rPr>
              <w:t xml:space="preserve">Likumprojekta izstrādē tika iesaistītas šādas institūcijas: </w:t>
            </w:r>
          </w:p>
          <w:p w:rsidR="0074103C" w:rsidRPr="00411594" w:rsidP="0074103C" w14:paraId="4A334FE9" w14:textId="77777777">
            <w:pPr>
              <w:pStyle w:val="naiskr"/>
              <w:numPr>
                <w:ilvl w:val="0"/>
                <w:numId w:val="13"/>
              </w:numPr>
              <w:spacing w:before="60" w:after="60"/>
              <w:ind w:left="369"/>
              <w:jc w:val="both"/>
              <w:rPr>
                <w:iCs/>
                <w:sz w:val="22"/>
                <w:szCs w:val="22"/>
              </w:rPr>
            </w:pPr>
            <w:r w:rsidRPr="00411594">
              <w:rPr>
                <w:iCs/>
                <w:sz w:val="22"/>
                <w:szCs w:val="22"/>
              </w:rPr>
              <w:t>attiecībā uz klimata politikas</w:t>
            </w:r>
            <w:r>
              <w:rPr>
                <w:iCs/>
                <w:sz w:val="22"/>
                <w:szCs w:val="22"/>
              </w:rPr>
              <w:t xml:space="preserve"> (SEG emisiju)</w:t>
            </w:r>
            <w:r w:rsidRPr="00411594">
              <w:rPr>
                <w:iCs/>
                <w:sz w:val="22"/>
                <w:szCs w:val="22"/>
              </w:rPr>
              <w:t xml:space="preserve"> jautājumiem</w:t>
            </w:r>
            <w:r w:rsidRPr="00411594">
              <w:rPr>
                <w:sz w:val="22"/>
                <w:szCs w:val="22"/>
              </w:rPr>
              <w:t xml:space="preserve">: </w:t>
            </w:r>
            <w:r w:rsidRPr="00411594">
              <w:rPr>
                <w:iCs/>
                <w:sz w:val="22"/>
                <w:szCs w:val="22"/>
              </w:rPr>
              <w:t>Vides aizsardzības un reģionālās attīstības ministrija, kas sagatavoja likumprojektu, V</w:t>
            </w:r>
            <w:r>
              <w:rPr>
                <w:iCs/>
                <w:sz w:val="22"/>
                <w:szCs w:val="22"/>
              </w:rPr>
              <w:t>VD, Ekonomikas ministrija</w:t>
            </w:r>
            <w:r w:rsidRPr="00411594">
              <w:rPr>
                <w:iCs/>
                <w:sz w:val="22"/>
                <w:szCs w:val="22"/>
              </w:rPr>
              <w:t xml:space="preserve"> un Satiksmes ministrija</w:t>
            </w:r>
            <w:r>
              <w:rPr>
                <w:iCs/>
                <w:sz w:val="22"/>
                <w:szCs w:val="22"/>
              </w:rPr>
              <w:t>;</w:t>
            </w:r>
          </w:p>
          <w:p w:rsidR="0074103C" w:rsidRPr="00411594" w:rsidP="0074103C" w14:paraId="4A334FEA" w14:textId="77777777">
            <w:pPr>
              <w:pStyle w:val="naiskr"/>
              <w:numPr>
                <w:ilvl w:val="0"/>
                <w:numId w:val="13"/>
              </w:numPr>
              <w:spacing w:before="60" w:beforeAutospacing="1" w:after="60" w:afterAutospacing="1"/>
              <w:ind w:left="369"/>
              <w:jc w:val="both"/>
              <w:rPr>
                <w:iCs/>
                <w:sz w:val="22"/>
                <w:szCs w:val="22"/>
              </w:rPr>
            </w:pPr>
            <w:r w:rsidRPr="00411594">
              <w:rPr>
                <w:iCs/>
                <w:sz w:val="22"/>
                <w:szCs w:val="22"/>
              </w:rPr>
              <w:t xml:space="preserve">attiecībā uz ostu termināļu radīto emisiju samazināšanu: Vides aizsardzības un reģionālās </w:t>
            </w:r>
            <w:r w:rsidRPr="00705224">
              <w:rPr>
                <w:iCs/>
                <w:sz w:val="22"/>
                <w:szCs w:val="22"/>
              </w:rPr>
              <w:t>attīstības ministrija, vides institūcijas (VVD, Vides pārraudzības valsts birojs), brīvostu pārvaldes (Rīgas brīvosta, Ventspils brīvosta), ostu termināļu operatori, eksperti.</w:t>
            </w:r>
          </w:p>
          <w:p w:rsidR="0074103C" w:rsidRPr="00411594" w:rsidP="0074103C" w14:paraId="4A334FEB" w14:textId="77777777">
            <w:pPr>
              <w:pStyle w:val="naiskr"/>
              <w:spacing w:before="60" w:after="60"/>
              <w:jc w:val="both"/>
              <w:rPr>
                <w:iCs/>
                <w:sz w:val="22"/>
                <w:szCs w:val="22"/>
              </w:rPr>
            </w:pPr>
            <w:r w:rsidRPr="00411594">
              <w:rPr>
                <w:iCs/>
                <w:sz w:val="22"/>
                <w:szCs w:val="22"/>
              </w:rPr>
              <w:t>Likumprojekta izstrādē netika organizēta darba grupa.</w:t>
            </w:r>
          </w:p>
        </w:tc>
      </w:tr>
      <w:tr w14:paraId="4A334FF0" w14:textId="77777777" w:rsidTr="0074103C">
        <w:tblPrEx>
          <w:tblW w:w="9356" w:type="dxa"/>
          <w:jc w:val="center"/>
          <w:tblLayout w:type="fixed"/>
          <w:tblCellMar>
            <w:left w:w="57" w:type="dxa"/>
            <w:right w:w="57" w:type="dxa"/>
          </w:tblCellMar>
          <w:tblLook w:val="00A0"/>
        </w:tblPrEx>
        <w:trPr>
          <w:jc w:val="center"/>
        </w:trPr>
        <w:tc>
          <w:tcPr>
            <w:tcW w:w="341" w:type="dxa"/>
          </w:tcPr>
          <w:p w:rsidR="0074103C" w:rsidRPr="00F122F9" w:rsidP="0074103C" w14:paraId="4A334FED" w14:textId="77777777">
            <w:pPr>
              <w:spacing w:before="60" w:after="60"/>
              <w:jc w:val="center"/>
              <w:rPr>
                <w:rFonts w:ascii="Times New Roman" w:hAnsi="Times New Roman"/>
                <w:lang w:eastAsia="lv-LV"/>
              </w:rPr>
            </w:pPr>
            <w:r w:rsidRPr="00F122F9">
              <w:rPr>
                <w:rFonts w:ascii="Times New Roman" w:hAnsi="Times New Roman"/>
                <w:lang w:eastAsia="lv-LV"/>
              </w:rPr>
              <w:t>4.</w:t>
            </w:r>
          </w:p>
        </w:tc>
        <w:tc>
          <w:tcPr>
            <w:tcW w:w="1276" w:type="dxa"/>
          </w:tcPr>
          <w:p w:rsidR="0074103C" w:rsidRPr="00F122F9" w:rsidP="0074103C" w14:paraId="4A334FEE" w14:textId="77777777">
            <w:pPr>
              <w:spacing w:before="60" w:after="60"/>
              <w:jc w:val="left"/>
              <w:rPr>
                <w:rFonts w:ascii="Times New Roman" w:hAnsi="Times New Roman"/>
                <w:lang w:eastAsia="lv-LV"/>
              </w:rPr>
            </w:pPr>
            <w:r w:rsidRPr="00F122F9">
              <w:rPr>
                <w:rFonts w:ascii="Times New Roman" w:hAnsi="Times New Roman"/>
                <w:lang w:eastAsia="lv-LV"/>
              </w:rPr>
              <w:t>Cita informācija</w:t>
            </w:r>
          </w:p>
        </w:tc>
        <w:tc>
          <w:tcPr>
            <w:tcW w:w="7568" w:type="dxa"/>
          </w:tcPr>
          <w:p w:rsidR="0074103C" w:rsidRPr="00411594" w:rsidP="0074103C" w14:paraId="4A334FEF" w14:textId="77777777">
            <w:pPr>
              <w:spacing w:before="60" w:beforeAutospacing="1" w:after="60" w:afterAutospacing="1"/>
              <w:ind w:firstLine="232"/>
              <w:jc w:val="left"/>
              <w:rPr>
                <w:rFonts w:ascii="Times New Roman" w:hAnsi="Times New Roman"/>
                <w:lang w:eastAsia="lv-LV"/>
              </w:rPr>
            </w:pPr>
            <w:r w:rsidRPr="00411594">
              <w:rPr>
                <w:rFonts w:ascii="Times New Roman" w:hAnsi="Times New Roman"/>
                <w:lang w:eastAsia="lv-LV"/>
              </w:rPr>
              <w:t>Nav</w:t>
            </w:r>
          </w:p>
        </w:tc>
      </w:tr>
    </w:tbl>
    <w:p w:rsidR="0074103C" w:rsidRPr="00F122F9" w:rsidP="0074103C" w14:paraId="4A334FF1" w14:textId="77777777">
      <w:pPr>
        <w:spacing w:after="0"/>
        <w:ind w:firstLine="301"/>
        <w:jc w:val="left"/>
        <w:rPr>
          <w:rFonts w:ascii="Times New Roman" w:hAnsi="Times New Roman"/>
          <w:sz w:val="24"/>
          <w:szCs w:val="24"/>
          <w:lang w:eastAsia="lv-LV"/>
        </w:rPr>
      </w:pPr>
      <w:r w:rsidRPr="00F122F9">
        <w:rPr>
          <w:rFonts w:ascii="Times New Roman" w:hAnsi="Times New Roman"/>
          <w:sz w:val="24"/>
          <w:szCs w:val="24"/>
          <w:lang w:eastAsia="lv-LV"/>
        </w:rPr>
        <w:t>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67"/>
        <w:gridCol w:w="1735"/>
        <w:gridCol w:w="7154"/>
      </w:tblGrid>
      <w:tr w14:paraId="4A334FF3" w14:textId="77777777" w:rsidTr="0074103C">
        <w:tblPrEx>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555"/>
          <w:jc w:val="center"/>
        </w:trPr>
        <w:tc>
          <w:tcPr>
            <w:tcW w:w="0" w:type="auto"/>
            <w:gridSpan w:val="3"/>
            <w:vAlign w:val="center"/>
          </w:tcPr>
          <w:p w:rsidR="0074103C" w:rsidRPr="00F122F9" w:rsidP="0074103C" w14:paraId="4A334FF2" w14:textId="77777777">
            <w:pPr>
              <w:spacing w:before="60" w:after="60"/>
              <w:jc w:val="center"/>
              <w:rPr>
                <w:rFonts w:ascii="Times New Roman" w:hAnsi="Times New Roman"/>
                <w:b/>
                <w:bCs/>
                <w:lang w:eastAsia="lv-LV"/>
              </w:rPr>
            </w:pPr>
            <w:r w:rsidRPr="00F122F9">
              <w:rPr>
                <w:rFonts w:ascii="Times New Roman" w:hAnsi="Times New Roman"/>
                <w:b/>
                <w:bCs/>
                <w:lang w:eastAsia="lv-LV"/>
              </w:rPr>
              <w:t>II.</w:t>
            </w:r>
            <w:r>
              <w:rPr>
                <w:rFonts w:ascii="Times New Roman" w:hAnsi="Times New Roman"/>
                <w:b/>
                <w:bCs/>
                <w:lang w:eastAsia="lv-LV"/>
              </w:rPr>
              <w:t> </w:t>
            </w:r>
            <w:r w:rsidRPr="00F122F9">
              <w:rPr>
                <w:rFonts w:ascii="Times New Roman" w:hAnsi="Times New Roman"/>
                <w:b/>
                <w:bCs/>
                <w:lang w:eastAsia="lv-LV"/>
              </w:rPr>
              <w:t>Tiesību akta projekta ietekme uz sabiedrību, tautsaimniecības attīstību un administratīvo slogu</w:t>
            </w:r>
          </w:p>
        </w:tc>
      </w:tr>
      <w:tr w14:paraId="4A335002" w14:textId="77777777" w:rsidTr="0074103C">
        <w:tblPrEx>
          <w:tblW w:w="9356" w:type="dxa"/>
          <w:jc w:val="center"/>
          <w:tblCellMar>
            <w:left w:w="57" w:type="dxa"/>
            <w:right w:w="57" w:type="dxa"/>
          </w:tblCellMar>
          <w:tblLook w:val="00A0"/>
        </w:tblPrEx>
        <w:trPr>
          <w:trHeight w:val="274"/>
          <w:jc w:val="center"/>
        </w:trPr>
        <w:tc>
          <w:tcPr>
            <w:tcW w:w="250" w:type="pct"/>
          </w:tcPr>
          <w:p w:rsidR="0074103C" w:rsidRPr="00F122F9" w:rsidP="0074103C" w14:paraId="4A334FF4" w14:textId="77777777">
            <w:pPr>
              <w:spacing w:before="60" w:after="60"/>
              <w:jc w:val="left"/>
              <w:rPr>
                <w:rFonts w:ascii="Times New Roman" w:hAnsi="Times New Roman"/>
                <w:lang w:eastAsia="lv-LV"/>
              </w:rPr>
            </w:pPr>
            <w:r w:rsidRPr="00F122F9">
              <w:rPr>
                <w:rFonts w:ascii="Times New Roman" w:hAnsi="Times New Roman"/>
                <w:lang w:eastAsia="lv-LV"/>
              </w:rPr>
              <w:t>1.</w:t>
            </w:r>
          </w:p>
        </w:tc>
        <w:tc>
          <w:tcPr>
            <w:tcW w:w="927" w:type="pct"/>
          </w:tcPr>
          <w:p w:rsidR="0074103C" w:rsidRPr="00F122F9" w:rsidP="0074103C" w14:paraId="4A334FF5" w14:textId="77777777">
            <w:pPr>
              <w:spacing w:before="60" w:after="60"/>
              <w:jc w:val="left"/>
              <w:rPr>
                <w:rFonts w:ascii="Times New Roman" w:hAnsi="Times New Roman"/>
                <w:lang w:eastAsia="lv-LV"/>
              </w:rPr>
            </w:pPr>
            <w:r w:rsidRPr="00F122F9">
              <w:rPr>
                <w:rFonts w:ascii="Times New Roman" w:hAnsi="Times New Roman"/>
                <w:lang w:eastAsia="lv-LV"/>
              </w:rPr>
              <w:t>Sabiedrības mērķgrupas, kuras tiesiskais regulējums ietekmē vai varētu ietekmēt</w:t>
            </w:r>
          </w:p>
        </w:tc>
        <w:tc>
          <w:tcPr>
            <w:tcW w:w="3823" w:type="pct"/>
          </w:tcPr>
          <w:p w:rsidR="0074103C" w:rsidRPr="00411594" w14:paraId="4A334FF6" w14:textId="77777777">
            <w:pPr>
              <w:pStyle w:val="naiskr"/>
              <w:spacing w:before="60" w:after="60"/>
              <w:jc w:val="both"/>
              <w:rPr>
                <w:bCs/>
                <w:sz w:val="22"/>
                <w:szCs w:val="22"/>
                <w:u w:val="single"/>
                <w:shd w:val="clear" w:color="auto" w:fill="FFFFFF"/>
              </w:rPr>
            </w:pPr>
            <w:r w:rsidRPr="00411594">
              <w:rPr>
                <w:bCs/>
                <w:sz w:val="22"/>
                <w:szCs w:val="22"/>
                <w:u w:val="single"/>
                <w:shd w:val="clear" w:color="auto" w:fill="FFFFFF"/>
              </w:rPr>
              <w:t>Likumprojekta tiesiskais regulējums ietekmē vai var ietekmēt:</w:t>
            </w:r>
          </w:p>
          <w:p w:rsidR="0074103C" w:rsidRPr="000252D3" w14:paraId="4A334FF7" w14:textId="77777777">
            <w:pPr>
              <w:pStyle w:val="naiskr"/>
              <w:spacing w:before="60" w:after="60"/>
              <w:jc w:val="both"/>
              <w:rPr>
                <w:bCs/>
                <w:sz w:val="22"/>
                <w:szCs w:val="22"/>
                <w:shd w:val="clear" w:color="auto" w:fill="FFFFFF"/>
              </w:rPr>
            </w:pPr>
            <w:r w:rsidRPr="000252D3">
              <w:rPr>
                <w:b/>
                <w:bCs/>
                <w:sz w:val="22"/>
                <w:szCs w:val="22"/>
                <w:shd w:val="clear" w:color="auto" w:fill="FFFFFF"/>
              </w:rPr>
              <w:t>1.</w:t>
            </w:r>
            <w:r w:rsidRPr="000252D3">
              <w:rPr>
                <w:bCs/>
                <w:sz w:val="22"/>
                <w:szCs w:val="22"/>
                <w:shd w:val="clear" w:color="auto" w:fill="FFFFFF"/>
              </w:rPr>
              <w:t> klimata pārmaiņu aspektu ietekme likumprojekta tvērumā skar:</w:t>
            </w:r>
          </w:p>
          <w:p w:rsidR="0074103C" w:rsidRPr="00411594" w:rsidP="0074103C" w14:paraId="4A334FF8" w14:textId="77777777">
            <w:pPr>
              <w:pStyle w:val="naiskr"/>
              <w:numPr>
                <w:ilvl w:val="0"/>
                <w:numId w:val="1"/>
              </w:numPr>
              <w:spacing w:before="60" w:after="60"/>
              <w:ind w:left="368"/>
              <w:jc w:val="both"/>
              <w:rPr>
                <w:rFonts w:ascii="Calibri" w:eastAsia="Calibri" w:hAnsi="Calibri"/>
                <w:bCs/>
                <w:sz w:val="22"/>
                <w:szCs w:val="22"/>
                <w:shd w:val="clear" w:color="auto" w:fill="FFFFFF"/>
                <w:lang w:eastAsia="en-US"/>
              </w:rPr>
            </w:pPr>
            <w:r>
              <w:rPr>
                <w:sz w:val="22"/>
                <w:szCs w:val="22"/>
              </w:rPr>
              <w:t>R</w:t>
            </w:r>
            <w:r w:rsidRPr="000252D3">
              <w:rPr>
                <w:sz w:val="22"/>
                <w:szCs w:val="22"/>
              </w:rPr>
              <w:t>egulas Nr.</w:t>
            </w:r>
            <w:r>
              <w:rPr>
                <w:sz w:val="22"/>
                <w:szCs w:val="22"/>
              </w:rPr>
              <w:t> </w:t>
            </w:r>
            <w:r w:rsidRPr="000252D3">
              <w:rPr>
                <w:sz w:val="22"/>
                <w:szCs w:val="22"/>
              </w:rPr>
              <w:t>2015/757 3.</w:t>
            </w:r>
            <w:r>
              <w:rPr>
                <w:sz w:val="22"/>
                <w:szCs w:val="22"/>
              </w:rPr>
              <w:t> </w:t>
            </w:r>
            <w:r w:rsidRPr="000252D3">
              <w:rPr>
                <w:sz w:val="22"/>
                <w:szCs w:val="22"/>
              </w:rPr>
              <w:t xml:space="preserve">panta „d” punktā </w:t>
            </w:r>
            <w:r>
              <w:rPr>
                <w:sz w:val="22"/>
                <w:szCs w:val="22"/>
              </w:rPr>
              <w:t>definēto uzņēmumu</w:t>
            </w:r>
            <w:r w:rsidRPr="00411594">
              <w:rPr>
                <w:iCs/>
                <w:sz w:val="22"/>
                <w:szCs w:val="22"/>
              </w:rPr>
              <w:t>, kas veic Regulā Nr. 2015/757 noteiktās darbības – attiecībā uz pienākumu veikt jūras transporta oglekļa dioksīda emisiju monitoringu, ziņošanu un verifikāciju;</w:t>
            </w:r>
          </w:p>
          <w:p w:rsidR="0074103C" w:rsidRPr="00411594" w:rsidP="0074103C" w14:paraId="4A334FF9" w14:textId="77777777">
            <w:pPr>
              <w:pStyle w:val="naiskr"/>
              <w:numPr>
                <w:ilvl w:val="0"/>
                <w:numId w:val="1"/>
              </w:numPr>
              <w:spacing w:before="60" w:after="60"/>
              <w:ind w:left="368"/>
              <w:jc w:val="both"/>
              <w:rPr>
                <w:sz w:val="22"/>
                <w:szCs w:val="22"/>
              </w:rPr>
            </w:pPr>
            <w:r w:rsidRPr="00411594">
              <w:rPr>
                <w:sz w:val="22"/>
                <w:szCs w:val="22"/>
              </w:rPr>
              <w:t>VARAM un</w:t>
            </w:r>
            <w:r>
              <w:rPr>
                <w:sz w:val="22"/>
                <w:szCs w:val="22"/>
              </w:rPr>
              <w:t xml:space="preserve"> VVD</w:t>
            </w:r>
            <w:r w:rsidRPr="00411594">
              <w:rPr>
                <w:sz w:val="22"/>
                <w:szCs w:val="22"/>
              </w:rPr>
              <w:t xml:space="preserve">  – attiecībā uz Regulā Nr. 2015/757 kuģiem noteikto </w:t>
            </w:r>
            <w:r>
              <w:rPr>
                <w:sz w:val="22"/>
                <w:szCs w:val="22"/>
              </w:rPr>
              <w:t xml:space="preserve">monitoringa un ziņošanas </w:t>
            </w:r>
            <w:r w:rsidRPr="00411594">
              <w:rPr>
                <w:sz w:val="22"/>
                <w:szCs w:val="22"/>
              </w:rPr>
              <w:t>prasību izpildes uzraudzīšanu un kontroli savas kompetences ietvaros;</w:t>
            </w:r>
          </w:p>
          <w:p w:rsidR="0074103C" w:rsidRPr="0015502A" w14:paraId="4A334FFA" w14:textId="77777777">
            <w:pPr>
              <w:pStyle w:val="naiskr"/>
              <w:numPr>
                <w:ilvl w:val="0"/>
                <w:numId w:val="1"/>
              </w:numPr>
              <w:spacing w:before="60" w:after="60"/>
              <w:ind w:left="368"/>
              <w:jc w:val="both"/>
              <w:rPr>
                <w:sz w:val="22"/>
                <w:szCs w:val="22"/>
              </w:rPr>
            </w:pPr>
            <w:r w:rsidRPr="00411594">
              <w:rPr>
                <w:sz w:val="22"/>
                <w:szCs w:val="22"/>
              </w:rPr>
              <w:t>Ministrijas un nevalstiskās organizācijas – attiecībā uz Emisijas kvotu izsolīšanas instrumenta konsultatīvās padomes izveidi un nepieciešamību tajā piedalīties</w:t>
            </w:r>
            <w:r w:rsidRPr="0015502A">
              <w:rPr>
                <w:sz w:val="22"/>
                <w:szCs w:val="22"/>
              </w:rPr>
              <w:t>.</w:t>
            </w:r>
          </w:p>
          <w:p w:rsidR="0074103C" w:rsidRPr="00411594" w:rsidP="0074103C" w14:paraId="4A334FFB" w14:textId="77777777">
            <w:pPr>
              <w:pStyle w:val="naiskr"/>
              <w:spacing w:before="60" w:after="60"/>
              <w:jc w:val="both"/>
              <w:rPr>
                <w:sz w:val="22"/>
                <w:szCs w:val="22"/>
              </w:rPr>
            </w:pPr>
            <w:r w:rsidRPr="00411594">
              <w:rPr>
                <w:b/>
                <w:sz w:val="22"/>
                <w:szCs w:val="22"/>
              </w:rPr>
              <w:t>2</w:t>
            </w:r>
            <w:r>
              <w:rPr>
                <w:b/>
                <w:sz w:val="22"/>
                <w:szCs w:val="22"/>
              </w:rPr>
              <w:t>.</w:t>
            </w:r>
            <w:r w:rsidRPr="00411594">
              <w:rPr>
                <w:b/>
                <w:sz w:val="22"/>
                <w:szCs w:val="22"/>
              </w:rPr>
              <w:t> </w:t>
            </w:r>
            <w:r w:rsidRPr="00411594">
              <w:rPr>
                <w:sz w:val="22"/>
                <w:szCs w:val="22"/>
              </w:rPr>
              <w:t>ostu termināļu nosacījumi</w:t>
            </w:r>
            <w:r w:rsidRPr="00411594">
              <w:rPr>
                <w:bCs/>
                <w:sz w:val="22"/>
                <w:szCs w:val="22"/>
                <w:shd w:val="clear" w:color="auto" w:fill="FFFFFF"/>
              </w:rPr>
              <w:t xml:space="preserve"> likumprojekta tvērumā skar:</w:t>
            </w:r>
          </w:p>
          <w:p w:rsidR="0074103C" w:rsidRPr="00411594" w:rsidP="0074103C" w14:paraId="4A334FFC" w14:textId="77777777">
            <w:pPr>
              <w:pStyle w:val="naiskr"/>
              <w:spacing w:before="60" w:after="60"/>
              <w:jc w:val="both"/>
              <w:rPr>
                <w:sz w:val="22"/>
                <w:szCs w:val="22"/>
              </w:rPr>
            </w:pPr>
            <w:r w:rsidRPr="00411594">
              <w:rPr>
                <w:sz w:val="22"/>
                <w:szCs w:val="22"/>
              </w:rPr>
              <w:t>Brīvostu pārvaldes un ostu termināļu operatorus – attiecībā uz izgarojumu emisijas kontroles sistēmas uzstādīšanu, lai ierobežotu GOS emisiju ostu termināļos, kas rodas veicot naftas produktu un bīstamu ķīmisku vielu kravu iekraušanu tankkuģos.</w:t>
            </w:r>
          </w:p>
          <w:p w:rsidR="0074103C" w:rsidRPr="00411594" w:rsidP="0074103C" w14:paraId="4A334FFD" w14:textId="77777777">
            <w:pPr>
              <w:pStyle w:val="naiskr"/>
              <w:spacing w:before="60" w:after="60"/>
              <w:jc w:val="both"/>
              <w:rPr>
                <w:bCs/>
                <w:sz w:val="22"/>
                <w:szCs w:val="22"/>
                <w:shd w:val="clear" w:color="auto" w:fill="FFFFFF"/>
              </w:rPr>
            </w:pPr>
            <w:r w:rsidRPr="00411594">
              <w:rPr>
                <w:bCs/>
                <w:sz w:val="22"/>
                <w:szCs w:val="22"/>
                <w:shd w:val="clear" w:color="auto" w:fill="FFFFFF"/>
              </w:rPr>
              <w:t>Atbilstoši V</w:t>
            </w:r>
            <w:r>
              <w:rPr>
                <w:bCs/>
                <w:sz w:val="22"/>
                <w:szCs w:val="22"/>
                <w:shd w:val="clear" w:color="auto" w:fill="FFFFFF"/>
              </w:rPr>
              <w:t>VD</w:t>
            </w:r>
            <w:r w:rsidRPr="00411594">
              <w:rPr>
                <w:bCs/>
                <w:sz w:val="22"/>
                <w:szCs w:val="22"/>
                <w:shd w:val="clear" w:color="auto" w:fill="FFFFFF"/>
              </w:rPr>
              <w:t xml:space="preserve"> sniegtajai informācijai likumprojekta normas skars: </w:t>
            </w:r>
          </w:p>
          <w:p w:rsidR="0074103C" w:rsidRPr="00411594" w:rsidP="0074103C" w14:paraId="4A334FFE" w14:textId="77777777">
            <w:pPr>
              <w:pStyle w:val="naiskr"/>
              <w:numPr>
                <w:ilvl w:val="0"/>
                <w:numId w:val="15"/>
              </w:numPr>
              <w:spacing w:before="60" w:after="60"/>
              <w:ind w:left="284" w:hanging="284"/>
              <w:jc w:val="both"/>
              <w:rPr>
                <w:bCs/>
                <w:sz w:val="22"/>
                <w:szCs w:val="22"/>
                <w:shd w:val="clear" w:color="auto" w:fill="FFFFFF"/>
              </w:rPr>
            </w:pPr>
            <w:r w:rsidRPr="00411594">
              <w:rPr>
                <w:bCs/>
                <w:sz w:val="22"/>
                <w:szCs w:val="22"/>
                <w:shd w:val="clear" w:color="auto" w:fill="FFFFFF"/>
              </w:rPr>
              <w:t>Rīgas brīvostu un četrus ostas operatorus (SIA „Neste Latvija, SIA „</w:t>
            </w:r>
            <w:r w:rsidRPr="00411594">
              <w:rPr>
                <w:bCs/>
                <w:sz w:val="22"/>
                <w:szCs w:val="22"/>
                <w:shd w:val="clear" w:color="auto" w:fill="FFFFFF"/>
              </w:rPr>
              <w:t>Circle</w:t>
            </w:r>
            <w:r w:rsidRPr="00411594">
              <w:rPr>
                <w:bCs/>
                <w:sz w:val="22"/>
                <w:szCs w:val="22"/>
                <w:shd w:val="clear" w:color="auto" w:fill="FFFFFF"/>
              </w:rPr>
              <w:t xml:space="preserve"> K Latvia”, SIA „</w:t>
            </w:r>
            <w:r w:rsidRPr="00411594">
              <w:rPr>
                <w:bCs/>
                <w:sz w:val="22"/>
                <w:szCs w:val="22"/>
                <w:shd w:val="clear" w:color="auto" w:fill="FFFFFF"/>
              </w:rPr>
              <w:t>Woodison</w:t>
            </w:r>
            <w:r w:rsidRPr="00411594">
              <w:rPr>
                <w:bCs/>
                <w:sz w:val="22"/>
                <w:szCs w:val="22"/>
                <w:shd w:val="clear" w:color="auto" w:fill="FFFFFF"/>
              </w:rPr>
              <w:t xml:space="preserve"> Terminal”, SIA „</w:t>
            </w:r>
            <w:r w:rsidRPr="00411594">
              <w:rPr>
                <w:bCs/>
                <w:sz w:val="22"/>
                <w:szCs w:val="22"/>
                <w:shd w:val="clear" w:color="auto" w:fill="FFFFFF"/>
              </w:rPr>
              <w:t>Pars</w:t>
            </w:r>
            <w:r w:rsidRPr="00411594">
              <w:rPr>
                <w:bCs/>
                <w:sz w:val="22"/>
                <w:szCs w:val="22"/>
                <w:shd w:val="clear" w:color="auto" w:fill="FFFFFF"/>
              </w:rPr>
              <w:t xml:space="preserve"> Terminal”;</w:t>
            </w:r>
          </w:p>
          <w:p w:rsidR="0074103C" w:rsidRPr="004807D8" w:rsidP="00E42D24" w14:paraId="4A334FFF" w14:textId="77777777">
            <w:pPr>
              <w:pStyle w:val="naiskr"/>
              <w:numPr>
                <w:ilvl w:val="0"/>
                <w:numId w:val="15"/>
              </w:numPr>
              <w:spacing w:before="60" w:after="60"/>
              <w:ind w:left="284" w:hanging="284"/>
              <w:jc w:val="both"/>
              <w:rPr>
                <w:bCs/>
                <w:sz w:val="22"/>
                <w:szCs w:val="22"/>
                <w:shd w:val="clear" w:color="auto" w:fill="FFFFFF"/>
              </w:rPr>
            </w:pPr>
            <w:r w:rsidRPr="004807D8">
              <w:rPr>
                <w:bCs/>
                <w:sz w:val="22"/>
                <w:szCs w:val="22"/>
                <w:shd w:val="clear" w:color="auto" w:fill="FFFFFF"/>
              </w:rPr>
              <w:t>Ventspils brīvostu un sešus ostas operatorus (SIA „Ventspils nafta” termināls, SIA „</w:t>
            </w:r>
            <w:r w:rsidRPr="004807D8">
              <w:rPr>
                <w:bCs/>
                <w:sz w:val="22"/>
                <w:szCs w:val="22"/>
                <w:shd w:val="clear" w:color="auto" w:fill="FFFFFF"/>
              </w:rPr>
              <w:t>Ventall</w:t>
            </w:r>
            <w:r w:rsidRPr="004807D8">
              <w:rPr>
                <w:bCs/>
                <w:sz w:val="22"/>
                <w:szCs w:val="22"/>
                <w:shd w:val="clear" w:color="auto" w:fill="FFFFFF"/>
              </w:rPr>
              <w:t xml:space="preserve"> Termināls”, SIA „</w:t>
            </w:r>
            <w:r w:rsidRPr="004807D8">
              <w:rPr>
                <w:bCs/>
                <w:sz w:val="22"/>
                <w:szCs w:val="22"/>
                <w:shd w:val="clear" w:color="auto" w:fill="FFFFFF"/>
              </w:rPr>
              <w:t>Vars</w:t>
            </w:r>
            <w:r w:rsidRPr="004807D8">
              <w:rPr>
                <w:bCs/>
                <w:sz w:val="22"/>
                <w:szCs w:val="22"/>
                <w:shd w:val="clear" w:color="auto" w:fill="FFFFFF"/>
              </w:rPr>
              <w:t xml:space="preserve">”, SIA „Ventamonjaks”, </w:t>
            </w:r>
            <w:r w:rsidRPr="004807D8">
              <w:rPr>
                <w:color w:val="000000"/>
              </w:rPr>
              <w:t xml:space="preserve">SIA „VL </w:t>
            </w:r>
            <w:r w:rsidRPr="004807D8">
              <w:rPr>
                <w:color w:val="000000"/>
              </w:rPr>
              <w:t>Bunkerings</w:t>
            </w:r>
            <w:r w:rsidRPr="004807D8">
              <w:rPr>
                <w:color w:val="000000"/>
              </w:rPr>
              <w:t>”, SIA “</w:t>
            </w:r>
            <w:r w:rsidRPr="004807D8">
              <w:rPr>
                <w:color w:val="000000"/>
              </w:rPr>
              <w:t>Naftimpeks</w:t>
            </w:r>
            <w:r w:rsidRPr="004807D8">
              <w:rPr>
                <w:color w:val="000000"/>
              </w:rPr>
              <w:t>”</w:t>
            </w:r>
            <w:r w:rsidRPr="004807D8">
              <w:rPr>
                <w:bCs/>
                <w:shd w:val="clear" w:color="auto" w:fill="FFFFFF"/>
              </w:rPr>
              <w:t>). Norādāms, ka Ventspilī trijiem no termināliem, kuru darbību ar likumprojektu paredzētais regulējums skars</w:t>
            </w:r>
            <w:r w:rsidRPr="004807D8" w:rsidR="00074D3F">
              <w:rPr>
                <w:bCs/>
                <w:shd w:val="clear" w:color="auto" w:fill="FFFFFF"/>
              </w:rPr>
              <w:t>,</w:t>
            </w:r>
            <w:r w:rsidRPr="004807D8">
              <w:rPr>
                <w:bCs/>
                <w:shd w:val="clear" w:color="auto" w:fill="FFFFFF"/>
              </w:rPr>
              <w:t xml:space="preserve"> jau </w:t>
            </w:r>
            <w:r w:rsidRPr="004807D8" w:rsidR="00074D3F">
              <w:rPr>
                <w:bCs/>
                <w:shd w:val="clear" w:color="auto" w:fill="FFFFFF"/>
              </w:rPr>
              <w:t>šobrīd</w:t>
            </w:r>
            <w:r w:rsidRPr="004807D8">
              <w:rPr>
                <w:bCs/>
                <w:shd w:val="clear" w:color="auto" w:fill="FFFFFF"/>
              </w:rPr>
              <w:t xml:space="preserve"> ir uzstādītas emisiju izgarojumu savākšanas sistēmas (SIA „</w:t>
            </w:r>
            <w:r w:rsidRPr="004807D8">
              <w:rPr>
                <w:bCs/>
                <w:shd w:val="clear" w:color="auto" w:fill="FFFFFF"/>
              </w:rPr>
              <w:t>Ventall</w:t>
            </w:r>
            <w:r w:rsidRPr="004807D8">
              <w:rPr>
                <w:bCs/>
                <w:shd w:val="clear" w:color="auto" w:fill="FFFFFF"/>
              </w:rPr>
              <w:t xml:space="preserve"> Termināls”, SIA „</w:t>
            </w:r>
            <w:r w:rsidRPr="004807D8">
              <w:rPr>
                <w:bCs/>
                <w:shd w:val="clear" w:color="auto" w:fill="FFFFFF"/>
              </w:rPr>
              <w:t>Vars</w:t>
            </w:r>
            <w:r w:rsidRPr="004807D8">
              <w:rPr>
                <w:bCs/>
                <w:shd w:val="clear" w:color="auto" w:fill="FFFFFF"/>
              </w:rPr>
              <w:t xml:space="preserve">”, SIA „Ventamonjaks”). </w:t>
            </w:r>
            <w:r w:rsidRPr="004807D8">
              <w:rPr>
                <w:b/>
                <w:bCs/>
                <w:sz w:val="22"/>
                <w:szCs w:val="22"/>
                <w:shd w:val="clear" w:color="auto" w:fill="FFFFFF"/>
              </w:rPr>
              <w:t>3.</w:t>
            </w:r>
            <w:r w:rsidRPr="004807D8">
              <w:rPr>
                <w:bCs/>
                <w:sz w:val="22"/>
                <w:szCs w:val="22"/>
                <w:shd w:val="clear" w:color="auto" w:fill="FFFFFF"/>
              </w:rPr>
              <w:t> aprites cikla SEG emisiju samazināšanas nosacījumi likumprojekta tvērumā skar:</w:t>
            </w:r>
          </w:p>
          <w:p w:rsidR="0074103C" w:rsidP="0074103C" w14:paraId="4A335000" w14:textId="77777777">
            <w:pPr>
              <w:pStyle w:val="naiskr"/>
              <w:spacing w:before="60" w:after="60"/>
              <w:jc w:val="both"/>
              <w:rPr>
                <w:bCs/>
                <w:sz w:val="22"/>
                <w:szCs w:val="22"/>
                <w:shd w:val="clear" w:color="auto" w:fill="FFFFFF"/>
              </w:rPr>
            </w:pPr>
            <w:r w:rsidRPr="00957009">
              <w:rPr>
                <w:bCs/>
                <w:sz w:val="22"/>
                <w:szCs w:val="22"/>
                <w:shd w:val="clear" w:color="auto" w:fill="FFFFFF"/>
              </w:rPr>
              <w:t xml:space="preserve">Likumprojekta tiesiskais regulējums attiecībā uz aprites cikla </w:t>
            </w:r>
            <w:r>
              <w:rPr>
                <w:bCs/>
                <w:sz w:val="22"/>
                <w:szCs w:val="22"/>
                <w:shd w:val="clear" w:color="auto" w:fill="FFFFFF"/>
              </w:rPr>
              <w:t>SEG</w:t>
            </w:r>
            <w:r w:rsidRPr="00957009">
              <w:rPr>
                <w:bCs/>
                <w:sz w:val="22"/>
                <w:szCs w:val="22"/>
                <w:shd w:val="clear" w:color="auto" w:fill="FFFFFF"/>
              </w:rPr>
              <w:t xml:space="preserve"> emisiju samazināšanu no degviel</w:t>
            </w:r>
            <w:r>
              <w:rPr>
                <w:bCs/>
                <w:sz w:val="22"/>
                <w:szCs w:val="22"/>
                <w:shd w:val="clear" w:color="auto" w:fill="FFFFFF"/>
              </w:rPr>
              <w:t>as, ko izmanto autotransportā</w:t>
            </w:r>
            <w:r w:rsidR="004807D8">
              <w:rPr>
                <w:bCs/>
                <w:sz w:val="22"/>
                <w:szCs w:val="22"/>
                <w:shd w:val="clear" w:color="auto" w:fill="FFFFFF"/>
              </w:rPr>
              <w:t>,</w:t>
            </w:r>
            <w:r>
              <w:rPr>
                <w:bCs/>
                <w:sz w:val="22"/>
                <w:szCs w:val="22"/>
                <w:shd w:val="clear" w:color="auto" w:fill="FFFFFF"/>
              </w:rPr>
              <w:t xml:space="preserve"> v</w:t>
            </w:r>
            <w:r w:rsidRPr="00957009">
              <w:rPr>
                <w:bCs/>
                <w:sz w:val="22"/>
                <w:szCs w:val="22"/>
                <w:shd w:val="clear" w:color="auto" w:fill="FFFFFF"/>
              </w:rPr>
              <w:t>istiešāk ietekmēs personas, kuras atbildīgas par degvielas pārvietošanu caur akcīzes nodokļa maksāšanas vietu, t.i. personas, kuras ir saņēmušas speciālās atļaujas (licences) darbībām ar akcīzes precēm, galvenokārt komersanti, apmēram 45 juridiskās personas, kur</w:t>
            </w:r>
            <w:r>
              <w:rPr>
                <w:bCs/>
                <w:sz w:val="22"/>
                <w:szCs w:val="22"/>
                <w:shd w:val="clear" w:color="auto" w:fill="FFFFFF"/>
              </w:rPr>
              <w:t>as</w:t>
            </w:r>
            <w:r w:rsidRPr="00957009">
              <w:rPr>
                <w:bCs/>
                <w:sz w:val="22"/>
                <w:szCs w:val="22"/>
                <w:shd w:val="clear" w:color="auto" w:fill="FFFFFF"/>
              </w:rPr>
              <w:t xml:space="preserve"> ikdienā un tautsaimniecības darba procesa nodrošināšanai piegādā naftas produktus.</w:t>
            </w:r>
          </w:p>
          <w:p w:rsidR="0074103C" w:rsidRPr="00411594" w14:paraId="4A335001" w14:textId="77777777">
            <w:pPr>
              <w:pStyle w:val="naiskr"/>
              <w:spacing w:before="60" w:after="60"/>
              <w:jc w:val="both"/>
              <w:rPr>
                <w:bCs/>
                <w:sz w:val="22"/>
                <w:szCs w:val="22"/>
                <w:shd w:val="clear" w:color="auto" w:fill="FFFFFF"/>
              </w:rPr>
            </w:pPr>
            <w:r>
              <w:rPr>
                <w:sz w:val="22"/>
                <w:szCs w:val="22"/>
              </w:rPr>
              <w:t>VVD attiecībā uz jaunu pienākumu nodrošināt un uzraudzīt degvielas piegādātāju pienākuma izpildi samazināt piegādātās degvielas aprites cikla SEG emisiju apjomu, kā arī apkopot degvielas piegādātāju iesniegtos ikgadējos ziņojumus un sagatavot un Eiropas Komisijai iesniegt ikgadējo ziņojumu par direktīvas Nr. 2009/30/EK un direktīvas Nr. 2015/652 prasību izpildi</w:t>
            </w:r>
          </w:p>
        </w:tc>
      </w:tr>
      <w:tr w14:paraId="4A335026" w14:textId="77777777" w:rsidTr="0074103C">
        <w:tblPrEx>
          <w:tblW w:w="9356" w:type="dxa"/>
          <w:jc w:val="center"/>
          <w:tblCellMar>
            <w:left w:w="57" w:type="dxa"/>
            <w:right w:w="57" w:type="dxa"/>
          </w:tblCellMar>
          <w:tblLook w:val="00A0"/>
        </w:tblPrEx>
        <w:trPr>
          <w:trHeight w:val="510"/>
          <w:jc w:val="center"/>
        </w:trPr>
        <w:tc>
          <w:tcPr>
            <w:tcW w:w="250" w:type="pct"/>
          </w:tcPr>
          <w:p w:rsidR="0074103C" w:rsidRPr="00F122F9" w:rsidP="0074103C" w14:paraId="4A335003" w14:textId="77777777">
            <w:pPr>
              <w:spacing w:before="60" w:after="60"/>
              <w:jc w:val="left"/>
              <w:rPr>
                <w:rFonts w:ascii="Times New Roman" w:hAnsi="Times New Roman"/>
                <w:lang w:eastAsia="lv-LV"/>
              </w:rPr>
            </w:pPr>
            <w:r w:rsidRPr="00F122F9">
              <w:rPr>
                <w:rFonts w:ascii="Times New Roman" w:hAnsi="Times New Roman"/>
                <w:lang w:eastAsia="lv-LV"/>
              </w:rPr>
              <w:t>2.</w:t>
            </w:r>
          </w:p>
        </w:tc>
        <w:tc>
          <w:tcPr>
            <w:tcW w:w="927" w:type="pct"/>
          </w:tcPr>
          <w:p w:rsidR="0074103C" w:rsidRPr="00F122F9" w:rsidP="0074103C" w14:paraId="4A335004" w14:textId="77777777">
            <w:pPr>
              <w:spacing w:before="60" w:after="60"/>
              <w:jc w:val="left"/>
              <w:rPr>
                <w:rFonts w:ascii="Times New Roman" w:hAnsi="Times New Roman"/>
                <w:lang w:eastAsia="lv-LV"/>
              </w:rPr>
            </w:pPr>
            <w:r w:rsidRPr="00F122F9">
              <w:rPr>
                <w:rFonts w:ascii="Times New Roman" w:hAnsi="Times New Roman"/>
                <w:lang w:eastAsia="lv-LV"/>
              </w:rPr>
              <w:t>Tiesiskā regulējuma ietekme uz tautsaimniecību un administratīvo slogu</w:t>
            </w:r>
          </w:p>
        </w:tc>
        <w:tc>
          <w:tcPr>
            <w:tcW w:w="3823" w:type="pct"/>
          </w:tcPr>
          <w:p w:rsidR="0074103C" w:rsidRPr="00DB5E66" w14:paraId="4A335005" w14:textId="77777777">
            <w:pPr>
              <w:spacing w:before="60" w:after="60"/>
              <w:rPr>
                <w:rFonts w:ascii="Times New Roman" w:hAnsi="Times New Roman"/>
                <w:u w:val="single"/>
              </w:rPr>
            </w:pPr>
            <w:r w:rsidRPr="00DB5E66">
              <w:rPr>
                <w:rFonts w:ascii="Times New Roman" w:hAnsi="Times New Roman"/>
                <w:u w:val="single"/>
              </w:rPr>
              <w:t>Likumprojekta tiesiskā regulējuma paredzamā ietekme uz administratīvo slogu:</w:t>
            </w:r>
          </w:p>
          <w:p w:rsidR="0074103C" w:rsidRPr="00DB5E66" w14:paraId="4A335006" w14:textId="77777777">
            <w:pPr>
              <w:spacing w:before="60" w:after="60"/>
              <w:rPr>
                <w:rFonts w:ascii="Times New Roman" w:hAnsi="Times New Roman"/>
                <w:i/>
              </w:rPr>
            </w:pPr>
            <w:r>
              <w:rPr>
                <w:rFonts w:ascii="Times New Roman" w:hAnsi="Times New Roman"/>
                <w:i/>
              </w:rPr>
              <w:t>R</w:t>
            </w:r>
            <w:r w:rsidRPr="00DD4E86">
              <w:rPr>
                <w:rFonts w:ascii="Times New Roman" w:hAnsi="Times New Roman"/>
                <w:i/>
              </w:rPr>
              <w:t>egulas Nr.</w:t>
            </w:r>
            <w:r w:rsidR="004807D8">
              <w:rPr>
                <w:rFonts w:ascii="Times New Roman" w:hAnsi="Times New Roman"/>
                <w:i/>
              </w:rPr>
              <w:t> </w:t>
            </w:r>
            <w:r w:rsidRPr="00DD4E86">
              <w:rPr>
                <w:rFonts w:ascii="Times New Roman" w:hAnsi="Times New Roman"/>
                <w:i/>
              </w:rPr>
              <w:t>2015/757 3.</w:t>
            </w:r>
            <w:r w:rsidR="004807D8">
              <w:rPr>
                <w:rFonts w:ascii="Times New Roman" w:hAnsi="Times New Roman"/>
                <w:i/>
              </w:rPr>
              <w:t> </w:t>
            </w:r>
            <w:r w:rsidRPr="00DD4E86">
              <w:rPr>
                <w:rFonts w:ascii="Times New Roman" w:hAnsi="Times New Roman"/>
                <w:i/>
              </w:rPr>
              <w:t>panta „d” punktā definēt</w:t>
            </w:r>
            <w:r>
              <w:rPr>
                <w:rFonts w:ascii="Times New Roman" w:hAnsi="Times New Roman"/>
                <w:i/>
              </w:rPr>
              <w:t>ajam</w:t>
            </w:r>
            <w:r w:rsidRPr="00DD4E86">
              <w:rPr>
                <w:rFonts w:ascii="Times New Roman" w:hAnsi="Times New Roman"/>
                <w:i/>
              </w:rPr>
              <w:t xml:space="preserve"> uzņēmum</w:t>
            </w:r>
            <w:r>
              <w:rPr>
                <w:rFonts w:ascii="Times New Roman" w:hAnsi="Times New Roman"/>
                <w:i/>
              </w:rPr>
              <w:t>am</w:t>
            </w:r>
            <w:r w:rsidRPr="00DD4E86">
              <w:rPr>
                <w:rFonts w:ascii="Times New Roman" w:hAnsi="Times New Roman"/>
                <w:i/>
              </w:rPr>
              <w:t xml:space="preserve"> </w:t>
            </w:r>
            <w:r w:rsidRPr="00DB5E66">
              <w:rPr>
                <w:rFonts w:ascii="Times New Roman" w:hAnsi="Times New Roman"/>
                <w:i/>
              </w:rPr>
              <w:t>un verificētājam</w:t>
            </w:r>
          </w:p>
          <w:p w:rsidR="0074103C" w:rsidRPr="00DB5E66" w:rsidP="0074103C" w14:paraId="4A335007" w14:textId="77777777">
            <w:pPr>
              <w:spacing w:before="60" w:after="60"/>
              <w:rPr>
                <w:rFonts w:ascii="Times New Roman" w:hAnsi="Times New Roman"/>
              </w:rPr>
            </w:pPr>
            <w:r w:rsidRPr="00DD4E86">
              <w:rPr>
                <w:rFonts w:ascii="Times New Roman" w:hAnsi="Times New Roman"/>
              </w:rPr>
              <w:t>Regulas Nr.</w:t>
            </w:r>
            <w:r w:rsidR="004807D8">
              <w:rPr>
                <w:rFonts w:ascii="Times New Roman" w:hAnsi="Times New Roman"/>
              </w:rPr>
              <w:t> </w:t>
            </w:r>
            <w:r w:rsidRPr="00DD4E86">
              <w:rPr>
                <w:rFonts w:ascii="Times New Roman" w:hAnsi="Times New Roman"/>
              </w:rPr>
              <w:t>2015/757 3.</w:t>
            </w:r>
            <w:r w:rsidR="004807D8">
              <w:rPr>
                <w:rFonts w:ascii="Times New Roman" w:hAnsi="Times New Roman"/>
              </w:rPr>
              <w:t> </w:t>
            </w:r>
            <w:r w:rsidRPr="00DD4E86">
              <w:rPr>
                <w:rFonts w:ascii="Times New Roman" w:hAnsi="Times New Roman"/>
              </w:rPr>
              <w:t xml:space="preserve">panta „d” punktā definētajam uzņēmumam </w:t>
            </w:r>
            <w:r w:rsidRPr="00DB5E66">
              <w:rPr>
                <w:rFonts w:ascii="Times New Roman" w:hAnsi="Times New Roman"/>
              </w:rPr>
              <w:t>pienākumi un atbildība ir noteikta ar Regulu Nr. 2015/757</w:t>
            </w:r>
            <w:r>
              <w:rPr>
                <w:rFonts w:ascii="Times New Roman" w:hAnsi="Times New Roman"/>
              </w:rPr>
              <w:t xml:space="preserve"> – </w:t>
            </w:r>
            <w:r w:rsidRPr="00DB5E66">
              <w:rPr>
                <w:rFonts w:ascii="Times New Roman" w:hAnsi="Times New Roman"/>
              </w:rPr>
              <w:t>līdz 2017. gada 31. augustam ir jāsagatavo un savam izvēlētajam akreditētajam verificētājam jāiesniedz jūras kuģu, kas atbilst Regulas Nr. 2015/757 tvērumam, veikto darbību un tajās radīto CO</w:t>
            </w:r>
            <w:r w:rsidRPr="00DB5E66">
              <w:rPr>
                <w:rFonts w:ascii="Times New Roman" w:hAnsi="Times New Roman"/>
                <w:vertAlign w:val="subscript"/>
              </w:rPr>
              <w:t>2</w:t>
            </w:r>
            <w:r w:rsidRPr="00DB5E66">
              <w:rPr>
                <w:rFonts w:ascii="Times New Roman" w:hAnsi="Times New Roman"/>
              </w:rPr>
              <w:t xml:space="preserve"> emisiju monitoringa plānu</w:t>
            </w:r>
            <w:r>
              <w:rPr>
                <w:rFonts w:ascii="Times New Roman" w:hAnsi="Times New Roman"/>
              </w:rPr>
              <w:t>, sākot ar 2018.</w:t>
            </w:r>
            <w:r w:rsidR="004807D8">
              <w:rPr>
                <w:rFonts w:ascii="Times New Roman" w:hAnsi="Times New Roman"/>
              </w:rPr>
              <w:t> </w:t>
            </w:r>
            <w:r>
              <w:rPr>
                <w:rFonts w:ascii="Times New Roman" w:hAnsi="Times New Roman"/>
              </w:rPr>
              <w:t>gadu jāveic kuģu radīto CO</w:t>
            </w:r>
            <w:r w:rsidRPr="00DD4E86">
              <w:rPr>
                <w:rFonts w:ascii="Times New Roman" w:hAnsi="Times New Roman"/>
                <w:vertAlign w:val="subscript"/>
              </w:rPr>
              <w:t>2</w:t>
            </w:r>
            <w:r>
              <w:rPr>
                <w:rFonts w:ascii="Times New Roman" w:hAnsi="Times New Roman"/>
              </w:rPr>
              <w:t xml:space="preserve"> emisiju monitoringu un sākot ar 2019.</w:t>
            </w:r>
            <w:r w:rsidR="004807D8">
              <w:rPr>
                <w:rFonts w:ascii="Times New Roman" w:hAnsi="Times New Roman"/>
              </w:rPr>
              <w:t> </w:t>
            </w:r>
            <w:r>
              <w:rPr>
                <w:rFonts w:ascii="Times New Roman" w:hAnsi="Times New Roman"/>
              </w:rPr>
              <w:t>gadu jāiesniedz emisiju ziņojums par kuģu radīto CO</w:t>
            </w:r>
            <w:r w:rsidRPr="00DD4E86">
              <w:rPr>
                <w:rFonts w:ascii="Times New Roman" w:hAnsi="Times New Roman"/>
                <w:vertAlign w:val="subscript"/>
              </w:rPr>
              <w:t>2</w:t>
            </w:r>
            <w:r>
              <w:rPr>
                <w:rFonts w:ascii="Times New Roman" w:hAnsi="Times New Roman"/>
              </w:rPr>
              <w:t xml:space="preserve"> emisiju apjomu iepriekšējā gadā, kā arī uz klāja ir jāuzglabā atbilstības dokuments</w:t>
            </w:r>
            <w:r w:rsidRPr="00DB5E66">
              <w:rPr>
                <w:rFonts w:ascii="Times New Roman" w:hAnsi="Times New Roman"/>
              </w:rPr>
              <w:t>. Likumprojekts jaunus pienākumus un atbildību neparedz.</w:t>
            </w:r>
          </w:p>
          <w:p w:rsidR="0074103C" w:rsidRPr="00DB5E66" w:rsidP="0074103C" w14:paraId="4A335008" w14:textId="77777777">
            <w:pPr>
              <w:spacing w:before="60" w:after="60"/>
              <w:rPr>
                <w:rFonts w:ascii="Times New Roman" w:hAnsi="Times New Roman"/>
                <w:i/>
              </w:rPr>
            </w:pPr>
            <w:r w:rsidRPr="00DB5E66">
              <w:rPr>
                <w:rFonts w:ascii="Times New Roman" w:hAnsi="Times New Roman"/>
                <w:i/>
              </w:rPr>
              <w:t>Likumprojektā definētajam degvielas piegādātājam</w:t>
            </w:r>
          </w:p>
          <w:p w:rsidR="0074103C" w:rsidRPr="00DB5E66" w:rsidP="0074103C" w14:paraId="4A335009" w14:textId="77777777">
            <w:pPr>
              <w:spacing w:before="60" w:after="60"/>
              <w:rPr>
                <w:rFonts w:ascii="Times New Roman" w:hAnsi="Times New Roman"/>
              </w:rPr>
            </w:pPr>
            <w:r w:rsidRPr="00DB5E66">
              <w:rPr>
                <w:rFonts w:ascii="Times New Roman" w:hAnsi="Times New Roman"/>
              </w:rPr>
              <w:t>Degvielas piegādātājiem noteikti pienākumi attiecībā uz aprites cikla SEG emisiju samazināšanu un datu ziņošanu. Degvielas piegādātājiem sākot ar 2018. gadu būs jāziņo par siltumnīcefekta gāzu emisiju samazinājumu un no 2020. gada jānodrošina šo samazinājumu vismaz 6 % apmērā.</w:t>
            </w:r>
          </w:p>
          <w:p w:rsidR="0074103C" w:rsidRPr="00DB5E66" w:rsidP="0074103C" w14:paraId="4A33500A" w14:textId="77777777">
            <w:pPr>
              <w:spacing w:before="60" w:after="60"/>
              <w:rPr>
                <w:rFonts w:ascii="Times New Roman" w:hAnsi="Times New Roman"/>
                <w:i/>
              </w:rPr>
            </w:pPr>
            <w:r w:rsidRPr="00DB5E66">
              <w:rPr>
                <w:rFonts w:ascii="Times New Roman" w:hAnsi="Times New Roman"/>
                <w:i/>
              </w:rPr>
              <w:t>ES ETS operatoriem</w:t>
            </w:r>
          </w:p>
          <w:p w:rsidR="0074103C" w:rsidRPr="00DB5E66" w:rsidP="0074103C" w14:paraId="4A33500B" w14:textId="77777777">
            <w:pPr>
              <w:spacing w:before="60" w:after="60"/>
              <w:rPr>
                <w:rFonts w:ascii="Times New Roman" w:hAnsi="Times New Roman"/>
              </w:rPr>
            </w:pPr>
            <w:r w:rsidRPr="00DB5E66">
              <w:rPr>
                <w:rFonts w:ascii="Times New Roman" w:hAnsi="Times New Roman"/>
              </w:rPr>
              <w:t>Ir paredzams, ka, izmantojot ES ETS informācijas apmaiņas sistēmu DECLARE, ES ETS operatoriem administratīvais slogs samazināsies, jo turpmāk vairs nevajadzēs izmantot dažāda veida informācijas apmaiņas un iesniegšanas iespējas (e-pasts, elektroniski parakstīti dokumenti, pasts, personīgā iesniegšana), bet visa informācijas apmaiņa un uzglabāšana notiks vienkopus.</w:t>
            </w:r>
          </w:p>
          <w:p w:rsidR="0074103C" w:rsidRPr="00DB5E66" w14:paraId="4A33500C" w14:textId="77777777">
            <w:pPr>
              <w:keepNext/>
              <w:keepLines/>
              <w:spacing w:before="60" w:after="60"/>
              <w:outlineLvl w:val="2"/>
              <w:rPr>
                <w:rFonts w:ascii="Times New Roman" w:hAnsi="Times New Roman"/>
                <w:i/>
              </w:rPr>
            </w:pPr>
            <w:r w:rsidRPr="00DB5E66">
              <w:rPr>
                <w:rFonts w:ascii="Times New Roman" w:hAnsi="Times New Roman"/>
                <w:i/>
              </w:rPr>
              <w:t>VVD un VARAM</w:t>
            </w:r>
          </w:p>
          <w:p w:rsidR="0074103C" w:rsidRPr="00333CCB" w:rsidP="0074103C" w14:paraId="4A33500D" w14:textId="77777777">
            <w:pPr>
              <w:keepNext/>
              <w:keepLines/>
              <w:spacing w:before="60" w:after="60"/>
              <w:outlineLvl w:val="2"/>
              <w:rPr>
                <w:rFonts w:ascii="Times New Roman" w:hAnsi="Times New Roman"/>
              </w:rPr>
            </w:pPr>
            <w:r w:rsidRPr="00DB5E66">
              <w:rPr>
                <w:rFonts w:ascii="Times New Roman" w:hAnsi="Times New Roman"/>
              </w:rPr>
              <w:t xml:space="preserve">Ir </w:t>
            </w:r>
            <w:r w:rsidRPr="00333CCB">
              <w:rPr>
                <w:rFonts w:ascii="Times New Roman" w:hAnsi="Times New Roman"/>
              </w:rPr>
              <w:t xml:space="preserve">paredzams, ka VVD un VARAM palielināsies administratīvais slogs, jo šīs iestādes tiek noteiktas kā kompetentās iestādes </w:t>
            </w:r>
            <w:r w:rsidRPr="00B73620">
              <w:rPr>
                <w:rFonts w:ascii="Times New Roman" w:hAnsi="Times New Roman"/>
              </w:rPr>
              <w:t xml:space="preserve">atbilstoši Regulas Nr. 2015/757 </w:t>
            </w:r>
            <w:r w:rsidRPr="00333CCB">
              <w:rPr>
                <w:rFonts w:ascii="Times New Roman" w:hAnsi="Times New Roman"/>
              </w:rPr>
              <w:t xml:space="preserve">prasībām. </w:t>
            </w:r>
          </w:p>
          <w:p w:rsidR="0074103C" w:rsidRPr="0074103C" w:rsidP="0074103C" w14:paraId="4A33500E" w14:textId="77777777">
            <w:pPr>
              <w:keepNext/>
              <w:keepLines/>
              <w:spacing w:before="60" w:after="60"/>
              <w:outlineLvl w:val="2"/>
              <w:rPr>
                <w:rFonts w:ascii="Times New Roman" w:hAnsi="Times New Roman"/>
              </w:rPr>
            </w:pPr>
            <w:r w:rsidRPr="00333CCB">
              <w:rPr>
                <w:rFonts w:ascii="Times New Roman" w:hAnsi="Times New Roman"/>
              </w:rPr>
              <w:t xml:space="preserve">Ir paredzams, ka VARAM ir atbildīgā iestāde par normatīvo aktu bāzes izstrādi, </w:t>
            </w:r>
            <w:r w:rsidRPr="0074103C">
              <w:rPr>
                <w:rFonts w:ascii="Times New Roman" w:hAnsi="Times New Roman"/>
              </w:rPr>
              <w:t>savukārt VVD veiks pakārtotajos Ministru kabineta noteikumos noteiktās darbības. VVD likumprojekta un regulas Nr.</w:t>
            </w:r>
            <w:r w:rsidR="004807D8">
              <w:rPr>
                <w:rFonts w:ascii="Times New Roman" w:hAnsi="Times New Roman"/>
              </w:rPr>
              <w:t> </w:t>
            </w:r>
            <w:r w:rsidRPr="0074103C">
              <w:rPr>
                <w:rFonts w:ascii="Times New Roman" w:hAnsi="Times New Roman"/>
              </w:rPr>
              <w:t xml:space="preserve">2015/757 ietvaros tiek noteiktas šādas papildus administratīvās funkcijas: </w:t>
            </w:r>
          </w:p>
          <w:p w:rsidR="0074103C" w:rsidRPr="0074103C" w:rsidP="0074103C" w14:paraId="4A33500F" w14:textId="77777777">
            <w:pPr>
              <w:pStyle w:val="ListParagraph"/>
              <w:keepNext/>
              <w:keepLines/>
              <w:numPr>
                <w:ilvl w:val="0"/>
                <w:numId w:val="28"/>
              </w:numPr>
              <w:spacing w:before="60" w:after="60"/>
              <w:ind w:left="227" w:hanging="227"/>
              <w:contextualSpacing w:val="0"/>
              <w:outlineLvl w:val="2"/>
              <w:rPr>
                <w:sz w:val="22"/>
                <w:szCs w:val="22"/>
              </w:rPr>
            </w:pPr>
            <w:r w:rsidRPr="0074103C">
              <w:rPr>
                <w:sz w:val="22"/>
                <w:szCs w:val="22"/>
              </w:rPr>
              <w:t>ikgadējo emisiju ziņojumu saņemšana caur informācijas apmaiņas rīku THETIS GHG (ziņojumu rīkā ievieto kuģu uzņēmums un kā saņēmējs primāri būs Eiropas Komisija un VVD, ziņojums nekādi citādi papildus nav jāapstrādā);</w:t>
            </w:r>
          </w:p>
          <w:p w:rsidR="0074103C" w:rsidRPr="0074103C" w:rsidP="0074103C" w14:paraId="4A335010" w14:textId="77777777">
            <w:pPr>
              <w:pStyle w:val="ListParagraph"/>
              <w:keepNext/>
              <w:keepLines/>
              <w:numPr>
                <w:ilvl w:val="0"/>
                <w:numId w:val="28"/>
              </w:numPr>
              <w:spacing w:before="60" w:after="60"/>
              <w:ind w:left="227" w:hanging="227"/>
              <w:contextualSpacing w:val="0"/>
              <w:outlineLvl w:val="2"/>
              <w:rPr>
                <w:sz w:val="22"/>
                <w:szCs w:val="22"/>
              </w:rPr>
            </w:pPr>
            <w:r w:rsidRPr="0074103C">
              <w:rPr>
                <w:sz w:val="22"/>
                <w:szCs w:val="22"/>
              </w:rPr>
              <w:t>informācijas saņemšana no verificētājiem par tiek kuģiem, kuriem ir ticis verificēts (kā atbilstošs vai kā neatbilstošs) monitoringa plāns.</w:t>
            </w:r>
          </w:p>
          <w:p w:rsidR="0074103C" w:rsidRPr="0074103C" w:rsidP="0074103C" w14:paraId="4A335011" w14:textId="77777777">
            <w:pPr>
              <w:keepNext/>
              <w:keepLines/>
              <w:spacing w:before="60" w:after="60"/>
              <w:outlineLvl w:val="2"/>
              <w:rPr>
                <w:rFonts w:ascii="Times New Roman" w:hAnsi="Times New Roman"/>
              </w:rPr>
            </w:pPr>
            <w:r w:rsidRPr="0074103C">
              <w:rPr>
                <w:rFonts w:ascii="Times New Roman" w:hAnsi="Times New Roman"/>
              </w:rPr>
              <w:t>Nosacījumi attiecībā uz kuģu inspekcijām</w:t>
            </w:r>
            <w:r w:rsidR="00DE3648">
              <w:rPr>
                <w:rFonts w:ascii="Times New Roman" w:hAnsi="Times New Roman"/>
              </w:rPr>
              <w:t xml:space="preserve"> ir izteikti</w:t>
            </w:r>
            <w:r w:rsidRPr="0074103C">
              <w:rPr>
                <w:rFonts w:ascii="Times New Roman" w:hAnsi="Times New Roman"/>
              </w:rPr>
              <w:t xml:space="preserve"> </w:t>
            </w:r>
            <w:r w:rsidRPr="0074103C">
              <w:rPr>
                <w:rFonts w:ascii="Times New Roman" w:hAnsi="Times New Roman"/>
              </w:rPr>
              <w:t xml:space="preserve">Ministru kabineta </w:t>
            </w:r>
            <w:r w:rsidRPr="003C1ACB">
              <w:rPr>
                <w:rFonts w:ascii="Times New Roman" w:hAnsi="Times New Roman"/>
              </w:rPr>
              <w:t>2010.</w:t>
            </w:r>
            <w:r w:rsidR="004807D8">
              <w:rPr>
                <w:rFonts w:ascii="Times New Roman" w:hAnsi="Times New Roman"/>
              </w:rPr>
              <w:t> </w:t>
            </w:r>
            <w:r w:rsidRPr="003C1ACB">
              <w:rPr>
                <w:rFonts w:ascii="Times New Roman" w:hAnsi="Times New Roman"/>
              </w:rPr>
              <w:t>gada 2</w:t>
            </w:r>
            <w:r w:rsidR="00166712">
              <w:rPr>
                <w:rFonts w:ascii="Times New Roman" w:hAnsi="Times New Roman"/>
                <w:color w:val="000000" w:themeColor="text1"/>
              </w:rPr>
              <w:t>1.</w:t>
            </w:r>
            <w:r w:rsidR="004807D8">
              <w:rPr>
                <w:rFonts w:ascii="Times New Roman" w:hAnsi="Times New Roman"/>
                <w:color w:val="000000" w:themeColor="text1"/>
              </w:rPr>
              <w:t> </w:t>
            </w:r>
            <w:r w:rsidR="00166712">
              <w:rPr>
                <w:rFonts w:ascii="Times New Roman" w:hAnsi="Times New Roman"/>
                <w:color w:val="000000" w:themeColor="text1"/>
              </w:rPr>
              <w:t>decembra noteikumu</w:t>
            </w:r>
            <w:r w:rsidRPr="0074103C">
              <w:rPr>
                <w:rFonts w:ascii="Times New Roman" w:hAnsi="Times New Roman"/>
                <w:color w:val="000000" w:themeColor="text1"/>
              </w:rPr>
              <w:t xml:space="preserve"> Nr.</w:t>
            </w:r>
            <w:r w:rsidR="004807D8">
              <w:rPr>
                <w:rFonts w:ascii="Times New Roman" w:hAnsi="Times New Roman"/>
                <w:color w:val="000000" w:themeColor="text1"/>
              </w:rPr>
              <w:t> </w:t>
            </w:r>
            <w:r w:rsidRPr="0074103C">
              <w:rPr>
                <w:rFonts w:ascii="Times New Roman" w:hAnsi="Times New Roman"/>
                <w:color w:val="000000" w:themeColor="text1"/>
              </w:rPr>
              <w:t>1164 “Ostas valsts kontroles kārtība”</w:t>
            </w:r>
            <w:r w:rsidR="00166712">
              <w:rPr>
                <w:rFonts w:ascii="Times New Roman" w:hAnsi="Times New Roman"/>
                <w:color w:val="000000" w:themeColor="text1"/>
              </w:rPr>
              <w:t xml:space="preserve"> grozījumos (Ministru kabineta 2017.</w:t>
            </w:r>
            <w:r w:rsidR="004807D8">
              <w:rPr>
                <w:rFonts w:ascii="Times New Roman" w:hAnsi="Times New Roman"/>
                <w:color w:val="000000" w:themeColor="text1"/>
              </w:rPr>
              <w:t> </w:t>
            </w:r>
            <w:r w:rsidR="00166712">
              <w:rPr>
                <w:rFonts w:ascii="Times New Roman" w:hAnsi="Times New Roman"/>
                <w:color w:val="000000" w:themeColor="text1"/>
              </w:rPr>
              <w:t>gada 27.</w:t>
            </w:r>
            <w:r w:rsidR="004807D8">
              <w:rPr>
                <w:rFonts w:ascii="Times New Roman" w:hAnsi="Times New Roman"/>
                <w:color w:val="000000" w:themeColor="text1"/>
              </w:rPr>
              <w:t> </w:t>
            </w:r>
            <w:r w:rsidR="00166712">
              <w:rPr>
                <w:rFonts w:ascii="Times New Roman" w:hAnsi="Times New Roman"/>
                <w:color w:val="000000" w:themeColor="text1"/>
              </w:rPr>
              <w:t xml:space="preserve">jūnija </w:t>
            </w:r>
            <w:r w:rsidR="004807D8">
              <w:rPr>
                <w:rFonts w:ascii="Times New Roman" w:hAnsi="Times New Roman"/>
                <w:color w:val="000000" w:themeColor="text1"/>
              </w:rPr>
              <w:t>noteikumi</w:t>
            </w:r>
            <w:r w:rsidR="00166712">
              <w:rPr>
                <w:rFonts w:ascii="Times New Roman" w:hAnsi="Times New Roman"/>
                <w:color w:val="000000" w:themeColor="text1"/>
              </w:rPr>
              <w:t xml:space="preserve"> Nr.</w:t>
            </w:r>
            <w:r w:rsidR="004807D8">
              <w:rPr>
                <w:rFonts w:ascii="Times New Roman" w:hAnsi="Times New Roman"/>
                <w:color w:val="000000" w:themeColor="text1"/>
              </w:rPr>
              <w:t> </w:t>
            </w:r>
            <w:r w:rsidR="00166712">
              <w:rPr>
                <w:rFonts w:ascii="Times New Roman" w:hAnsi="Times New Roman"/>
                <w:color w:val="000000" w:themeColor="text1"/>
              </w:rPr>
              <w:t>383 “</w:t>
            </w:r>
            <w:r w:rsidRPr="00166712" w:rsidR="00166712">
              <w:rPr>
                <w:rFonts w:ascii="Times New Roman" w:hAnsi="Times New Roman"/>
                <w:color w:val="000000" w:themeColor="text1"/>
              </w:rPr>
              <w:t>Grozījumi Ministru kabineta 2010.</w:t>
            </w:r>
            <w:r w:rsidR="004807D8">
              <w:rPr>
                <w:rFonts w:ascii="Times New Roman" w:hAnsi="Times New Roman"/>
                <w:color w:val="000000" w:themeColor="text1"/>
              </w:rPr>
              <w:t> </w:t>
            </w:r>
            <w:r w:rsidRPr="00166712" w:rsidR="00166712">
              <w:rPr>
                <w:rFonts w:ascii="Times New Roman" w:hAnsi="Times New Roman"/>
                <w:color w:val="000000" w:themeColor="text1"/>
              </w:rPr>
              <w:t>gada 21.</w:t>
            </w:r>
            <w:r w:rsidR="004807D8">
              <w:rPr>
                <w:rFonts w:ascii="Times New Roman" w:hAnsi="Times New Roman"/>
                <w:color w:val="000000" w:themeColor="text1"/>
              </w:rPr>
              <w:t> </w:t>
            </w:r>
            <w:r w:rsidRPr="00166712" w:rsidR="00166712">
              <w:rPr>
                <w:rFonts w:ascii="Times New Roman" w:hAnsi="Times New Roman"/>
                <w:color w:val="000000" w:themeColor="text1"/>
              </w:rPr>
              <w:t>decembra noteikumos Nr.</w:t>
            </w:r>
            <w:r w:rsidR="004807D8">
              <w:rPr>
                <w:rFonts w:ascii="Times New Roman" w:hAnsi="Times New Roman"/>
                <w:color w:val="000000" w:themeColor="text1"/>
              </w:rPr>
              <w:t> </w:t>
            </w:r>
            <w:r w:rsidRPr="00166712" w:rsidR="00166712">
              <w:rPr>
                <w:rFonts w:ascii="Times New Roman" w:hAnsi="Times New Roman"/>
                <w:color w:val="000000" w:themeColor="text1"/>
              </w:rPr>
              <w:t xml:space="preserve">1164 </w:t>
            </w:r>
            <w:r w:rsidR="00166712">
              <w:rPr>
                <w:rFonts w:ascii="Times New Roman" w:hAnsi="Times New Roman"/>
                <w:color w:val="000000" w:themeColor="text1"/>
              </w:rPr>
              <w:t>“Ostas valsts kontroles kārtība”)</w:t>
            </w:r>
            <w:r w:rsidRPr="003C1ACB">
              <w:rPr>
                <w:rFonts w:ascii="Times New Roman" w:hAnsi="Times New Roman"/>
              </w:rPr>
              <w:t xml:space="preserve">. </w:t>
            </w:r>
            <w:r w:rsidR="00166712">
              <w:rPr>
                <w:rFonts w:ascii="Times New Roman" w:hAnsi="Times New Roman"/>
              </w:rPr>
              <w:t>A</w:t>
            </w:r>
            <w:r w:rsidRPr="003C1ACB">
              <w:rPr>
                <w:rFonts w:ascii="Times New Roman" w:hAnsi="Times New Roman"/>
              </w:rPr>
              <w:t>tbilstības dokumenta esamību uz klāja pārbaudīs Latvijas Jūras administrācijas Kuģošanas drošības inspekcija</w:t>
            </w:r>
            <w:r w:rsidRPr="00500383">
              <w:rPr>
                <w:rFonts w:ascii="Times New Roman" w:hAnsi="Times New Roman"/>
              </w:rPr>
              <w:t>.</w:t>
            </w:r>
          </w:p>
          <w:p w:rsidR="0074103C" w:rsidRPr="001F504E" w:rsidP="0074103C" w14:paraId="4A335012" w14:textId="77777777">
            <w:pPr>
              <w:spacing w:before="60" w:after="60"/>
              <w:rPr>
                <w:rFonts w:ascii="Times New Roman" w:hAnsi="Times New Roman"/>
              </w:rPr>
            </w:pPr>
            <w:r w:rsidRPr="0074103C">
              <w:rPr>
                <w:rFonts w:ascii="Times New Roman" w:hAnsi="Times New Roman"/>
              </w:rPr>
              <w:t>Ir paredzams, ka, izmantojot ES ETS informācijas apmaiņas sistēmu DECLARE, tā darbības uzsākšanas laikā palielināsies administratīvais slogs VVD inspektoriem, jo būs nepieciešams</w:t>
            </w:r>
            <w:r w:rsidRPr="001F504E">
              <w:rPr>
                <w:rFonts w:ascii="Times New Roman" w:hAnsi="Times New Roman"/>
              </w:rPr>
              <w:t xml:space="preserve"> Latvijas ES ETS operatoriem izveidot kontus (63 konti), savukārt turpmāk administratīvais slogs sakarā ar šīs sistēmas izmantošanu var samazināties.</w:t>
            </w:r>
          </w:p>
          <w:p w:rsidR="0074103C" w:rsidRPr="001F504E" w:rsidP="0074103C" w14:paraId="4A335013" w14:textId="77777777">
            <w:pPr>
              <w:spacing w:before="60" w:after="60"/>
              <w:rPr>
                <w:rFonts w:ascii="Times New Roman" w:hAnsi="Times New Roman"/>
              </w:rPr>
            </w:pPr>
            <w:r w:rsidRPr="001F504E">
              <w:rPr>
                <w:rFonts w:ascii="Times New Roman" w:hAnsi="Times New Roman"/>
              </w:rPr>
              <w:t>VVD samazināsies administratīvais slogs, jo VVD tīmekļvietnē būs nepieciešams turpmāk publicēt tikai SEG atļaujas un tā grozījumus, kā arī monitoringa plānus un VVD lēmumus par emisiju ziņojumu apstiprināšanu vai noraidīšanu.</w:t>
            </w:r>
          </w:p>
          <w:p w:rsidR="0074103C" w:rsidRPr="00DB5E66" w:rsidP="0074103C" w14:paraId="4A335014" w14:textId="77777777">
            <w:pPr>
              <w:keepNext/>
              <w:keepLines/>
              <w:spacing w:before="60" w:after="60"/>
              <w:outlineLvl w:val="2"/>
              <w:rPr>
                <w:rFonts w:ascii="Times New Roman" w:hAnsi="Times New Roman"/>
              </w:rPr>
            </w:pPr>
            <w:r>
              <w:rPr>
                <w:rFonts w:ascii="Times New Roman" w:hAnsi="Times New Roman"/>
                <w:i/>
              </w:rPr>
              <w:t>O</w:t>
            </w:r>
            <w:r w:rsidRPr="00DB5E66">
              <w:rPr>
                <w:rFonts w:ascii="Times New Roman" w:hAnsi="Times New Roman"/>
                <w:i/>
              </w:rPr>
              <w:t>stu termināļu operatoriem</w:t>
            </w:r>
            <w:r w:rsidRPr="00497953">
              <w:rPr>
                <w:rFonts w:ascii="Times New Roman" w:hAnsi="Times New Roman"/>
              </w:rPr>
              <w:t>, kas pārkrauj naftas produktus un bīstamas ķīmiskas vielas</w:t>
            </w:r>
            <w:r w:rsidR="004C293F">
              <w:rPr>
                <w:rFonts w:ascii="Times New Roman" w:hAnsi="Times New Roman"/>
              </w:rPr>
              <w:t>,</w:t>
            </w:r>
            <w:r w:rsidRPr="00497953">
              <w:rPr>
                <w:rFonts w:ascii="Times New Roman" w:hAnsi="Times New Roman"/>
              </w:rPr>
              <w:t xml:space="preserve"> līdz 2022.</w:t>
            </w:r>
            <w:r w:rsidRPr="00DB5E66">
              <w:rPr>
                <w:rFonts w:ascii="Times New Roman" w:hAnsi="Times New Roman"/>
              </w:rPr>
              <w:t xml:space="preserve"> gadam jānodrošina emisiju izgarojumu sistēmu </w:t>
            </w:r>
            <w:r w:rsidR="004C293F">
              <w:rPr>
                <w:rFonts w:ascii="Times New Roman" w:hAnsi="Times New Roman"/>
              </w:rPr>
              <w:t>esamība</w:t>
            </w:r>
            <w:r w:rsidRPr="00DB5E66">
              <w:rPr>
                <w:rFonts w:ascii="Times New Roman" w:hAnsi="Times New Roman"/>
              </w:rPr>
              <w:t xml:space="preserve">. </w:t>
            </w:r>
          </w:p>
          <w:p w:rsidR="0074103C" w:rsidRPr="00DB5E66" w:rsidP="0074103C" w14:paraId="4A335015" w14:textId="77777777">
            <w:pPr>
              <w:keepNext/>
              <w:keepLines/>
              <w:spacing w:before="60" w:after="60"/>
              <w:outlineLvl w:val="2"/>
              <w:rPr>
                <w:rFonts w:ascii="Times New Roman" w:hAnsi="Times New Roman"/>
                <w:i/>
              </w:rPr>
            </w:pPr>
            <w:r w:rsidRPr="00DB5E66">
              <w:rPr>
                <w:rFonts w:ascii="Times New Roman" w:hAnsi="Times New Roman"/>
                <w:i/>
              </w:rPr>
              <w:t>Ekonomikas ministrijai</w:t>
            </w:r>
          </w:p>
          <w:p w:rsidR="0074103C" w:rsidRPr="00DB5E66" w:rsidP="0074103C" w14:paraId="4A335016" w14:textId="77777777">
            <w:pPr>
              <w:keepNext/>
              <w:keepLines/>
              <w:spacing w:before="60" w:after="60"/>
              <w:outlineLvl w:val="2"/>
              <w:rPr>
                <w:rFonts w:ascii="Times New Roman" w:hAnsi="Times New Roman"/>
              </w:rPr>
            </w:pPr>
            <w:r w:rsidRPr="00DB5E66">
              <w:rPr>
                <w:rFonts w:ascii="Times New Roman" w:hAnsi="Times New Roman"/>
              </w:rPr>
              <w:t>Ministru kabineta noteikumu izstrāde, lai noteiktu nosacījumus degvielas piegādātāju piegādātās degvielas aprites cikla SEG emisiju samazināšanai un ziņošanai.</w:t>
            </w:r>
          </w:p>
          <w:p w:rsidR="0074103C" w:rsidRPr="00DB5E66" w:rsidP="0074103C" w14:paraId="4A335017" w14:textId="77777777">
            <w:pPr>
              <w:keepNext/>
              <w:keepLines/>
              <w:spacing w:before="60" w:after="60"/>
              <w:outlineLvl w:val="2"/>
              <w:rPr>
                <w:rFonts w:ascii="Times New Roman" w:hAnsi="Times New Roman"/>
                <w:i/>
              </w:rPr>
            </w:pPr>
            <w:r w:rsidRPr="00DB5E66">
              <w:rPr>
                <w:rFonts w:ascii="Times New Roman" w:hAnsi="Times New Roman"/>
                <w:i/>
              </w:rPr>
              <w:t>VVD</w:t>
            </w:r>
          </w:p>
          <w:p w:rsidR="0074103C" w:rsidP="0074103C" w14:paraId="4A335018" w14:textId="77777777">
            <w:pPr>
              <w:keepNext/>
              <w:keepLines/>
              <w:spacing w:before="60" w:after="60"/>
              <w:outlineLvl w:val="2"/>
              <w:rPr>
                <w:rFonts w:ascii="Times New Roman" w:hAnsi="Times New Roman"/>
              </w:rPr>
            </w:pPr>
            <w:r w:rsidRPr="00DB5E66">
              <w:rPr>
                <w:rFonts w:ascii="Times New Roman" w:hAnsi="Times New Roman"/>
              </w:rPr>
              <w:t>Piegādātāju piegādātās degvielas aprites cikla SEG emisiju samazināšana un ziņošana – no degvielas piegādātājiem saņemto datu apkopošana un ziņošana Eiropas Komisijai, kā arī sankciju administrēšana par uzliktā pienākuma attiecībā uz aprites cikla SEG emisiju samazināšanas pienākuma neizpildi perioda beigās.</w:t>
            </w:r>
          </w:p>
          <w:p w:rsidR="0074103C" w:rsidRPr="00DB5E66" w:rsidP="0074103C" w14:paraId="4A335019" w14:textId="77777777">
            <w:pPr>
              <w:keepNext/>
              <w:keepLines/>
              <w:spacing w:before="60" w:after="60"/>
              <w:outlineLvl w:val="2"/>
              <w:rPr>
                <w:rFonts w:ascii="Times New Roman" w:hAnsi="Times New Roman"/>
              </w:rPr>
            </w:pPr>
            <w:r>
              <w:rPr>
                <w:rFonts w:ascii="Times New Roman" w:hAnsi="Times New Roman"/>
              </w:rPr>
              <w:t>Paredzams, ka VVD šo pienākumu izpildei palielināsies administratīvais slogs, jo saskaņā ar Ekonomikas ministrijas aprēķiniem šie pienākumi ir veicami vismaz pusslodzes apjomā.</w:t>
            </w:r>
          </w:p>
          <w:p w:rsidR="0074103C" w:rsidRPr="00DB5E66" w:rsidP="0074103C" w14:paraId="4A33501A" w14:textId="77777777">
            <w:pPr>
              <w:spacing w:before="60" w:after="60"/>
              <w:ind w:firstLine="227"/>
              <w:rPr>
                <w:rFonts w:ascii="Times New Roman" w:hAnsi="Times New Roman"/>
              </w:rPr>
            </w:pPr>
          </w:p>
          <w:p w:rsidR="0074103C" w:rsidRPr="00DB5E66" w14:paraId="4A33501B" w14:textId="77777777">
            <w:pPr>
              <w:spacing w:before="60" w:after="60"/>
              <w:rPr>
                <w:rFonts w:ascii="Times New Roman" w:hAnsi="Times New Roman"/>
                <w:u w:val="single"/>
              </w:rPr>
            </w:pPr>
            <w:r w:rsidRPr="00DB5E66">
              <w:rPr>
                <w:rFonts w:ascii="Times New Roman" w:hAnsi="Times New Roman"/>
                <w:u w:val="single"/>
              </w:rPr>
              <w:t>Likumprojekta tiesiskā regulējuma ietekme uz uzņēmējdarbības vidi</w:t>
            </w:r>
          </w:p>
          <w:p w:rsidR="0074103C" w:rsidRPr="00DB5E66" w:rsidP="0074103C" w14:paraId="4A33501C" w14:textId="77777777">
            <w:pPr>
              <w:spacing w:before="60" w:after="60"/>
              <w:rPr>
                <w:rFonts w:ascii="Times New Roman" w:hAnsi="Times New Roman"/>
              </w:rPr>
            </w:pPr>
            <w:r w:rsidRPr="00B73620">
              <w:rPr>
                <w:rFonts w:ascii="Times New Roman" w:hAnsi="Times New Roman"/>
                <w:i/>
              </w:rPr>
              <w:t>Regulas Nr.</w:t>
            </w:r>
            <w:r w:rsidR="004C293F">
              <w:rPr>
                <w:rFonts w:ascii="Times New Roman" w:hAnsi="Times New Roman"/>
                <w:i/>
              </w:rPr>
              <w:t> </w:t>
            </w:r>
            <w:r w:rsidRPr="00B73620">
              <w:rPr>
                <w:rFonts w:ascii="Times New Roman" w:hAnsi="Times New Roman"/>
                <w:i/>
              </w:rPr>
              <w:t>2015/757 3.</w:t>
            </w:r>
            <w:r w:rsidR="004C293F">
              <w:rPr>
                <w:rFonts w:ascii="Times New Roman" w:hAnsi="Times New Roman"/>
                <w:i/>
              </w:rPr>
              <w:t> </w:t>
            </w:r>
            <w:r w:rsidRPr="00B73620">
              <w:rPr>
                <w:rFonts w:ascii="Times New Roman" w:hAnsi="Times New Roman"/>
                <w:i/>
              </w:rPr>
              <w:t xml:space="preserve">panta „d” punktā definētajam uzņēmumam </w:t>
            </w:r>
            <w:r w:rsidRPr="00DB5E66">
              <w:rPr>
                <w:rFonts w:ascii="Times New Roman" w:hAnsi="Times New Roman"/>
              </w:rPr>
              <w:t xml:space="preserve">pienākumi un atbildība ir noteikta ar Regulu Nr. 205/757. Likumprojekts pats par sevi jaunus pienākumus un atbildību </w:t>
            </w:r>
            <w:r>
              <w:rPr>
                <w:rFonts w:ascii="Times New Roman" w:hAnsi="Times New Roman"/>
              </w:rPr>
              <w:t xml:space="preserve">šiem uzņēmumiem </w:t>
            </w:r>
            <w:r w:rsidRPr="00DB5E66">
              <w:rPr>
                <w:rFonts w:ascii="Times New Roman" w:hAnsi="Times New Roman"/>
              </w:rPr>
              <w:t>nenoteic.</w:t>
            </w:r>
          </w:p>
          <w:p w:rsidR="0074103C" w:rsidRPr="00DB5E66" w:rsidP="0074103C" w14:paraId="4A33501D" w14:textId="77777777">
            <w:pPr>
              <w:spacing w:before="60" w:after="60"/>
              <w:rPr>
                <w:rFonts w:ascii="Times New Roman" w:hAnsi="Times New Roman"/>
              </w:rPr>
            </w:pPr>
            <w:r w:rsidRPr="00DB5E66">
              <w:rPr>
                <w:rFonts w:ascii="Times New Roman" w:hAnsi="Times New Roman"/>
              </w:rPr>
              <w:t xml:space="preserve">Nav paredzama būtiska ietekme uz uzņēmējdarbības vidi, jo atbilstoši Regulai Nr. 2015/757 </w:t>
            </w:r>
            <w:r>
              <w:rPr>
                <w:rFonts w:ascii="Times New Roman" w:hAnsi="Times New Roman"/>
                <w:lang w:eastAsia="lv-LV"/>
              </w:rPr>
              <w:t>r</w:t>
            </w:r>
            <w:r w:rsidRPr="00A25CA3">
              <w:rPr>
                <w:rFonts w:ascii="Times New Roman" w:hAnsi="Times New Roman"/>
                <w:lang w:eastAsia="lv-LV"/>
              </w:rPr>
              <w:t>egulas Nr.</w:t>
            </w:r>
            <w:r w:rsidR="004C293F">
              <w:rPr>
                <w:rFonts w:ascii="Times New Roman" w:hAnsi="Times New Roman"/>
                <w:lang w:eastAsia="lv-LV"/>
              </w:rPr>
              <w:t> </w:t>
            </w:r>
            <w:r w:rsidRPr="00A25CA3">
              <w:rPr>
                <w:rFonts w:ascii="Times New Roman" w:hAnsi="Times New Roman"/>
                <w:lang w:eastAsia="lv-LV"/>
              </w:rPr>
              <w:t>2015/757 3.</w:t>
            </w:r>
            <w:r w:rsidR="004C293F">
              <w:rPr>
                <w:rFonts w:ascii="Times New Roman" w:hAnsi="Times New Roman"/>
                <w:lang w:eastAsia="lv-LV"/>
              </w:rPr>
              <w:t> </w:t>
            </w:r>
            <w:r w:rsidRPr="00A25CA3">
              <w:rPr>
                <w:rFonts w:ascii="Times New Roman" w:hAnsi="Times New Roman"/>
                <w:lang w:eastAsia="lv-LV"/>
              </w:rPr>
              <w:t>panta „d” punktā definētajam uzņēmumam</w:t>
            </w:r>
            <w:r w:rsidRPr="00DB5E66">
              <w:rPr>
                <w:rFonts w:ascii="Times New Roman" w:hAnsi="Times New Roman"/>
              </w:rPr>
              <w:t xml:space="preserve"> būs jāveic tikai viņu īpašumā esošo jūras kuģu radīto CO</w:t>
            </w:r>
            <w:r w:rsidRPr="00DB5E66">
              <w:rPr>
                <w:rFonts w:ascii="Times New Roman" w:hAnsi="Times New Roman"/>
                <w:vertAlign w:val="subscript"/>
              </w:rPr>
              <w:t>2</w:t>
            </w:r>
            <w:r w:rsidRPr="00DB5E66">
              <w:rPr>
                <w:rFonts w:ascii="Times New Roman" w:hAnsi="Times New Roman"/>
              </w:rPr>
              <w:t xml:space="preserve"> emisiju monitoringu un ziņošanu par to, bet nebūs obligāti uzlikts </w:t>
            </w:r>
            <w:r w:rsidR="004C293F">
              <w:rPr>
                <w:rFonts w:ascii="Times New Roman" w:hAnsi="Times New Roman"/>
              </w:rPr>
              <w:t>pienākums</w:t>
            </w:r>
            <w:r w:rsidRPr="00DB5E66">
              <w:rPr>
                <w:rFonts w:ascii="Times New Roman" w:hAnsi="Times New Roman"/>
              </w:rPr>
              <w:t xml:space="preserve"> veikt kādas CO</w:t>
            </w:r>
            <w:r w:rsidRPr="00DB5E66">
              <w:rPr>
                <w:rFonts w:ascii="Times New Roman" w:hAnsi="Times New Roman"/>
                <w:vertAlign w:val="subscript"/>
              </w:rPr>
              <w:t>2</w:t>
            </w:r>
            <w:r w:rsidRPr="00DB5E66">
              <w:rPr>
                <w:rFonts w:ascii="Times New Roman" w:hAnsi="Times New Roman"/>
              </w:rPr>
              <w:t xml:space="preserve"> emisiju samazināšanas vai ierobežošanas darbības.</w:t>
            </w:r>
          </w:p>
          <w:p w:rsidR="0074103C" w:rsidRPr="00DB5E66" w:rsidP="0074103C" w14:paraId="4A33501E" w14:textId="77777777">
            <w:pPr>
              <w:spacing w:before="60" w:after="60"/>
              <w:rPr>
                <w:rFonts w:ascii="Times New Roman" w:hAnsi="Times New Roman"/>
              </w:rPr>
            </w:pPr>
            <w:r>
              <w:rPr>
                <w:rFonts w:ascii="Times New Roman" w:hAnsi="Times New Roman"/>
                <w:i/>
              </w:rPr>
              <w:t>O</w:t>
            </w:r>
            <w:r w:rsidRPr="00DB5E66">
              <w:rPr>
                <w:rFonts w:ascii="Times New Roman" w:hAnsi="Times New Roman"/>
                <w:i/>
              </w:rPr>
              <w:t>stu termināļu operatoriem</w:t>
            </w:r>
            <w:r w:rsidRPr="00DB5E66">
              <w:rPr>
                <w:rFonts w:ascii="Times New Roman" w:hAnsi="Times New Roman"/>
              </w:rPr>
              <w:t xml:space="preserve">, kas pārkrauj naftas produktus un bīstamas ķīmiskas vielas, līdz 2022. gadam jānodrošina emisiju izgarojumu sistēmu </w:t>
            </w:r>
            <w:r w:rsidR="004C293F">
              <w:rPr>
                <w:rFonts w:ascii="Times New Roman" w:hAnsi="Times New Roman"/>
              </w:rPr>
              <w:t>esamība</w:t>
            </w:r>
            <w:r w:rsidRPr="00DB5E66">
              <w:rPr>
                <w:rFonts w:ascii="Times New Roman" w:hAnsi="Times New Roman"/>
              </w:rPr>
              <w:t>. Atbilstoši šīs anotācijas sadaļas 1. punktam prasība attiecībā uz emisiju izgarojumu sistēmu no</w:t>
            </w:r>
            <w:r w:rsidR="004C293F">
              <w:rPr>
                <w:rFonts w:ascii="Times New Roman" w:hAnsi="Times New Roman"/>
              </w:rPr>
              <w:t>d</w:t>
            </w:r>
            <w:r w:rsidRPr="00DB5E66">
              <w:rPr>
                <w:rFonts w:ascii="Times New Roman" w:hAnsi="Times New Roman"/>
              </w:rPr>
              <w:t>ro</w:t>
            </w:r>
            <w:r w:rsidR="004C293F">
              <w:rPr>
                <w:rFonts w:ascii="Times New Roman" w:hAnsi="Times New Roman"/>
              </w:rPr>
              <w:t>š</w:t>
            </w:r>
            <w:r w:rsidRPr="00DB5E66">
              <w:rPr>
                <w:rFonts w:ascii="Times New Roman" w:hAnsi="Times New Roman"/>
              </w:rPr>
              <w:t>ināšanu jāveic kopumā astoņos termināļos</w:t>
            </w:r>
            <w:r w:rsidR="004C293F">
              <w:rPr>
                <w:rFonts w:ascii="Times New Roman" w:hAnsi="Times New Roman"/>
              </w:rPr>
              <w:t>,</w:t>
            </w:r>
            <w:r w:rsidRPr="00DB5E66">
              <w:rPr>
                <w:rFonts w:ascii="Times New Roman" w:hAnsi="Times New Roman"/>
              </w:rPr>
              <w:t xml:space="preserve"> no kuriem trijos jau šobrīd ir uzstādītas emisiju izgarojumu savākšanas iekārtas.</w:t>
            </w:r>
          </w:p>
          <w:p w:rsidR="0074103C" w:rsidRPr="00DB5E66" w:rsidP="0074103C" w14:paraId="4A33501F" w14:textId="77777777">
            <w:pPr>
              <w:spacing w:before="60" w:after="60"/>
              <w:rPr>
                <w:rFonts w:ascii="Times New Roman" w:hAnsi="Times New Roman"/>
                <w:i/>
              </w:rPr>
            </w:pPr>
            <w:r w:rsidRPr="00DB5E66">
              <w:rPr>
                <w:rFonts w:ascii="Times New Roman" w:hAnsi="Times New Roman"/>
                <w:i/>
              </w:rPr>
              <w:t>Likumprojektā definētajam degvielas piegādātājam</w:t>
            </w:r>
          </w:p>
          <w:p w:rsidR="0074103C" w:rsidRPr="00DB5E66" w:rsidP="0074103C" w14:paraId="4A335020" w14:textId="77777777">
            <w:pPr>
              <w:spacing w:before="60" w:after="60"/>
              <w:rPr>
                <w:rFonts w:ascii="Times New Roman" w:hAnsi="Times New Roman"/>
              </w:rPr>
            </w:pPr>
            <w:r w:rsidRPr="00DB5E66">
              <w:rPr>
                <w:rFonts w:ascii="Times New Roman" w:hAnsi="Times New Roman"/>
              </w:rPr>
              <w:t>Likumprojekta tiesiskais regulējums uzliek pienākumu degvielas piegādātājam līdz 2020. gadam veikt uzlabojumus vai papildu pasākumus aprites cikla SEG emisiju samazināšanai par 6 % salīdzinājumā ar 2011. gadu pret degvielas pamatstandartu. Šis SEG emisiju samazinājums ir jāveic visā aprites ciklā (ne tikai Latvijas teritorijā).</w:t>
            </w:r>
          </w:p>
          <w:p w:rsidR="0074103C" w:rsidRPr="00DB5E66" w:rsidP="0074103C" w14:paraId="4A335021" w14:textId="77777777">
            <w:pPr>
              <w:spacing w:before="60" w:after="60"/>
              <w:rPr>
                <w:rFonts w:ascii="Times New Roman" w:hAnsi="Times New Roman"/>
              </w:rPr>
            </w:pPr>
            <w:r w:rsidRPr="00DB5E66">
              <w:rPr>
                <w:rFonts w:ascii="Times New Roman" w:hAnsi="Times New Roman"/>
              </w:rPr>
              <w:t>Degvielas piegādātājiem paredzamas būtiskākās izmaksas saistībā ar aprites cikla SEG emisiju samazināšanu par 6 % salīdzinājumā ar 2011. gadu, kas iespējams sadārdzinās degvielas, kurināma un produkcijas cenu tautsaimniecībā un kuru būtībā sedz gala patērētājs.</w:t>
            </w:r>
          </w:p>
          <w:p w:rsidR="0074103C" w:rsidRPr="00DB5E66" w:rsidP="0074103C" w14:paraId="4A335022" w14:textId="77777777">
            <w:pPr>
              <w:spacing w:before="60" w:after="60"/>
              <w:rPr>
                <w:rFonts w:ascii="Times New Roman" w:hAnsi="Times New Roman"/>
              </w:rPr>
            </w:pPr>
            <w:r w:rsidRPr="00DB5E66">
              <w:rPr>
                <w:rFonts w:ascii="Times New Roman" w:hAnsi="Times New Roman"/>
              </w:rPr>
              <w:t xml:space="preserve">Ministru kabineta 2016. gada 24. maija noteikumu Nr. 319 „Darbības programmas „Izaugsme un nodarbinātība” 6.1.1. specifiskā atbalsta mērķa „Palielināt lielo ostu drošības līmeni un uzlabot transporta tīkla mobilitāti” nosacījumi atbilstoši III. nodaļas </w:t>
            </w:r>
            <w:r w:rsidRPr="00DB5E66">
              <w:rPr>
                <w:rFonts w:ascii="Times New Roman" w:hAnsi="Times New Roman"/>
              </w:rPr>
              <w:noBreakHyphen/>
              <w:t xml:space="preserve"> Atbalstāmās darbības un izmaksas </w:t>
            </w:r>
            <w:r w:rsidRPr="00DB5E66">
              <w:rPr>
                <w:rFonts w:ascii="Times New Roman" w:hAnsi="Times New Roman"/>
              </w:rPr>
              <w:noBreakHyphen/>
              <w:t xml:space="preserve"> virzīti arī uz ES </w:t>
            </w:r>
            <w:r w:rsidRPr="00DB5E66">
              <w:rPr>
                <w:rFonts w:ascii="Times New Roman" w:hAnsi="Times New Roman"/>
              </w:rPr>
              <w:t>fondu</w:t>
            </w:r>
            <w:r w:rsidRPr="00E42D24" w:rsidR="004C293F">
              <w:rPr>
                <w:rFonts w:ascii="Times New Roman" w:hAnsi="Times New Roman"/>
              </w:rPr>
              <w:t>atbalsta</w:t>
            </w:r>
            <w:r w:rsidRPr="00E42D24" w:rsidR="004C293F">
              <w:rPr>
                <w:rFonts w:ascii="Times New Roman" w:hAnsi="Times New Roman"/>
              </w:rPr>
              <w:t xml:space="preserve"> saņemšan</w:t>
            </w:r>
            <w:r w:rsidRPr="000E41E3" w:rsidR="004C293F">
              <w:rPr>
                <w:rFonts w:ascii="Times New Roman" w:hAnsi="Times New Roman"/>
              </w:rPr>
              <w:t>u</w:t>
            </w:r>
            <w:r w:rsidRPr="00DB5E66">
              <w:rPr>
                <w:rFonts w:ascii="Times New Roman" w:hAnsi="Times New Roman"/>
              </w:rPr>
              <w:t xml:space="preserve">, kas attiecas uz </w:t>
            </w:r>
            <w:r>
              <w:rPr>
                <w:rFonts w:ascii="Times New Roman" w:hAnsi="Times New Roman"/>
                <w:i/>
              </w:rPr>
              <w:t>”</w:t>
            </w:r>
            <w:r w:rsidRPr="00DB5E66">
              <w:rPr>
                <w:rFonts w:ascii="Times New Roman" w:hAnsi="Times New Roman"/>
                <w:i/>
              </w:rPr>
              <w:t>16.4. ar ugunsdzēsības un vides aizsardzības prasību ievērošanu saistīto iekārtu iegāde un infrastruktūras būvniecība”.</w:t>
            </w:r>
          </w:p>
          <w:p w:rsidR="0074103C" w:rsidRPr="00DB5E66" w14:paraId="4A335023" w14:textId="77777777">
            <w:pPr>
              <w:spacing w:before="60" w:after="60"/>
              <w:rPr>
                <w:rFonts w:ascii="Times New Roman" w:hAnsi="Times New Roman"/>
                <w:u w:val="single"/>
              </w:rPr>
            </w:pPr>
          </w:p>
          <w:p w:rsidR="0074103C" w:rsidRPr="00DB5E66" w14:paraId="4A335024" w14:textId="77777777">
            <w:pPr>
              <w:spacing w:before="60" w:after="60"/>
              <w:rPr>
                <w:rFonts w:ascii="Times New Roman" w:hAnsi="Times New Roman"/>
                <w:u w:val="single"/>
              </w:rPr>
            </w:pPr>
            <w:r w:rsidRPr="00DB5E66">
              <w:rPr>
                <w:rFonts w:ascii="Times New Roman" w:hAnsi="Times New Roman"/>
                <w:u w:val="single"/>
              </w:rPr>
              <w:t>Likumprojekta ietekme uz Nacionālā attīstības plāna rādītājiem, mikro vai makro līmenī</w:t>
            </w:r>
          </w:p>
          <w:p w:rsidR="0074103C" w:rsidRPr="00DB5E66" w:rsidP="0074103C" w14:paraId="4A335025" w14:textId="77777777">
            <w:pPr>
              <w:spacing w:before="60" w:after="60"/>
              <w:rPr>
                <w:rFonts w:ascii="Times New Roman" w:hAnsi="Times New Roman"/>
                <w:lang w:eastAsia="lv-LV"/>
              </w:rPr>
            </w:pPr>
            <w:r w:rsidRPr="00DB5E66">
              <w:rPr>
                <w:rFonts w:ascii="Times New Roman" w:hAnsi="Times New Roman"/>
              </w:rPr>
              <w:t>Likumprojekts nodrošinās Latvijas Nacionālā attīstības plāna 2014.-2020. gadam mērķa [120] un [199] izpildi.</w:t>
            </w:r>
          </w:p>
        </w:tc>
      </w:tr>
      <w:tr w14:paraId="4A33502A" w14:textId="77777777" w:rsidTr="0074103C">
        <w:tblPrEx>
          <w:tblW w:w="9356" w:type="dxa"/>
          <w:jc w:val="center"/>
          <w:tblCellMar>
            <w:left w:w="57" w:type="dxa"/>
            <w:right w:w="57" w:type="dxa"/>
          </w:tblCellMar>
          <w:tblLook w:val="00A0"/>
        </w:tblPrEx>
        <w:trPr>
          <w:trHeight w:val="510"/>
          <w:jc w:val="center"/>
        </w:trPr>
        <w:tc>
          <w:tcPr>
            <w:tcW w:w="250" w:type="pct"/>
          </w:tcPr>
          <w:p w:rsidR="0074103C" w:rsidRPr="00F122F9" w:rsidP="0074103C" w14:paraId="4A335027" w14:textId="77777777">
            <w:pPr>
              <w:spacing w:before="60" w:after="60"/>
              <w:jc w:val="left"/>
              <w:rPr>
                <w:rFonts w:ascii="Times New Roman" w:hAnsi="Times New Roman"/>
                <w:lang w:eastAsia="lv-LV"/>
              </w:rPr>
            </w:pPr>
            <w:r w:rsidRPr="00F122F9">
              <w:rPr>
                <w:rFonts w:ascii="Times New Roman" w:hAnsi="Times New Roman"/>
                <w:lang w:eastAsia="lv-LV"/>
              </w:rPr>
              <w:t xml:space="preserve">3. </w:t>
            </w:r>
          </w:p>
        </w:tc>
        <w:tc>
          <w:tcPr>
            <w:tcW w:w="927" w:type="pct"/>
          </w:tcPr>
          <w:p w:rsidR="0074103C" w:rsidRPr="00F122F9" w:rsidP="0074103C" w14:paraId="4A335028" w14:textId="77777777">
            <w:pPr>
              <w:spacing w:before="60" w:after="60"/>
              <w:jc w:val="left"/>
              <w:rPr>
                <w:rFonts w:ascii="Times New Roman" w:hAnsi="Times New Roman"/>
                <w:lang w:eastAsia="lv-LV"/>
              </w:rPr>
            </w:pPr>
            <w:r w:rsidRPr="00F122F9">
              <w:rPr>
                <w:rFonts w:ascii="Times New Roman" w:hAnsi="Times New Roman"/>
                <w:lang w:eastAsia="lv-LV"/>
              </w:rPr>
              <w:t>Administratīvo izmaksu monetārs novērtējums</w:t>
            </w:r>
          </w:p>
        </w:tc>
        <w:tc>
          <w:tcPr>
            <w:tcW w:w="3823" w:type="pct"/>
          </w:tcPr>
          <w:p w:rsidR="0074103C" w:rsidRPr="00411594" w:rsidP="0074103C" w14:paraId="4A335029" w14:textId="77777777">
            <w:pPr>
              <w:spacing w:before="60" w:after="60"/>
              <w:ind w:firstLine="170"/>
              <w:rPr>
                <w:rFonts w:ascii="Times New Roman" w:hAnsi="Times New Roman"/>
              </w:rPr>
            </w:pPr>
            <w:r w:rsidRPr="00411594">
              <w:rPr>
                <w:rFonts w:ascii="Times New Roman" w:hAnsi="Times New Roman"/>
              </w:rPr>
              <w:t>Šobrīd netiek paredzēta likumprojektā iekļauto nosacījumu ietekme uz administratīvajām izmaksām (naudas izteiksmē).</w:t>
            </w:r>
          </w:p>
        </w:tc>
      </w:tr>
      <w:tr w14:paraId="4A33502E" w14:textId="77777777" w:rsidTr="0074103C">
        <w:tblPrEx>
          <w:tblW w:w="9356" w:type="dxa"/>
          <w:jc w:val="center"/>
          <w:tblCellMar>
            <w:left w:w="57" w:type="dxa"/>
            <w:right w:w="57" w:type="dxa"/>
          </w:tblCellMar>
          <w:tblLook w:val="00A0"/>
        </w:tblPrEx>
        <w:trPr>
          <w:trHeight w:val="345"/>
          <w:jc w:val="center"/>
        </w:trPr>
        <w:tc>
          <w:tcPr>
            <w:tcW w:w="250" w:type="pct"/>
          </w:tcPr>
          <w:p w:rsidR="0074103C" w:rsidRPr="00F122F9" w:rsidP="0074103C" w14:paraId="4A33502B" w14:textId="77777777">
            <w:pPr>
              <w:spacing w:before="60" w:after="60"/>
              <w:jc w:val="left"/>
              <w:rPr>
                <w:rFonts w:ascii="Times New Roman" w:hAnsi="Times New Roman"/>
                <w:lang w:eastAsia="lv-LV"/>
              </w:rPr>
            </w:pPr>
            <w:r w:rsidRPr="00F122F9">
              <w:rPr>
                <w:rFonts w:ascii="Times New Roman" w:hAnsi="Times New Roman"/>
                <w:lang w:eastAsia="lv-LV"/>
              </w:rPr>
              <w:t>4.</w:t>
            </w:r>
          </w:p>
        </w:tc>
        <w:tc>
          <w:tcPr>
            <w:tcW w:w="927" w:type="pct"/>
          </w:tcPr>
          <w:p w:rsidR="0074103C" w:rsidRPr="00F122F9" w:rsidP="0074103C" w14:paraId="4A33502C" w14:textId="77777777">
            <w:pPr>
              <w:spacing w:before="60" w:after="60"/>
              <w:jc w:val="left"/>
              <w:rPr>
                <w:rFonts w:ascii="Times New Roman" w:hAnsi="Times New Roman"/>
                <w:lang w:eastAsia="lv-LV"/>
              </w:rPr>
            </w:pPr>
            <w:r w:rsidRPr="00F122F9">
              <w:rPr>
                <w:rFonts w:ascii="Times New Roman" w:hAnsi="Times New Roman"/>
                <w:lang w:eastAsia="lv-LV"/>
              </w:rPr>
              <w:t>Cita informācija</w:t>
            </w:r>
          </w:p>
        </w:tc>
        <w:tc>
          <w:tcPr>
            <w:tcW w:w="3823" w:type="pct"/>
          </w:tcPr>
          <w:p w:rsidR="0074103C" w:rsidRPr="00411594" w:rsidP="0074103C" w14:paraId="4A33502D" w14:textId="77777777">
            <w:pPr>
              <w:pStyle w:val="BodyTextIndent2"/>
              <w:spacing w:before="60" w:after="60" w:line="240" w:lineRule="auto"/>
              <w:ind w:left="0" w:firstLine="113"/>
              <w:jc w:val="both"/>
              <w:rPr>
                <w:sz w:val="22"/>
                <w:szCs w:val="22"/>
              </w:rPr>
            </w:pPr>
            <w:r w:rsidRPr="00411594">
              <w:rPr>
                <w:sz w:val="22"/>
                <w:szCs w:val="22"/>
              </w:rPr>
              <w:t>Nav</w:t>
            </w:r>
          </w:p>
        </w:tc>
      </w:tr>
    </w:tbl>
    <w:p w:rsidR="0074103C" w:rsidRPr="00134806" w:rsidP="0074103C" w14:paraId="4A33502F" w14:textId="77777777">
      <w:pPr>
        <w:spacing w:after="0"/>
        <w:rPr>
          <w:rFonts w:ascii="Times New Roman" w:hAnsi="Times New Roman"/>
          <w:b/>
          <w:sz w:val="28"/>
          <w:szCs w:val="28"/>
        </w:rPr>
      </w:pPr>
    </w:p>
    <w:tbl>
      <w:tblPr>
        <w:tblW w:w="9356" w:type="dxa"/>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3144"/>
        <w:gridCol w:w="1175"/>
        <w:gridCol w:w="1547"/>
        <w:gridCol w:w="1160"/>
        <w:gridCol w:w="1175"/>
        <w:gridCol w:w="1155"/>
      </w:tblGrid>
      <w:tr w14:paraId="4A335031" w14:textId="77777777" w:rsidTr="0074103C">
        <w:tblPrEx>
          <w:tblW w:w="9356" w:type="dxa"/>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Ex>
        <w:trPr>
          <w:trHeight w:val="360"/>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rsidR="0074103C" w14:paraId="4A335030" w14:textId="77777777">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III. Tiesību akta projekta ietekme uz valsts budžetu un pašvaldību budžetiem</w:t>
            </w:r>
          </w:p>
        </w:tc>
      </w:tr>
      <w:tr w14:paraId="4A335035" w14:textId="77777777" w:rsidTr="0074103C">
        <w:tblPrEx>
          <w:tblW w:w="9356" w:type="dxa"/>
          <w:jc w:val="center"/>
          <w:tblCellMar>
            <w:top w:w="30" w:type="dxa"/>
            <w:left w:w="30" w:type="dxa"/>
            <w:bottom w:w="30" w:type="dxa"/>
            <w:right w:w="30" w:type="dxa"/>
          </w:tblCellMar>
          <w:tblLook w:val="04A0"/>
        </w:tblPrEx>
        <w:trPr>
          <w:jc w:val="center"/>
        </w:trPr>
        <w:tc>
          <w:tcPr>
            <w:tcW w:w="1680" w:type="pct"/>
            <w:vMerge w:val="restar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2" w14:textId="77777777">
            <w:pPr>
              <w:spacing w:after="0"/>
              <w:jc w:val="center"/>
              <w:rPr>
                <w:rFonts w:ascii="Times New Roman" w:eastAsia="Times New Roman" w:hAnsi="Times New Roman"/>
                <w:b/>
                <w:bCs/>
                <w:sz w:val="20"/>
                <w:szCs w:val="20"/>
                <w:lang w:eastAsia="lv-LV"/>
              </w:rPr>
            </w:pPr>
            <w:r w:rsidRPr="00134806">
              <w:rPr>
                <w:rFonts w:ascii="Times New Roman" w:eastAsia="Times New Roman" w:hAnsi="Times New Roman"/>
                <w:b/>
                <w:bCs/>
                <w:sz w:val="20"/>
                <w:szCs w:val="20"/>
                <w:lang w:eastAsia="lv-LV"/>
              </w:rPr>
              <w:t>Rādītāji</w:t>
            </w:r>
          </w:p>
        </w:tc>
        <w:tc>
          <w:tcPr>
            <w:tcW w:w="1455"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3" w14:textId="77777777">
            <w:pPr>
              <w:spacing w:after="0"/>
              <w:jc w:val="center"/>
              <w:rPr>
                <w:rFonts w:ascii="Times New Roman" w:eastAsia="Times New Roman" w:hAnsi="Times New Roman"/>
                <w:b/>
                <w:bCs/>
                <w:sz w:val="20"/>
                <w:szCs w:val="20"/>
                <w:lang w:eastAsia="lv-LV"/>
              </w:rPr>
            </w:pPr>
            <w:r w:rsidRPr="00134806">
              <w:rPr>
                <w:rFonts w:ascii="Times New Roman" w:hAnsi="Times New Roman"/>
                <w:b/>
                <w:sz w:val="20"/>
                <w:szCs w:val="20"/>
              </w:rPr>
              <w:t>2017.</w:t>
            </w:r>
            <w:r>
              <w:rPr>
                <w:rFonts w:ascii="Times New Roman" w:hAnsi="Times New Roman"/>
                <w:b/>
                <w:sz w:val="20"/>
                <w:szCs w:val="20"/>
              </w:rPr>
              <w:t> </w:t>
            </w:r>
            <w:r w:rsidRPr="00134806">
              <w:rPr>
                <w:rFonts w:ascii="Times New Roman" w:hAnsi="Times New Roman"/>
                <w:b/>
                <w:sz w:val="20"/>
                <w:szCs w:val="20"/>
              </w:rPr>
              <w:t>gads</w:t>
            </w:r>
          </w:p>
        </w:tc>
        <w:tc>
          <w:tcPr>
            <w:tcW w:w="1865" w:type="pct"/>
            <w:gridSpan w:val="3"/>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4" w14:textId="77777777">
            <w:pPr>
              <w:spacing w:after="0"/>
              <w:jc w:val="center"/>
              <w:rPr>
                <w:rFonts w:ascii="Times New Roman" w:eastAsia="Times New Roman" w:hAnsi="Times New Roman"/>
                <w:sz w:val="20"/>
                <w:szCs w:val="20"/>
                <w:lang w:eastAsia="lv-LV"/>
              </w:rPr>
            </w:pPr>
            <w:r w:rsidRPr="00134806">
              <w:rPr>
                <w:rFonts w:ascii="Times New Roman" w:hAnsi="Times New Roman"/>
                <w:sz w:val="20"/>
                <w:szCs w:val="20"/>
              </w:rPr>
              <w:t>Turpmākie trīs gadi (</w:t>
            </w:r>
            <w:r w:rsidRPr="00134806">
              <w:rPr>
                <w:rFonts w:ascii="Times New Roman" w:hAnsi="Times New Roman"/>
                <w:i/>
                <w:sz w:val="20"/>
                <w:szCs w:val="20"/>
              </w:rPr>
              <w:t>euro</w:t>
            </w:r>
            <w:r w:rsidRPr="00134806">
              <w:rPr>
                <w:rFonts w:ascii="Times New Roman" w:hAnsi="Times New Roman"/>
                <w:sz w:val="20"/>
                <w:szCs w:val="20"/>
              </w:rPr>
              <w:t>)</w:t>
            </w:r>
          </w:p>
        </w:tc>
      </w:tr>
      <w:tr w14:paraId="4A33503B" w14:textId="77777777" w:rsidTr="0074103C">
        <w:tblPrEx>
          <w:tblW w:w="9356" w:type="dxa"/>
          <w:jc w:val="center"/>
          <w:tblCellMar>
            <w:top w:w="30" w:type="dxa"/>
            <w:left w:w="30" w:type="dxa"/>
            <w:bottom w:w="30" w:type="dxa"/>
            <w:right w:w="30" w:type="dxa"/>
          </w:tblCellMar>
          <w:tblLook w:val="04A0"/>
        </w:tblPrEx>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6" w14:textId="77777777">
            <w:pPr>
              <w:spacing w:after="0"/>
              <w:jc w:val="left"/>
              <w:rPr>
                <w:rFonts w:ascii="Times New Roman" w:eastAsia="Times New Roman" w:hAnsi="Times New Roman"/>
                <w:b/>
                <w:bCs/>
                <w:sz w:val="20"/>
                <w:szCs w:val="20"/>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7" w14:textId="77777777">
            <w:pPr>
              <w:spacing w:after="0"/>
              <w:jc w:val="left"/>
              <w:rPr>
                <w:rFonts w:ascii="Times New Roman" w:eastAsia="Times New Roman" w:hAnsi="Times New Roman"/>
                <w:b/>
                <w:bCs/>
                <w:sz w:val="20"/>
                <w:szCs w:val="20"/>
                <w:lang w:eastAsia="lv-LV"/>
              </w:rPr>
            </w:pP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8" w14:textId="77777777">
            <w:pPr>
              <w:spacing w:after="0"/>
              <w:jc w:val="center"/>
              <w:rPr>
                <w:rFonts w:ascii="Times New Roman" w:eastAsia="Times New Roman" w:hAnsi="Times New Roman"/>
                <w:b/>
                <w:bCs/>
                <w:sz w:val="20"/>
                <w:szCs w:val="20"/>
                <w:lang w:eastAsia="lv-LV"/>
              </w:rPr>
            </w:pPr>
            <w:r w:rsidRPr="00134806">
              <w:rPr>
                <w:rFonts w:ascii="Times New Roman" w:hAnsi="Times New Roman"/>
                <w:b/>
                <w:bCs/>
                <w:sz w:val="20"/>
                <w:szCs w:val="20"/>
              </w:rPr>
              <w:t>2018.</w:t>
            </w:r>
            <w:r>
              <w:rPr>
                <w:rFonts w:ascii="Times New Roman" w:hAnsi="Times New Roman"/>
                <w:b/>
                <w:bCs/>
                <w:sz w:val="20"/>
                <w:szCs w:val="20"/>
              </w:rPr>
              <w:t> </w:t>
            </w:r>
            <w:r w:rsidRPr="00134806">
              <w:rPr>
                <w:rFonts w:ascii="Times New Roman" w:hAnsi="Times New Roman"/>
                <w:b/>
                <w:bCs/>
                <w:sz w:val="20"/>
                <w:szCs w:val="20"/>
              </w:rPr>
              <w:t>gads</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9" w14:textId="77777777">
            <w:pPr>
              <w:spacing w:after="0"/>
              <w:jc w:val="center"/>
              <w:rPr>
                <w:rFonts w:ascii="Times New Roman" w:eastAsia="Times New Roman" w:hAnsi="Times New Roman"/>
                <w:b/>
                <w:bCs/>
                <w:sz w:val="20"/>
                <w:szCs w:val="20"/>
                <w:lang w:eastAsia="lv-LV"/>
              </w:rPr>
            </w:pPr>
            <w:r w:rsidRPr="00134806">
              <w:rPr>
                <w:rFonts w:ascii="Times New Roman" w:hAnsi="Times New Roman"/>
                <w:b/>
                <w:bCs/>
                <w:sz w:val="20"/>
                <w:szCs w:val="20"/>
              </w:rPr>
              <w:t>2019.</w:t>
            </w:r>
            <w:r>
              <w:rPr>
                <w:rFonts w:ascii="Times New Roman" w:hAnsi="Times New Roman"/>
                <w:b/>
                <w:bCs/>
                <w:sz w:val="20"/>
                <w:szCs w:val="20"/>
              </w:rPr>
              <w:t> </w:t>
            </w:r>
            <w:r w:rsidRPr="00134806">
              <w:rPr>
                <w:rFonts w:ascii="Times New Roman" w:hAnsi="Times New Roman"/>
                <w:b/>
                <w:bCs/>
                <w:sz w:val="20"/>
                <w:szCs w:val="20"/>
              </w:rPr>
              <w:t>gads</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A" w14:textId="77777777">
            <w:pPr>
              <w:spacing w:after="0"/>
              <w:jc w:val="center"/>
              <w:rPr>
                <w:rFonts w:ascii="Times New Roman" w:eastAsia="Times New Roman" w:hAnsi="Times New Roman"/>
                <w:b/>
                <w:bCs/>
                <w:sz w:val="20"/>
                <w:szCs w:val="20"/>
                <w:lang w:eastAsia="lv-LV"/>
              </w:rPr>
            </w:pPr>
            <w:r w:rsidRPr="00134806">
              <w:rPr>
                <w:rFonts w:ascii="Times New Roman" w:hAnsi="Times New Roman"/>
                <w:b/>
                <w:bCs/>
                <w:sz w:val="20"/>
                <w:szCs w:val="20"/>
              </w:rPr>
              <w:t>2020.</w:t>
            </w:r>
            <w:r>
              <w:rPr>
                <w:rFonts w:ascii="Times New Roman" w:hAnsi="Times New Roman"/>
                <w:b/>
                <w:bCs/>
                <w:sz w:val="20"/>
                <w:szCs w:val="20"/>
              </w:rPr>
              <w:t> </w:t>
            </w:r>
            <w:r w:rsidRPr="00134806">
              <w:rPr>
                <w:rFonts w:ascii="Times New Roman" w:hAnsi="Times New Roman"/>
                <w:b/>
                <w:bCs/>
                <w:sz w:val="20"/>
                <w:szCs w:val="20"/>
              </w:rPr>
              <w:t>gads</w:t>
            </w:r>
          </w:p>
        </w:tc>
      </w:tr>
      <w:tr w14:paraId="4A335042" w14:textId="77777777" w:rsidTr="0074103C">
        <w:tblPrEx>
          <w:tblW w:w="9356" w:type="dxa"/>
          <w:jc w:val="center"/>
          <w:tblCellMar>
            <w:top w:w="30" w:type="dxa"/>
            <w:left w:w="30" w:type="dxa"/>
            <w:bottom w:w="30" w:type="dxa"/>
            <w:right w:w="30" w:type="dxa"/>
          </w:tblCellMar>
          <w:tblLook w:val="04A0"/>
        </w:tblPrEx>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C" w14:textId="77777777">
            <w:pPr>
              <w:spacing w:after="0"/>
              <w:jc w:val="left"/>
              <w:rPr>
                <w:rFonts w:ascii="Times New Roman" w:eastAsia="Times New Roman" w:hAnsi="Times New Roman"/>
                <w:b/>
                <w:bCs/>
                <w:sz w:val="20"/>
                <w:szCs w:val="20"/>
                <w:lang w:eastAsia="lv-LV"/>
              </w:rPr>
            </w:pP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D" w14:textId="77777777">
            <w:pPr>
              <w:spacing w:after="0"/>
              <w:jc w:val="center"/>
              <w:rPr>
                <w:rFonts w:ascii="Times New Roman" w:eastAsia="Times New Roman" w:hAnsi="Times New Roman"/>
                <w:sz w:val="20"/>
                <w:szCs w:val="20"/>
                <w:lang w:eastAsia="lv-LV"/>
              </w:rPr>
            </w:pPr>
            <w:r w:rsidRPr="00584840">
              <w:rPr>
                <w:rFonts w:ascii="Times New Roman" w:hAnsi="Times New Roman"/>
                <w:sz w:val="20"/>
                <w:szCs w:val="20"/>
                <w:lang w:eastAsia="lv-LV"/>
              </w:rPr>
              <w:t>saskaņā ar valsts budžetu kārtējam gadam</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E" w14:textId="77777777">
            <w:pPr>
              <w:spacing w:after="0"/>
              <w:jc w:val="center"/>
              <w:rPr>
                <w:rFonts w:ascii="Times New Roman" w:eastAsia="Times New Roman" w:hAnsi="Times New Roman"/>
                <w:sz w:val="20"/>
                <w:szCs w:val="20"/>
                <w:lang w:eastAsia="lv-LV"/>
              </w:rPr>
            </w:pPr>
            <w:r w:rsidRPr="00584840">
              <w:rPr>
                <w:rFonts w:ascii="Times New Roman" w:hAnsi="Times New Roman"/>
                <w:sz w:val="20"/>
                <w:szCs w:val="20"/>
                <w:lang w:eastAsia="lv-LV"/>
              </w:rPr>
              <w:t>izmaiņas kārtējā gadā, salīdzinot ar valsts budžetu kārtējam gadam</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3F" w14:textId="77777777">
            <w:pPr>
              <w:spacing w:after="0"/>
              <w:jc w:val="center"/>
              <w:rPr>
                <w:rFonts w:ascii="Times New Roman" w:eastAsia="Times New Roman" w:hAnsi="Times New Roman"/>
                <w:sz w:val="20"/>
                <w:szCs w:val="20"/>
                <w:lang w:eastAsia="lv-LV"/>
              </w:rPr>
            </w:pPr>
            <w:r w:rsidRPr="00584840">
              <w:rPr>
                <w:rFonts w:ascii="Times New Roman" w:hAnsi="Times New Roman"/>
                <w:sz w:val="20"/>
                <w:szCs w:val="20"/>
                <w:lang w:eastAsia="lv-LV"/>
              </w:rPr>
              <w:t xml:space="preserve">izmaiņas, salīdzinot ar kārtējo </w:t>
            </w:r>
            <w:r w:rsidRPr="00584840">
              <w:rPr>
                <w:rFonts w:ascii="Times New Roman" w:hAnsi="Times New Roman"/>
                <w:b/>
                <w:bCs/>
                <w:sz w:val="20"/>
                <w:szCs w:val="20"/>
                <w:lang w:eastAsia="lv-LV"/>
              </w:rPr>
              <w:t>2017.</w:t>
            </w:r>
            <w:r>
              <w:rPr>
                <w:rFonts w:ascii="Times New Roman" w:hAnsi="Times New Roman"/>
                <w:b/>
                <w:bCs/>
                <w:sz w:val="20"/>
                <w:szCs w:val="20"/>
                <w:lang w:eastAsia="lv-LV"/>
              </w:rPr>
              <w:t> </w:t>
            </w:r>
            <w:r w:rsidRPr="00584840">
              <w:rPr>
                <w:rFonts w:ascii="Times New Roman" w:hAnsi="Times New Roman"/>
                <w:sz w:val="20"/>
                <w:szCs w:val="20"/>
                <w:lang w:eastAsia="lv-LV"/>
              </w:rPr>
              <w:t>gadu</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40" w14:textId="77777777">
            <w:pPr>
              <w:spacing w:after="0"/>
              <w:jc w:val="center"/>
              <w:rPr>
                <w:rFonts w:ascii="Times New Roman" w:eastAsia="Times New Roman" w:hAnsi="Times New Roman"/>
                <w:sz w:val="20"/>
                <w:szCs w:val="20"/>
                <w:lang w:eastAsia="lv-LV"/>
              </w:rPr>
            </w:pPr>
            <w:r w:rsidRPr="00584840">
              <w:rPr>
                <w:rFonts w:ascii="Times New Roman" w:hAnsi="Times New Roman"/>
                <w:sz w:val="20"/>
                <w:szCs w:val="20"/>
                <w:lang w:eastAsia="lv-LV"/>
              </w:rPr>
              <w:t xml:space="preserve">izmaiņas, salīdzinot ar </w:t>
            </w:r>
            <w:r w:rsidRPr="00584840">
              <w:rPr>
                <w:rFonts w:ascii="Times New Roman" w:hAnsi="Times New Roman"/>
                <w:b/>
                <w:bCs/>
                <w:sz w:val="20"/>
                <w:szCs w:val="20"/>
                <w:lang w:eastAsia="lv-LV"/>
              </w:rPr>
              <w:t>2017.</w:t>
            </w:r>
            <w:r>
              <w:rPr>
                <w:rFonts w:ascii="Times New Roman" w:hAnsi="Times New Roman"/>
                <w:b/>
                <w:bCs/>
                <w:sz w:val="20"/>
                <w:szCs w:val="20"/>
                <w:lang w:eastAsia="lv-LV"/>
              </w:rPr>
              <w:t> </w:t>
            </w:r>
            <w:r w:rsidRPr="00584840">
              <w:rPr>
                <w:rFonts w:ascii="Times New Roman" w:hAnsi="Times New Roman"/>
                <w:sz w:val="20"/>
                <w:szCs w:val="20"/>
                <w:lang w:eastAsia="lv-LV"/>
              </w:rPr>
              <w:t>gadu</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41" w14:textId="77777777">
            <w:pPr>
              <w:spacing w:after="0"/>
              <w:jc w:val="center"/>
              <w:rPr>
                <w:rFonts w:ascii="Times New Roman" w:eastAsia="Times New Roman" w:hAnsi="Times New Roman"/>
                <w:sz w:val="20"/>
                <w:szCs w:val="20"/>
                <w:lang w:eastAsia="lv-LV"/>
              </w:rPr>
            </w:pPr>
            <w:r w:rsidRPr="00584840">
              <w:rPr>
                <w:rFonts w:ascii="Times New Roman" w:hAnsi="Times New Roman"/>
                <w:sz w:val="20"/>
                <w:szCs w:val="20"/>
                <w:lang w:eastAsia="lv-LV"/>
              </w:rPr>
              <w:t xml:space="preserve">izmaiņas, salīdzinot ar kārtējo </w:t>
            </w:r>
            <w:r w:rsidRPr="00584840">
              <w:rPr>
                <w:rFonts w:ascii="Times New Roman" w:hAnsi="Times New Roman"/>
                <w:b/>
                <w:bCs/>
                <w:sz w:val="20"/>
                <w:szCs w:val="20"/>
                <w:lang w:eastAsia="lv-LV"/>
              </w:rPr>
              <w:t>2017.</w:t>
            </w:r>
            <w:r>
              <w:rPr>
                <w:rFonts w:ascii="Times New Roman" w:hAnsi="Times New Roman"/>
                <w:b/>
                <w:bCs/>
                <w:sz w:val="20"/>
                <w:szCs w:val="20"/>
                <w:lang w:eastAsia="lv-LV"/>
              </w:rPr>
              <w:t> </w:t>
            </w:r>
            <w:r w:rsidRPr="00584840">
              <w:rPr>
                <w:rFonts w:ascii="Times New Roman" w:hAnsi="Times New Roman"/>
                <w:sz w:val="20"/>
                <w:szCs w:val="20"/>
                <w:lang w:eastAsia="lv-LV"/>
              </w:rPr>
              <w:t>gadu</w:t>
            </w:r>
          </w:p>
        </w:tc>
      </w:tr>
      <w:tr w14:paraId="4A335049"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vAlign w:val="center"/>
            <w:hideMark/>
          </w:tcPr>
          <w:p w:rsidR="0074103C" w14:paraId="4A335043" w14:textId="77777777">
            <w:pPr>
              <w:spacing w:after="0"/>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1</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14:paraId="4A335044" w14:textId="77777777">
            <w:pPr>
              <w:spacing w:after="0"/>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2</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14:paraId="4A335045" w14:textId="77777777">
            <w:pPr>
              <w:spacing w:after="0"/>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3</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14:paraId="4A335046" w14:textId="77777777">
            <w:pPr>
              <w:spacing w:after="0"/>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4</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14:paraId="4A335047" w14:textId="77777777">
            <w:pPr>
              <w:spacing w:after="0"/>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5</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14:paraId="4A335048" w14:textId="77777777">
            <w:pPr>
              <w:spacing w:after="0"/>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6</w:t>
            </w:r>
          </w:p>
        </w:tc>
      </w:tr>
      <w:tr w14:paraId="4A335050"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04A"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1.</w:t>
            </w:r>
            <w:r>
              <w:rPr>
                <w:rFonts w:ascii="Times New Roman" w:eastAsia="Times New Roman" w:hAnsi="Times New Roman"/>
                <w:lang w:eastAsia="lv-LV"/>
              </w:rPr>
              <w:t> </w:t>
            </w:r>
            <w:r w:rsidRPr="00134806">
              <w:rPr>
                <w:rFonts w:ascii="Times New Roman" w:eastAsia="Times New Roman" w:hAnsi="Times New Roman"/>
                <w:lang w:eastAsia="lv-LV"/>
              </w:rPr>
              <w:t>Budžeta ieņēmumi:</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4B"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4C"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tcPr>
          <w:p w:rsidR="0074103C" w:rsidRPr="00134806" w14:paraId="4A33504D" w14:textId="77777777">
            <w:pPr>
              <w:spacing w:after="0"/>
              <w:jc w:val="center"/>
              <w:rPr>
                <w:rFonts w:ascii="Times New Roman" w:eastAsia="Times New Roman" w:hAnsi="Times New Roman"/>
                <w:lang w:eastAsia="lv-LV"/>
              </w:rPr>
            </w:pPr>
            <w:r>
              <w:rPr>
                <w:rFonts w:ascii="Times New Roman" w:eastAsia="Times New Roman" w:hAnsi="Times New Roman"/>
                <w:lang w:eastAsia="lv-LV"/>
              </w:rPr>
              <w:t>0</w:t>
            </w:r>
          </w:p>
        </w:tc>
        <w:tc>
          <w:tcPr>
            <w:tcW w:w="628" w:type="pct"/>
            <w:tcBorders>
              <w:top w:val="outset" w:sz="6" w:space="0" w:color="414142"/>
              <w:left w:val="outset" w:sz="6" w:space="0" w:color="414142"/>
              <w:bottom w:val="outset" w:sz="6" w:space="0" w:color="414142"/>
              <w:right w:val="outset" w:sz="6" w:space="0" w:color="414142"/>
            </w:tcBorders>
            <w:vAlign w:val="center"/>
          </w:tcPr>
          <w:p w:rsidR="0074103C" w:rsidRPr="00134806" w14:paraId="4A33504E" w14:textId="77777777">
            <w:pPr>
              <w:spacing w:after="0"/>
              <w:jc w:val="center"/>
              <w:rPr>
                <w:rFonts w:ascii="Times New Roman" w:eastAsia="Times New Roman" w:hAnsi="Times New Roman"/>
                <w:lang w:eastAsia="lv-LV"/>
              </w:rPr>
            </w:pPr>
            <w:r>
              <w:rPr>
                <w:rFonts w:ascii="Times New Roman" w:eastAsia="Times New Roman" w:hAnsi="Times New Roman"/>
                <w:lang w:eastAsia="lv-LV"/>
              </w:rPr>
              <w:t>0</w:t>
            </w:r>
          </w:p>
        </w:tc>
        <w:tc>
          <w:tcPr>
            <w:tcW w:w="617" w:type="pct"/>
            <w:tcBorders>
              <w:top w:val="outset" w:sz="6" w:space="0" w:color="414142"/>
              <w:left w:val="outset" w:sz="6" w:space="0" w:color="414142"/>
              <w:bottom w:val="outset" w:sz="6" w:space="0" w:color="414142"/>
              <w:right w:val="outset" w:sz="6" w:space="0" w:color="414142"/>
            </w:tcBorders>
            <w:vAlign w:val="center"/>
          </w:tcPr>
          <w:p w:rsidR="0074103C" w:rsidRPr="00134806" w14:paraId="4A33504F" w14:textId="77777777">
            <w:pPr>
              <w:spacing w:after="0"/>
              <w:jc w:val="center"/>
              <w:rPr>
                <w:rFonts w:ascii="Times New Roman" w:eastAsia="Times New Roman" w:hAnsi="Times New Roman"/>
                <w:lang w:eastAsia="lv-LV"/>
              </w:rPr>
            </w:pPr>
            <w:r>
              <w:rPr>
                <w:rFonts w:ascii="Times New Roman" w:eastAsia="Times New Roman" w:hAnsi="Times New Roman"/>
                <w:lang w:eastAsia="lv-LV"/>
              </w:rPr>
              <w:t>0</w:t>
            </w:r>
          </w:p>
        </w:tc>
      </w:tr>
      <w:tr w14:paraId="4A335057"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051"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1.1.</w:t>
            </w:r>
            <w:r>
              <w:rPr>
                <w:rFonts w:ascii="Times New Roman" w:eastAsia="Times New Roman" w:hAnsi="Times New Roman"/>
                <w:lang w:eastAsia="lv-LV"/>
              </w:rPr>
              <w:t> </w:t>
            </w:r>
            <w:r w:rsidRPr="00134806">
              <w:rPr>
                <w:rFonts w:ascii="Times New Roman" w:eastAsia="Times New Roman" w:hAnsi="Times New Roman"/>
                <w:lang w:eastAsia="lv-LV"/>
              </w:rPr>
              <w:t>valsts pamatbudžets, tai skaitā ieņēmumi no maksas pakalpojumiem un citi pašu ieņēmumi</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52"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53"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tcPr>
          <w:p w:rsidR="0074103C" w:rsidRPr="00134806" w14:paraId="4A335054" w14:textId="77777777">
            <w:pPr>
              <w:spacing w:after="0"/>
              <w:jc w:val="center"/>
              <w:rPr>
                <w:rFonts w:ascii="Times New Roman" w:eastAsia="Times New Roman" w:hAnsi="Times New Roman"/>
                <w:lang w:eastAsia="lv-LV"/>
              </w:rPr>
            </w:pPr>
            <w:r>
              <w:rPr>
                <w:rFonts w:ascii="Times New Roman" w:eastAsia="Times New Roman" w:hAnsi="Times New Roman"/>
                <w:lang w:eastAsia="lv-LV"/>
              </w:rPr>
              <w:t>0</w:t>
            </w:r>
          </w:p>
        </w:tc>
        <w:tc>
          <w:tcPr>
            <w:tcW w:w="628" w:type="pct"/>
            <w:tcBorders>
              <w:top w:val="outset" w:sz="6" w:space="0" w:color="414142"/>
              <w:left w:val="outset" w:sz="6" w:space="0" w:color="414142"/>
              <w:bottom w:val="outset" w:sz="6" w:space="0" w:color="414142"/>
              <w:right w:val="outset" w:sz="6" w:space="0" w:color="414142"/>
            </w:tcBorders>
            <w:vAlign w:val="center"/>
          </w:tcPr>
          <w:p w:rsidR="0074103C" w:rsidRPr="00134806" w14:paraId="4A335055" w14:textId="77777777">
            <w:pPr>
              <w:spacing w:after="0"/>
              <w:jc w:val="center"/>
              <w:rPr>
                <w:rFonts w:ascii="Times New Roman" w:eastAsia="Times New Roman" w:hAnsi="Times New Roman"/>
                <w:lang w:eastAsia="lv-LV"/>
              </w:rPr>
            </w:pPr>
            <w:r>
              <w:rPr>
                <w:rFonts w:ascii="Times New Roman" w:eastAsia="Times New Roman" w:hAnsi="Times New Roman"/>
                <w:lang w:eastAsia="lv-LV"/>
              </w:rPr>
              <w:t>0</w:t>
            </w:r>
          </w:p>
        </w:tc>
        <w:tc>
          <w:tcPr>
            <w:tcW w:w="617" w:type="pct"/>
            <w:tcBorders>
              <w:top w:val="outset" w:sz="6" w:space="0" w:color="414142"/>
              <w:left w:val="outset" w:sz="6" w:space="0" w:color="414142"/>
              <w:bottom w:val="outset" w:sz="6" w:space="0" w:color="414142"/>
              <w:right w:val="outset" w:sz="6" w:space="0" w:color="414142"/>
            </w:tcBorders>
            <w:vAlign w:val="center"/>
          </w:tcPr>
          <w:p w:rsidR="0074103C" w:rsidRPr="00134806" w14:paraId="4A335056" w14:textId="77777777">
            <w:pPr>
              <w:spacing w:after="0"/>
              <w:jc w:val="center"/>
              <w:rPr>
                <w:rFonts w:ascii="Times New Roman" w:eastAsia="Times New Roman" w:hAnsi="Times New Roman"/>
                <w:lang w:eastAsia="lv-LV"/>
              </w:rPr>
            </w:pPr>
            <w:r>
              <w:rPr>
                <w:rFonts w:ascii="Times New Roman" w:eastAsia="Times New Roman" w:hAnsi="Times New Roman"/>
                <w:lang w:eastAsia="lv-LV"/>
              </w:rPr>
              <w:t>0</w:t>
            </w:r>
          </w:p>
        </w:tc>
      </w:tr>
      <w:tr w14:paraId="4A33505E"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058"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1.2.</w:t>
            </w:r>
            <w:r>
              <w:rPr>
                <w:rFonts w:ascii="Times New Roman" w:eastAsia="Times New Roman" w:hAnsi="Times New Roman"/>
                <w:lang w:eastAsia="lv-LV"/>
              </w:rPr>
              <w:t> </w:t>
            </w:r>
            <w:r w:rsidRPr="00134806">
              <w:rPr>
                <w:rFonts w:ascii="Times New Roman" w:eastAsia="Times New Roman" w:hAnsi="Times New Roman"/>
                <w:lang w:eastAsia="lv-LV"/>
              </w:rPr>
              <w:t>valsts speciālais budžets</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59"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5A"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5B"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5C"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5D"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65"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05F"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1.3.</w:t>
            </w:r>
            <w:r>
              <w:rPr>
                <w:rFonts w:ascii="Times New Roman" w:eastAsia="Times New Roman" w:hAnsi="Times New Roman"/>
                <w:lang w:eastAsia="lv-LV"/>
              </w:rPr>
              <w:t> </w:t>
            </w:r>
            <w:r w:rsidRPr="00134806">
              <w:rPr>
                <w:rFonts w:ascii="Times New Roman" w:eastAsia="Times New Roman" w:hAnsi="Times New Roman"/>
                <w:lang w:eastAsia="lv-LV"/>
              </w:rPr>
              <w:t>pašvaldību budžets</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60"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61"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62"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63"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64"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6C" w14:textId="77777777" w:rsidTr="009706D3">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9706D3" w:rsidRPr="00134806" w14:paraId="4A335066"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2.</w:t>
            </w:r>
            <w:r>
              <w:rPr>
                <w:rFonts w:ascii="Times New Roman" w:eastAsia="Times New Roman" w:hAnsi="Times New Roman"/>
                <w:lang w:eastAsia="lv-LV"/>
              </w:rPr>
              <w:t> </w:t>
            </w:r>
            <w:r w:rsidRPr="00134806">
              <w:rPr>
                <w:rFonts w:ascii="Times New Roman" w:eastAsia="Times New Roman" w:hAnsi="Times New Roman"/>
                <w:lang w:eastAsia="lv-LV"/>
              </w:rPr>
              <w:t>Budžeta izdevumi:</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9706D3" w:rsidRPr="00134806" w14:paraId="4A335067"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9706D3" w:rsidRPr="00134806" w14:paraId="4A335068" w14:textId="77777777">
            <w:pPr>
              <w:spacing w:after="0"/>
              <w:jc w:val="center"/>
              <w:rPr>
                <w:rFonts w:ascii="Times New Roman" w:eastAsia="Times New Roman" w:hAnsi="Times New Roman"/>
                <w:lang w:eastAsia="lv-LV"/>
              </w:rPr>
            </w:pPr>
            <w:r w:rsidRPr="00AB4BD9">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9706D3" w:rsidRPr="00134806" w14:paraId="4A335069"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9706D3" w:rsidRPr="00134806" w14:paraId="4A33506A"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9706D3" w:rsidRPr="00134806" w14:paraId="4A33506B"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73" w14:textId="77777777" w:rsidTr="009706D3">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9706D3" w:rsidRPr="00134806" w:rsidP="0074103C" w14:paraId="4A33506D"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2.1.</w:t>
            </w:r>
            <w:r>
              <w:rPr>
                <w:rFonts w:ascii="Times New Roman" w:eastAsia="Times New Roman" w:hAnsi="Times New Roman"/>
                <w:lang w:eastAsia="lv-LV"/>
              </w:rPr>
              <w:t> </w:t>
            </w:r>
            <w:r w:rsidRPr="00134806">
              <w:rPr>
                <w:rFonts w:ascii="Times New Roman" w:eastAsia="Times New Roman" w:hAnsi="Times New Roman"/>
                <w:lang w:eastAsia="lv-LV"/>
              </w:rPr>
              <w:t>valsts pamatbudžets</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6E" w14:textId="77777777">
            <w:pPr>
              <w:spacing w:after="0"/>
              <w:jc w:val="center"/>
              <w:rPr>
                <w:rFonts w:ascii="Times New Roman" w:eastAsia="Times New Roman" w:hAnsi="Times New Roman"/>
                <w:lang w:eastAsia="lv-LV"/>
              </w:rPr>
            </w:pPr>
            <w:r>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6F"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tcPr>
          <w:p w:rsidR="009706D3" w:rsidRPr="00721085" w:rsidP="0074103C" w14:paraId="4A335070" w14:textId="77777777">
            <w:pPr>
              <w:spacing w:after="0"/>
              <w:jc w:val="center"/>
              <w:rPr>
                <w:rFonts w:ascii="Times New Roman" w:hAnsi="Times New Roman"/>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tcPr>
          <w:p w:rsidR="009706D3" w:rsidRPr="00721085" w:rsidP="0074103C" w14:paraId="4A335071" w14:textId="77777777">
            <w:pPr>
              <w:spacing w:after="0"/>
              <w:jc w:val="center"/>
              <w:rPr>
                <w:rFonts w:ascii="Times New Roman" w:hAnsi="Times New Roman"/>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tcPr>
          <w:p w:rsidR="009706D3" w:rsidRPr="00721085" w:rsidP="0074103C" w14:paraId="4A335072" w14:textId="77777777">
            <w:pPr>
              <w:spacing w:after="0"/>
              <w:jc w:val="center"/>
              <w:rPr>
                <w:rFonts w:ascii="Times New Roman" w:hAnsi="Times New Roman"/>
              </w:rPr>
            </w:pPr>
            <w:r w:rsidRPr="00134806">
              <w:rPr>
                <w:rFonts w:ascii="Times New Roman" w:hAnsi="Times New Roman"/>
              </w:rPr>
              <w:t>0</w:t>
            </w:r>
          </w:p>
        </w:tc>
      </w:tr>
      <w:tr w14:paraId="4A33507A"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rsidP="0074103C" w14:paraId="4A335074"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2.2.</w:t>
            </w:r>
            <w:r>
              <w:rPr>
                <w:rFonts w:ascii="Times New Roman" w:eastAsia="Times New Roman" w:hAnsi="Times New Roman"/>
                <w:lang w:eastAsia="lv-LV"/>
              </w:rPr>
              <w:t> </w:t>
            </w:r>
            <w:r w:rsidRPr="00134806">
              <w:rPr>
                <w:rFonts w:ascii="Times New Roman" w:eastAsia="Times New Roman" w:hAnsi="Times New Roman"/>
                <w:lang w:eastAsia="lv-LV"/>
              </w:rPr>
              <w:t>valsts speciālais budžets</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75"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76"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721085" w:rsidP="0074103C" w14:paraId="4A335077" w14:textId="77777777">
            <w:pPr>
              <w:spacing w:after="0"/>
              <w:jc w:val="center"/>
              <w:rPr>
                <w:rFonts w:ascii="Times New Roman" w:hAnsi="Times New Roman"/>
              </w:rPr>
            </w:pPr>
            <w:r w:rsidRPr="00AB4BD9">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506D66" w:rsidP="0074103C" w14:paraId="4A335078" w14:textId="77777777">
            <w:pPr>
              <w:spacing w:after="0"/>
              <w:jc w:val="center"/>
              <w:rPr>
                <w:rFonts w:ascii="Times New Roman" w:hAnsi="Times New Roman"/>
              </w:rPr>
            </w:pPr>
            <w:r w:rsidRPr="00AB4BD9">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721085" w:rsidP="0074103C" w14:paraId="4A335079" w14:textId="77777777">
            <w:pPr>
              <w:spacing w:after="0"/>
              <w:jc w:val="center"/>
              <w:rPr>
                <w:rFonts w:ascii="Times New Roman" w:hAnsi="Times New Roman"/>
              </w:rPr>
            </w:pPr>
            <w:r w:rsidRPr="00AB4BD9">
              <w:rPr>
                <w:rFonts w:ascii="Times New Roman" w:hAnsi="Times New Roman"/>
              </w:rPr>
              <w:t>0</w:t>
            </w:r>
          </w:p>
        </w:tc>
      </w:tr>
      <w:tr w14:paraId="4A335081"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rsidP="0074103C" w14:paraId="4A33507B"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2.3.</w:t>
            </w:r>
            <w:r>
              <w:rPr>
                <w:rFonts w:ascii="Times New Roman" w:eastAsia="Times New Roman" w:hAnsi="Times New Roman"/>
                <w:lang w:eastAsia="lv-LV"/>
              </w:rPr>
              <w:t> </w:t>
            </w:r>
            <w:r w:rsidRPr="00134806">
              <w:rPr>
                <w:rFonts w:ascii="Times New Roman" w:eastAsia="Times New Roman" w:hAnsi="Times New Roman"/>
                <w:lang w:eastAsia="lv-LV"/>
              </w:rPr>
              <w:t>pašvaldību budžets</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7C"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7D"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721085" w:rsidP="0074103C" w14:paraId="4A33507E" w14:textId="77777777">
            <w:pPr>
              <w:spacing w:after="0"/>
              <w:jc w:val="center"/>
              <w:rPr>
                <w:rFonts w:ascii="Times New Roman" w:hAnsi="Times New Roman"/>
              </w:rPr>
            </w:pPr>
            <w:r w:rsidRPr="00AB4BD9">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721085" w:rsidP="0074103C" w14:paraId="4A33507F" w14:textId="77777777">
            <w:pPr>
              <w:spacing w:after="0"/>
              <w:jc w:val="center"/>
              <w:rPr>
                <w:rFonts w:ascii="Times New Roman" w:hAnsi="Times New Roman"/>
              </w:rPr>
            </w:pPr>
            <w:r w:rsidRPr="00AB4BD9">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721085" w:rsidP="0074103C" w14:paraId="4A335080" w14:textId="77777777">
            <w:pPr>
              <w:spacing w:after="0"/>
              <w:jc w:val="center"/>
              <w:rPr>
                <w:rFonts w:ascii="Times New Roman" w:hAnsi="Times New Roman"/>
              </w:rPr>
            </w:pPr>
            <w:r w:rsidRPr="00AB4BD9">
              <w:rPr>
                <w:rFonts w:ascii="Times New Roman" w:hAnsi="Times New Roman"/>
              </w:rPr>
              <w:t>0</w:t>
            </w:r>
          </w:p>
        </w:tc>
      </w:tr>
      <w:tr w14:paraId="4A335088" w14:textId="77777777" w:rsidTr="009706D3">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9706D3" w:rsidRPr="00134806" w:rsidP="0074103C" w14:paraId="4A335082"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3.</w:t>
            </w:r>
            <w:r>
              <w:rPr>
                <w:rFonts w:ascii="Times New Roman" w:eastAsia="Times New Roman" w:hAnsi="Times New Roman"/>
                <w:lang w:eastAsia="lv-LV"/>
              </w:rPr>
              <w:t> </w:t>
            </w:r>
            <w:r w:rsidRPr="00134806">
              <w:rPr>
                <w:rFonts w:ascii="Times New Roman" w:eastAsia="Times New Roman" w:hAnsi="Times New Roman"/>
                <w:lang w:eastAsia="lv-LV"/>
              </w:rPr>
              <w:t>Finansiālā ietekme:</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83"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84"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tcPr>
          <w:p w:rsidR="009706D3" w:rsidRPr="00721085" w:rsidP="0074103C" w14:paraId="4A335085" w14:textId="77777777">
            <w:pPr>
              <w:spacing w:after="0"/>
              <w:jc w:val="center"/>
              <w:rPr>
                <w:rFonts w:ascii="Times New Roman" w:hAnsi="Times New Roman"/>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tcPr>
          <w:p w:rsidR="009706D3" w:rsidRPr="00506D66" w:rsidP="0074103C" w14:paraId="4A335086" w14:textId="77777777">
            <w:pPr>
              <w:spacing w:after="0"/>
              <w:jc w:val="center"/>
              <w:rPr>
                <w:rFonts w:ascii="Times New Roman" w:hAnsi="Times New Roman"/>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tcPr>
          <w:p w:rsidR="009706D3" w:rsidRPr="00721085" w:rsidP="0074103C" w14:paraId="4A335087" w14:textId="77777777">
            <w:pPr>
              <w:spacing w:after="0"/>
              <w:jc w:val="center"/>
              <w:rPr>
                <w:rFonts w:ascii="Times New Roman" w:hAnsi="Times New Roman"/>
              </w:rPr>
            </w:pPr>
            <w:r w:rsidRPr="00134806">
              <w:rPr>
                <w:rFonts w:ascii="Times New Roman" w:hAnsi="Times New Roman"/>
              </w:rPr>
              <w:t>0</w:t>
            </w:r>
          </w:p>
        </w:tc>
      </w:tr>
      <w:tr w14:paraId="4A33508F" w14:textId="77777777" w:rsidTr="009706D3">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9706D3" w:rsidRPr="00134806" w:rsidP="0074103C" w14:paraId="4A335089"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3.1.</w:t>
            </w:r>
            <w:r>
              <w:rPr>
                <w:rFonts w:ascii="Times New Roman" w:eastAsia="Times New Roman" w:hAnsi="Times New Roman"/>
                <w:lang w:eastAsia="lv-LV"/>
              </w:rPr>
              <w:t> </w:t>
            </w:r>
            <w:r w:rsidRPr="00134806">
              <w:rPr>
                <w:rFonts w:ascii="Times New Roman" w:eastAsia="Times New Roman" w:hAnsi="Times New Roman"/>
                <w:lang w:eastAsia="lv-LV"/>
              </w:rPr>
              <w:t>valsts pamatbudžets</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8A" w14:textId="77777777">
            <w:pPr>
              <w:spacing w:after="0"/>
              <w:jc w:val="center"/>
              <w:rPr>
                <w:rFonts w:ascii="Times New Roman" w:eastAsia="Times New Roman" w:hAnsi="Times New Roman"/>
                <w:lang w:eastAsia="lv-LV"/>
              </w:rPr>
            </w:pPr>
            <w:r>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8B"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tcPr>
          <w:p w:rsidR="009706D3" w:rsidRPr="00721085" w:rsidP="0074103C" w14:paraId="4A33508C" w14:textId="77777777">
            <w:pPr>
              <w:spacing w:after="0"/>
              <w:jc w:val="center"/>
              <w:rPr>
                <w:rFonts w:ascii="Times New Roman" w:hAnsi="Times New Roman"/>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tcPr>
          <w:p w:rsidR="009706D3" w:rsidRPr="00721085" w:rsidP="0074103C" w14:paraId="4A33508D" w14:textId="77777777">
            <w:pPr>
              <w:spacing w:after="0"/>
              <w:jc w:val="center"/>
              <w:rPr>
                <w:rFonts w:ascii="Times New Roman" w:hAnsi="Times New Roman"/>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tcPr>
          <w:p w:rsidR="009706D3" w:rsidRPr="00721085" w:rsidP="0074103C" w14:paraId="4A33508E" w14:textId="77777777">
            <w:pPr>
              <w:spacing w:after="0"/>
              <w:jc w:val="center"/>
              <w:rPr>
                <w:rFonts w:ascii="Times New Roman" w:hAnsi="Times New Roman"/>
              </w:rPr>
            </w:pPr>
            <w:r w:rsidRPr="00134806">
              <w:rPr>
                <w:rFonts w:ascii="Times New Roman" w:hAnsi="Times New Roman"/>
              </w:rPr>
              <w:t>0</w:t>
            </w:r>
          </w:p>
        </w:tc>
      </w:tr>
      <w:tr w14:paraId="4A335096"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rsidP="0074103C" w14:paraId="4A335090"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3.2.</w:t>
            </w:r>
            <w:r>
              <w:rPr>
                <w:rFonts w:ascii="Times New Roman" w:eastAsia="Times New Roman" w:hAnsi="Times New Roman"/>
                <w:lang w:eastAsia="lv-LV"/>
              </w:rPr>
              <w:t> </w:t>
            </w:r>
            <w:r w:rsidRPr="00134806">
              <w:rPr>
                <w:rFonts w:ascii="Times New Roman" w:eastAsia="Times New Roman" w:hAnsi="Times New Roman"/>
                <w:lang w:eastAsia="lv-LV"/>
              </w:rPr>
              <w:t>speciālais budžets</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1"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2"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3"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4"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5"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9D"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rsidP="0074103C" w14:paraId="4A335097"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3.3.</w:t>
            </w:r>
            <w:r>
              <w:rPr>
                <w:rFonts w:ascii="Times New Roman" w:eastAsia="Times New Roman" w:hAnsi="Times New Roman"/>
                <w:lang w:eastAsia="lv-LV"/>
              </w:rPr>
              <w:t> </w:t>
            </w:r>
            <w:r w:rsidRPr="00134806">
              <w:rPr>
                <w:rFonts w:ascii="Times New Roman" w:eastAsia="Times New Roman" w:hAnsi="Times New Roman"/>
                <w:lang w:eastAsia="lv-LV"/>
              </w:rPr>
              <w:t>pašvaldību budžets</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8"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9"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A"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B"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C"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A4" w14:textId="77777777" w:rsidTr="0074103C">
        <w:tblPrEx>
          <w:tblW w:w="9356" w:type="dxa"/>
          <w:jc w:val="center"/>
          <w:tblCellMar>
            <w:top w:w="30" w:type="dxa"/>
            <w:left w:w="30" w:type="dxa"/>
            <w:bottom w:w="30" w:type="dxa"/>
            <w:right w:w="30" w:type="dxa"/>
          </w:tblCellMar>
          <w:tblLook w:val="04A0"/>
        </w:tblPrEx>
        <w:trPr>
          <w:jc w:val="center"/>
        </w:trPr>
        <w:tc>
          <w:tcPr>
            <w:tcW w:w="1680" w:type="pct"/>
            <w:vMerge w:val="restart"/>
            <w:tcBorders>
              <w:top w:val="outset" w:sz="6" w:space="0" w:color="414142"/>
              <w:left w:val="outset" w:sz="6" w:space="0" w:color="414142"/>
              <w:bottom w:val="outset" w:sz="6" w:space="0" w:color="414142"/>
              <w:right w:val="outset" w:sz="6" w:space="0" w:color="414142"/>
            </w:tcBorders>
            <w:hideMark/>
          </w:tcPr>
          <w:p w:rsidR="0074103C" w:rsidRPr="00134806" w:rsidP="0074103C" w14:paraId="4A33509E"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4.</w:t>
            </w:r>
            <w:r>
              <w:rPr>
                <w:rFonts w:ascii="Times New Roman" w:eastAsia="Times New Roman" w:hAnsi="Times New Roman"/>
                <w:lang w:eastAsia="lv-LV"/>
              </w:rPr>
              <w:t> </w:t>
            </w:r>
            <w:r w:rsidRPr="00134806">
              <w:rPr>
                <w:rFonts w:ascii="Times New Roman" w:eastAsia="Times New Roman" w:hAnsi="Times New Roman"/>
                <w:lang w:eastAsia="lv-LV"/>
              </w:rPr>
              <w:t>Finanšu līdzekļi papildu izdevumu finansēšanai (kompensējošu izdevumu samazinājumu norāda ar "+" zīmi)</w:t>
            </w:r>
          </w:p>
        </w:tc>
        <w:tc>
          <w:tcPr>
            <w:tcW w:w="628" w:type="pct"/>
            <w:vMerge w:val="restar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9F" w14:textId="77777777">
            <w:pPr>
              <w:spacing w:after="0"/>
              <w:jc w:val="center"/>
              <w:rPr>
                <w:rFonts w:ascii="Times New Roman" w:eastAsia="Times New Roman" w:hAnsi="Times New Roman"/>
                <w:lang w:eastAsia="lv-LV"/>
              </w:rPr>
            </w:pPr>
            <w:r w:rsidRPr="00134806">
              <w:rPr>
                <w:rFonts w:ascii="Times New Roman" w:eastAsia="Times New Roman" w:hAnsi="Times New Roman"/>
                <w:lang w:eastAsia="lv-LV"/>
              </w:rPr>
              <w:t>X</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0"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1"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2"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3"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AB" w14:textId="77777777" w:rsidTr="0074103C">
        <w:tblPrEx>
          <w:tblW w:w="9356" w:type="dxa"/>
          <w:jc w:val="center"/>
          <w:tblCellMar>
            <w:top w:w="30" w:type="dxa"/>
            <w:left w:w="30" w:type="dxa"/>
            <w:bottom w:w="30" w:type="dxa"/>
            <w:right w:w="30" w:type="dxa"/>
          </w:tblCellMar>
          <w:tblLook w:val="04A0"/>
        </w:tblPrEx>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5" w14:textId="77777777">
            <w:pPr>
              <w:spacing w:after="0"/>
              <w:jc w:val="left"/>
              <w:rPr>
                <w:rFonts w:ascii="Times New Roman" w:eastAsia="Times New Roman" w:hAnsi="Times New Roman"/>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6" w14:textId="77777777">
            <w:pPr>
              <w:spacing w:after="0"/>
              <w:jc w:val="left"/>
              <w:rPr>
                <w:rFonts w:ascii="Times New Roman" w:eastAsia="Times New Roman" w:hAnsi="Times New Roman"/>
                <w:lang w:eastAsia="lv-LV"/>
              </w:rPr>
            </w:pP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7"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8"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9"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A"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B2" w14:textId="77777777" w:rsidTr="0074103C">
        <w:tblPrEx>
          <w:tblW w:w="9356" w:type="dxa"/>
          <w:jc w:val="center"/>
          <w:tblCellMar>
            <w:top w:w="30" w:type="dxa"/>
            <w:left w:w="30" w:type="dxa"/>
            <w:bottom w:w="30" w:type="dxa"/>
            <w:right w:w="30" w:type="dxa"/>
          </w:tblCellMar>
          <w:tblLook w:val="04A0"/>
        </w:tblPrEx>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C" w14:textId="77777777">
            <w:pPr>
              <w:spacing w:after="0"/>
              <w:jc w:val="left"/>
              <w:rPr>
                <w:rFonts w:ascii="Times New Roman" w:eastAsia="Times New Roman" w:hAnsi="Times New Roman"/>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D" w14:textId="77777777">
            <w:pPr>
              <w:spacing w:after="0"/>
              <w:jc w:val="left"/>
              <w:rPr>
                <w:rFonts w:ascii="Times New Roman" w:eastAsia="Times New Roman" w:hAnsi="Times New Roman"/>
                <w:lang w:eastAsia="lv-LV"/>
              </w:rPr>
            </w:pP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E"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AF"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B0"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rsidP="0074103C" w14:paraId="4A3350B1"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B9" w14:textId="77777777" w:rsidTr="009706D3">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9706D3" w:rsidRPr="00134806" w:rsidP="0074103C" w14:paraId="4A3350B3"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5.</w:t>
            </w:r>
            <w:r>
              <w:rPr>
                <w:rFonts w:ascii="Times New Roman" w:eastAsia="Times New Roman" w:hAnsi="Times New Roman"/>
                <w:lang w:eastAsia="lv-LV"/>
              </w:rPr>
              <w:t> </w:t>
            </w:r>
            <w:r w:rsidRPr="00134806">
              <w:rPr>
                <w:rFonts w:ascii="Times New Roman" w:eastAsia="Times New Roman" w:hAnsi="Times New Roman"/>
                <w:lang w:eastAsia="lv-LV"/>
              </w:rPr>
              <w:t>Precizēta finansiālā ietekme:</w:t>
            </w:r>
          </w:p>
        </w:tc>
        <w:tc>
          <w:tcPr>
            <w:tcW w:w="628" w:type="pct"/>
            <w:vMerge w:val="restart"/>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B4" w14:textId="77777777">
            <w:pPr>
              <w:spacing w:after="0"/>
              <w:jc w:val="center"/>
              <w:rPr>
                <w:rFonts w:ascii="Times New Roman" w:eastAsia="Times New Roman" w:hAnsi="Times New Roman"/>
                <w:lang w:eastAsia="lv-LV"/>
              </w:rPr>
            </w:pPr>
            <w:r w:rsidRPr="00134806">
              <w:rPr>
                <w:rFonts w:ascii="Times New Roman" w:eastAsia="Times New Roman" w:hAnsi="Times New Roman"/>
                <w:lang w:eastAsia="lv-LV"/>
              </w:rPr>
              <w:t>X</w:t>
            </w: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B5"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tcPr>
          <w:p w:rsidR="009706D3" w:rsidRPr="00134806" w:rsidP="0074103C" w14:paraId="4A3350B6"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tcPr>
          <w:p w:rsidR="009706D3" w:rsidRPr="00134806" w:rsidP="0074103C" w14:paraId="4A3350B7"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tcPr>
          <w:p w:rsidR="009706D3" w:rsidRPr="00134806" w:rsidP="0074103C" w14:paraId="4A3350B8"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C0" w14:textId="77777777" w:rsidTr="009706D3">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9706D3" w:rsidRPr="00134806" w:rsidP="0074103C" w14:paraId="4A3350BA"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5.1.</w:t>
            </w:r>
            <w:r>
              <w:rPr>
                <w:rFonts w:ascii="Times New Roman" w:eastAsia="Times New Roman" w:hAnsi="Times New Roman"/>
                <w:lang w:eastAsia="lv-LV"/>
              </w:rPr>
              <w:t> </w:t>
            </w:r>
            <w:r w:rsidRPr="00134806">
              <w:rPr>
                <w:rFonts w:ascii="Times New Roman" w:eastAsia="Times New Roman" w:hAnsi="Times New Roman"/>
                <w:lang w:eastAsia="lv-LV"/>
              </w:rPr>
              <w:t>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BB" w14:textId="77777777">
            <w:pPr>
              <w:spacing w:after="0"/>
              <w:jc w:val="left"/>
              <w:rPr>
                <w:rFonts w:ascii="Times New Roman" w:eastAsia="Times New Roman" w:hAnsi="Times New Roman"/>
                <w:lang w:eastAsia="lv-LV"/>
              </w:rPr>
            </w:pP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9706D3" w:rsidRPr="00134806" w:rsidP="0074103C" w14:paraId="4A3350BC" w14:textId="77777777">
            <w:pPr>
              <w:spacing w:after="0"/>
              <w:jc w:val="center"/>
              <w:rPr>
                <w:rFonts w:ascii="Times New Roman" w:eastAsia="Times New Roman" w:hAnsi="Times New Roman"/>
                <w:lang w:eastAsia="lv-LV"/>
              </w:rPr>
            </w:pPr>
            <w:r w:rsidRPr="00A91E44">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tcPr>
          <w:p w:rsidR="009706D3" w:rsidRPr="00134806" w:rsidP="0074103C" w14:paraId="4A3350BD"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tcPr>
          <w:p w:rsidR="009706D3" w:rsidRPr="00134806" w:rsidP="0074103C" w14:paraId="4A3350BE"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tcPr>
          <w:p w:rsidR="009706D3" w:rsidRPr="00134806" w:rsidP="0074103C" w14:paraId="4A3350BF"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C7"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0C1"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5.2.</w:t>
            </w:r>
            <w:r>
              <w:rPr>
                <w:rFonts w:ascii="Times New Roman" w:eastAsia="Times New Roman" w:hAnsi="Times New Roman"/>
                <w:lang w:eastAsia="lv-LV"/>
              </w:rPr>
              <w:t> </w:t>
            </w:r>
            <w:r w:rsidRPr="00134806">
              <w:rPr>
                <w:rFonts w:ascii="Times New Roman" w:eastAsia="Times New Roman" w:hAnsi="Times New Roman"/>
                <w:lang w:eastAsia="lv-LV"/>
              </w:rPr>
              <w:t>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2" w14:textId="77777777">
            <w:pPr>
              <w:spacing w:after="0"/>
              <w:jc w:val="left"/>
              <w:rPr>
                <w:rFonts w:ascii="Times New Roman" w:eastAsia="Times New Roman" w:hAnsi="Times New Roman"/>
                <w:lang w:eastAsia="lv-LV"/>
              </w:rPr>
            </w:pP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3"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4"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5"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6"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CE"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0C8"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5.3.</w:t>
            </w:r>
            <w:r>
              <w:rPr>
                <w:rFonts w:ascii="Times New Roman" w:eastAsia="Times New Roman" w:hAnsi="Times New Roman"/>
                <w:lang w:eastAsia="lv-LV"/>
              </w:rPr>
              <w:t> </w:t>
            </w:r>
            <w:r w:rsidRPr="00134806">
              <w:rPr>
                <w:rFonts w:ascii="Times New Roman" w:eastAsia="Times New Roman" w:hAnsi="Times New Roman"/>
                <w:lang w:eastAsia="lv-LV"/>
              </w:rPr>
              <w:t>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9" w14:textId="77777777">
            <w:pPr>
              <w:spacing w:after="0"/>
              <w:jc w:val="left"/>
              <w:rPr>
                <w:rFonts w:ascii="Times New Roman" w:eastAsia="Times New Roman" w:hAnsi="Times New Roman"/>
                <w:lang w:eastAsia="lv-LV"/>
              </w:rPr>
            </w:pPr>
          </w:p>
        </w:tc>
        <w:tc>
          <w:tcPr>
            <w:tcW w:w="82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A"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0"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B"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28"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C" w14:textId="77777777">
            <w:pPr>
              <w:spacing w:after="0"/>
              <w:jc w:val="center"/>
              <w:rPr>
                <w:rFonts w:ascii="Times New Roman" w:eastAsia="Times New Roman" w:hAnsi="Times New Roman"/>
                <w:lang w:eastAsia="lv-LV"/>
              </w:rPr>
            </w:pPr>
            <w:r w:rsidRPr="00134806">
              <w:rPr>
                <w:rFonts w:ascii="Times New Roman" w:hAnsi="Times New Roman"/>
              </w:rPr>
              <w:t>0</w:t>
            </w:r>
          </w:p>
        </w:tc>
        <w:tc>
          <w:tcPr>
            <w:tcW w:w="617" w:type="pct"/>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CD" w14:textId="77777777">
            <w:pPr>
              <w:spacing w:after="0"/>
              <w:jc w:val="center"/>
              <w:rPr>
                <w:rFonts w:ascii="Times New Roman" w:eastAsia="Times New Roman" w:hAnsi="Times New Roman"/>
                <w:lang w:eastAsia="lv-LV"/>
              </w:rPr>
            </w:pPr>
            <w:r w:rsidRPr="00134806">
              <w:rPr>
                <w:rFonts w:ascii="Times New Roman" w:hAnsi="Times New Roman"/>
              </w:rPr>
              <w:t>0</w:t>
            </w:r>
          </w:p>
        </w:tc>
      </w:tr>
      <w:tr w14:paraId="4A3350F9"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0CF"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6. Detalizēts ieņēmumu un izdevumu aprēķins (ja nepieciešams, detalizētu ieņēmumu un izdevumu aprēķinu var pievienot anotācijas pielikumā):</w:t>
            </w:r>
          </w:p>
        </w:tc>
        <w:tc>
          <w:tcPr>
            <w:tcW w:w="332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74103C" w:rsidP="00B46E07" w14:paraId="4A3350D0" w14:textId="77777777">
            <w:pPr>
              <w:pStyle w:val="naisf"/>
              <w:spacing w:before="60" w:after="60"/>
              <w:ind w:firstLine="0"/>
              <w:rPr>
                <w:rFonts w:eastAsia="Calibri"/>
                <w:sz w:val="22"/>
                <w:szCs w:val="22"/>
                <w:lang w:eastAsia="en-US"/>
              </w:rPr>
            </w:pPr>
            <w:r w:rsidRPr="00ED0F76">
              <w:rPr>
                <w:rFonts w:eastAsia="Calibri"/>
                <w:sz w:val="22"/>
                <w:szCs w:val="22"/>
                <w:lang w:eastAsia="en-US"/>
              </w:rPr>
              <w:t>Ņemot vērā 2017.</w:t>
            </w:r>
            <w:r>
              <w:rPr>
                <w:rFonts w:eastAsia="Calibri"/>
                <w:sz w:val="22"/>
                <w:szCs w:val="22"/>
                <w:lang w:eastAsia="en-US"/>
              </w:rPr>
              <w:t> </w:t>
            </w:r>
            <w:r w:rsidRPr="00ED0F76">
              <w:rPr>
                <w:rFonts w:eastAsia="Calibri"/>
                <w:sz w:val="22"/>
                <w:szCs w:val="22"/>
                <w:lang w:eastAsia="en-US"/>
              </w:rPr>
              <w:t>gada 20.</w:t>
            </w:r>
            <w:r>
              <w:rPr>
                <w:rFonts w:eastAsia="Calibri"/>
                <w:sz w:val="22"/>
                <w:szCs w:val="22"/>
                <w:lang w:eastAsia="en-US"/>
              </w:rPr>
              <w:t> </w:t>
            </w:r>
            <w:r w:rsidRPr="00ED0F76">
              <w:rPr>
                <w:rFonts w:eastAsia="Calibri"/>
                <w:sz w:val="22"/>
                <w:szCs w:val="22"/>
                <w:lang w:eastAsia="en-US"/>
              </w:rPr>
              <w:t xml:space="preserve">februāra Ministru kabineta komitejas sēdē </w:t>
            </w:r>
            <w:r>
              <w:rPr>
                <w:rFonts w:eastAsia="Calibri"/>
                <w:sz w:val="22"/>
                <w:szCs w:val="22"/>
                <w:lang w:eastAsia="en-US"/>
              </w:rPr>
              <w:t xml:space="preserve">panākto vienošanos, </w:t>
            </w:r>
            <w:r w:rsidRPr="00ED0F76">
              <w:rPr>
                <w:rFonts w:eastAsia="Calibri"/>
                <w:sz w:val="22"/>
                <w:szCs w:val="22"/>
                <w:lang w:eastAsia="en-US"/>
              </w:rPr>
              <w:t>ka VVD varētu tikt noteikts kā kompetentā iestāde attiecībā uz likumprojektā iekļautajiem nosacījumiem aprites cikla SEG emisiju samazināšanai,</w:t>
            </w:r>
            <w:r>
              <w:rPr>
                <w:rFonts w:eastAsia="Calibri"/>
                <w:sz w:val="22"/>
                <w:szCs w:val="22"/>
                <w:lang w:eastAsia="en-US"/>
              </w:rPr>
              <w:t xml:space="preserve"> </w:t>
            </w:r>
            <w:r w:rsidRPr="00506D66">
              <w:rPr>
                <w:rFonts w:eastAsia="Calibri"/>
                <w:sz w:val="22"/>
                <w:szCs w:val="22"/>
                <w:u w:val="single"/>
                <w:lang w:eastAsia="en-US"/>
              </w:rPr>
              <w:t>ja VVD tiks piešķirti papildus līdzekļi šo jauno pienākumu pildīšanai</w:t>
            </w:r>
            <w:r>
              <w:rPr>
                <w:rFonts w:eastAsia="Calibri"/>
                <w:sz w:val="22"/>
                <w:szCs w:val="22"/>
                <w:lang w:eastAsia="en-US"/>
              </w:rPr>
              <w:t xml:space="preserve">, </w:t>
            </w:r>
            <w:r w:rsidRPr="00ED0F76">
              <w:rPr>
                <w:rFonts w:eastAsia="Calibri"/>
                <w:sz w:val="22"/>
                <w:szCs w:val="22"/>
                <w:lang w:eastAsia="en-US"/>
              </w:rPr>
              <w:t>VARAM sadarbībā ar VVD ir aprēķinājis šo nosacījumu iespējamo finansiālo ietekmi uz VVD.</w:t>
            </w:r>
          </w:p>
          <w:p w:rsidR="0074103C" w:rsidP="00B46E07" w14:paraId="4A3350D1" w14:textId="77777777">
            <w:pPr>
              <w:pStyle w:val="naisf"/>
              <w:spacing w:before="60" w:after="60"/>
              <w:ind w:firstLine="0"/>
              <w:rPr>
                <w:rFonts w:eastAsia="Calibri"/>
                <w:sz w:val="22"/>
                <w:szCs w:val="22"/>
                <w:lang w:eastAsia="en-US"/>
              </w:rPr>
            </w:pPr>
            <w:r>
              <w:rPr>
                <w:rFonts w:eastAsia="Calibri"/>
                <w:sz w:val="22"/>
                <w:szCs w:val="22"/>
                <w:lang w:eastAsia="en-US"/>
              </w:rPr>
              <w:t xml:space="preserve">Saskaņā ar EM veiktajiem aprēķiniem un sniegto informāciju, jauno pienākumu pildīšanai būtu nepieciešami līdz </w:t>
            </w:r>
            <w:r w:rsidR="000E41E3">
              <w:rPr>
                <w:rFonts w:eastAsia="Calibri"/>
                <w:sz w:val="22"/>
                <w:szCs w:val="22"/>
                <w:lang w:eastAsia="en-US"/>
              </w:rPr>
              <w:t>sešiem</w:t>
            </w:r>
            <w:r>
              <w:rPr>
                <w:rFonts w:eastAsia="Calibri"/>
                <w:sz w:val="22"/>
                <w:szCs w:val="22"/>
                <w:lang w:eastAsia="en-US"/>
              </w:rPr>
              <w:t xml:space="preserve"> mēnešiem gadā, tātad šo jauno pienākumu pildīšanai ir nepieciešams pusslodzes finansējums jauno pienākumu pildīšanai.</w:t>
            </w:r>
          </w:p>
          <w:p w:rsidR="003B72C0" w:rsidRPr="00ED0F76" w:rsidP="00D47C8F" w14:paraId="4A3350D2" w14:textId="77777777">
            <w:pPr>
              <w:pStyle w:val="naisf"/>
              <w:spacing w:before="60" w:after="60"/>
              <w:ind w:firstLine="0"/>
              <w:rPr>
                <w:rFonts w:eastAsia="Calibri"/>
                <w:sz w:val="22"/>
                <w:szCs w:val="22"/>
                <w:lang w:eastAsia="en-US"/>
              </w:rPr>
            </w:pPr>
            <w:r>
              <w:rPr>
                <w:rFonts w:eastAsia="Calibri"/>
                <w:sz w:val="22"/>
                <w:szCs w:val="22"/>
                <w:lang w:eastAsia="en-US"/>
              </w:rPr>
              <w:t>Saskaņā ar VVD sniegto informāciju papildu finansējums nebūs nepieciešams jaunas amata vietas izveidei</w:t>
            </w:r>
            <w:r w:rsidR="007032A9">
              <w:rPr>
                <w:rFonts w:eastAsia="Calibri"/>
                <w:sz w:val="22"/>
                <w:szCs w:val="22"/>
                <w:lang w:eastAsia="en-US"/>
              </w:rPr>
              <w:t>, bet lai nodrošinātu (finansētu) jaunu papildu funkciju veikšanu. Jānorāda, ka likumprojekts uzliek VVD arī jaunus pienākumus attiecībā uz Regulas Nr.</w:t>
            </w:r>
            <w:r w:rsidR="000E41E3">
              <w:rPr>
                <w:rFonts w:eastAsia="Calibri"/>
                <w:sz w:val="22"/>
                <w:szCs w:val="22"/>
                <w:lang w:eastAsia="en-US"/>
              </w:rPr>
              <w:t> </w:t>
            </w:r>
            <w:r w:rsidR="007032A9">
              <w:rPr>
                <w:rFonts w:eastAsia="Calibri"/>
                <w:sz w:val="22"/>
                <w:szCs w:val="22"/>
                <w:lang w:eastAsia="en-US"/>
              </w:rPr>
              <w:t>2015/757 nosacījumu izpildi.</w:t>
            </w:r>
          </w:p>
          <w:p w:rsidR="0074103C" w:rsidRPr="00ED0F76" w14:paraId="4A3350D3" w14:textId="77777777">
            <w:pPr>
              <w:pStyle w:val="naisf"/>
              <w:spacing w:before="60" w:after="60"/>
              <w:ind w:firstLine="0"/>
              <w:rPr>
                <w:sz w:val="22"/>
                <w:szCs w:val="22"/>
              </w:rPr>
            </w:pPr>
          </w:p>
          <w:p w:rsidR="0074103C" w:rsidRPr="00506D66" w14:paraId="4A3350D4" w14:textId="77777777">
            <w:pPr>
              <w:pStyle w:val="naisf"/>
              <w:spacing w:before="60" w:after="60"/>
              <w:ind w:firstLine="0"/>
              <w:rPr>
                <w:b/>
                <w:sz w:val="22"/>
                <w:szCs w:val="22"/>
                <w:u w:val="single"/>
              </w:rPr>
            </w:pPr>
            <w:r w:rsidRPr="00506D66">
              <w:rPr>
                <w:b/>
                <w:sz w:val="22"/>
                <w:szCs w:val="22"/>
                <w:u w:val="single"/>
              </w:rPr>
              <w:t>1. </w:t>
            </w:r>
            <w:r>
              <w:rPr>
                <w:b/>
                <w:sz w:val="22"/>
                <w:szCs w:val="22"/>
                <w:u w:val="single"/>
              </w:rPr>
              <w:t xml:space="preserve">Finansējuma aprēķins pusslodzei </w:t>
            </w:r>
            <w:r w:rsidRPr="00506D66">
              <w:rPr>
                <w:b/>
                <w:sz w:val="22"/>
                <w:szCs w:val="22"/>
                <w:u w:val="single"/>
              </w:rPr>
              <w:t>(2017.-2020.</w:t>
            </w:r>
            <w:r>
              <w:rPr>
                <w:b/>
                <w:sz w:val="22"/>
                <w:szCs w:val="22"/>
                <w:u w:val="single"/>
              </w:rPr>
              <w:t> </w:t>
            </w:r>
            <w:r w:rsidRPr="00506D66">
              <w:rPr>
                <w:b/>
                <w:sz w:val="22"/>
                <w:szCs w:val="22"/>
                <w:u w:val="single"/>
              </w:rPr>
              <w:t>g</w:t>
            </w:r>
            <w:r>
              <w:rPr>
                <w:b/>
                <w:sz w:val="22"/>
                <w:szCs w:val="22"/>
                <w:u w:val="single"/>
              </w:rPr>
              <w:t>ads un turpmāk</w:t>
            </w:r>
            <w:r w:rsidRPr="00506D66">
              <w:rPr>
                <w:b/>
                <w:sz w:val="22"/>
                <w:szCs w:val="22"/>
                <w:u w:val="single"/>
              </w:rPr>
              <w:t>):</w:t>
            </w:r>
          </w:p>
          <w:p w:rsidR="0074103C" w:rsidRPr="00584840" w14:paraId="4A3350D5" w14:textId="77777777">
            <w:pPr>
              <w:pStyle w:val="naisf"/>
              <w:spacing w:before="60" w:after="60"/>
              <w:ind w:firstLine="0"/>
              <w:rPr>
                <w:rFonts w:eastAsia="Calibri"/>
                <w:sz w:val="22"/>
                <w:szCs w:val="22"/>
                <w:lang w:eastAsia="en-US"/>
              </w:rPr>
            </w:pPr>
            <w:r w:rsidRPr="00584840">
              <w:rPr>
                <w:rFonts w:eastAsia="Calibri"/>
                <w:sz w:val="22"/>
                <w:szCs w:val="22"/>
                <w:lang w:eastAsia="en-US"/>
              </w:rPr>
              <w:t xml:space="preserve">Papildus darba apjoms </w:t>
            </w:r>
            <w:r>
              <w:rPr>
                <w:rFonts w:eastAsia="Calibri"/>
                <w:sz w:val="22"/>
                <w:szCs w:val="22"/>
                <w:lang w:eastAsia="en-US"/>
              </w:rPr>
              <w:t>VVD</w:t>
            </w:r>
            <w:r w:rsidRPr="00584840">
              <w:rPr>
                <w:rFonts w:eastAsia="Calibri"/>
                <w:sz w:val="22"/>
                <w:szCs w:val="22"/>
                <w:lang w:eastAsia="en-US"/>
              </w:rPr>
              <w:t xml:space="preserve"> sastāv no šādiem galvenajiem ikgadējiem uzdevumiem: </w:t>
            </w:r>
          </w:p>
          <w:p w:rsidR="0074103C" w:rsidRPr="00584840" w14:paraId="4A3350D6" w14:textId="77777777">
            <w:pPr>
              <w:pStyle w:val="naisf"/>
              <w:numPr>
                <w:ilvl w:val="0"/>
                <w:numId w:val="22"/>
              </w:numPr>
              <w:spacing w:before="60" w:after="60"/>
              <w:ind w:left="284" w:hanging="284"/>
              <w:rPr>
                <w:rFonts w:eastAsia="Calibri"/>
                <w:sz w:val="22"/>
                <w:szCs w:val="22"/>
                <w:lang w:eastAsia="en-US"/>
              </w:rPr>
            </w:pPr>
            <w:r>
              <w:rPr>
                <w:rFonts w:eastAsia="Calibri"/>
                <w:sz w:val="22"/>
                <w:szCs w:val="22"/>
                <w:lang w:eastAsia="en-US"/>
              </w:rPr>
              <w:t>i</w:t>
            </w:r>
            <w:r w:rsidRPr="00584840">
              <w:rPr>
                <w:rFonts w:eastAsia="Calibri"/>
                <w:sz w:val="22"/>
                <w:szCs w:val="22"/>
                <w:lang w:eastAsia="en-US"/>
              </w:rPr>
              <w:t>kgadējo ziņojumu no degvielas piegādātājiem (šobrīd degvielas piegādātāju daudzums Latvijā nepārsniedz 70) saņemšana, izvērtēšana un apkopošana</w:t>
            </w:r>
            <w:r w:rsidR="007032A9">
              <w:rPr>
                <w:rFonts w:eastAsia="Calibri"/>
                <w:sz w:val="22"/>
                <w:szCs w:val="22"/>
                <w:lang w:eastAsia="en-US"/>
              </w:rPr>
              <w:t xml:space="preserve"> (nosacījums par ikgadējo ziņošanu stājas spēkā </w:t>
            </w:r>
            <w:r w:rsidR="00F40DF5">
              <w:rPr>
                <w:rFonts w:eastAsia="Calibri"/>
                <w:sz w:val="22"/>
                <w:szCs w:val="22"/>
                <w:lang w:eastAsia="en-US"/>
              </w:rPr>
              <w:t>2018. gada 1. janvārī</w:t>
            </w:r>
            <w:r w:rsidRPr="00584840">
              <w:rPr>
                <w:rFonts w:eastAsia="Calibri"/>
                <w:sz w:val="22"/>
                <w:szCs w:val="22"/>
                <w:lang w:eastAsia="en-US"/>
              </w:rPr>
              <w:t>;</w:t>
            </w:r>
          </w:p>
          <w:p w:rsidR="0074103C" w:rsidRPr="00584840" w14:paraId="4A3350D7" w14:textId="77777777">
            <w:pPr>
              <w:pStyle w:val="naisf"/>
              <w:numPr>
                <w:ilvl w:val="0"/>
                <w:numId w:val="22"/>
              </w:numPr>
              <w:spacing w:before="60" w:after="60"/>
              <w:ind w:left="284" w:hanging="284"/>
              <w:rPr>
                <w:rFonts w:eastAsia="Calibri"/>
                <w:sz w:val="22"/>
                <w:szCs w:val="22"/>
                <w:lang w:eastAsia="en-US"/>
              </w:rPr>
            </w:pPr>
            <w:r>
              <w:rPr>
                <w:rFonts w:eastAsia="Calibri"/>
                <w:sz w:val="22"/>
                <w:szCs w:val="22"/>
                <w:lang w:eastAsia="en-US"/>
              </w:rPr>
              <w:t>i</w:t>
            </w:r>
            <w:r w:rsidRPr="00584840">
              <w:rPr>
                <w:rFonts w:eastAsia="Calibri"/>
                <w:sz w:val="22"/>
                <w:szCs w:val="22"/>
                <w:lang w:eastAsia="en-US"/>
              </w:rPr>
              <w:t>nformācijas apkopošana par tiem degvielas piegādātājiem, kuri ziņojumus nav iesnieguši un administratīvā pārkāpumu procesa izpilde attiecībā uz šiem degvielas piegādātājiem;</w:t>
            </w:r>
          </w:p>
          <w:p w:rsidR="0074103C" w14:paraId="4A3350D8" w14:textId="77777777">
            <w:pPr>
              <w:pStyle w:val="naisf"/>
              <w:numPr>
                <w:ilvl w:val="0"/>
                <w:numId w:val="22"/>
              </w:numPr>
              <w:spacing w:before="60" w:after="60"/>
              <w:ind w:left="284" w:hanging="284"/>
              <w:rPr>
                <w:rFonts w:eastAsia="Calibri"/>
                <w:sz w:val="22"/>
                <w:szCs w:val="22"/>
                <w:lang w:eastAsia="en-US"/>
              </w:rPr>
            </w:pPr>
            <w:r>
              <w:rPr>
                <w:rFonts w:eastAsia="Calibri"/>
                <w:sz w:val="22"/>
                <w:szCs w:val="22"/>
                <w:lang w:eastAsia="en-US"/>
              </w:rPr>
              <w:t>z</w:t>
            </w:r>
            <w:r w:rsidRPr="00584840">
              <w:rPr>
                <w:rFonts w:eastAsia="Calibri"/>
                <w:sz w:val="22"/>
                <w:szCs w:val="22"/>
                <w:lang w:eastAsia="en-US"/>
              </w:rPr>
              <w:t xml:space="preserve">iņojuma Eiropas Komisijai sagatavošana, saskaņošana un iesniegšana Eiropas Komisijā, izmantojot Eiropas Vides aģentūras  </w:t>
            </w:r>
            <w:r w:rsidRPr="00E42D24">
              <w:rPr>
                <w:rFonts w:eastAsia="Calibri"/>
                <w:i/>
                <w:sz w:val="22"/>
                <w:szCs w:val="22"/>
                <w:lang w:eastAsia="en-US"/>
              </w:rPr>
              <w:t>Reportnet</w:t>
            </w:r>
            <w:r w:rsidRPr="00E42D24">
              <w:rPr>
                <w:rFonts w:eastAsia="Calibri"/>
                <w:i/>
                <w:sz w:val="22"/>
                <w:szCs w:val="22"/>
                <w:lang w:eastAsia="en-US"/>
              </w:rPr>
              <w:t xml:space="preserve"> </w:t>
            </w:r>
            <w:r w:rsidRPr="00584840">
              <w:rPr>
                <w:rFonts w:eastAsia="Calibri"/>
                <w:sz w:val="22"/>
                <w:szCs w:val="22"/>
                <w:lang w:eastAsia="en-US"/>
              </w:rPr>
              <w:t>rīkus;</w:t>
            </w:r>
          </w:p>
          <w:p w:rsidR="009706D3" w:rsidRPr="00584840" w14:paraId="4A3350D9" w14:textId="77777777">
            <w:pPr>
              <w:pStyle w:val="naisf"/>
              <w:numPr>
                <w:ilvl w:val="0"/>
                <w:numId w:val="22"/>
              </w:numPr>
              <w:spacing w:before="60" w:after="60"/>
              <w:ind w:left="284" w:hanging="284"/>
              <w:rPr>
                <w:rFonts w:eastAsia="Calibri"/>
                <w:sz w:val="22"/>
                <w:szCs w:val="22"/>
                <w:lang w:eastAsia="en-US"/>
              </w:rPr>
            </w:pPr>
            <w:r>
              <w:rPr>
                <w:rFonts w:eastAsia="Calibri"/>
                <w:sz w:val="22"/>
                <w:szCs w:val="22"/>
                <w:lang w:eastAsia="en-US"/>
              </w:rPr>
              <w:t>iesaiste normatīvo aktu izstrādē un uzlabošanā, nodrošinot nepieciešamo palīdzību Ekonomikas ministrijas ekspertiem.</w:t>
            </w:r>
          </w:p>
          <w:p w:rsidR="009706D3" w14:paraId="4A3350DA" w14:textId="77777777">
            <w:pPr>
              <w:pStyle w:val="naisf"/>
              <w:spacing w:before="60" w:after="60"/>
              <w:ind w:firstLine="0"/>
              <w:rPr>
                <w:sz w:val="22"/>
                <w:szCs w:val="22"/>
                <w:u w:val="single"/>
              </w:rPr>
            </w:pPr>
            <w:r w:rsidRPr="00671AA1">
              <w:rPr>
                <w:sz w:val="22"/>
                <w:szCs w:val="22"/>
                <w:u w:val="single"/>
              </w:rPr>
              <w:t xml:space="preserve">Šo darbu veikšanai VVD būs nepieciešami </w:t>
            </w:r>
            <w:r w:rsidR="00AC2C97">
              <w:rPr>
                <w:sz w:val="22"/>
                <w:szCs w:val="22"/>
                <w:u w:val="single"/>
              </w:rPr>
              <w:t>seši</w:t>
            </w:r>
            <w:r>
              <w:rPr>
                <w:sz w:val="22"/>
                <w:szCs w:val="22"/>
                <w:u w:val="single"/>
              </w:rPr>
              <w:t xml:space="preserve"> </w:t>
            </w:r>
            <w:r w:rsidRPr="00671AA1">
              <w:rPr>
                <w:sz w:val="22"/>
                <w:szCs w:val="22"/>
                <w:u w:val="single"/>
              </w:rPr>
              <w:t>mēneši ikgadēji. Līdz ar to ir secināms, ka VVD šī papildus pienākuma izpildei ir nepieciešams pusslodzes finansējums – 0,5 slodze.</w:t>
            </w:r>
          </w:p>
          <w:p w:rsidR="0074103C" w:rsidRPr="00584840" w14:paraId="4A3350DB" w14:textId="77777777">
            <w:pPr>
              <w:pStyle w:val="naisf"/>
              <w:spacing w:before="60" w:after="60"/>
              <w:ind w:firstLine="0"/>
              <w:rPr>
                <w:sz w:val="22"/>
                <w:szCs w:val="22"/>
              </w:rPr>
            </w:pPr>
            <w:r>
              <w:rPr>
                <w:sz w:val="22"/>
                <w:szCs w:val="22"/>
                <w:u w:val="single"/>
              </w:rPr>
              <w:t>Lai gan 2017.</w:t>
            </w:r>
            <w:r w:rsidR="00AC2C97">
              <w:rPr>
                <w:sz w:val="22"/>
                <w:szCs w:val="22"/>
                <w:u w:val="single"/>
              </w:rPr>
              <w:t> </w:t>
            </w:r>
            <w:r>
              <w:rPr>
                <w:sz w:val="22"/>
                <w:szCs w:val="22"/>
                <w:u w:val="single"/>
              </w:rPr>
              <w:t>gadā nav paredzēta ikgadējo ziņojumu izvērtēšana un ziņojuma Eiropas Komisijai sagatavošana un iesniegšana, tomēr 2017.</w:t>
            </w:r>
            <w:r w:rsidR="00AC2C97">
              <w:rPr>
                <w:sz w:val="22"/>
                <w:szCs w:val="22"/>
                <w:u w:val="single"/>
              </w:rPr>
              <w:t> </w:t>
            </w:r>
            <w:r>
              <w:rPr>
                <w:sz w:val="22"/>
                <w:szCs w:val="22"/>
                <w:u w:val="single"/>
              </w:rPr>
              <w:t xml:space="preserve">gadā VVD ekspertam būs nepieciešams pilnībā piedalīties nepieciešamā normatīvā regulējuma </w:t>
            </w:r>
            <w:r w:rsidR="00A00C4D">
              <w:rPr>
                <w:sz w:val="22"/>
                <w:szCs w:val="22"/>
                <w:u w:val="single"/>
              </w:rPr>
              <w:t>izstrādē</w:t>
            </w:r>
            <w:r w:rsidRPr="00C83F08" w:rsidR="00A00C4D">
              <w:rPr>
                <w:sz w:val="22"/>
                <w:szCs w:val="22"/>
                <w:u w:val="single"/>
              </w:rPr>
              <w:t xml:space="preserve">, </w:t>
            </w:r>
            <w:r w:rsidR="00A00C4D">
              <w:rPr>
                <w:sz w:val="22"/>
                <w:szCs w:val="22"/>
                <w:u w:val="single"/>
              </w:rPr>
              <w:t xml:space="preserve">sadarbībā ar Ekonomikas ministriju izveidojot ziņošanas kārtību un nostiprinot tās nosacījumus uz šī </w:t>
            </w:r>
            <w:r w:rsidR="00AC2C97">
              <w:rPr>
                <w:sz w:val="22"/>
                <w:szCs w:val="22"/>
                <w:u w:val="single"/>
              </w:rPr>
              <w:t>L</w:t>
            </w:r>
            <w:r w:rsidR="00A00C4D">
              <w:rPr>
                <w:sz w:val="22"/>
                <w:szCs w:val="22"/>
                <w:u w:val="single"/>
              </w:rPr>
              <w:t>ikuma pamata deleģējuma izstrādātajos Ministru kabineta noteikumos</w:t>
            </w:r>
            <w:r w:rsidRPr="00584840" w:rsidR="00A00C4D">
              <w:rPr>
                <w:sz w:val="22"/>
                <w:szCs w:val="22"/>
              </w:rPr>
              <w:t>.</w:t>
            </w:r>
            <w:r w:rsidR="00A00C4D">
              <w:rPr>
                <w:sz w:val="22"/>
                <w:szCs w:val="22"/>
              </w:rPr>
              <w:t xml:space="preserve"> Līdz ar to 2017.</w:t>
            </w:r>
            <w:r w:rsidR="00AC2C97">
              <w:rPr>
                <w:sz w:val="22"/>
                <w:szCs w:val="22"/>
              </w:rPr>
              <w:t> </w:t>
            </w:r>
            <w:r w:rsidR="00A00C4D">
              <w:rPr>
                <w:sz w:val="22"/>
                <w:szCs w:val="22"/>
              </w:rPr>
              <w:t xml:space="preserve">gadam ir nepieciešams paredzēt vismaz </w:t>
            </w:r>
            <w:r w:rsidR="00AC2C97">
              <w:rPr>
                <w:sz w:val="22"/>
                <w:szCs w:val="22"/>
              </w:rPr>
              <w:t>trīs</w:t>
            </w:r>
            <w:r w:rsidR="00A00C4D">
              <w:rPr>
                <w:sz w:val="22"/>
                <w:szCs w:val="22"/>
              </w:rPr>
              <w:t xml:space="preserve"> mēnešu slodzi.</w:t>
            </w:r>
            <w:r w:rsidR="00047A73">
              <w:rPr>
                <w:sz w:val="22"/>
                <w:szCs w:val="22"/>
              </w:rPr>
              <w:t>.</w:t>
            </w:r>
          </w:p>
          <w:p w:rsidR="0074103C" w:rsidRPr="00584840" w14:paraId="4A3350DC" w14:textId="77777777">
            <w:pPr>
              <w:pStyle w:val="naisf"/>
              <w:spacing w:before="60" w:after="60"/>
              <w:ind w:firstLine="0"/>
              <w:rPr>
                <w:sz w:val="22"/>
                <w:szCs w:val="22"/>
              </w:rPr>
            </w:pPr>
          </w:p>
          <w:p w:rsidR="0074103C" w:rsidRPr="00506D66" w14:paraId="4A3350DD" w14:textId="77777777">
            <w:pPr>
              <w:pStyle w:val="naisf"/>
              <w:spacing w:before="60" w:after="60"/>
              <w:ind w:firstLine="0"/>
              <w:rPr>
                <w:b/>
                <w:sz w:val="22"/>
                <w:szCs w:val="22"/>
              </w:rPr>
            </w:pPr>
            <w:r w:rsidRPr="00506D66">
              <w:rPr>
                <w:b/>
                <w:sz w:val="22"/>
                <w:szCs w:val="22"/>
              </w:rPr>
              <w:t>2. </w:t>
            </w:r>
            <w:r>
              <w:rPr>
                <w:b/>
                <w:sz w:val="22"/>
                <w:szCs w:val="22"/>
                <w:u w:val="single"/>
              </w:rPr>
              <w:t xml:space="preserve">Finansējuma aprēķins pusslodzei </w:t>
            </w:r>
            <w:r w:rsidRPr="00506D66">
              <w:rPr>
                <w:b/>
                <w:sz w:val="22"/>
                <w:szCs w:val="22"/>
              </w:rPr>
              <w:t>VVD (2021. gads):</w:t>
            </w:r>
          </w:p>
          <w:p w:rsidR="00ED62DC" w14:paraId="4A3350DE" w14:textId="77777777">
            <w:pPr>
              <w:pStyle w:val="naisf"/>
              <w:spacing w:before="60" w:after="60"/>
              <w:ind w:firstLine="0"/>
              <w:rPr>
                <w:sz w:val="22"/>
                <w:szCs w:val="22"/>
              </w:rPr>
            </w:pPr>
            <w:r>
              <w:rPr>
                <w:sz w:val="22"/>
                <w:szCs w:val="22"/>
              </w:rPr>
              <w:t>Ir nepieciešams arī paredzēt finansējumu 2021.</w:t>
            </w:r>
            <w:r w:rsidR="003E712B">
              <w:rPr>
                <w:sz w:val="22"/>
                <w:szCs w:val="22"/>
              </w:rPr>
              <w:t> </w:t>
            </w:r>
            <w:r>
              <w:rPr>
                <w:sz w:val="22"/>
                <w:szCs w:val="22"/>
              </w:rPr>
              <w:t xml:space="preserve">gadam attiecībā uz </w:t>
            </w:r>
            <w:r w:rsidR="003E712B">
              <w:rPr>
                <w:sz w:val="22"/>
                <w:szCs w:val="22"/>
              </w:rPr>
              <w:t>minētajiem</w:t>
            </w:r>
            <w:r>
              <w:rPr>
                <w:sz w:val="22"/>
                <w:szCs w:val="22"/>
              </w:rPr>
              <w:t xml:space="preserve"> nosacījumiem, jo 2021.</w:t>
            </w:r>
            <w:r w:rsidR="003E712B">
              <w:rPr>
                <w:sz w:val="22"/>
                <w:szCs w:val="22"/>
              </w:rPr>
              <w:t> </w:t>
            </w:r>
            <w:r>
              <w:rPr>
                <w:sz w:val="22"/>
                <w:szCs w:val="22"/>
              </w:rPr>
              <w:t xml:space="preserve">gadā </w:t>
            </w:r>
            <w:r w:rsidR="00CB7B76">
              <w:rPr>
                <w:sz w:val="22"/>
                <w:szCs w:val="22"/>
              </w:rPr>
              <w:t>būs jāizvērtē degvielas piegādātājiem noteikto pienākumu izpilde. Šis papildu pienākums VVD attiecas uz nosacījumiem, kas noteikti periodam 2018.-2020.</w:t>
            </w:r>
            <w:r w:rsidR="003E712B">
              <w:rPr>
                <w:sz w:val="22"/>
                <w:szCs w:val="22"/>
              </w:rPr>
              <w:t> </w:t>
            </w:r>
            <w:r w:rsidR="00CB7B76">
              <w:rPr>
                <w:sz w:val="22"/>
                <w:szCs w:val="22"/>
              </w:rPr>
              <w:t>gadam, līdz ar to tam ir jāparedz finansējums.</w:t>
            </w:r>
          </w:p>
          <w:p w:rsidR="0074103C" w:rsidRPr="00584840" w14:paraId="4A3350DF" w14:textId="77777777">
            <w:pPr>
              <w:pStyle w:val="naisf"/>
              <w:spacing w:before="60" w:after="60"/>
              <w:ind w:firstLine="0"/>
              <w:rPr>
                <w:sz w:val="22"/>
                <w:szCs w:val="22"/>
              </w:rPr>
            </w:pPr>
            <w:r w:rsidRPr="00584840">
              <w:rPr>
                <w:sz w:val="22"/>
                <w:szCs w:val="22"/>
              </w:rPr>
              <w:t>VVD 2021.</w:t>
            </w:r>
            <w:r>
              <w:rPr>
                <w:sz w:val="22"/>
                <w:szCs w:val="22"/>
              </w:rPr>
              <w:t> </w:t>
            </w:r>
            <w:r w:rsidRPr="00584840">
              <w:rPr>
                <w:sz w:val="22"/>
                <w:szCs w:val="22"/>
              </w:rPr>
              <w:t xml:space="preserve">gadā būs nepieciešams izvērtēt, vai visi degvielas piegādātāji </w:t>
            </w:r>
            <w:r w:rsidR="003E712B">
              <w:rPr>
                <w:sz w:val="22"/>
                <w:szCs w:val="22"/>
              </w:rPr>
              <w:t>īstenojuši</w:t>
            </w:r>
            <w:r w:rsidRPr="00584840">
              <w:rPr>
                <w:sz w:val="22"/>
                <w:szCs w:val="22"/>
              </w:rPr>
              <w:t xml:space="preserve"> tiem uzlikto pienākumu nodrošināt degvielas piegādes aprites cikla SEG emisiju samazinājumu par 6</w:t>
            </w:r>
            <w:r>
              <w:rPr>
                <w:sz w:val="22"/>
                <w:szCs w:val="22"/>
              </w:rPr>
              <w:t> </w:t>
            </w:r>
            <w:r w:rsidRPr="00584840">
              <w:rPr>
                <w:sz w:val="22"/>
                <w:szCs w:val="22"/>
              </w:rPr>
              <w:t>%</w:t>
            </w:r>
            <w:r>
              <w:rPr>
                <w:sz w:val="22"/>
                <w:szCs w:val="22"/>
              </w:rPr>
              <w:t>,</w:t>
            </w:r>
            <w:r w:rsidRPr="00584840">
              <w:rPr>
                <w:sz w:val="22"/>
                <w:szCs w:val="22"/>
              </w:rPr>
              <w:t xml:space="preserve"> salīdzinot ar konkrētās degvielas aprites cikla SEG emisiju standartlielumu.</w:t>
            </w:r>
          </w:p>
          <w:p w:rsidR="0074103C" w:rsidRPr="00584840" w14:paraId="4A3350E0" w14:textId="77777777">
            <w:pPr>
              <w:pStyle w:val="naisf"/>
              <w:spacing w:before="60" w:after="60"/>
              <w:ind w:firstLine="0"/>
              <w:rPr>
                <w:rFonts w:eastAsia="Calibri"/>
                <w:sz w:val="22"/>
                <w:szCs w:val="22"/>
                <w:lang w:eastAsia="en-US"/>
              </w:rPr>
            </w:pPr>
            <w:r w:rsidRPr="00584840">
              <w:rPr>
                <w:sz w:val="22"/>
                <w:szCs w:val="22"/>
              </w:rPr>
              <w:t>Ja kāds konkrēts degvielas piegādātājs šo pienākumu nebūs izpildījis, tad VVD būs jā</w:t>
            </w:r>
            <w:r>
              <w:rPr>
                <w:sz w:val="22"/>
                <w:szCs w:val="22"/>
              </w:rPr>
              <w:t xml:space="preserve">pieņem lēmums par lietvedības uzsākšanu administratīvā pārkāpuma lietā, kuras rezultātā var tikt noteikts un piemērots </w:t>
            </w:r>
            <w:r w:rsidRPr="00584840">
              <w:rPr>
                <w:sz w:val="22"/>
                <w:szCs w:val="22"/>
              </w:rPr>
              <w:t>administratīvais sods konkrētajam degvielas piegādātājam.</w:t>
            </w:r>
          </w:p>
          <w:p w:rsidR="0074103C" w:rsidRPr="00584840" w14:paraId="4A3350E1" w14:textId="77777777">
            <w:pPr>
              <w:pStyle w:val="naisf"/>
              <w:spacing w:before="60" w:after="60"/>
              <w:ind w:firstLine="0"/>
              <w:rPr>
                <w:sz w:val="22"/>
                <w:szCs w:val="22"/>
              </w:rPr>
            </w:pPr>
          </w:p>
          <w:p w:rsidR="0074103C" w:rsidRPr="00506D66" w14:paraId="4A3350E2" w14:textId="77777777">
            <w:pPr>
              <w:pStyle w:val="naisf"/>
              <w:spacing w:before="60" w:after="60"/>
              <w:ind w:firstLine="0"/>
              <w:rPr>
                <w:b/>
                <w:sz w:val="22"/>
                <w:szCs w:val="22"/>
                <w:u w:val="single"/>
              </w:rPr>
            </w:pPr>
            <w:r w:rsidRPr="00506D66">
              <w:rPr>
                <w:b/>
                <w:sz w:val="22"/>
                <w:szCs w:val="22"/>
                <w:u w:val="single"/>
              </w:rPr>
              <w:t>3. </w:t>
            </w:r>
            <w:r>
              <w:rPr>
                <w:b/>
                <w:sz w:val="22"/>
                <w:szCs w:val="22"/>
                <w:u w:val="single"/>
              </w:rPr>
              <w:t xml:space="preserve">Finansējuma detalizēts </w:t>
            </w:r>
            <w:r w:rsidRPr="00506D66">
              <w:rPr>
                <w:b/>
                <w:sz w:val="22"/>
                <w:szCs w:val="22"/>
                <w:u w:val="single"/>
              </w:rPr>
              <w:t>aprēķins:</w:t>
            </w:r>
          </w:p>
          <w:p w:rsidR="0074103C" w:rsidRPr="00584840" w14:paraId="4A3350E3" w14:textId="77777777">
            <w:pPr>
              <w:pStyle w:val="naisf"/>
              <w:spacing w:before="60" w:after="60"/>
              <w:ind w:firstLine="0"/>
              <w:rPr>
                <w:rFonts w:eastAsia="Calibri"/>
                <w:sz w:val="22"/>
                <w:szCs w:val="22"/>
                <w:lang w:eastAsia="en-US"/>
              </w:rPr>
            </w:pPr>
            <w:r w:rsidRPr="00584840">
              <w:rPr>
                <w:rFonts w:eastAsia="Calibri"/>
                <w:sz w:val="22"/>
                <w:szCs w:val="22"/>
                <w:lang w:eastAsia="en-US"/>
              </w:rPr>
              <w:t xml:space="preserve">Aprēķiniem tiek izmantoti dati par </w:t>
            </w:r>
            <w:r>
              <w:rPr>
                <w:rFonts w:eastAsia="Calibri"/>
                <w:sz w:val="22"/>
                <w:szCs w:val="22"/>
                <w:lang w:eastAsia="en-US"/>
              </w:rPr>
              <w:t xml:space="preserve">esošajām </w:t>
            </w:r>
            <w:r w:rsidR="003E712B">
              <w:rPr>
                <w:rFonts w:eastAsia="Calibri"/>
                <w:sz w:val="22"/>
                <w:szCs w:val="22"/>
                <w:lang w:eastAsia="en-US"/>
              </w:rPr>
              <w:t>vienas</w:t>
            </w:r>
            <w:r w:rsidRPr="00584840">
              <w:rPr>
                <w:rFonts w:eastAsia="Calibri"/>
                <w:sz w:val="22"/>
                <w:szCs w:val="22"/>
                <w:lang w:eastAsia="en-US"/>
              </w:rPr>
              <w:t xml:space="preserve"> slodzes izmaksām VVD.</w:t>
            </w:r>
          </w:p>
          <w:p w:rsidR="0074103C" w:rsidRPr="00584840" w14:paraId="4A3350E4" w14:textId="77777777">
            <w:pPr>
              <w:pStyle w:val="naisf"/>
              <w:spacing w:before="60" w:after="60"/>
              <w:ind w:firstLine="0"/>
              <w:rPr>
                <w:rFonts w:eastAsia="Calibri"/>
                <w:sz w:val="22"/>
                <w:szCs w:val="22"/>
                <w:lang w:eastAsia="en-US"/>
              </w:rPr>
            </w:pPr>
          </w:p>
          <w:p w:rsidR="0074103C" w:rsidRPr="00584840" w14:paraId="4A3350E5" w14:textId="77777777">
            <w:pPr>
              <w:spacing w:before="60" w:after="60"/>
              <w:rPr>
                <w:rFonts w:ascii="Times New Roman" w:hAnsi="Times New Roman"/>
              </w:rPr>
            </w:pPr>
            <w:r w:rsidRPr="00584840">
              <w:rPr>
                <w:rFonts w:ascii="Times New Roman" w:hAnsi="Times New Roman"/>
              </w:rPr>
              <w:t>Finansējums paredzēts:</w:t>
            </w:r>
          </w:p>
          <w:p w:rsidR="0074103C" w:rsidRPr="00584840" w14:paraId="4A3350E6" w14:textId="77777777">
            <w:pPr>
              <w:spacing w:before="60" w:after="60"/>
              <w:rPr>
                <w:rFonts w:ascii="Times New Roman" w:hAnsi="Times New Roman"/>
                <w:i/>
              </w:rPr>
            </w:pPr>
            <w:r w:rsidRPr="00584840">
              <w:rPr>
                <w:rFonts w:ascii="Times New Roman" w:hAnsi="Times New Roman"/>
                <w:b/>
                <w:bCs/>
                <w:i/>
              </w:rPr>
              <w:t>1</w:t>
            </w:r>
            <w:r>
              <w:rPr>
                <w:rFonts w:ascii="Times New Roman" w:hAnsi="Times New Roman"/>
                <w:b/>
                <w:bCs/>
                <w:i/>
              </w:rPr>
              <w:t>) </w:t>
            </w:r>
            <w:r w:rsidRPr="00584840">
              <w:rPr>
                <w:rFonts w:ascii="Times New Roman" w:hAnsi="Times New Roman"/>
                <w:b/>
                <w:bCs/>
                <w:i/>
              </w:rPr>
              <w:t>amata vietas atlīdzības izdevumiem</w:t>
            </w:r>
            <w:r w:rsidRPr="00584840">
              <w:rPr>
                <w:rFonts w:ascii="Times New Roman" w:hAnsi="Times New Roman"/>
                <w:i/>
              </w:rPr>
              <w:t xml:space="preserve"> (10.</w:t>
            </w:r>
            <w:r>
              <w:rPr>
                <w:rFonts w:ascii="Times New Roman" w:hAnsi="Times New Roman"/>
                <w:i/>
              </w:rPr>
              <w:t> </w:t>
            </w:r>
            <w:r w:rsidRPr="00584840">
              <w:rPr>
                <w:rFonts w:ascii="Times New Roman" w:hAnsi="Times New Roman"/>
                <w:i/>
              </w:rPr>
              <w:t xml:space="preserve">amatu saime un 10.mēnešalgu līmenis) </w:t>
            </w:r>
            <w:r w:rsidRPr="00584840">
              <w:rPr>
                <w:rFonts w:ascii="Times New Roman" w:hAnsi="Times New Roman"/>
                <w:b/>
                <w:i/>
              </w:rPr>
              <w:t>24</w:t>
            </w:r>
            <w:r>
              <w:rPr>
                <w:rFonts w:ascii="Times New Roman" w:hAnsi="Times New Roman"/>
                <w:b/>
                <w:i/>
              </w:rPr>
              <w:t> </w:t>
            </w:r>
            <w:r w:rsidRPr="00584840">
              <w:rPr>
                <w:rFonts w:ascii="Times New Roman" w:hAnsi="Times New Roman"/>
                <w:b/>
                <w:i/>
              </w:rPr>
              <w:t>186</w:t>
            </w:r>
            <w:r>
              <w:rPr>
                <w:rFonts w:ascii="Times New Roman" w:hAnsi="Times New Roman"/>
                <w:b/>
                <w:i/>
              </w:rPr>
              <w:t>,1</w:t>
            </w:r>
            <w:r>
              <w:rPr>
                <w:rFonts w:ascii="Times New Roman" w:hAnsi="Times New Roman"/>
                <w:b/>
                <w:bCs/>
                <w:i/>
              </w:rPr>
              <w:t> </w:t>
            </w:r>
            <w:r>
              <w:rPr>
                <w:rFonts w:ascii="Times New Roman" w:hAnsi="Times New Roman"/>
                <w:b/>
                <w:bCs/>
                <w:i/>
              </w:rPr>
              <w:t>euro</w:t>
            </w:r>
            <w:r w:rsidRPr="00584840">
              <w:rPr>
                <w:rFonts w:ascii="Times New Roman" w:hAnsi="Times New Roman"/>
                <w:i/>
              </w:rPr>
              <w:t>, t.sk. mēnešalgai 1287</w:t>
            </w:r>
            <w:r>
              <w:rPr>
                <w:rFonts w:ascii="Times New Roman" w:hAnsi="Times New Roman"/>
                <w:i/>
              </w:rPr>
              <w:t> </w:t>
            </w:r>
            <w:r>
              <w:rPr>
                <w:rFonts w:ascii="Times New Roman" w:hAnsi="Times New Roman"/>
                <w:i/>
              </w:rPr>
              <w:t>euro</w:t>
            </w:r>
            <w:r w:rsidRPr="00584840">
              <w:rPr>
                <w:rFonts w:ascii="Times New Roman" w:hAnsi="Times New Roman"/>
                <w:i/>
              </w:rPr>
              <w:t xml:space="preserve"> x 12  = 15</w:t>
            </w:r>
            <w:r>
              <w:rPr>
                <w:rFonts w:ascii="Times New Roman" w:hAnsi="Times New Roman"/>
                <w:i/>
              </w:rPr>
              <w:t> </w:t>
            </w:r>
            <w:r w:rsidRPr="00584840">
              <w:rPr>
                <w:rFonts w:ascii="Times New Roman" w:hAnsi="Times New Roman"/>
                <w:i/>
              </w:rPr>
              <w:t>444</w:t>
            </w:r>
            <w:r>
              <w:rPr>
                <w:rFonts w:ascii="Times New Roman" w:hAnsi="Times New Roman"/>
                <w:i/>
              </w:rPr>
              <w:t> </w:t>
            </w:r>
            <w:r>
              <w:rPr>
                <w:rFonts w:ascii="Times New Roman" w:hAnsi="Times New Roman"/>
                <w:i/>
              </w:rPr>
              <w:t>euro</w:t>
            </w:r>
            <w:r w:rsidRPr="00584840">
              <w:rPr>
                <w:rFonts w:ascii="Times New Roman" w:hAnsi="Times New Roman"/>
                <w:i/>
              </w:rPr>
              <w:t>, piemaksas 10</w:t>
            </w:r>
            <w:r>
              <w:rPr>
                <w:rFonts w:ascii="Times New Roman" w:hAnsi="Times New Roman"/>
                <w:i/>
              </w:rPr>
              <w:t> </w:t>
            </w:r>
            <w:r w:rsidRPr="00584840">
              <w:rPr>
                <w:rFonts w:ascii="Times New Roman" w:hAnsi="Times New Roman"/>
                <w:i/>
              </w:rPr>
              <w:t>% no algas – 1544</w:t>
            </w:r>
            <w:r>
              <w:rPr>
                <w:rFonts w:ascii="Times New Roman" w:hAnsi="Times New Roman"/>
                <w:i/>
              </w:rPr>
              <w:t>,4 </w:t>
            </w:r>
            <w:r>
              <w:rPr>
                <w:rFonts w:ascii="Times New Roman" w:hAnsi="Times New Roman"/>
                <w:i/>
              </w:rPr>
              <w:t>euro</w:t>
            </w:r>
            <w:r w:rsidRPr="00584840">
              <w:rPr>
                <w:rFonts w:ascii="Times New Roman" w:hAnsi="Times New Roman"/>
                <w:i/>
              </w:rPr>
              <w:t>; prēmijas, naudas balvas 10</w:t>
            </w:r>
            <w:r>
              <w:rPr>
                <w:rFonts w:ascii="Times New Roman" w:hAnsi="Times New Roman"/>
                <w:i/>
              </w:rPr>
              <w:t> </w:t>
            </w:r>
            <w:r w:rsidRPr="00584840">
              <w:rPr>
                <w:rFonts w:ascii="Times New Roman" w:hAnsi="Times New Roman"/>
                <w:i/>
              </w:rPr>
              <w:t>% no algas – 1544</w:t>
            </w:r>
            <w:r>
              <w:rPr>
                <w:rFonts w:ascii="Times New Roman" w:hAnsi="Times New Roman"/>
                <w:i/>
              </w:rPr>
              <w:t>,4 </w:t>
            </w:r>
            <w:r>
              <w:rPr>
                <w:rFonts w:ascii="Times New Roman" w:hAnsi="Times New Roman"/>
                <w:i/>
              </w:rPr>
              <w:t>euro</w:t>
            </w:r>
            <w:r w:rsidRPr="00584840">
              <w:rPr>
                <w:rFonts w:ascii="Times New Roman" w:hAnsi="Times New Roman"/>
                <w:i/>
              </w:rPr>
              <w:t>; soc</w:t>
            </w:r>
            <w:r>
              <w:rPr>
                <w:rFonts w:ascii="Times New Roman" w:hAnsi="Times New Roman"/>
                <w:i/>
              </w:rPr>
              <w:t>iālās</w:t>
            </w:r>
            <w:r w:rsidRPr="00584840">
              <w:rPr>
                <w:rFonts w:ascii="Times New Roman" w:hAnsi="Times New Roman"/>
                <w:i/>
              </w:rPr>
              <w:t xml:space="preserve"> garantijas 5</w:t>
            </w:r>
            <w:r>
              <w:rPr>
                <w:rFonts w:ascii="Times New Roman" w:hAnsi="Times New Roman"/>
                <w:i/>
              </w:rPr>
              <w:t> </w:t>
            </w:r>
            <w:r w:rsidRPr="00584840">
              <w:rPr>
                <w:rFonts w:ascii="Times New Roman" w:hAnsi="Times New Roman"/>
                <w:i/>
              </w:rPr>
              <w:t>% no algas – 772</w:t>
            </w:r>
            <w:r>
              <w:rPr>
                <w:rFonts w:ascii="Times New Roman" w:hAnsi="Times New Roman"/>
                <w:i/>
              </w:rPr>
              <w:t>,2 </w:t>
            </w:r>
            <w:r>
              <w:rPr>
                <w:rFonts w:ascii="Times New Roman" w:hAnsi="Times New Roman"/>
                <w:i/>
              </w:rPr>
              <w:t>euro</w:t>
            </w:r>
            <w:r w:rsidRPr="00584840">
              <w:rPr>
                <w:rFonts w:ascii="Times New Roman" w:hAnsi="Times New Roman"/>
                <w:i/>
              </w:rPr>
              <w:t>; darba devēja soc</w:t>
            </w:r>
            <w:r>
              <w:rPr>
                <w:rFonts w:ascii="Times New Roman" w:hAnsi="Times New Roman"/>
                <w:i/>
              </w:rPr>
              <w:t>iālais</w:t>
            </w:r>
            <w:r w:rsidRPr="00584840">
              <w:rPr>
                <w:rFonts w:ascii="Times New Roman" w:hAnsi="Times New Roman"/>
                <w:i/>
              </w:rPr>
              <w:t xml:space="preserve"> nodoklis – 4554</w:t>
            </w:r>
            <w:r>
              <w:rPr>
                <w:rFonts w:ascii="Times New Roman" w:hAnsi="Times New Roman"/>
                <w:i/>
              </w:rPr>
              <w:t>,1 </w:t>
            </w:r>
            <w:r>
              <w:rPr>
                <w:rFonts w:ascii="Times New Roman" w:hAnsi="Times New Roman"/>
                <w:i/>
              </w:rPr>
              <w:t>euro</w:t>
            </w:r>
            <w:r w:rsidRPr="00584840">
              <w:rPr>
                <w:rFonts w:ascii="Times New Roman" w:hAnsi="Times New Roman"/>
                <w:i/>
              </w:rPr>
              <w:t xml:space="preserve"> (23,59</w:t>
            </w:r>
            <w:r>
              <w:rPr>
                <w:rFonts w:ascii="Times New Roman" w:hAnsi="Times New Roman"/>
                <w:i/>
              </w:rPr>
              <w:t> </w:t>
            </w:r>
            <w:r w:rsidRPr="00584840">
              <w:rPr>
                <w:rFonts w:ascii="Times New Roman" w:hAnsi="Times New Roman"/>
                <w:i/>
              </w:rPr>
              <w:t>% no atalgojuma un soc</w:t>
            </w:r>
            <w:r>
              <w:rPr>
                <w:rFonts w:ascii="Times New Roman" w:hAnsi="Times New Roman"/>
                <w:i/>
              </w:rPr>
              <w:t>iālajām</w:t>
            </w:r>
            <w:r w:rsidRPr="00584840">
              <w:rPr>
                <w:rFonts w:ascii="Times New Roman" w:hAnsi="Times New Roman"/>
                <w:i/>
              </w:rPr>
              <w:t xml:space="preserve"> garantijām); veselības apdrošināšana 327</w:t>
            </w:r>
            <w:r>
              <w:rPr>
                <w:rFonts w:ascii="Times New Roman" w:hAnsi="Times New Roman"/>
                <w:i/>
              </w:rPr>
              <w:t> </w:t>
            </w:r>
            <w:r>
              <w:rPr>
                <w:rFonts w:ascii="Times New Roman" w:hAnsi="Times New Roman"/>
                <w:i/>
              </w:rPr>
              <w:t>euro</w:t>
            </w:r>
            <w:r>
              <w:rPr>
                <w:rFonts w:ascii="Times New Roman" w:hAnsi="Times New Roman"/>
                <w:i/>
              </w:rPr>
              <w:t>;</w:t>
            </w:r>
            <w:r w:rsidRPr="00584840">
              <w:rPr>
                <w:rFonts w:ascii="Times New Roman" w:hAnsi="Times New Roman"/>
                <w:i/>
              </w:rPr>
              <w:t xml:space="preserve"> </w:t>
            </w:r>
          </w:p>
          <w:p w:rsidR="0074103C" w:rsidRPr="00584840" w14:paraId="4A3350E7" w14:textId="77777777">
            <w:pPr>
              <w:spacing w:before="60" w:after="60"/>
              <w:rPr>
                <w:rFonts w:ascii="Times New Roman" w:hAnsi="Times New Roman"/>
                <w:i/>
              </w:rPr>
            </w:pPr>
            <w:r>
              <w:rPr>
                <w:rFonts w:ascii="Times New Roman" w:hAnsi="Times New Roman"/>
                <w:b/>
                <w:bCs/>
                <w:i/>
              </w:rPr>
              <w:t>2) </w:t>
            </w:r>
            <w:r w:rsidRPr="00584840">
              <w:rPr>
                <w:rFonts w:ascii="Times New Roman" w:hAnsi="Times New Roman"/>
                <w:b/>
                <w:bCs/>
                <w:i/>
              </w:rPr>
              <w:t>darba vietas uzturēšanai 3</w:t>
            </w:r>
            <w:r>
              <w:rPr>
                <w:rFonts w:ascii="Times New Roman" w:hAnsi="Times New Roman"/>
                <w:b/>
                <w:bCs/>
                <w:i/>
              </w:rPr>
              <w:t> 361 </w:t>
            </w:r>
            <w:r>
              <w:rPr>
                <w:rFonts w:ascii="Times New Roman" w:hAnsi="Times New Roman"/>
                <w:b/>
                <w:bCs/>
                <w:i/>
              </w:rPr>
              <w:t>euro</w:t>
            </w:r>
            <w:r w:rsidRPr="00584840">
              <w:rPr>
                <w:rFonts w:ascii="Times New Roman" w:hAnsi="Times New Roman"/>
                <w:b/>
                <w:bCs/>
                <w:i/>
              </w:rPr>
              <w:t xml:space="preserve"> gadā</w:t>
            </w:r>
            <w:r w:rsidRPr="00584840">
              <w:rPr>
                <w:rFonts w:ascii="Times New Roman" w:hAnsi="Times New Roman"/>
                <w:i/>
              </w:rPr>
              <w:t xml:space="preserve"> uz vienu amata vietu: sakaru pakalpojumi 181</w:t>
            </w:r>
            <w:r>
              <w:rPr>
                <w:rFonts w:ascii="Times New Roman" w:hAnsi="Times New Roman"/>
                <w:i/>
              </w:rPr>
              <w:t> </w:t>
            </w:r>
            <w:r>
              <w:rPr>
                <w:rFonts w:ascii="Times New Roman" w:hAnsi="Times New Roman"/>
                <w:i/>
              </w:rPr>
              <w:t>euro</w:t>
            </w:r>
            <w:r w:rsidRPr="00584840">
              <w:rPr>
                <w:rFonts w:ascii="Times New Roman" w:hAnsi="Times New Roman"/>
                <w:i/>
              </w:rPr>
              <w:t>,  </w:t>
            </w:r>
            <w:r>
              <w:rPr>
                <w:rFonts w:ascii="Times New Roman" w:hAnsi="Times New Roman"/>
                <w:i/>
              </w:rPr>
              <w:t>i</w:t>
            </w:r>
            <w:r w:rsidRPr="00584840">
              <w:rPr>
                <w:rFonts w:ascii="Times New Roman" w:hAnsi="Times New Roman"/>
                <w:i/>
              </w:rPr>
              <w:t>zdevumi par komunālajiem pakalpojumiem 340</w:t>
            </w:r>
            <w:r>
              <w:rPr>
                <w:rFonts w:ascii="Times New Roman" w:hAnsi="Times New Roman"/>
                <w:i/>
              </w:rPr>
              <w:t> </w:t>
            </w:r>
            <w:r>
              <w:rPr>
                <w:rFonts w:ascii="Times New Roman" w:hAnsi="Times New Roman"/>
                <w:i/>
              </w:rPr>
              <w:t>euro</w:t>
            </w:r>
            <w:r w:rsidRPr="00584840">
              <w:rPr>
                <w:rFonts w:ascii="Times New Roman" w:hAnsi="Times New Roman"/>
                <w:i/>
              </w:rPr>
              <w:t>, citas administratīvās izmaksas 67</w:t>
            </w:r>
            <w:r>
              <w:rPr>
                <w:rFonts w:ascii="Times New Roman" w:hAnsi="Times New Roman"/>
                <w:i/>
              </w:rPr>
              <w:t> </w:t>
            </w:r>
            <w:r>
              <w:rPr>
                <w:rFonts w:ascii="Times New Roman" w:hAnsi="Times New Roman"/>
                <w:i/>
              </w:rPr>
              <w:t>euro</w:t>
            </w:r>
            <w:r w:rsidRPr="00584840">
              <w:rPr>
                <w:rFonts w:ascii="Times New Roman" w:hAnsi="Times New Roman"/>
                <w:i/>
              </w:rPr>
              <w:t>,  remonta darbi un iestāžu uzturēšanas pakalpojumi 120</w:t>
            </w:r>
            <w:r>
              <w:rPr>
                <w:rFonts w:ascii="Times New Roman" w:hAnsi="Times New Roman"/>
                <w:i/>
              </w:rPr>
              <w:t> </w:t>
            </w:r>
            <w:r>
              <w:rPr>
                <w:rFonts w:ascii="Times New Roman" w:hAnsi="Times New Roman"/>
                <w:i/>
              </w:rPr>
              <w:t>euro</w:t>
            </w:r>
            <w:r w:rsidRPr="00584840">
              <w:rPr>
                <w:rFonts w:ascii="Times New Roman" w:hAnsi="Times New Roman"/>
                <w:i/>
              </w:rPr>
              <w:t>, informācijas tehnoloģijas pakalpojumi 284</w:t>
            </w:r>
            <w:r>
              <w:rPr>
                <w:rFonts w:ascii="Times New Roman" w:hAnsi="Times New Roman"/>
                <w:i/>
              </w:rPr>
              <w:t> </w:t>
            </w:r>
            <w:r>
              <w:rPr>
                <w:rFonts w:ascii="Times New Roman" w:hAnsi="Times New Roman"/>
                <w:i/>
              </w:rPr>
              <w:t>euro</w:t>
            </w:r>
            <w:r w:rsidRPr="00584840">
              <w:rPr>
                <w:rFonts w:ascii="Times New Roman" w:hAnsi="Times New Roman"/>
                <w:i/>
              </w:rPr>
              <w:t>, ēku, telpu īre un noma 1200</w:t>
            </w:r>
            <w:r>
              <w:rPr>
                <w:rFonts w:ascii="Times New Roman" w:hAnsi="Times New Roman"/>
                <w:i/>
              </w:rPr>
              <w:t> </w:t>
            </w:r>
            <w:r>
              <w:rPr>
                <w:rFonts w:ascii="Times New Roman" w:hAnsi="Times New Roman"/>
                <w:i/>
              </w:rPr>
              <w:t>euro</w:t>
            </w:r>
            <w:r w:rsidRPr="00584840">
              <w:rPr>
                <w:rFonts w:ascii="Times New Roman" w:hAnsi="Times New Roman"/>
                <w:i/>
              </w:rPr>
              <w:t>, biroja preces un inventārs 1</w:t>
            </w:r>
            <w:r>
              <w:rPr>
                <w:rFonts w:ascii="Times New Roman" w:hAnsi="Times New Roman"/>
                <w:i/>
              </w:rPr>
              <w:t>072 </w:t>
            </w:r>
            <w:r>
              <w:rPr>
                <w:rFonts w:ascii="Times New Roman" w:hAnsi="Times New Roman"/>
                <w:i/>
              </w:rPr>
              <w:t>euro</w:t>
            </w:r>
            <w:r w:rsidRPr="00584840">
              <w:rPr>
                <w:rFonts w:ascii="Times New Roman" w:hAnsi="Times New Roman"/>
                <w:i/>
              </w:rPr>
              <w:t>,  kārtējā remonta un iestāžu uzturēšanas materiāli 97</w:t>
            </w:r>
            <w:r>
              <w:rPr>
                <w:rFonts w:ascii="Times New Roman" w:hAnsi="Times New Roman"/>
                <w:i/>
              </w:rPr>
              <w:t> </w:t>
            </w:r>
            <w:r>
              <w:rPr>
                <w:rFonts w:ascii="Times New Roman" w:hAnsi="Times New Roman"/>
                <w:i/>
              </w:rPr>
              <w:t>euro</w:t>
            </w:r>
            <w:r w:rsidRPr="00584840">
              <w:rPr>
                <w:rFonts w:ascii="Times New Roman" w:hAnsi="Times New Roman"/>
                <w:i/>
              </w:rPr>
              <w:t>.</w:t>
            </w:r>
          </w:p>
          <w:p w:rsidR="0074103C" w14:paraId="4A3350E8" w14:textId="77777777">
            <w:pPr>
              <w:spacing w:before="60" w:after="60"/>
              <w:rPr>
                <w:rFonts w:ascii="Times New Roman" w:hAnsi="Times New Roman"/>
              </w:rPr>
            </w:pPr>
          </w:p>
          <w:p w:rsidR="0074103C" w14:paraId="4A3350E9" w14:textId="77777777">
            <w:pPr>
              <w:spacing w:before="60" w:after="60"/>
              <w:rPr>
                <w:rFonts w:ascii="Times New Roman" w:hAnsi="Times New Roman"/>
              </w:rPr>
            </w:pPr>
            <w:r>
              <w:rPr>
                <w:rFonts w:ascii="Times New Roman" w:hAnsi="Times New Roman"/>
              </w:rPr>
              <w:t>Saskaņā ar VVD sniegto informāciju VVD nav nepieciešams iekār</w:t>
            </w:r>
            <w:r w:rsidR="00E42D24">
              <w:rPr>
                <w:rFonts w:ascii="Times New Roman" w:hAnsi="Times New Roman"/>
              </w:rPr>
              <w:t>t</w:t>
            </w:r>
            <w:r>
              <w:rPr>
                <w:rFonts w:ascii="Times New Roman" w:hAnsi="Times New Roman"/>
              </w:rPr>
              <w:t>ot jaunu amata vietu papildus funkciju pildīšanai, tāpēc aprēķinā nav iekļauts finansējums papildus amata vietas iekārtošanai.</w:t>
            </w:r>
          </w:p>
          <w:p w:rsidR="0074103C" w:rsidRPr="00584840" w14:paraId="4A3350EA" w14:textId="77777777">
            <w:pPr>
              <w:spacing w:before="60" w:after="60"/>
              <w:rPr>
                <w:rFonts w:ascii="Times New Roman" w:hAnsi="Times New Roman"/>
              </w:rPr>
            </w:pPr>
          </w:p>
          <w:p w:rsidR="0074103C" w14:paraId="4A3350EB" w14:textId="77777777">
            <w:pPr>
              <w:pStyle w:val="naisf"/>
              <w:spacing w:before="60" w:after="60"/>
              <w:ind w:firstLine="0"/>
              <w:rPr>
                <w:rFonts w:eastAsia="Calibri"/>
                <w:sz w:val="22"/>
                <w:szCs w:val="22"/>
                <w:lang w:eastAsia="en-US"/>
              </w:rPr>
            </w:pPr>
            <w:r w:rsidRPr="00584840">
              <w:rPr>
                <w:rFonts w:eastAsia="Calibri"/>
                <w:sz w:val="22"/>
                <w:szCs w:val="22"/>
                <w:lang w:eastAsia="en-US"/>
              </w:rPr>
              <w:t xml:space="preserve">Izmaksas vienas pilnas slodzes amata vietai ir </w:t>
            </w:r>
            <w:r>
              <w:rPr>
                <w:rFonts w:eastAsia="Calibri"/>
                <w:sz w:val="22"/>
                <w:szCs w:val="22"/>
                <w:lang w:eastAsia="en-US"/>
              </w:rPr>
              <w:t>27</w:t>
            </w:r>
            <w:r w:rsidR="009600FA">
              <w:rPr>
                <w:rFonts w:eastAsia="Calibri"/>
                <w:sz w:val="22"/>
                <w:szCs w:val="22"/>
                <w:lang w:eastAsia="en-US"/>
              </w:rPr>
              <w:t> </w:t>
            </w:r>
            <w:r>
              <w:rPr>
                <w:rFonts w:eastAsia="Calibri"/>
                <w:sz w:val="22"/>
                <w:szCs w:val="22"/>
                <w:lang w:eastAsia="en-US"/>
              </w:rPr>
              <w:t>547 </w:t>
            </w:r>
            <w:r w:rsidRPr="00AB4BD9">
              <w:rPr>
                <w:rFonts w:eastAsia="Calibri"/>
                <w:i/>
                <w:sz w:val="22"/>
                <w:szCs w:val="22"/>
                <w:lang w:eastAsia="en-US"/>
              </w:rPr>
              <w:t>euro</w:t>
            </w:r>
            <w:r w:rsidRPr="00584840">
              <w:rPr>
                <w:rFonts w:eastAsia="Calibri"/>
                <w:sz w:val="22"/>
                <w:szCs w:val="22"/>
                <w:lang w:eastAsia="en-US"/>
              </w:rPr>
              <w:t>.</w:t>
            </w:r>
          </w:p>
          <w:p w:rsidR="0074103C" w14:paraId="4A3350EC" w14:textId="77777777">
            <w:pPr>
              <w:pStyle w:val="naisf"/>
              <w:spacing w:before="60" w:after="60"/>
              <w:ind w:firstLine="0"/>
              <w:rPr>
                <w:rFonts w:eastAsia="Calibri"/>
                <w:sz w:val="22"/>
                <w:szCs w:val="22"/>
                <w:lang w:eastAsia="en-US"/>
              </w:rPr>
            </w:pPr>
            <w:r w:rsidRPr="00584840">
              <w:rPr>
                <w:rFonts w:eastAsia="Calibri"/>
                <w:sz w:val="22"/>
                <w:szCs w:val="22"/>
                <w:lang w:eastAsia="en-US"/>
              </w:rPr>
              <w:t xml:space="preserve">Saskaņā ar Ekonomikas ministrijas sniegto informāciju un VVD aprēķiniem </w:t>
            </w:r>
            <w:r w:rsidRPr="0005196F">
              <w:rPr>
                <w:rFonts w:eastAsia="Calibri"/>
                <w:sz w:val="22"/>
                <w:szCs w:val="22"/>
                <w:u w:val="single"/>
                <w:lang w:eastAsia="en-US"/>
              </w:rPr>
              <w:t>minēto darba pienākumu pildīšanai</w:t>
            </w:r>
            <w:r w:rsidR="00F12174">
              <w:rPr>
                <w:rFonts w:eastAsia="Calibri"/>
                <w:sz w:val="22"/>
                <w:szCs w:val="22"/>
                <w:u w:val="single"/>
                <w:lang w:eastAsia="en-US"/>
              </w:rPr>
              <w:t xml:space="preserve"> sākot ar 2018.gadu</w:t>
            </w:r>
            <w:r w:rsidRPr="0005196F">
              <w:rPr>
                <w:rFonts w:eastAsia="Calibri"/>
                <w:sz w:val="22"/>
                <w:szCs w:val="22"/>
                <w:u w:val="single"/>
                <w:lang w:eastAsia="en-US"/>
              </w:rPr>
              <w:t xml:space="preserve"> būs nepieciešama pusslodze</w:t>
            </w:r>
            <w:r w:rsidRPr="00584840">
              <w:rPr>
                <w:rFonts w:eastAsia="Calibri"/>
                <w:sz w:val="22"/>
                <w:szCs w:val="22"/>
                <w:lang w:eastAsia="en-US"/>
              </w:rPr>
              <w:t xml:space="preserve">. </w:t>
            </w:r>
            <w:r w:rsidRPr="00584840">
              <w:rPr>
                <w:rFonts w:eastAsia="Calibri"/>
                <w:sz w:val="22"/>
                <w:szCs w:val="22"/>
                <w:u w:val="single"/>
                <w:lang w:eastAsia="en-US"/>
              </w:rPr>
              <w:t xml:space="preserve">Līdz ar to izmaksas </w:t>
            </w:r>
            <w:r>
              <w:rPr>
                <w:rFonts w:eastAsia="Calibri"/>
                <w:sz w:val="22"/>
                <w:szCs w:val="22"/>
                <w:u w:val="single"/>
                <w:lang w:eastAsia="en-US"/>
              </w:rPr>
              <w:t>papildu</w:t>
            </w:r>
            <w:r w:rsidRPr="00584840">
              <w:rPr>
                <w:rFonts w:eastAsia="Calibri"/>
                <w:sz w:val="22"/>
                <w:szCs w:val="22"/>
                <w:u w:val="single"/>
                <w:lang w:eastAsia="en-US"/>
              </w:rPr>
              <w:t xml:space="preserve"> pusslodzei </w:t>
            </w:r>
            <w:r>
              <w:rPr>
                <w:rFonts w:eastAsia="Calibri"/>
                <w:sz w:val="22"/>
                <w:szCs w:val="22"/>
                <w:u w:val="single"/>
                <w:lang w:eastAsia="en-US"/>
              </w:rPr>
              <w:t xml:space="preserve">un tās uzturēšanai </w:t>
            </w:r>
            <w:r w:rsidRPr="00584840">
              <w:rPr>
                <w:rFonts w:eastAsia="Calibri"/>
                <w:sz w:val="22"/>
                <w:szCs w:val="22"/>
                <w:u w:val="single"/>
                <w:lang w:eastAsia="en-US"/>
              </w:rPr>
              <w:t>VVD 201</w:t>
            </w:r>
            <w:r w:rsidR="00CB7B76">
              <w:rPr>
                <w:rFonts w:eastAsia="Calibri"/>
                <w:sz w:val="22"/>
                <w:szCs w:val="22"/>
                <w:u w:val="single"/>
                <w:lang w:eastAsia="en-US"/>
              </w:rPr>
              <w:t>8</w:t>
            </w:r>
            <w:r w:rsidRPr="00584840">
              <w:rPr>
                <w:rFonts w:eastAsia="Calibri"/>
                <w:sz w:val="22"/>
                <w:szCs w:val="22"/>
                <w:u w:val="single"/>
                <w:lang w:eastAsia="en-US"/>
              </w:rPr>
              <w:t>.</w:t>
            </w:r>
            <w:r>
              <w:rPr>
                <w:rFonts w:eastAsia="Calibri"/>
                <w:sz w:val="22"/>
                <w:szCs w:val="22"/>
                <w:u w:val="single"/>
                <w:lang w:eastAsia="en-US"/>
              </w:rPr>
              <w:t>-2020. </w:t>
            </w:r>
            <w:r w:rsidRPr="00584840">
              <w:rPr>
                <w:rFonts w:eastAsia="Calibri"/>
                <w:sz w:val="22"/>
                <w:szCs w:val="22"/>
                <w:u w:val="single"/>
                <w:lang w:eastAsia="en-US"/>
              </w:rPr>
              <w:t xml:space="preserve">gadā būs </w:t>
            </w:r>
            <w:r w:rsidRPr="00CB7B76" w:rsidR="00CB7B76">
              <w:rPr>
                <w:rFonts w:eastAsia="Calibri"/>
                <w:b/>
                <w:sz w:val="22"/>
                <w:szCs w:val="22"/>
                <w:u w:val="single"/>
                <w:lang w:eastAsia="en-US"/>
              </w:rPr>
              <w:t>13</w:t>
            </w:r>
            <w:r w:rsidR="00CB7B76">
              <w:rPr>
                <w:rFonts w:eastAsia="Calibri"/>
                <w:b/>
                <w:sz w:val="22"/>
                <w:szCs w:val="22"/>
                <w:u w:val="single"/>
                <w:lang w:eastAsia="en-US"/>
              </w:rPr>
              <w:t xml:space="preserve"> </w:t>
            </w:r>
            <w:r w:rsidRPr="00CB7B76" w:rsidR="00CB7B76">
              <w:rPr>
                <w:rFonts w:eastAsia="Calibri"/>
                <w:b/>
                <w:sz w:val="22"/>
                <w:szCs w:val="22"/>
                <w:u w:val="single"/>
                <w:lang w:eastAsia="en-US"/>
              </w:rPr>
              <w:t>77</w:t>
            </w:r>
            <w:r w:rsidR="00360426">
              <w:rPr>
                <w:rFonts w:eastAsia="Calibri"/>
                <w:b/>
                <w:sz w:val="22"/>
                <w:szCs w:val="22"/>
                <w:u w:val="single"/>
                <w:lang w:eastAsia="en-US"/>
              </w:rPr>
              <w:t>4</w:t>
            </w:r>
            <w:r>
              <w:rPr>
                <w:rFonts w:eastAsia="Calibri"/>
                <w:sz w:val="22"/>
                <w:szCs w:val="22"/>
                <w:lang w:eastAsia="en-US"/>
              </w:rPr>
              <w:t> </w:t>
            </w:r>
            <w:r w:rsidRPr="00AB4BD9">
              <w:rPr>
                <w:rFonts w:eastAsia="Calibri"/>
                <w:i/>
                <w:sz w:val="22"/>
                <w:szCs w:val="22"/>
                <w:lang w:eastAsia="en-US"/>
              </w:rPr>
              <w:t>euro</w:t>
            </w:r>
            <w:r w:rsidRPr="00584840">
              <w:rPr>
                <w:rFonts w:eastAsia="Calibri"/>
                <w:sz w:val="22"/>
                <w:szCs w:val="22"/>
                <w:lang w:eastAsia="en-US"/>
              </w:rPr>
              <w:t>.</w:t>
            </w:r>
          </w:p>
          <w:p w:rsidR="00F12174" w:rsidRPr="00584840" w14:paraId="4A3350ED" w14:textId="77777777">
            <w:pPr>
              <w:pStyle w:val="naisf"/>
              <w:spacing w:before="60" w:after="60"/>
              <w:ind w:firstLine="0"/>
              <w:rPr>
                <w:rFonts w:eastAsia="Calibri"/>
                <w:sz w:val="22"/>
                <w:szCs w:val="22"/>
                <w:lang w:eastAsia="en-US"/>
              </w:rPr>
            </w:pPr>
            <w:r>
              <w:rPr>
                <w:rFonts w:eastAsia="Calibri"/>
                <w:sz w:val="22"/>
                <w:szCs w:val="22"/>
                <w:lang w:eastAsia="en-US"/>
              </w:rPr>
              <w:t xml:space="preserve">Ņemot vērā, ka VVD ekspertiem būs pilnībā jāpiedalās </w:t>
            </w:r>
            <w:r>
              <w:rPr>
                <w:sz w:val="22"/>
                <w:szCs w:val="22"/>
                <w:u w:val="single"/>
              </w:rPr>
              <w:t xml:space="preserve">nepieciešamā normatīvā regulējuma </w:t>
            </w:r>
            <w:r w:rsidR="00A00C4D">
              <w:rPr>
                <w:sz w:val="22"/>
                <w:szCs w:val="22"/>
                <w:u w:val="single"/>
              </w:rPr>
              <w:t>izstrādē</w:t>
            </w:r>
            <w:r w:rsidRPr="00C83F08" w:rsidR="00A00C4D">
              <w:rPr>
                <w:sz w:val="22"/>
                <w:szCs w:val="22"/>
                <w:u w:val="single"/>
              </w:rPr>
              <w:t xml:space="preserve">, </w:t>
            </w:r>
            <w:r w:rsidR="00A00C4D">
              <w:rPr>
                <w:sz w:val="22"/>
                <w:szCs w:val="22"/>
                <w:u w:val="single"/>
              </w:rPr>
              <w:t>sadarbībā ar Ekonomikas ministriju izveidojot ziņošanas kārtību un nostiprinot tās nosacījumus uz šī likuma pamata deleģējuma izstrādātajos Ministru kabineta noteikumos</w:t>
            </w:r>
            <w:r w:rsidR="00A00C4D">
              <w:rPr>
                <w:sz w:val="22"/>
                <w:szCs w:val="22"/>
              </w:rPr>
              <w:t xml:space="preserve">, </w:t>
            </w:r>
            <w:r>
              <w:rPr>
                <w:sz w:val="22"/>
                <w:szCs w:val="22"/>
              </w:rPr>
              <w:t xml:space="preserve">tam būs nepieciešami vismaz </w:t>
            </w:r>
            <w:r w:rsidR="009600FA">
              <w:rPr>
                <w:sz w:val="22"/>
                <w:szCs w:val="22"/>
              </w:rPr>
              <w:t>trīs</w:t>
            </w:r>
            <w:r>
              <w:rPr>
                <w:sz w:val="22"/>
                <w:szCs w:val="22"/>
              </w:rPr>
              <w:t xml:space="preserve"> mēneši – 0,25 slodze.</w:t>
            </w:r>
            <w:r w:rsidR="00C168CD">
              <w:rPr>
                <w:sz w:val="22"/>
                <w:szCs w:val="22"/>
              </w:rPr>
              <w:t xml:space="preserve"> </w:t>
            </w:r>
            <w:r w:rsidRPr="00584840" w:rsidR="00C168CD">
              <w:rPr>
                <w:rFonts w:eastAsia="Calibri"/>
                <w:sz w:val="22"/>
                <w:szCs w:val="22"/>
                <w:u w:val="single"/>
                <w:lang w:eastAsia="en-US"/>
              </w:rPr>
              <w:t xml:space="preserve">Līdz ar to izmaksas </w:t>
            </w:r>
            <w:r w:rsidR="00C168CD">
              <w:rPr>
                <w:rFonts w:eastAsia="Calibri"/>
                <w:sz w:val="22"/>
                <w:szCs w:val="22"/>
                <w:u w:val="single"/>
                <w:lang w:eastAsia="en-US"/>
              </w:rPr>
              <w:t>papildu</w:t>
            </w:r>
            <w:r w:rsidRPr="00584840" w:rsidR="00C168CD">
              <w:rPr>
                <w:rFonts w:eastAsia="Calibri"/>
                <w:sz w:val="22"/>
                <w:szCs w:val="22"/>
                <w:u w:val="single"/>
                <w:lang w:eastAsia="en-US"/>
              </w:rPr>
              <w:t xml:space="preserve"> </w:t>
            </w:r>
            <w:r w:rsidR="00C168CD">
              <w:rPr>
                <w:rFonts w:eastAsia="Calibri"/>
                <w:sz w:val="22"/>
                <w:szCs w:val="22"/>
                <w:u w:val="single"/>
                <w:lang w:eastAsia="en-US"/>
              </w:rPr>
              <w:t>0,25 sl</w:t>
            </w:r>
            <w:r w:rsidRPr="00584840" w:rsidR="00C168CD">
              <w:rPr>
                <w:rFonts w:eastAsia="Calibri"/>
                <w:sz w:val="22"/>
                <w:szCs w:val="22"/>
                <w:u w:val="single"/>
                <w:lang w:eastAsia="en-US"/>
              </w:rPr>
              <w:t xml:space="preserve">odzei </w:t>
            </w:r>
            <w:r w:rsidR="00C168CD">
              <w:rPr>
                <w:rFonts w:eastAsia="Calibri"/>
                <w:sz w:val="22"/>
                <w:szCs w:val="22"/>
                <w:u w:val="single"/>
                <w:lang w:eastAsia="en-US"/>
              </w:rPr>
              <w:t xml:space="preserve">un tās uzturēšanai </w:t>
            </w:r>
            <w:r w:rsidRPr="00584840" w:rsidR="00C168CD">
              <w:rPr>
                <w:rFonts w:eastAsia="Calibri"/>
                <w:sz w:val="22"/>
                <w:szCs w:val="22"/>
                <w:u w:val="single"/>
                <w:lang w:eastAsia="en-US"/>
              </w:rPr>
              <w:t>VVD 201</w:t>
            </w:r>
            <w:r w:rsidR="00C168CD">
              <w:rPr>
                <w:rFonts w:eastAsia="Calibri"/>
                <w:sz w:val="22"/>
                <w:szCs w:val="22"/>
                <w:u w:val="single"/>
                <w:lang w:eastAsia="en-US"/>
              </w:rPr>
              <w:t>7. </w:t>
            </w:r>
            <w:r w:rsidRPr="00584840" w:rsidR="00C168CD">
              <w:rPr>
                <w:rFonts w:eastAsia="Calibri"/>
                <w:sz w:val="22"/>
                <w:szCs w:val="22"/>
                <w:u w:val="single"/>
                <w:lang w:eastAsia="en-US"/>
              </w:rPr>
              <w:t xml:space="preserve">gadā būs </w:t>
            </w:r>
            <w:r w:rsidRPr="00C168CD" w:rsidR="00C168CD">
              <w:rPr>
                <w:rFonts w:eastAsia="Calibri"/>
                <w:b/>
                <w:sz w:val="22"/>
                <w:szCs w:val="22"/>
                <w:u w:val="single"/>
                <w:lang w:eastAsia="en-US"/>
              </w:rPr>
              <w:t>6</w:t>
            </w:r>
            <w:r w:rsidR="00C168CD">
              <w:rPr>
                <w:rFonts w:eastAsia="Calibri"/>
                <w:b/>
                <w:sz w:val="22"/>
                <w:szCs w:val="22"/>
                <w:u w:val="single"/>
                <w:lang w:eastAsia="en-US"/>
              </w:rPr>
              <w:t xml:space="preserve"> </w:t>
            </w:r>
            <w:r w:rsidRPr="00C168CD" w:rsidR="00C168CD">
              <w:rPr>
                <w:rFonts w:eastAsia="Calibri"/>
                <w:b/>
                <w:sz w:val="22"/>
                <w:szCs w:val="22"/>
                <w:u w:val="single"/>
                <w:lang w:eastAsia="en-US"/>
              </w:rPr>
              <w:t>88</w:t>
            </w:r>
            <w:r w:rsidR="005E4EA4">
              <w:rPr>
                <w:rFonts w:eastAsia="Calibri"/>
                <w:b/>
                <w:sz w:val="22"/>
                <w:szCs w:val="22"/>
                <w:u w:val="single"/>
                <w:lang w:eastAsia="en-US"/>
              </w:rPr>
              <w:t>7</w:t>
            </w:r>
            <w:r w:rsidR="00C168CD">
              <w:rPr>
                <w:rFonts w:eastAsia="Calibri"/>
                <w:sz w:val="22"/>
                <w:szCs w:val="22"/>
                <w:lang w:eastAsia="en-US"/>
              </w:rPr>
              <w:t> </w:t>
            </w:r>
            <w:r w:rsidRPr="00AB4BD9" w:rsidR="00C168CD">
              <w:rPr>
                <w:rFonts w:eastAsia="Calibri"/>
                <w:i/>
                <w:sz w:val="22"/>
                <w:szCs w:val="22"/>
                <w:lang w:eastAsia="en-US"/>
              </w:rPr>
              <w:t>euro</w:t>
            </w:r>
            <w:r w:rsidRPr="00584840" w:rsidR="00C168CD">
              <w:rPr>
                <w:rFonts w:eastAsia="Calibri"/>
                <w:sz w:val="22"/>
                <w:szCs w:val="22"/>
                <w:lang w:eastAsia="en-US"/>
              </w:rPr>
              <w:t>.</w:t>
            </w:r>
          </w:p>
          <w:p w:rsidR="0074103C" w:rsidRPr="00FD2E1E" w14:paraId="4A3350EE" w14:textId="77777777">
            <w:pPr>
              <w:pStyle w:val="naisf"/>
              <w:spacing w:before="60" w:after="60"/>
              <w:ind w:firstLine="0"/>
              <w:rPr>
                <w:rFonts w:eastAsia="Calibri"/>
                <w:sz w:val="22"/>
                <w:szCs w:val="22"/>
                <w:lang w:eastAsia="en-US"/>
              </w:rPr>
            </w:pPr>
          </w:p>
          <w:p w:rsidR="0074103C" w:rsidRPr="00FD2E1E" w14:paraId="4A3350EF" w14:textId="77777777">
            <w:pPr>
              <w:pStyle w:val="naisf"/>
              <w:spacing w:before="60" w:after="60"/>
              <w:ind w:firstLine="0"/>
              <w:rPr>
                <w:b/>
                <w:sz w:val="22"/>
                <w:szCs w:val="22"/>
              </w:rPr>
            </w:pPr>
            <w:r w:rsidRPr="00FD2E1E">
              <w:rPr>
                <w:b/>
                <w:sz w:val="22"/>
                <w:szCs w:val="22"/>
              </w:rPr>
              <w:t>4. papildus slodzes finansējuma avoti</w:t>
            </w:r>
          </w:p>
          <w:p w:rsidR="0074103C" w:rsidRPr="0038491A" w14:paraId="4A3350F0" w14:textId="77777777">
            <w:pPr>
              <w:pStyle w:val="naisf"/>
              <w:spacing w:before="60" w:after="60"/>
              <w:ind w:firstLine="0"/>
              <w:rPr>
                <w:sz w:val="22"/>
                <w:szCs w:val="22"/>
              </w:rPr>
            </w:pPr>
            <w:r w:rsidRPr="00FD2E1E">
              <w:rPr>
                <w:sz w:val="22"/>
                <w:szCs w:val="22"/>
              </w:rPr>
              <w:t>Ņemot vērā, ka klimata politika ir horizontālā prioritāte un Eiropas Parlamenta un Padomes 2009. gada 23. aprīļa Direktīva 2009/30/EK</w:t>
            </w:r>
            <w:r w:rsidR="009600FA">
              <w:rPr>
                <w:sz w:val="22"/>
                <w:szCs w:val="22"/>
              </w:rPr>
              <w:t>,</w:t>
            </w:r>
            <w:r w:rsidRPr="00FD2E1E">
              <w:rPr>
                <w:sz w:val="22"/>
                <w:szCs w:val="22"/>
              </w:rPr>
              <w:t xml:space="preserve"> ar ko groza Direktīvu 98/70/EK attiecībā uz benzīna, dīzeļdegvielas un gāzeļļas s</w:t>
            </w:r>
            <w:r w:rsidRPr="0038491A">
              <w:rPr>
                <w:sz w:val="22"/>
                <w:szCs w:val="22"/>
              </w:rPr>
              <w:t>pecifikācijām un ievieš mehānismu autotransporta līdzekļos lietojamās degvielas radītās siltumnīcefekta gāzu emisijas kontrolei un samazināšanai, groza Padomes Direktīvu 1999/32/EK attiecībā uz tās degvielas specifikācijām, kuru lieto iekšējo ūdensceļu kuģos, un atceļ direktīvu 93/12/EEK un Eiropas Padomes 2015. gada 20. aprīļa direktīva Nr. 2015/652, ar ko nosaka aprēķina metodes un ziņošanas prasības, ievērojot Eiropas Parlamenta un Padomes Direktīvu 98/70/EK, attiecībā uz benzīna un dīzeļdegvielu kvalitāti</w:t>
            </w:r>
            <w:r w:rsidR="009600FA">
              <w:rPr>
                <w:sz w:val="22"/>
                <w:szCs w:val="22"/>
              </w:rPr>
              <w:t>,</w:t>
            </w:r>
            <w:r w:rsidRPr="0038491A">
              <w:rPr>
                <w:sz w:val="22"/>
                <w:szCs w:val="22"/>
              </w:rPr>
              <w:t xml:space="preserve"> uzliek pilnīgi jaunas saistības, tad </w:t>
            </w:r>
            <w:r w:rsidRPr="0038491A">
              <w:rPr>
                <w:sz w:val="22"/>
                <w:szCs w:val="22"/>
                <w:u w:val="single"/>
              </w:rPr>
              <w:t xml:space="preserve">Ekonomikas ministrijai ir nepieciešams paredzēt papildu finanšu līdzekļus </w:t>
            </w:r>
            <w:r w:rsidRPr="0038491A">
              <w:rPr>
                <w:sz w:val="22"/>
                <w:szCs w:val="22"/>
              </w:rPr>
              <w:t xml:space="preserve">(ja nepieciešams, plānojot prioritāros pasākumus), lai nodrošinātu finansējumu </w:t>
            </w:r>
            <w:r w:rsidRPr="0038491A">
              <w:rPr>
                <w:sz w:val="22"/>
                <w:szCs w:val="22"/>
                <w:u w:val="single"/>
              </w:rPr>
              <w:t>VVD šo pienākumu izpildei.</w:t>
            </w:r>
          </w:p>
          <w:p w:rsidR="0074103C" w:rsidRPr="0038491A" w14:paraId="4A3350F1" w14:textId="77777777">
            <w:pPr>
              <w:pStyle w:val="naisf"/>
              <w:spacing w:before="60" w:after="60"/>
              <w:ind w:firstLine="0"/>
              <w:rPr>
                <w:color w:val="000000"/>
                <w:sz w:val="22"/>
                <w:szCs w:val="22"/>
              </w:rPr>
            </w:pPr>
            <w:r w:rsidRPr="0038491A">
              <w:rPr>
                <w:sz w:val="22"/>
                <w:szCs w:val="22"/>
              </w:rPr>
              <w:t xml:space="preserve">Ņemot vērā Ministru kabineta komitejas 2017. gada 20. februāra sēdē Ekonomikas ministrijas pausto apņemšanos, </w:t>
            </w:r>
            <w:r w:rsidRPr="0038491A">
              <w:rPr>
                <w:color w:val="000000"/>
                <w:sz w:val="22"/>
                <w:szCs w:val="22"/>
              </w:rPr>
              <w:t>Ekonomikas ministrija minēto uzdevumu īstenošanai nodrošināšanās finansējumu VARAM</w:t>
            </w:r>
            <w:r w:rsidRPr="0038491A" w:rsidR="006E4A2A">
              <w:rPr>
                <w:color w:val="000000"/>
                <w:sz w:val="22"/>
                <w:szCs w:val="22"/>
              </w:rPr>
              <w:t xml:space="preserve"> (VVD).</w:t>
            </w:r>
            <w:r w:rsidRPr="0038491A">
              <w:rPr>
                <w:color w:val="000000"/>
                <w:sz w:val="22"/>
                <w:szCs w:val="22"/>
              </w:rPr>
              <w:t xml:space="preserve">  </w:t>
            </w:r>
          </w:p>
          <w:p w:rsidR="0074103C" w:rsidRPr="0038491A" w:rsidP="00B46E07" w14:paraId="4A3350F2" w14:textId="77777777">
            <w:pPr>
              <w:spacing w:before="60" w:after="60"/>
              <w:rPr>
                <w:rFonts w:ascii="Times New Roman" w:eastAsia="Times New Roman" w:hAnsi="Times New Roman"/>
                <w:color w:val="000000"/>
                <w:lang w:eastAsia="lv-LV"/>
              </w:rPr>
            </w:pPr>
            <w:r w:rsidRPr="0038491A">
              <w:rPr>
                <w:rFonts w:ascii="Times New Roman" w:eastAsia="Times New Roman" w:hAnsi="Times New Roman"/>
                <w:color w:val="000000"/>
                <w:lang w:eastAsia="lv-LV"/>
              </w:rPr>
              <w:t xml:space="preserve">Likumprojektā paredzēts degvielas tirgotāju pienākums nodrošināt tirgū degvielu ar </w:t>
            </w:r>
            <w:r w:rsidRPr="0038491A">
              <w:rPr>
                <w:rFonts w:ascii="Times New Roman" w:eastAsia="Times New Roman" w:hAnsi="Times New Roman"/>
                <w:color w:val="000000"/>
                <w:lang w:eastAsia="lv-LV"/>
              </w:rPr>
              <w:t>augšposma</w:t>
            </w:r>
            <w:r w:rsidRPr="0038491A">
              <w:rPr>
                <w:rFonts w:ascii="Times New Roman" w:eastAsia="Times New Roman" w:hAnsi="Times New Roman"/>
                <w:color w:val="000000"/>
                <w:lang w:eastAsia="lv-LV"/>
              </w:rPr>
              <w:t xml:space="preserve"> emisiju samazinājumu 6% apmērā, ziņot valstij par sasniegto rezultātu, valstij apkopot šo informāciju un ziņot Eiropas vides aģentūrai (turpmāk – Programma).</w:t>
            </w:r>
          </w:p>
          <w:p w:rsidR="00F43609" w:rsidRPr="0038491A" w:rsidP="00B46E07" w14:paraId="4A3350F3" w14:textId="77777777">
            <w:pPr>
              <w:spacing w:before="60" w:after="60"/>
              <w:rPr>
                <w:rFonts w:ascii="Times New Roman" w:eastAsia="Times New Roman" w:hAnsi="Times New Roman"/>
                <w:color w:val="000000"/>
                <w:lang w:eastAsia="lv-LV"/>
              </w:rPr>
            </w:pPr>
            <w:r w:rsidRPr="0038491A">
              <w:rPr>
                <w:rFonts w:ascii="Times New Roman" w:eastAsia="Times New Roman" w:hAnsi="Times New Roman"/>
                <w:color w:val="000000"/>
                <w:lang w:eastAsia="lv-LV"/>
              </w:rPr>
              <w:t>Ekonomikas ministrijā finansējums likumprojektā paredzēto uzdevumu īstenošanai līdz šim nav ticis plānots (jo tiks ieviests līdz ar likumprojekta stāšanos spēkā), līdz ar to tiešā veidā valsts budžetā nav identificējams.</w:t>
            </w:r>
          </w:p>
          <w:p w:rsidR="0038491A" w:rsidRPr="0038491A" w:rsidP="00B46E07" w14:paraId="4A3350F4" w14:textId="77777777">
            <w:pPr>
              <w:spacing w:before="60" w:after="60"/>
              <w:rPr>
                <w:rFonts w:ascii="Times New Roman" w:eastAsia="Times New Roman" w:hAnsi="Times New Roman"/>
                <w:color w:val="000000"/>
                <w:lang w:eastAsia="lv-LV"/>
              </w:rPr>
            </w:pPr>
            <w:r w:rsidRPr="0038491A">
              <w:rPr>
                <w:rFonts w:ascii="Times New Roman" w:eastAsia="Times New Roman" w:hAnsi="Times New Roman"/>
                <w:color w:val="000000"/>
                <w:lang w:eastAsia="lv-LV"/>
              </w:rPr>
              <w:t>Ekonomikas ministrija ir identificējusi iespēju veikt budžeta pārdali Programmas sākotnējai finansēšanai no budžeta apakšprogrammas naftas drošības rezervju uzturēšanai. Valsts nodevu par drošības rezervju uzturēšanu proporcionāli savas saimnieciskās darbības apmēram maksā tie paši komersanti, uz kuriem attieksies augstākminētais pienākums. Līdz ar to tiek nodrošināts, ka funkcijas izveidošanu apmaksā tiešie gala ieguvēji</w:t>
            </w:r>
            <w:r w:rsidR="009600FA">
              <w:rPr>
                <w:rFonts w:ascii="Times New Roman" w:eastAsia="Times New Roman" w:hAnsi="Times New Roman"/>
                <w:color w:val="000000"/>
                <w:lang w:eastAsia="lv-LV"/>
              </w:rPr>
              <w:t>,</w:t>
            </w:r>
            <w:r w:rsidRPr="0038491A">
              <w:rPr>
                <w:rFonts w:ascii="Times New Roman" w:eastAsia="Times New Roman" w:hAnsi="Times New Roman"/>
                <w:color w:val="000000"/>
                <w:lang w:eastAsia="lv-LV"/>
              </w:rPr>
              <w:t xml:space="preserve"> tādēļ līdzekļu ieguldīšana Programmas izveidošanai ir piemērota un atbilstoša. </w:t>
            </w:r>
          </w:p>
          <w:p w:rsidR="0038491A" w:rsidRPr="00373003" w:rsidP="00B46E07" w14:paraId="4A3350F5" w14:textId="77777777">
            <w:pPr>
              <w:spacing w:before="60" w:after="60"/>
              <w:rPr>
                <w:rFonts w:ascii="Times New Roman" w:eastAsia="Times New Roman" w:hAnsi="Times New Roman"/>
                <w:color w:val="000000"/>
                <w:lang w:eastAsia="lv-LV"/>
              </w:rPr>
            </w:pPr>
            <w:r w:rsidRPr="0038491A">
              <w:rPr>
                <w:rFonts w:ascii="Times New Roman" w:eastAsia="Times New Roman" w:hAnsi="Times New Roman"/>
                <w:color w:val="000000"/>
                <w:lang w:eastAsia="lv-LV"/>
              </w:rPr>
              <w:t>Saskaņā ar Enerģētikas likuma 72.</w:t>
            </w:r>
            <w:r w:rsidR="009600FA">
              <w:rPr>
                <w:rFonts w:ascii="Times New Roman" w:eastAsia="Times New Roman" w:hAnsi="Times New Roman"/>
                <w:color w:val="000000"/>
                <w:lang w:eastAsia="lv-LV"/>
              </w:rPr>
              <w:t> </w:t>
            </w:r>
            <w:r w:rsidRPr="0038491A">
              <w:rPr>
                <w:rFonts w:ascii="Times New Roman" w:eastAsia="Times New Roman" w:hAnsi="Times New Roman"/>
                <w:color w:val="000000"/>
                <w:lang w:eastAsia="lv-LV"/>
              </w:rPr>
              <w:t>pantu un Ministru kabineta 2011.</w:t>
            </w:r>
            <w:r w:rsidR="009600FA">
              <w:rPr>
                <w:rFonts w:ascii="Times New Roman" w:eastAsia="Times New Roman" w:hAnsi="Times New Roman"/>
                <w:color w:val="000000"/>
                <w:lang w:eastAsia="lv-LV"/>
              </w:rPr>
              <w:t> </w:t>
            </w:r>
            <w:r w:rsidRPr="0038491A">
              <w:rPr>
                <w:rFonts w:ascii="Times New Roman" w:eastAsia="Times New Roman" w:hAnsi="Times New Roman"/>
                <w:color w:val="000000"/>
                <w:lang w:eastAsia="lv-LV"/>
              </w:rPr>
              <w:t>gada 14.</w:t>
            </w:r>
            <w:r w:rsidR="009600FA">
              <w:rPr>
                <w:rFonts w:ascii="Times New Roman" w:eastAsia="Times New Roman" w:hAnsi="Times New Roman"/>
                <w:color w:val="000000"/>
                <w:lang w:eastAsia="lv-LV"/>
              </w:rPr>
              <w:t> </w:t>
            </w:r>
            <w:r w:rsidRPr="0038491A">
              <w:rPr>
                <w:rFonts w:ascii="Times New Roman" w:eastAsia="Times New Roman" w:hAnsi="Times New Roman"/>
                <w:color w:val="000000"/>
                <w:lang w:eastAsia="lv-LV"/>
              </w:rPr>
              <w:t>jūnija noteikumiem Nr.</w:t>
            </w:r>
            <w:r w:rsidR="009600FA">
              <w:rPr>
                <w:rFonts w:ascii="Times New Roman" w:eastAsia="Times New Roman" w:hAnsi="Times New Roman"/>
                <w:color w:val="000000"/>
                <w:lang w:eastAsia="lv-LV"/>
              </w:rPr>
              <w:t> </w:t>
            </w:r>
            <w:r w:rsidRPr="0038491A">
              <w:rPr>
                <w:rFonts w:ascii="Times New Roman" w:eastAsia="Times New Roman" w:hAnsi="Times New Roman"/>
                <w:color w:val="000000"/>
                <w:lang w:eastAsia="lv-LV"/>
              </w:rPr>
              <w:t xml:space="preserve">450 “Noteikumi par valsts naftas produktu rezervju apmēru, apmēru, kādā maksājama valsts nodeva par drošības rezervju uzturēšanu, kā arī tās aprēķināšanas, maksāšanas un administrēšanas kārtību” maksājamās valsts nodevas likme ir aprēķināta ar mērķi segt naftas produktu drošības rezervju uzturēšanas izmaksas. Budžeta ietvaros paredzēta nebūtiska daļa izdevumu administratīvu jautājumu risināšanai – naftas produktu informācijas sistēmas veidošanai un uzturēšanai u.tml. Līdz ar to </w:t>
            </w:r>
            <w:r w:rsidRPr="00373003">
              <w:rPr>
                <w:rFonts w:ascii="Times New Roman" w:eastAsia="Times New Roman" w:hAnsi="Times New Roman"/>
                <w:color w:val="000000"/>
                <w:lang w:eastAsia="lv-LV"/>
              </w:rPr>
              <w:t xml:space="preserve">Ekonomikas ministrija saskata iespēju daļu šo administratīvo izmaksu attiecināt </w:t>
            </w:r>
            <w:r w:rsidR="009600FA">
              <w:rPr>
                <w:rFonts w:ascii="Times New Roman" w:eastAsia="Times New Roman" w:hAnsi="Times New Roman"/>
                <w:color w:val="000000"/>
                <w:lang w:eastAsia="lv-LV"/>
              </w:rPr>
              <w:t>P</w:t>
            </w:r>
            <w:r w:rsidRPr="00373003">
              <w:rPr>
                <w:rFonts w:ascii="Times New Roman" w:eastAsia="Times New Roman" w:hAnsi="Times New Roman"/>
                <w:color w:val="000000"/>
                <w:lang w:eastAsia="lv-LV"/>
              </w:rPr>
              <w:t>rogrammas izveidošanai.</w:t>
            </w:r>
          </w:p>
          <w:p w:rsidR="00373003" w:rsidRPr="00373003" w:rsidP="00373003" w14:paraId="4A3350F6" w14:textId="77777777">
            <w:pPr>
              <w:spacing w:before="120"/>
              <w:rPr>
                <w:rFonts w:ascii="Times New Roman" w:hAnsi="Times New Roman"/>
              </w:rPr>
            </w:pPr>
            <w:r w:rsidRPr="00373003">
              <w:rPr>
                <w:rFonts w:ascii="Times New Roman" w:eastAsia="Times New Roman" w:hAnsi="Times New Roman"/>
                <w:color w:val="000000"/>
                <w:lang w:eastAsia="lv-LV"/>
              </w:rPr>
              <w:t xml:space="preserve">Nolūkā </w:t>
            </w:r>
            <w:r w:rsidRPr="00373003" w:rsidR="00F43609">
              <w:rPr>
                <w:rFonts w:ascii="Times New Roman" w:eastAsia="Times New Roman" w:hAnsi="Times New Roman"/>
                <w:color w:val="000000"/>
                <w:lang w:eastAsia="lv-LV"/>
              </w:rPr>
              <w:t xml:space="preserve">nodrošināt finansējumu </w:t>
            </w:r>
            <w:r w:rsidRPr="00373003">
              <w:rPr>
                <w:rFonts w:ascii="Times New Roman" w:eastAsia="Times New Roman" w:hAnsi="Times New Roman"/>
                <w:color w:val="000000"/>
                <w:lang w:eastAsia="lv-LV"/>
              </w:rPr>
              <w:t xml:space="preserve">nepieciešamās darbības </w:t>
            </w:r>
            <w:r w:rsidRPr="00A525F0" w:rsidR="00F43609">
              <w:rPr>
                <w:rFonts w:ascii="Times New Roman" w:eastAsia="Times New Roman" w:hAnsi="Times New Roman"/>
                <w:color w:val="000000"/>
                <w:lang w:eastAsia="lv-LV"/>
              </w:rPr>
              <w:t xml:space="preserve">veikšanai </w:t>
            </w:r>
            <w:r w:rsidRPr="00A525F0">
              <w:rPr>
                <w:rFonts w:ascii="Times New Roman" w:eastAsia="Times New Roman" w:hAnsi="Times New Roman"/>
                <w:color w:val="000000"/>
                <w:lang w:eastAsia="lv-LV"/>
              </w:rPr>
              <w:t>(saistībā ar Tieslietu ministrijas iebildumu Ekonomikas ministrijai īstenot soda funkcijas administrēšanu un VARAM iebildumu uzdot V</w:t>
            </w:r>
            <w:r w:rsidR="009600FA">
              <w:rPr>
                <w:rFonts w:ascii="Times New Roman" w:eastAsia="Times New Roman" w:hAnsi="Times New Roman"/>
                <w:color w:val="000000"/>
                <w:lang w:eastAsia="lv-LV"/>
              </w:rPr>
              <w:t>VD</w:t>
            </w:r>
            <w:r w:rsidRPr="00A525F0">
              <w:rPr>
                <w:rFonts w:ascii="Times New Roman" w:eastAsia="Times New Roman" w:hAnsi="Times New Roman"/>
                <w:color w:val="000000"/>
                <w:lang w:eastAsia="lv-LV"/>
              </w:rPr>
              <w:t xml:space="preserve"> papildu funkcij</w:t>
            </w:r>
            <w:r w:rsidRPr="00373003">
              <w:rPr>
                <w:rFonts w:ascii="Times New Roman" w:eastAsia="Times New Roman" w:hAnsi="Times New Roman"/>
                <w:color w:val="000000"/>
                <w:lang w:eastAsia="lv-LV"/>
              </w:rPr>
              <w:t>as bez attiecīga finansējuma)</w:t>
            </w:r>
            <w:r w:rsidRPr="00373003" w:rsidR="00FD2E1E">
              <w:rPr>
                <w:rFonts w:ascii="Times New Roman" w:eastAsia="Times New Roman" w:hAnsi="Times New Roman"/>
                <w:color w:val="000000"/>
                <w:lang w:eastAsia="lv-LV"/>
              </w:rPr>
              <w:t>,</w:t>
            </w:r>
            <w:r w:rsidRPr="00373003">
              <w:rPr>
                <w:rFonts w:ascii="Times New Roman" w:hAnsi="Times New Roman"/>
              </w:rPr>
              <w:t xml:space="preserve"> </w:t>
            </w:r>
            <w:r w:rsidRPr="00996AC0" w:rsidR="00996AC0">
              <w:rPr>
                <w:rFonts w:ascii="Times New Roman" w:hAnsi="Times New Roman"/>
              </w:rPr>
              <w:t>Ekonomikas ministrijai</w:t>
            </w:r>
            <w:r w:rsidRPr="00996AC0" w:rsidR="00150BD9">
              <w:rPr>
                <w:rFonts w:ascii="Times New Roman" w:hAnsi="Times New Roman"/>
              </w:rPr>
              <w:t xml:space="preserve"> </w:t>
            </w:r>
            <w:r w:rsidRPr="00996AC0" w:rsidR="00996AC0">
              <w:rPr>
                <w:rFonts w:ascii="Times New Roman" w:hAnsi="Times New Roman"/>
              </w:rPr>
              <w:t xml:space="preserve">no budžeta apakšprogrammas 29.01.00 “Naftas produktu rezervju uzturēšana” pēc likumprojekta pieņemšanas </w:t>
            </w:r>
            <w:r w:rsidR="00996AC0">
              <w:rPr>
                <w:rFonts w:ascii="Times New Roman" w:hAnsi="Times New Roman"/>
              </w:rPr>
              <w:t xml:space="preserve">jāpārdala </w:t>
            </w:r>
            <w:r w:rsidRPr="00996AC0" w:rsidR="00996AC0">
              <w:rPr>
                <w:rFonts w:ascii="Times New Roman" w:hAnsi="Times New Roman"/>
              </w:rPr>
              <w:t>finansējum</w:t>
            </w:r>
            <w:r w:rsidR="00996AC0">
              <w:rPr>
                <w:rFonts w:ascii="Times New Roman" w:hAnsi="Times New Roman"/>
              </w:rPr>
              <w:t>s</w:t>
            </w:r>
            <w:r w:rsidRPr="00996AC0" w:rsidR="00996AC0">
              <w:rPr>
                <w:rFonts w:ascii="Times New Roman" w:hAnsi="Times New Roman"/>
              </w:rPr>
              <w:t xml:space="preserve"> 2018., 2019. un 2020.</w:t>
            </w:r>
            <w:r w:rsidR="009600FA">
              <w:rPr>
                <w:rFonts w:ascii="Times New Roman" w:hAnsi="Times New Roman"/>
              </w:rPr>
              <w:t> </w:t>
            </w:r>
            <w:r w:rsidRPr="00996AC0" w:rsidR="00996AC0">
              <w:rPr>
                <w:rFonts w:ascii="Times New Roman" w:hAnsi="Times New Roman"/>
              </w:rPr>
              <w:t>gadam 13</w:t>
            </w:r>
            <w:r w:rsidR="009600FA">
              <w:rPr>
                <w:rFonts w:ascii="Times New Roman" w:hAnsi="Times New Roman"/>
              </w:rPr>
              <w:t> </w:t>
            </w:r>
            <w:r w:rsidRPr="00996AC0" w:rsidR="00996AC0">
              <w:rPr>
                <w:rFonts w:ascii="Times New Roman" w:hAnsi="Times New Roman"/>
              </w:rPr>
              <w:t>774</w:t>
            </w:r>
            <w:r w:rsidR="009600FA">
              <w:rPr>
                <w:rFonts w:ascii="Times New Roman" w:hAnsi="Times New Roman"/>
              </w:rPr>
              <w:t> </w:t>
            </w:r>
            <w:r w:rsidRPr="00E42D24" w:rsidR="00996AC0">
              <w:rPr>
                <w:rFonts w:ascii="Times New Roman" w:hAnsi="Times New Roman"/>
                <w:i/>
              </w:rPr>
              <w:t>euro</w:t>
            </w:r>
            <w:r w:rsidRPr="00996AC0" w:rsidR="00996AC0">
              <w:rPr>
                <w:rFonts w:ascii="Times New Roman" w:hAnsi="Times New Roman"/>
              </w:rPr>
              <w:t xml:space="preserve"> apmērā ik gadu uz V</w:t>
            </w:r>
            <w:r w:rsidR="009600FA">
              <w:rPr>
                <w:rFonts w:ascii="Times New Roman" w:hAnsi="Times New Roman"/>
              </w:rPr>
              <w:t>ARAM</w:t>
            </w:r>
            <w:r w:rsidRPr="00996AC0" w:rsidR="00996AC0">
              <w:rPr>
                <w:rFonts w:ascii="Times New Roman" w:hAnsi="Times New Roman"/>
              </w:rPr>
              <w:t xml:space="preserve"> budžeta apakšprogrammu 23.01.00 “Valsts vides dienests”</w:t>
            </w:r>
            <w:r w:rsidRPr="00996AC0" w:rsidR="00150BD9">
              <w:rPr>
                <w:rFonts w:ascii="Times New Roman" w:hAnsi="Times New Roman"/>
              </w:rPr>
              <w:t xml:space="preserve">, </w:t>
            </w:r>
            <w:r w:rsidRPr="00996AC0" w:rsidR="00996AC0">
              <w:rPr>
                <w:rFonts w:ascii="Times New Roman" w:hAnsi="Times New Roman"/>
              </w:rPr>
              <w:t>lai</w:t>
            </w:r>
            <w:r w:rsidRPr="00996AC0" w:rsidR="00150BD9">
              <w:rPr>
                <w:rFonts w:ascii="Times New Roman" w:hAnsi="Times New Roman"/>
              </w:rPr>
              <w:t xml:space="preserve"> </w:t>
            </w:r>
            <w:r w:rsidRPr="00996AC0" w:rsidR="00996AC0">
              <w:rPr>
                <w:rFonts w:ascii="Times New Roman" w:hAnsi="Times New Roman"/>
              </w:rPr>
              <w:t>nodrošinātu V</w:t>
            </w:r>
            <w:r w:rsidR="009600FA">
              <w:rPr>
                <w:rFonts w:ascii="Times New Roman" w:hAnsi="Times New Roman"/>
              </w:rPr>
              <w:t>VD</w:t>
            </w:r>
            <w:r w:rsidRPr="00996AC0" w:rsidR="00996AC0">
              <w:rPr>
                <w:rFonts w:ascii="Times New Roman" w:hAnsi="Times New Roman"/>
              </w:rPr>
              <w:t xml:space="preserve"> jaunās funkcijas attiecībā uz degvielas piegādātājiem noteikto pienākumu iz</w:t>
            </w:r>
            <w:r w:rsidR="00996AC0">
              <w:rPr>
                <w:rFonts w:ascii="Times New Roman" w:hAnsi="Times New Roman"/>
              </w:rPr>
              <w:t>pildes uzraudzību un kontroli</w:t>
            </w:r>
            <w:r w:rsidR="00150BD9">
              <w:rPr>
                <w:rFonts w:ascii="Times New Roman" w:hAnsi="Times New Roman"/>
              </w:rPr>
              <w:t>.</w:t>
            </w:r>
          </w:p>
          <w:p w:rsidR="00B46E07" w:rsidRPr="00373003" w:rsidP="00360426" w14:paraId="4A3350F7" w14:textId="77777777">
            <w:pPr>
              <w:spacing w:before="60" w:after="60"/>
              <w:rPr>
                <w:rFonts w:ascii="Times New Roman" w:hAnsi="Times New Roman"/>
              </w:rPr>
            </w:pPr>
            <w:r w:rsidRPr="0097615A">
              <w:rPr>
                <w:rFonts w:ascii="Times New Roman" w:eastAsia="Times New Roman" w:hAnsi="Times New Roman"/>
                <w:color w:val="000000"/>
                <w:lang w:eastAsia="lv-LV"/>
              </w:rPr>
              <w:t>Savukārt attiecībā uz 2017.</w:t>
            </w:r>
            <w:r w:rsidR="00D50673">
              <w:rPr>
                <w:rFonts w:ascii="Times New Roman" w:eastAsia="Times New Roman" w:hAnsi="Times New Roman"/>
                <w:color w:val="000000"/>
                <w:lang w:eastAsia="lv-LV"/>
              </w:rPr>
              <w:t> </w:t>
            </w:r>
            <w:r w:rsidRPr="0097615A">
              <w:rPr>
                <w:rFonts w:ascii="Times New Roman" w:eastAsia="Times New Roman" w:hAnsi="Times New Roman"/>
                <w:color w:val="000000"/>
                <w:lang w:eastAsia="lv-LV"/>
              </w:rPr>
              <w:t>gadu, lai nodrošinātu finansējumu VVD degvielas kvalitātes direktīvas prasību izpildei</w:t>
            </w:r>
            <w:r w:rsidR="00D50673">
              <w:rPr>
                <w:rFonts w:ascii="Times New Roman" w:eastAsia="Times New Roman" w:hAnsi="Times New Roman"/>
                <w:color w:val="000000"/>
                <w:lang w:eastAsia="lv-LV"/>
              </w:rPr>
              <w:t>,</w:t>
            </w:r>
            <w:r w:rsidRPr="0097615A">
              <w:rPr>
                <w:rFonts w:ascii="Times New Roman" w:eastAsia="Times New Roman" w:hAnsi="Times New Roman"/>
                <w:color w:val="000000"/>
                <w:lang w:eastAsia="lv-LV"/>
              </w:rPr>
              <w:t xml:space="preserve"> Ekonomikas ministrijai nepieciešams iesniegt Ministru kabinetā rīkojuma projektu par apropriācijas pārdali 2017.</w:t>
            </w:r>
            <w:r w:rsidR="00D50673">
              <w:rPr>
                <w:rFonts w:ascii="Times New Roman" w:eastAsia="Times New Roman" w:hAnsi="Times New Roman"/>
                <w:color w:val="000000"/>
                <w:lang w:eastAsia="lv-LV"/>
              </w:rPr>
              <w:t> </w:t>
            </w:r>
            <w:r w:rsidRPr="0097615A">
              <w:rPr>
                <w:rFonts w:ascii="Times New Roman" w:eastAsia="Times New Roman" w:hAnsi="Times New Roman"/>
                <w:color w:val="000000"/>
                <w:lang w:eastAsia="lv-LV"/>
              </w:rPr>
              <w:t>gadā</w:t>
            </w:r>
            <w:r>
              <w:rPr>
                <w:rFonts w:ascii="Times New Roman" w:eastAsia="Times New Roman" w:hAnsi="Times New Roman"/>
                <w:color w:val="000000"/>
                <w:lang w:eastAsia="lv-LV"/>
              </w:rPr>
              <w:t xml:space="preserve"> </w:t>
            </w:r>
            <w:r w:rsidRPr="00996AC0" w:rsidR="00996AC0">
              <w:rPr>
                <w:rFonts w:ascii="Times New Roman" w:hAnsi="Times New Roman"/>
              </w:rPr>
              <w:t>no Ekonomikas ministrijas budžeta apakšprogrammas 29.01.00 “Naftas produktu rezervju uzturēšana”</w:t>
            </w:r>
            <w:r w:rsidR="005E4EA4">
              <w:rPr>
                <w:rFonts w:ascii="Times New Roman" w:hAnsi="Times New Roman"/>
              </w:rPr>
              <w:t xml:space="preserve"> 6887 </w:t>
            </w:r>
            <w:r w:rsidR="005E4EA4">
              <w:rPr>
                <w:rFonts w:ascii="Times New Roman" w:hAnsi="Times New Roman"/>
                <w:i/>
              </w:rPr>
              <w:t>euro</w:t>
            </w:r>
            <w:r w:rsidR="005E4EA4">
              <w:rPr>
                <w:rFonts w:ascii="Times New Roman" w:hAnsi="Times New Roman"/>
              </w:rPr>
              <w:t xml:space="preserve"> apmērā</w:t>
            </w:r>
            <w:r w:rsidRPr="00996AC0" w:rsidR="00996AC0">
              <w:rPr>
                <w:rFonts w:ascii="Times New Roman" w:hAnsi="Times New Roman"/>
              </w:rPr>
              <w:t xml:space="preserve"> uz V</w:t>
            </w:r>
            <w:r w:rsidR="00D50673">
              <w:rPr>
                <w:rFonts w:ascii="Times New Roman" w:hAnsi="Times New Roman"/>
              </w:rPr>
              <w:t>ARAM</w:t>
            </w:r>
            <w:r w:rsidRPr="00996AC0" w:rsidR="00996AC0">
              <w:rPr>
                <w:rFonts w:ascii="Times New Roman" w:hAnsi="Times New Roman"/>
              </w:rPr>
              <w:t xml:space="preserve"> budžeta apakšprogrammu 23.01.00 “Valsts vides dienests”.</w:t>
            </w:r>
          </w:p>
          <w:p w:rsidR="00360426" w:rsidRPr="0038491A" w:rsidP="00996AC0" w14:paraId="4A3350F8" w14:textId="77777777">
            <w:pPr>
              <w:spacing w:before="60" w:after="60"/>
              <w:rPr>
                <w:rFonts w:ascii="Times New Roman" w:eastAsia="Times New Roman" w:hAnsi="Times New Roman"/>
                <w:color w:val="000000"/>
                <w:highlight w:val="yellow"/>
                <w:lang w:eastAsia="lv-LV"/>
              </w:rPr>
            </w:pPr>
            <w:r w:rsidRPr="00996AC0">
              <w:rPr>
                <w:rFonts w:ascii="Times New Roman" w:eastAsia="Times New Roman" w:hAnsi="Times New Roman"/>
                <w:color w:val="000000"/>
                <w:lang w:eastAsia="lv-LV"/>
              </w:rPr>
              <w:t xml:space="preserve">Jautājums par </w:t>
            </w:r>
            <w:r>
              <w:rPr>
                <w:rFonts w:ascii="Times New Roman" w:eastAsia="Times New Roman" w:hAnsi="Times New Roman"/>
                <w:color w:val="000000"/>
                <w:lang w:eastAsia="lv-LV"/>
              </w:rPr>
              <w:t>VARAM (VVD)</w:t>
            </w:r>
            <w:r w:rsidRPr="00996AC0">
              <w:rPr>
                <w:rFonts w:ascii="Times New Roman" w:eastAsia="Times New Roman" w:hAnsi="Times New Roman"/>
                <w:color w:val="000000"/>
                <w:lang w:eastAsia="lv-LV"/>
              </w:rPr>
              <w:t xml:space="preserve"> nepieciešamo finansējumu 2021.</w:t>
            </w:r>
            <w:r w:rsidR="00D50673">
              <w:rPr>
                <w:rFonts w:ascii="Times New Roman" w:eastAsia="Times New Roman" w:hAnsi="Times New Roman"/>
                <w:color w:val="000000"/>
                <w:lang w:eastAsia="lv-LV"/>
              </w:rPr>
              <w:t> </w:t>
            </w:r>
            <w:r w:rsidRPr="00996AC0">
              <w:rPr>
                <w:rFonts w:ascii="Times New Roman" w:eastAsia="Times New Roman" w:hAnsi="Times New Roman"/>
                <w:color w:val="000000"/>
                <w:lang w:eastAsia="lv-LV"/>
              </w:rPr>
              <w:t>gadā un turpmākajiem gadiem 13</w:t>
            </w:r>
            <w:r w:rsidR="00D50673">
              <w:rPr>
                <w:rFonts w:ascii="Times New Roman" w:eastAsia="Times New Roman" w:hAnsi="Times New Roman"/>
                <w:color w:val="000000"/>
                <w:lang w:eastAsia="lv-LV"/>
              </w:rPr>
              <w:t> </w:t>
            </w:r>
            <w:r w:rsidRPr="00996AC0">
              <w:rPr>
                <w:rFonts w:ascii="Times New Roman" w:eastAsia="Times New Roman" w:hAnsi="Times New Roman"/>
                <w:color w:val="000000"/>
                <w:lang w:eastAsia="lv-LV"/>
              </w:rPr>
              <w:t>774</w:t>
            </w:r>
            <w:r w:rsidR="00D50673">
              <w:rPr>
                <w:rFonts w:ascii="Times New Roman" w:eastAsia="Times New Roman" w:hAnsi="Times New Roman"/>
                <w:color w:val="000000"/>
                <w:lang w:eastAsia="lv-LV"/>
              </w:rPr>
              <w:t> </w:t>
            </w:r>
            <w:r w:rsidRPr="00E42D24">
              <w:rPr>
                <w:rFonts w:ascii="Times New Roman" w:eastAsia="Times New Roman" w:hAnsi="Times New Roman"/>
                <w:i/>
                <w:color w:val="000000"/>
                <w:lang w:eastAsia="lv-LV"/>
              </w:rPr>
              <w:t>euro</w:t>
            </w:r>
            <w:r w:rsidRPr="00996AC0">
              <w:rPr>
                <w:rFonts w:ascii="Times New Roman" w:eastAsia="Times New Roman" w:hAnsi="Times New Roman"/>
                <w:color w:val="000000"/>
                <w:lang w:eastAsia="lv-LV"/>
              </w:rPr>
              <w:t xml:space="preserve"> apmērā ik gadu skatāms Ministru kabineta likumprojekta “Par valsts budžetu 2021.</w:t>
            </w:r>
            <w:r w:rsidR="00D50673">
              <w:rPr>
                <w:rFonts w:ascii="Times New Roman" w:eastAsia="Times New Roman" w:hAnsi="Times New Roman"/>
                <w:color w:val="000000"/>
                <w:lang w:eastAsia="lv-LV"/>
              </w:rPr>
              <w:t> </w:t>
            </w:r>
            <w:r w:rsidRPr="00996AC0">
              <w:rPr>
                <w:rFonts w:ascii="Times New Roman" w:eastAsia="Times New Roman" w:hAnsi="Times New Roman"/>
                <w:color w:val="000000"/>
                <w:lang w:eastAsia="lv-LV"/>
              </w:rPr>
              <w:t xml:space="preserve">gadam” un likumprojekta “Par vidējā termiņa budžeta ietvaru 2021., 2022., 2023. gadam” sagatavošanas procesā kopā ar visu ministriju un citu </w:t>
            </w:r>
            <w:r w:rsidR="00D50673">
              <w:rPr>
                <w:rFonts w:ascii="Times New Roman" w:eastAsia="Times New Roman" w:hAnsi="Times New Roman"/>
                <w:color w:val="000000"/>
                <w:lang w:eastAsia="lv-LV"/>
              </w:rPr>
              <w:t xml:space="preserve">valsts </w:t>
            </w:r>
            <w:r w:rsidR="00D50673">
              <w:rPr>
                <w:rFonts w:ascii="Times New Roman" w:eastAsia="Times New Roman" w:hAnsi="Times New Roman"/>
                <w:color w:val="000000"/>
                <w:lang w:eastAsia="lv-LV"/>
              </w:rPr>
              <w:t>pārvaldes</w:t>
            </w:r>
            <w:r w:rsidRPr="00996AC0">
              <w:rPr>
                <w:rFonts w:ascii="Times New Roman" w:eastAsia="Times New Roman" w:hAnsi="Times New Roman"/>
                <w:color w:val="000000"/>
                <w:lang w:eastAsia="lv-LV"/>
              </w:rPr>
              <w:t>iestāžu</w:t>
            </w:r>
            <w:r w:rsidRPr="00996AC0">
              <w:rPr>
                <w:rFonts w:ascii="Times New Roman" w:eastAsia="Times New Roman" w:hAnsi="Times New Roman"/>
                <w:color w:val="000000"/>
                <w:lang w:eastAsia="lv-LV"/>
              </w:rPr>
              <w:t xml:space="preserve"> prioritāro pasākumu pieprasījumiem.</w:t>
            </w:r>
          </w:p>
        </w:tc>
      </w:tr>
      <w:tr w14:paraId="4A3350FC"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0FA"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FB" w14:textId="77777777">
            <w:pPr>
              <w:spacing w:after="0"/>
              <w:jc w:val="left"/>
              <w:rPr>
                <w:rFonts w:ascii="Times New Roman" w:eastAsia="Times New Roman" w:hAnsi="Times New Roman"/>
                <w:lang w:eastAsia="lv-LV"/>
              </w:rPr>
            </w:pPr>
          </w:p>
        </w:tc>
      </w:tr>
      <w:tr w14:paraId="4A3350FF" w14:textId="77777777" w:rsidTr="0074103C">
        <w:tblPrEx>
          <w:tblW w:w="9356" w:type="dxa"/>
          <w:jc w:val="center"/>
          <w:tblCellMar>
            <w:top w:w="30" w:type="dxa"/>
            <w:left w:w="30" w:type="dxa"/>
            <w:bottom w:w="30" w:type="dxa"/>
            <w:right w:w="30" w:type="dxa"/>
          </w:tblCellMar>
          <w:tblLook w:val="04A0"/>
        </w:tblPrEx>
        <w:trPr>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0FD"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6.2.</w:t>
            </w:r>
            <w:r>
              <w:rPr>
                <w:rFonts w:ascii="Times New Roman" w:eastAsia="Times New Roman" w:hAnsi="Times New Roman"/>
                <w:lang w:eastAsia="lv-LV"/>
              </w:rPr>
              <w:t> </w:t>
            </w:r>
            <w:r w:rsidRPr="00134806">
              <w:rPr>
                <w:rFonts w:ascii="Times New Roman" w:eastAsia="Times New Roman" w:hAnsi="Times New Roman"/>
                <w:lang w:eastAsia="lv-LV"/>
              </w:rPr>
              <w:t>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74103C" w:rsidRPr="00134806" w14:paraId="4A3350FE" w14:textId="77777777">
            <w:pPr>
              <w:spacing w:after="0"/>
              <w:jc w:val="left"/>
              <w:rPr>
                <w:rFonts w:ascii="Times New Roman" w:eastAsia="Times New Roman" w:hAnsi="Times New Roman"/>
                <w:lang w:eastAsia="lv-LV"/>
              </w:rPr>
            </w:pPr>
          </w:p>
        </w:tc>
      </w:tr>
      <w:tr w14:paraId="4A335104" w14:textId="77777777" w:rsidTr="0074103C">
        <w:tblPrEx>
          <w:tblW w:w="9356" w:type="dxa"/>
          <w:jc w:val="center"/>
          <w:tblCellMar>
            <w:top w:w="30" w:type="dxa"/>
            <w:left w:w="30" w:type="dxa"/>
            <w:bottom w:w="30" w:type="dxa"/>
            <w:right w:w="30" w:type="dxa"/>
          </w:tblCellMar>
          <w:tblLook w:val="04A0"/>
        </w:tblPrEx>
        <w:trPr>
          <w:trHeight w:val="254"/>
          <w:jc w:val="center"/>
        </w:trPr>
        <w:tc>
          <w:tcPr>
            <w:tcW w:w="1680" w:type="pct"/>
            <w:tcBorders>
              <w:top w:val="outset" w:sz="6" w:space="0" w:color="414142"/>
              <w:left w:val="outset" w:sz="6" w:space="0" w:color="414142"/>
              <w:bottom w:val="outset" w:sz="6" w:space="0" w:color="414142"/>
              <w:right w:val="outset" w:sz="6" w:space="0" w:color="414142"/>
            </w:tcBorders>
            <w:hideMark/>
          </w:tcPr>
          <w:p w:rsidR="0074103C" w:rsidRPr="00134806" w14:paraId="4A335100" w14:textId="77777777">
            <w:pPr>
              <w:spacing w:after="0"/>
              <w:jc w:val="left"/>
              <w:rPr>
                <w:rFonts w:ascii="Times New Roman" w:eastAsia="Times New Roman" w:hAnsi="Times New Roman"/>
                <w:lang w:eastAsia="lv-LV"/>
              </w:rPr>
            </w:pPr>
            <w:r w:rsidRPr="00134806">
              <w:rPr>
                <w:rFonts w:ascii="Times New Roman" w:eastAsia="Times New Roman" w:hAnsi="Times New Roman"/>
                <w:lang w:eastAsia="lv-LV"/>
              </w:rPr>
              <w:t>7.</w:t>
            </w:r>
            <w:r>
              <w:rPr>
                <w:rFonts w:ascii="Times New Roman" w:eastAsia="Times New Roman" w:hAnsi="Times New Roman"/>
                <w:lang w:eastAsia="lv-LV"/>
              </w:rPr>
              <w:t> </w:t>
            </w:r>
            <w:r w:rsidRPr="00134806">
              <w:rPr>
                <w:rFonts w:ascii="Times New Roman" w:eastAsia="Times New Roman" w:hAnsi="Times New Roman"/>
                <w:lang w:eastAsia="lv-LV"/>
              </w:rPr>
              <w:t>Cita informācija</w:t>
            </w:r>
          </w:p>
        </w:tc>
        <w:tc>
          <w:tcPr>
            <w:tcW w:w="3320" w:type="pct"/>
            <w:gridSpan w:val="5"/>
            <w:tcBorders>
              <w:top w:val="outset" w:sz="6" w:space="0" w:color="414142"/>
              <w:left w:val="outset" w:sz="6" w:space="0" w:color="414142"/>
              <w:bottom w:val="outset" w:sz="6" w:space="0" w:color="414142"/>
              <w:right w:val="outset" w:sz="6" w:space="0" w:color="414142"/>
            </w:tcBorders>
            <w:hideMark/>
          </w:tcPr>
          <w:p w:rsidR="0074103C" w:rsidP="00B46E07" w14:paraId="4A335101" w14:textId="77777777">
            <w:pPr>
              <w:spacing w:before="60" w:after="60"/>
              <w:rPr>
                <w:rFonts w:ascii="Times New Roman" w:eastAsia="Times New Roman" w:hAnsi="Times New Roman"/>
                <w:lang w:eastAsia="lv-LV"/>
              </w:rPr>
            </w:pPr>
            <w:r>
              <w:rPr>
                <w:rFonts w:ascii="Times New Roman" w:eastAsia="Times New Roman" w:hAnsi="Times New Roman"/>
                <w:lang w:eastAsia="lv-LV"/>
              </w:rPr>
              <w:t xml:space="preserve">VVD tiek noteikta arī kā kompetentā iestāde, kas </w:t>
            </w:r>
            <w:r w:rsidRPr="00504EEA">
              <w:rPr>
                <w:rFonts w:ascii="Times New Roman" w:eastAsia="Times New Roman" w:hAnsi="Times New Roman"/>
                <w:lang w:eastAsia="lv-LV"/>
              </w:rPr>
              <w:t>uzrauga un kontrolē regulā Nr.</w:t>
            </w:r>
            <w:r w:rsidR="00D50673">
              <w:rPr>
                <w:rFonts w:ascii="Times New Roman" w:eastAsia="Times New Roman" w:hAnsi="Times New Roman"/>
                <w:lang w:eastAsia="lv-LV"/>
              </w:rPr>
              <w:t> </w:t>
            </w:r>
            <w:r w:rsidRPr="00504EEA">
              <w:rPr>
                <w:rFonts w:ascii="Times New Roman" w:eastAsia="Times New Roman" w:hAnsi="Times New Roman"/>
                <w:lang w:eastAsia="lv-LV"/>
              </w:rPr>
              <w:t>2015/757 kuģošanas sabiedrībai noteikto prasību izpildi</w:t>
            </w:r>
            <w:r>
              <w:rPr>
                <w:rFonts w:ascii="Times New Roman" w:eastAsia="Times New Roman" w:hAnsi="Times New Roman"/>
                <w:lang w:eastAsia="lv-LV"/>
              </w:rPr>
              <w:t xml:space="preserve"> esošā budžeta ietvaros.</w:t>
            </w:r>
          </w:p>
          <w:p w:rsidR="0074103C" w:rsidP="00B46E07" w14:paraId="4A335102" w14:textId="77777777">
            <w:pPr>
              <w:spacing w:before="60" w:after="60"/>
              <w:rPr>
                <w:rFonts w:ascii="Times New Roman" w:eastAsia="Times New Roman" w:hAnsi="Times New Roman"/>
                <w:lang w:eastAsia="lv-LV"/>
              </w:rPr>
            </w:pPr>
            <w:r>
              <w:rPr>
                <w:rFonts w:ascii="Times New Roman" w:eastAsia="Times New Roman" w:hAnsi="Times New Roman"/>
                <w:lang w:eastAsia="lv-LV"/>
              </w:rPr>
              <w:t xml:space="preserve">Tādējādi, kopumā vērtējot, VVD tiek noteikti papildu pienākumi </w:t>
            </w:r>
            <w:r w:rsidR="00D50673">
              <w:rPr>
                <w:rFonts w:ascii="Times New Roman" w:eastAsia="Times New Roman" w:hAnsi="Times New Roman"/>
                <w:lang w:eastAsia="lv-LV"/>
              </w:rPr>
              <w:t xml:space="preserve">ar </w:t>
            </w:r>
            <w:r>
              <w:rPr>
                <w:rFonts w:ascii="Times New Roman" w:eastAsia="Times New Roman" w:hAnsi="Times New Roman"/>
                <w:lang w:eastAsia="lv-LV"/>
              </w:rPr>
              <w:t>likumprojekta 15., 16. un 17.pant</w:t>
            </w:r>
            <w:r w:rsidR="00D50673">
              <w:rPr>
                <w:rFonts w:ascii="Times New Roman" w:eastAsia="Times New Roman" w:hAnsi="Times New Roman"/>
                <w:lang w:eastAsia="lv-LV"/>
              </w:rPr>
              <w:t>u</w:t>
            </w:r>
            <w:r>
              <w:rPr>
                <w:rFonts w:ascii="Times New Roman" w:eastAsia="Times New Roman" w:hAnsi="Times New Roman"/>
                <w:lang w:eastAsia="lv-LV"/>
              </w:rPr>
              <w:t>.</w:t>
            </w:r>
          </w:p>
          <w:p w:rsidR="0074103C" w:rsidRPr="00506D66" w:rsidP="00B46E07" w14:paraId="4A335103" w14:textId="77777777">
            <w:pPr>
              <w:spacing w:before="60" w:after="60"/>
              <w:rPr>
                <w:rFonts w:ascii="Times New Roman" w:eastAsia="Times New Roman" w:hAnsi="Times New Roman"/>
                <w:lang w:eastAsia="lv-LV"/>
              </w:rPr>
            </w:pPr>
            <w:r>
              <w:rPr>
                <w:rFonts w:ascii="Times New Roman" w:eastAsia="Times New Roman" w:hAnsi="Times New Roman"/>
                <w:lang w:eastAsia="lv-LV"/>
              </w:rPr>
              <w:t xml:space="preserve">Izpildot Ministru kabineta komitejas </w:t>
            </w:r>
            <w:r w:rsidR="00D50673">
              <w:rPr>
                <w:rFonts w:ascii="Times New Roman" w:eastAsia="Times New Roman" w:hAnsi="Times New Roman"/>
                <w:lang w:eastAsia="lv-LV"/>
              </w:rPr>
              <w:t xml:space="preserve">2017. gada </w:t>
            </w:r>
            <w:r>
              <w:rPr>
                <w:rFonts w:ascii="Times New Roman" w:eastAsia="Times New Roman" w:hAnsi="Times New Roman"/>
                <w:lang w:eastAsia="lv-LV"/>
              </w:rPr>
              <w:t>20.</w:t>
            </w:r>
            <w:r w:rsidR="00D50673">
              <w:rPr>
                <w:rFonts w:ascii="Times New Roman" w:eastAsia="Times New Roman" w:hAnsi="Times New Roman"/>
                <w:lang w:eastAsia="lv-LV"/>
              </w:rPr>
              <w:t> </w:t>
            </w:r>
            <w:r>
              <w:rPr>
                <w:rFonts w:ascii="Times New Roman" w:eastAsia="Times New Roman" w:hAnsi="Times New Roman"/>
                <w:lang w:eastAsia="lv-LV"/>
              </w:rPr>
              <w:t>februāra sēdes protokol</w:t>
            </w:r>
            <w:r w:rsidR="00D50673">
              <w:rPr>
                <w:rFonts w:ascii="Times New Roman" w:eastAsia="Times New Roman" w:hAnsi="Times New Roman"/>
                <w:lang w:eastAsia="lv-LV"/>
              </w:rPr>
              <w:t>ā</w:t>
            </w:r>
            <w:r>
              <w:rPr>
                <w:rFonts w:ascii="Times New Roman" w:eastAsia="Times New Roman" w:hAnsi="Times New Roman"/>
                <w:lang w:eastAsia="lv-LV"/>
              </w:rPr>
              <w:t xml:space="preserve"> Nr.</w:t>
            </w:r>
            <w:r w:rsidR="00D50673">
              <w:rPr>
                <w:rFonts w:ascii="Times New Roman" w:eastAsia="Times New Roman" w:hAnsi="Times New Roman"/>
                <w:lang w:eastAsia="lv-LV"/>
              </w:rPr>
              <w:t> </w:t>
            </w:r>
            <w:r>
              <w:rPr>
                <w:rFonts w:ascii="Times New Roman" w:eastAsia="Times New Roman" w:hAnsi="Times New Roman"/>
                <w:lang w:eastAsia="lv-LV"/>
              </w:rPr>
              <w:t>6 3.§</w:t>
            </w:r>
            <w:r w:rsidR="00D50673">
              <w:rPr>
                <w:rFonts w:ascii="Times New Roman" w:eastAsia="Times New Roman" w:hAnsi="Times New Roman"/>
                <w:lang w:eastAsia="lv-LV"/>
              </w:rPr>
              <w:t xml:space="preserve"> noteikto</w:t>
            </w:r>
            <w:r>
              <w:rPr>
                <w:rFonts w:ascii="Times New Roman" w:eastAsia="Times New Roman" w:hAnsi="Times New Roman"/>
                <w:lang w:eastAsia="lv-LV"/>
              </w:rPr>
              <w:t xml:space="preserve">, vides aizsardzības un reģionālās attīstības ministrs un satiksmes ministrs vienojās, ka VVD turpinās būt tā iestāde, kas administrēs </w:t>
            </w:r>
            <w:r w:rsidR="00D50673">
              <w:rPr>
                <w:rFonts w:ascii="Times New Roman" w:eastAsia="Times New Roman" w:hAnsi="Times New Roman"/>
                <w:lang w:eastAsia="lv-LV"/>
              </w:rPr>
              <w:t>L</w:t>
            </w:r>
            <w:r>
              <w:rPr>
                <w:rFonts w:ascii="Times New Roman" w:eastAsia="Times New Roman" w:hAnsi="Times New Roman"/>
                <w:lang w:eastAsia="lv-LV"/>
              </w:rPr>
              <w:t>ikuma 32.</w:t>
            </w:r>
            <w:r w:rsidRPr="00623CB7">
              <w:rPr>
                <w:rFonts w:ascii="Times New Roman" w:eastAsia="Times New Roman" w:hAnsi="Times New Roman"/>
                <w:vertAlign w:val="superscript"/>
                <w:lang w:eastAsia="lv-LV"/>
              </w:rPr>
              <w:t>5</w:t>
            </w:r>
            <w:r w:rsidR="00D50673">
              <w:rPr>
                <w:rFonts w:ascii="Times New Roman" w:eastAsia="Times New Roman" w:hAnsi="Times New Roman"/>
                <w:lang w:eastAsia="lv-LV"/>
              </w:rPr>
              <w:t> </w:t>
            </w:r>
            <w:r>
              <w:rPr>
                <w:rFonts w:ascii="Times New Roman" w:eastAsia="Times New Roman" w:hAnsi="Times New Roman"/>
                <w:lang w:eastAsia="lv-LV"/>
              </w:rPr>
              <w:t>pantā minēto maksājumu ne tikai attiecībā uz stacionāro tehnoloģisko iekārtu operatoriem, bet arī attiecībā uz gaisa kuģu operatoriem (kas citos nosacījumos nav VVD kompetence).</w:t>
            </w:r>
          </w:p>
        </w:tc>
      </w:tr>
    </w:tbl>
    <w:p w:rsidR="0074103C" w:rsidRPr="00134806" w:rsidP="0074103C" w14:paraId="4A335105" w14:textId="77777777">
      <w:pPr>
        <w:spacing w:after="0"/>
        <w:rPr>
          <w:rFonts w:ascii="Times New Roman" w:hAnsi="Times New Roman"/>
          <w:b/>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468"/>
        <w:gridCol w:w="2019"/>
        <w:gridCol w:w="6869"/>
      </w:tblGrid>
      <w:tr w14:paraId="4A335107" w14:textId="05114CD4" w:rsidTr="0074103C">
        <w:tblPrEx>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Ex>
        <w:trPr>
          <w:trHeight w:val="450"/>
          <w:jc w:val="center"/>
        </w:trPr>
        <w:tc>
          <w:tcPr>
            <w:tcW w:w="0" w:type="auto"/>
            <w:gridSpan w:val="3"/>
            <w:vAlign w:val="center"/>
          </w:tcPr>
          <w:p w:rsidR="0074103C" w:rsidRPr="00F122F9" w:rsidP="0074103C" w14:paraId="4A335106" w14:textId="77777777">
            <w:pPr>
              <w:spacing w:before="60" w:after="60"/>
              <w:jc w:val="center"/>
              <w:rPr>
                <w:rFonts w:ascii="Times New Roman" w:hAnsi="Times New Roman"/>
                <w:b/>
                <w:bCs/>
                <w:lang w:eastAsia="lv-LV"/>
              </w:rPr>
            </w:pPr>
            <w:r w:rsidRPr="00F122F9">
              <w:rPr>
                <w:rFonts w:ascii="Times New Roman" w:hAnsi="Times New Roman"/>
                <w:b/>
                <w:bCs/>
                <w:lang w:eastAsia="lv-LV"/>
              </w:rPr>
              <w:t>IV.</w:t>
            </w:r>
            <w:r>
              <w:rPr>
                <w:rFonts w:ascii="Times New Roman" w:hAnsi="Times New Roman"/>
                <w:b/>
                <w:bCs/>
                <w:lang w:eastAsia="lv-LV"/>
              </w:rPr>
              <w:t> </w:t>
            </w:r>
            <w:r w:rsidRPr="00F122F9">
              <w:rPr>
                <w:rFonts w:ascii="Times New Roman" w:hAnsi="Times New Roman"/>
                <w:b/>
                <w:bCs/>
                <w:lang w:eastAsia="lv-LV"/>
              </w:rPr>
              <w:t>Tiesību akta projekta ietekme uz spēkā esošo tiesību normu sistēmu</w:t>
            </w:r>
          </w:p>
        </w:tc>
      </w:tr>
      <w:tr w14:paraId="4A335123" w14:textId="05583383" w:rsidTr="0074103C">
        <w:tblPrEx>
          <w:tblW w:w="9356" w:type="dxa"/>
          <w:jc w:val="center"/>
          <w:tblCellMar>
            <w:top w:w="30" w:type="dxa"/>
            <w:left w:w="30" w:type="dxa"/>
            <w:bottom w:w="30" w:type="dxa"/>
            <w:right w:w="30" w:type="dxa"/>
          </w:tblCellMar>
          <w:tblLook w:val="00A0"/>
        </w:tblPrEx>
        <w:trPr>
          <w:jc w:val="center"/>
        </w:trPr>
        <w:tc>
          <w:tcPr>
            <w:tcW w:w="250" w:type="pct"/>
          </w:tcPr>
          <w:p w:rsidR="0074103C" w:rsidRPr="00F122F9" w:rsidP="0074103C" w14:paraId="4A335108" w14:textId="77777777">
            <w:pPr>
              <w:spacing w:before="60" w:after="60"/>
              <w:jc w:val="left"/>
              <w:rPr>
                <w:rFonts w:ascii="Times New Roman" w:hAnsi="Times New Roman"/>
                <w:lang w:eastAsia="lv-LV"/>
              </w:rPr>
            </w:pPr>
            <w:r w:rsidRPr="00F122F9">
              <w:rPr>
                <w:rFonts w:ascii="Times New Roman" w:hAnsi="Times New Roman"/>
                <w:lang w:eastAsia="lv-LV"/>
              </w:rPr>
              <w:t>1.</w:t>
            </w:r>
          </w:p>
        </w:tc>
        <w:tc>
          <w:tcPr>
            <w:tcW w:w="1079" w:type="pct"/>
          </w:tcPr>
          <w:p w:rsidR="0074103C" w:rsidRPr="00F122F9" w:rsidP="0074103C" w14:paraId="4A335109" w14:textId="77777777">
            <w:pPr>
              <w:spacing w:before="60" w:after="60"/>
              <w:jc w:val="left"/>
              <w:rPr>
                <w:rFonts w:ascii="Times New Roman" w:hAnsi="Times New Roman"/>
                <w:lang w:eastAsia="lv-LV"/>
              </w:rPr>
            </w:pPr>
            <w:r w:rsidRPr="00F122F9">
              <w:rPr>
                <w:rFonts w:ascii="Times New Roman" w:hAnsi="Times New Roman"/>
                <w:lang w:eastAsia="lv-LV"/>
              </w:rPr>
              <w:t>Nepieciešamie saistītie tiesību aktu projekti</w:t>
            </w:r>
          </w:p>
        </w:tc>
        <w:tc>
          <w:tcPr>
            <w:tcW w:w="3671" w:type="pct"/>
          </w:tcPr>
          <w:p w:rsidR="0074103C" w:rsidP="0074103C" w14:paraId="4A33510A" w14:textId="77777777">
            <w:pPr>
              <w:spacing w:before="60" w:after="60"/>
              <w:rPr>
                <w:rFonts w:ascii="Times New Roman" w:hAnsi="Times New Roman"/>
                <w:lang w:eastAsia="lv-LV"/>
              </w:rPr>
            </w:pPr>
            <w:r w:rsidRPr="006F2118">
              <w:rPr>
                <w:rFonts w:ascii="Times New Roman" w:hAnsi="Times New Roman"/>
                <w:lang w:eastAsia="lv-LV"/>
              </w:rPr>
              <w:t>Likumprojekts ir virzāms izskatīšanai Ministru kabinet</w:t>
            </w:r>
            <w:r w:rsidR="001B1C26">
              <w:rPr>
                <w:rFonts w:ascii="Times New Roman" w:hAnsi="Times New Roman"/>
                <w:lang w:eastAsia="lv-LV"/>
              </w:rPr>
              <w:t>a sēdē</w:t>
            </w:r>
            <w:r w:rsidRPr="006F2118">
              <w:rPr>
                <w:rFonts w:ascii="Times New Roman" w:hAnsi="Times New Roman"/>
                <w:lang w:eastAsia="lv-LV"/>
              </w:rPr>
              <w:t xml:space="preserve"> vienlaikus un skatāms kopā ar likumprojektu „Grozījumi Administratīvo pārkāpumu kodeksā”</w:t>
            </w:r>
            <w:r>
              <w:rPr>
                <w:rFonts w:ascii="Times New Roman" w:hAnsi="Times New Roman"/>
                <w:lang w:eastAsia="lv-LV"/>
              </w:rPr>
              <w:t xml:space="preserve"> (VSS-1014)</w:t>
            </w:r>
            <w:r w:rsidRPr="006F2118">
              <w:rPr>
                <w:rFonts w:ascii="Times New Roman" w:hAnsi="Times New Roman"/>
                <w:lang w:eastAsia="lv-LV"/>
              </w:rPr>
              <w:t>.</w:t>
            </w:r>
          </w:p>
          <w:p w:rsidR="0074103C" w:rsidRPr="006F2118" w:rsidP="0074103C" w14:paraId="4A33510B" w14:textId="77777777">
            <w:pPr>
              <w:spacing w:before="60" w:after="60"/>
              <w:rPr>
                <w:rFonts w:ascii="Times New Roman" w:hAnsi="Times New Roman"/>
                <w:lang w:eastAsia="lv-LV"/>
              </w:rPr>
            </w:pPr>
            <w:r w:rsidRPr="006F2118">
              <w:rPr>
                <w:rFonts w:ascii="Times New Roman" w:hAnsi="Times New Roman"/>
                <w:lang w:eastAsia="lv-LV"/>
              </w:rPr>
              <w:t>Regulas Nr. 2015/757 20. pants noteic, ka ES dalībvalstis „izveido sankciju sistēmu par 8., 9., 10., 11. un 12. pantā paredzēto monitoringa un ziņošanas pienākumu nepildīšanu un veic visus vajadzīgos pasākumus, lai nodrošinātu, ka minētās sankcijas tiek piemērotas. Paredzētās sankcijas ir iedarbīgas, samērīgas un atturošas. Dalībvalstis minētos noteikumus paziņo Komisijai līdz 2017. gada 1. jūlijam, kā arī bez kavēšanās paziņo Komisijai par jebkādiem turpmākiem grozījumiem.</w:t>
            </w:r>
          </w:p>
          <w:p w:rsidR="0074103C" w:rsidRPr="006F2118" w:rsidP="0074103C" w14:paraId="4A33510C" w14:textId="77777777">
            <w:pPr>
              <w:spacing w:before="60" w:after="60"/>
              <w:rPr>
                <w:rFonts w:ascii="Times New Roman" w:hAnsi="Times New Roman"/>
                <w:lang w:eastAsia="lv-LV"/>
              </w:rPr>
            </w:pPr>
            <w:r w:rsidRPr="006F2118">
              <w:rPr>
                <w:rFonts w:ascii="Times New Roman" w:hAnsi="Times New Roman"/>
                <w:lang w:eastAsia="lv-LV"/>
              </w:rPr>
              <w:t xml:space="preserve">Lai izpildītu minētos regulas Nr. 2015/757 nosacījumus, VARAM ir izstrādājis, un Valsts sekretāru 2016. gada 27. oktobra sanāksmē ir izsludināts likumprojekts „Grozījumi Administratīvo pārkāpumu kodeksā” (VSS-1014). Ar šo likumprojektu tiek noteikts, ka </w:t>
            </w:r>
            <w:r>
              <w:rPr>
                <w:rFonts w:ascii="Times New Roman" w:hAnsi="Times New Roman"/>
                <w:lang w:eastAsia="lv-LV"/>
              </w:rPr>
              <w:t>r</w:t>
            </w:r>
            <w:r w:rsidRPr="00A25CA3">
              <w:rPr>
                <w:rFonts w:ascii="Times New Roman" w:hAnsi="Times New Roman"/>
                <w:lang w:eastAsia="lv-LV"/>
              </w:rPr>
              <w:t>egulas Nr.</w:t>
            </w:r>
            <w:r w:rsidR="00D50673">
              <w:rPr>
                <w:rFonts w:ascii="Times New Roman" w:hAnsi="Times New Roman"/>
                <w:lang w:eastAsia="lv-LV"/>
              </w:rPr>
              <w:t> </w:t>
            </w:r>
            <w:r w:rsidRPr="00A25CA3">
              <w:rPr>
                <w:rFonts w:ascii="Times New Roman" w:hAnsi="Times New Roman"/>
                <w:lang w:eastAsia="lv-LV"/>
              </w:rPr>
              <w:t xml:space="preserve">2015/757 3. panta „d” punktā definētajam uzņēmumam </w:t>
            </w:r>
            <w:r w:rsidRPr="006F2118">
              <w:rPr>
                <w:rFonts w:ascii="Times New Roman" w:hAnsi="Times New Roman"/>
                <w:lang w:eastAsia="lv-LV"/>
              </w:rPr>
              <w:t>par monitoringa plāna neiesniegšanu verificētājam, par emisiju ziņojuma neiesniegšanu vai datu sagrozīšanu tiek piemērots administratīvais sods – brīdinājums vai naudas sods.</w:t>
            </w:r>
          </w:p>
          <w:p w:rsidR="0074103C" w:rsidRPr="006F2118" w:rsidP="0074103C" w14:paraId="4A33510D" w14:textId="77777777">
            <w:pPr>
              <w:spacing w:before="60" w:after="60"/>
              <w:rPr>
                <w:rFonts w:ascii="Times New Roman" w:hAnsi="Times New Roman"/>
                <w:lang w:eastAsia="lv-LV"/>
              </w:rPr>
            </w:pPr>
            <w:r w:rsidRPr="006F2118">
              <w:rPr>
                <w:rFonts w:ascii="Times New Roman" w:hAnsi="Times New Roman"/>
                <w:lang w:eastAsia="lv-LV"/>
              </w:rPr>
              <w:t xml:space="preserve">Likumprojektā „Grozījumi Administratīvo pārkāpumu kodeksā” ir noteikts, ka administratīvos protokolus attiecībā uz </w:t>
            </w:r>
            <w:r>
              <w:rPr>
                <w:rFonts w:ascii="Times New Roman" w:hAnsi="Times New Roman"/>
                <w:lang w:eastAsia="lv-LV"/>
              </w:rPr>
              <w:t>r</w:t>
            </w:r>
            <w:r w:rsidRPr="00A25CA3">
              <w:rPr>
                <w:rFonts w:ascii="Times New Roman" w:hAnsi="Times New Roman"/>
                <w:lang w:eastAsia="lv-LV"/>
              </w:rPr>
              <w:t>egulas Nr.</w:t>
            </w:r>
            <w:r w:rsidR="002E4363">
              <w:rPr>
                <w:rFonts w:ascii="Times New Roman" w:hAnsi="Times New Roman"/>
                <w:lang w:eastAsia="lv-LV"/>
              </w:rPr>
              <w:t> </w:t>
            </w:r>
            <w:r w:rsidRPr="00A25CA3">
              <w:rPr>
                <w:rFonts w:ascii="Times New Roman" w:hAnsi="Times New Roman"/>
                <w:lang w:eastAsia="lv-LV"/>
              </w:rPr>
              <w:t>2015/757 3.</w:t>
            </w:r>
            <w:r w:rsidR="002E4363">
              <w:rPr>
                <w:rFonts w:ascii="Times New Roman" w:hAnsi="Times New Roman"/>
                <w:lang w:eastAsia="lv-LV"/>
              </w:rPr>
              <w:t> </w:t>
            </w:r>
            <w:r w:rsidRPr="00A25CA3">
              <w:rPr>
                <w:rFonts w:ascii="Times New Roman" w:hAnsi="Times New Roman"/>
                <w:lang w:eastAsia="lv-LV"/>
              </w:rPr>
              <w:t>panta „d” punktā definēt</w:t>
            </w:r>
            <w:r>
              <w:rPr>
                <w:rFonts w:ascii="Times New Roman" w:hAnsi="Times New Roman"/>
                <w:lang w:eastAsia="lv-LV"/>
              </w:rPr>
              <w:t xml:space="preserve">o </w:t>
            </w:r>
            <w:r w:rsidRPr="00A25CA3">
              <w:rPr>
                <w:rFonts w:ascii="Times New Roman" w:hAnsi="Times New Roman"/>
                <w:lang w:eastAsia="lv-LV"/>
              </w:rPr>
              <w:t>uzņēmum</w:t>
            </w:r>
            <w:r>
              <w:rPr>
                <w:rFonts w:ascii="Times New Roman" w:hAnsi="Times New Roman"/>
                <w:lang w:eastAsia="lv-LV"/>
              </w:rPr>
              <w:t>u</w:t>
            </w:r>
            <w:r w:rsidRPr="006F2118">
              <w:rPr>
                <w:rFonts w:ascii="Times New Roman" w:hAnsi="Times New Roman"/>
                <w:lang w:eastAsia="lv-LV"/>
              </w:rPr>
              <w:t xml:space="preserve"> par oglekļa dioksīda emisiju monitoringa datu slēpšanu vai sagrozīšanu, kā arī par ikgadējā verificētā emisiju ziņojuma neiesniegšanu VVD vai tā datu sagrozīšanu sastāda VVD,</w:t>
            </w:r>
            <w:r>
              <w:rPr>
                <w:rFonts w:ascii="Times New Roman" w:hAnsi="Times New Roman"/>
                <w:lang w:eastAsia="lv-LV"/>
              </w:rPr>
              <w:t xml:space="preserve"> kas arī</w:t>
            </w:r>
            <w:r w:rsidRPr="006F2118">
              <w:rPr>
                <w:rFonts w:ascii="Times New Roman" w:hAnsi="Times New Roman"/>
                <w:lang w:eastAsia="lv-LV"/>
              </w:rPr>
              <w:t xml:space="preserve"> izskatīs administratīvo pārkāpumu lietas un uzliks administratīvos sodus </w:t>
            </w:r>
            <w:r>
              <w:rPr>
                <w:rFonts w:ascii="Times New Roman" w:hAnsi="Times New Roman"/>
                <w:lang w:eastAsia="lv-LV"/>
              </w:rPr>
              <w:t>regulas Nr.</w:t>
            </w:r>
            <w:r w:rsidR="002E4363">
              <w:rPr>
                <w:rFonts w:ascii="Times New Roman" w:hAnsi="Times New Roman"/>
                <w:lang w:eastAsia="lv-LV"/>
              </w:rPr>
              <w:t> </w:t>
            </w:r>
            <w:r>
              <w:rPr>
                <w:rFonts w:ascii="Times New Roman" w:hAnsi="Times New Roman"/>
                <w:lang w:eastAsia="lv-LV"/>
              </w:rPr>
              <w:t>2015/757 3.</w:t>
            </w:r>
            <w:r w:rsidR="002E4363">
              <w:rPr>
                <w:rFonts w:ascii="Times New Roman" w:hAnsi="Times New Roman"/>
                <w:lang w:eastAsia="lv-LV"/>
              </w:rPr>
              <w:t> </w:t>
            </w:r>
            <w:r w:rsidRPr="00A25CA3">
              <w:rPr>
                <w:rFonts w:ascii="Times New Roman" w:hAnsi="Times New Roman"/>
                <w:lang w:eastAsia="lv-LV"/>
              </w:rPr>
              <w:t>panta „d” punktā definētajam uzņēmumam</w:t>
            </w:r>
            <w:r w:rsidRPr="006F2118">
              <w:rPr>
                <w:rFonts w:ascii="Times New Roman" w:hAnsi="Times New Roman"/>
                <w:lang w:eastAsia="lv-LV"/>
              </w:rPr>
              <w:t>.</w:t>
            </w:r>
          </w:p>
          <w:p w:rsidR="0074103C" w:rsidRPr="006F2118" w:rsidP="0074103C" w14:paraId="4A33510E" w14:textId="77777777">
            <w:pPr>
              <w:spacing w:before="60" w:after="60"/>
              <w:rPr>
                <w:rFonts w:ascii="Times New Roman" w:hAnsi="Times New Roman"/>
                <w:lang w:eastAsia="lv-LV"/>
              </w:rPr>
            </w:pPr>
            <w:r w:rsidRPr="006F2118">
              <w:rPr>
                <w:rFonts w:ascii="Times New Roman" w:hAnsi="Times New Roman"/>
                <w:lang w:eastAsia="lv-LV"/>
              </w:rPr>
              <w:t xml:space="preserve">Direktīvas Nr. 2015/652 6. pants noteic, ka dalībvalstis </w:t>
            </w:r>
            <w:r>
              <w:rPr>
                <w:rFonts w:ascii="Times New Roman" w:hAnsi="Times New Roman"/>
                <w:lang w:eastAsia="lv-LV"/>
              </w:rPr>
              <w:t>”</w:t>
            </w:r>
            <w:r w:rsidRPr="006F2118">
              <w:rPr>
                <w:rFonts w:ascii="Times New Roman" w:hAnsi="Times New Roman"/>
                <w:lang w:eastAsia="lv-LV"/>
              </w:rPr>
              <w:t>pieņem noteikumus par sankcijām, ko piemēro par to valsts noteikumu pārkāpumiem, kuri pieņemti saskaņā ar šo direktīvu, un veic visus vajadzīgos pasākumus minēto noteikumu īstenošanas nodrošināšanai. Paredzētajām sankcijām jābūt iedarbīgām, samērīgām un atturošām”.</w:t>
            </w:r>
          </w:p>
          <w:p w:rsidR="0074103C" w:rsidRPr="006F2118" w:rsidP="0074103C" w14:paraId="4A33510F" w14:textId="77777777">
            <w:pPr>
              <w:spacing w:before="60" w:after="60"/>
              <w:rPr>
                <w:rFonts w:ascii="Times New Roman" w:hAnsi="Times New Roman"/>
                <w:lang w:eastAsia="lv-LV"/>
              </w:rPr>
            </w:pPr>
            <w:r w:rsidRPr="006F2118">
              <w:rPr>
                <w:rFonts w:ascii="Times New Roman" w:hAnsi="Times New Roman"/>
                <w:lang w:eastAsia="lv-LV"/>
              </w:rPr>
              <w:t>Lai pārņemtu direktīvas Nr. 2015/652 prasības, VARAM izstrādātajā un Valsts sekretāru 2016. gada 27. oktobra sanāksmē izsludinātajā likumprojektā „Grozījumi Administratīvo pārkāpumu kodeksā” (VSS-1014), pamatojoties uz Ekonomikas ministrijas iesniegto atzinumu, VARAM ir iekļāvis arī nosacījumus attiecībā uz degvielas piegādātāju administratīvo atbildību par ikgadējā ziņojuma par degvielas un enerģijas daudzumu un siltumnīcefekta gāzu intensitāti neiesniegšanu VVD. Ar šo likumprojektu tiek noteikts, ka degvielas piegādātājiem par šī pienākuma nepildīšanu tiek piemērots administratīvais sods – brīdinājums vai naudas sods.</w:t>
            </w:r>
          </w:p>
          <w:p w:rsidR="0074103C" w:rsidP="0074103C" w14:paraId="4A335110" w14:textId="77777777">
            <w:pPr>
              <w:spacing w:before="60" w:after="60"/>
              <w:rPr>
                <w:rFonts w:ascii="Times New Roman" w:hAnsi="Times New Roman"/>
                <w:lang w:eastAsia="lv-LV"/>
              </w:rPr>
            </w:pPr>
            <w:r w:rsidRPr="006F2118">
              <w:rPr>
                <w:rFonts w:ascii="Times New Roman" w:hAnsi="Times New Roman"/>
                <w:lang w:eastAsia="lv-LV"/>
              </w:rPr>
              <w:t xml:space="preserve">Likumprojektā „Grozījumi Administratīvo pārkāpumu kodeksā” ir noteikts, ka administratīvās lietas izskata un administratīvos sodus uzliek VVD. </w:t>
            </w:r>
          </w:p>
          <w:p w:rsidR="005E4EA4" w:rsidP="0074103C" w14:paraId="4A335111" w14:textId="77777777">
            <w:pPr>
              <w:spacing w:before="60" w:after="60"/>
              <w:rPr>
                <w:rFonts w:ascii="Times New Roman" w:hAnsi="Times New Roman"/>
                <w:lang w:eastAsia="lv-LV"/>
              </w:rPr>
            </w:pPr>
          </w:p>
          <w:p w:rsidR="005E4EA4" w:rsidRPr="006F2118" w:rsidP="005E4EA4" w14:paraId="4A335112" w14:textId="08C5E2C1">
            <w:pPr>
              <w:spacing w:before="60" w:after="60"/>
              <w:rPr>
                <w:rFonts w:ascii="Times New Roman" w:hAnsi="Times New Roman"/>
                <w:lang w:eastAsia="lv-LV"/>
              </w:rPr>
            </w:pPr>
            <w:r>
              <w:rPr>
                <w:rFonts w:ascii="Times New Roman" w:hAnsi="Times New Roman"/>
                <w:lang w:eastAsia="lv-LV"/>
              </w:rPr>
              <w:t>Vienlaikus</w:t>
            </w:r>
            <w:r>
              <w:rPr>
                <w:rFonts w:ascii="Times New Roman" w:hAnsi="Times New Roman"/>
                <w:lang w:eastAsia="lv-LV"/>
              </w:rPr>
              <w:t xml:space="preserve"> ar likumprojektu Ministru kabinet</w:t>
            </w:r>
            <w:r w:rsidR="00027E83">
              <w:rPr>
                <w:rFonts w:ascii="Times New Roman" w:hAnsi="Times New Roman"/>
                <w:lang w:eastAsia="lv-LV"/>
              </w:rPr>
              <w:t>a sēdē</w:t>
            </w:r>
            <w:r>
              <w:rPr>
                <w:rFonts w:ascii="Times New Roman" w:hAnsi="Times New Roman"/>
                <w:lang w:eastAsia="lv-LV"/>
              </w:rPr>
              <w:t xml:space="preserve"> ir skatāms Ekonomikas ministrijas sagatavotais Ministru kabineta rīkojuma projekts “Par apropriācijas pārdali”.</w:t>
            </w:r>
          </w:p>
          <w:p w:rsidR="0074103C" w:rsidRPr="006F2118" w:rsidP="0074103C" w14:paraId="4A335113" w14:textId="77777777">
            <w:pPr>
              <w:spacing w:before="60" w:after="60"/>
              <w:rPr>
                <w:rFonts w:ascii="Times New Roman" w:hAnsi="Times New Roman"/>
                <w:lang w:eastAsia="lv-LV"/>
              </w:rPr>
            </w:pPr>
          </w:p>
          <w:p w:rsidR="0074103C" w:rsidRPr="006F2118" w:rsidP="0074103C" w14:paraId="4A335114" w14:textId="77777777">
            <w:pPr>
              <w:spacing w:before="60" w:after="60"/>
              <w:rPr>
                <w:rFonts w:ascii="Times New Roman" w:hAnsi="Times New Roman"/>
                <w:lang w:eastAsia="lv-LV"/>
              </w:rPr>
            </w:pPr>
            <w:r w:rsidRPr="006F2118">
              <w:rPr>
                <w:rFonts w:ascii="Times New Roman" w:hAnsi="Times New Roman"/>
                <w:lang w:eastAsia="lv-LV"/>
              </w:rPr>
              <w:t>Likumprojektā ir iekļauts deleģējums izstrādāt šādus Ministru kabineta noteikumus:</w:t>
            </w:r>
          </w:p>
          <w:p w:rsidR="0074103C" w:rsidRPr="006F2118" w:rsidP="0074103C" w14:paraId="4A335115" w14:textId="77777777">
            <w:pPr>
              <w:spacing w:before="60" w:after="60"/>
              <w:rPr>
                <w:rFonts w:ascii="Times New Roman" w:hAnsi="Times New Roman"/>
                <w:lang w:eastAsia="lv-LV"/>
              </w:rPr>
            </w:pPr>
            <w:r>
              <w:rPr>
                <w:rFonts w:ascii="Times New Roman" w:hAnsi="Times New Roman"/>
                <w:b/>
                <w:lang w:eastAsia="lv-LV"/>
              </w:rPr>
              <w:t>1</w:t>
            </w:r>
            <w:r w:rsidRPr="006F2118" w:rsidR="00047A73">
              <w:rPr>
                <w:rFonts w:ascii="Times New Roman" w:hAnsi="Times New Roman"/>
                <w:b/>
                <w:lang w:eastAsia="lv-LV"/>
              </w:rPr>
              <w:t>)</w:t>
            </w:r>
            <w:r w:rsidRPr="006F2118" w:rsidR="00047A73">
              <w:rPr>
                <w:rFonts w:ascii="Times New Roman" w:hAnsi="Times New Roman"/>
                <w:lang w:eastAsia="lv-LV"/>
              </w:rPr>
              <w:t xml:space="preserve"> deleģējums Ministru kabinetam izdot noteikumus par to, kā tiek sagatavots, pārbaudīts un iesniegts ikgadējais emisiju ziņojums, tiek akreditēts pārbaudes veicējs, kā arī notiek informācijas aprite; </w:t>
            </w:r>
          </w:p>
          <w:p w:rsidR="003C1ACB" w:rsidP="0074103C" w14:paraId="4A335116" w14:textId="77777777">
            <w:pPr>
              <w:spacing w:before="60" w:after="60"/>
              <w:rPr>
                <w:rFonts w:ascii="Times New Roman" w:hAnsi="Times New Roman"/>
                <w:lang w:eastAsia="lv-LV"/>
              </w:rPr>
            </w:pPr>
            <w:r w:rsidRPr="006F2118">
              <w:rPr>
                <w:rFonts w:ascii="Times New Roman" w:hAnsi="Times New Roman"/>
                <w:lang w:eastAsia="lv-LV"/>
              </w:rPr>
              <w:t xml:space="preserve">Šo Ministru kabineta noteikumu projektu izstrādās VARAM, ņemot vērā </w:t>
            </w:r>
            <w:r w:rsidR="002E4363">
              <w:rPr>
                <w:rFonts w:ascii="Times New Roman" w:hAnsi="Times New Roman"/>
                <w:lang w:eastAsia="lv-LV"/>
              </w:rPr>
              <w:t>r</w:t>
            </w:r>
            <w:r w:rsidRPr="006F2118">
              <w:rPr>
                <w:rFonts w:ascii="Times New Roman" w:hAnsi="Times New Roman"/>
                <w:lang w:eastAsia="lv-LV"/>
              </w:rPr>
              <w:t xml:space="preserve">egulas Nr. 2015/757 prasības, kā arī uz </w:t>
            </w:r>
            <w:r w:rsidR="002E4363">
              <w:rPr>
                <w:rFonts w:ascii="Times New Roman" w:hAnsi="Times New Roman"/>
                <w:lang w:eastAsia="lv-LV"/>
              </w:rPr>
              <w:t>r</w:t>
            </w:r>
            <w:r w:rsidRPr="006F2118">
              <w:rPr>
                <w:rFonts w:ascii="Times New Roman" w:hAnsi="Times New Roman"/>
                <w:lang w:eastAsia="lv-LV"/>
              </w:rPr>
              <w:t>egulas Nr. 2015/757 pamata izdotās īstenošanas un deleģēšanas regulas prasības. Ņemot vērā, ka galvenie nosacījumi ir izteikti regulās, tad šajos Ministru kabineta noteikumos būs nepieciešams tikai noteikt veidlapu publicēšanas kārtību, verificētāja akreditācijas kompetento iestādi, kā arī pārējos nosacījumus, ja to izteikšana Latvijas normatīvajos aktos būs nepieciešama</w:t>
            </w:r>
            <w:r>
              <w:rPr>
                <w:rFonts w:ascii="Times New Roman" w:hAnsi="Times New Roman"/>
                <w:lang w:eastAsia="lv-LV"/>
              </w:rPr>
              <w:t>.</w:t>
            </w:r>
          </w:p>
          <w:p w:rsidR="0074103C" w:rsidRPr="006F2118" w:rsidP="0074103C" w14:paraId="4A335117" w14:textId="77777777">
            <w:pPr>
              <w:spacing w:before="60" w:after="60"/>
              <w:rPr>
                <w:rFonts w:ascii="Times New Roman" w:hAnsi="Times New Roman"/>
                <w:lang w:eastAsia="lv-LV"/>
              </w:rPr>
            </w:pPr>
            <w:r w:rsidRPr="006F2118">
              <w:rPr>
                <w:rFonts w:ascii="Times New Roman" w:hAnsi="Times New Roman"/>
                <w:lang w:eastAsia="lv-LV"/>
              </w:rPr>
              <w:t xml:space="preserve">Visi nosacījumi attiecībā uz oglekļa dioksīda monitoringu un ziņošanu ir noteikti </w:t>
            </w:r>
            <w:r w:rsidR="002E4363">
              <w:rPr>
                <w:rFonts w:ascii="Times New Roman" w:hAnsi="Times New Roman"/>
                <w:lang w:eastAsia="lv-LV"/>
              </w:rPr>
              <w:t>r</w:t>
            </w:r>
            <w:r w:rsidRPr="006F2118">
              <w:rPr>
                <w:rFonts w:ascii="Times New Roman" w:hAnsi="Times New Roman"/>
                <w:lang w:eastAsia="lv-LV"/>
              </w:rPr>
              <w:t>egulā Nr. 2015/757, kā arī regulas ietvaros izdotajās īstenošanas regulās un deleģēšanas regulās.</w:t>
            </w:r>
          </w:p>
          <w:p w:rsidR="0074103C" w:rsidRPr="006F2118" w:rsidP="0074103C" w14:paraId="4A335118" w14:textId="77777777">
            <w:pPr>
              <w:spacing w:before="60" w:after="60"/>
              <w:rPr>
                <w:rFonts w:ascii="Times New Roman" w:hAnsi="Times New Roman"/>
                <w:lang w:eastAsia="lv-LV"/>
              </w:rPr>
            </w:pPr>
            <w:r>
              <w:rPr>
                <w:rFonts w:ascii="Times New Roman" w:hAnsi="Times New Roman"/>
                <w:b/>
                <w:lang w:eastAsia="lv-LV"/>
              </w:rPr>
              <w:t>2</w:t>
            </w:r>
            <w:r w:rsidRPr="006F2118" w:rsidR="00047A73">
              <w:rPr>
                <w:rFonts w:ascii="Times New Roman" w:hAnsi="Times New Roman"/>
                <w:b/>
                <w:lang w:eastAsia="lv-LV"/>
              </w:rPr>
              <w:t>)</w:t>
            </w:r>
            <w:r w:rsidRPr="006F2118" w:rsidR="00047A73">
              <w:rPr>
                <w:rFonts w:ascii="Times New Roman" w:hAnsi="Times New Roman"/>
                <w:lang w:eastAsia="lv-LV"/>
              </w:rPr>
              <w:t> deleģējums Ministru kabinetam izdot noteikumus, lai noteiktu Emisijas kvotu izsolīšanas instrumenta konsultatīvās padomes nolikumu;</w:t>
            </w:r>
          </w:p>
          <w:p w:rsidR="0074103C" w:rsidRPr="006F2118" w:rsidP="0074103C" w14:paraId="4A335119" w14:textId="77777777">
            <w:pPr>
              <w:spacing w:before="60" w:after="60"/>
              <w:rPr>
                <w:rFonts w:ascii="Times New Roman" w:hAnsi="Times New Roman"/>
                <w:lang w:eastAsia="lv-LV"/>
              </w:rPr>
            </w:pPr>
            <w:r w:rsidRPr="006F2118">
              <w:rPr>
                <w:rFonts w:ascii="Times New Roman" w:hAnsi="Times New Roman"/>
                <w:lang w:eastAsia="lv-LV"/>
              </w:rPr>
              <w:t>Šo Ministru kabineta noteikumu projektu izstrādās VARAM.</w:t>
            </w:r>
          </w:p>
          <w:p w:rsidR="0074103C" w:rsidRPr="006F2118" w:rsidP="0074103C" w14:paraId="4A33511A" w14:textId="77777777">
            <w:pPr>
              <w:spacing w:before="60" w:after="60"/>
              <w:rPr>
                <w:rFonts w:ascii="Times New Roman" w:hAnsi="Times New Roman"/>
                <w:lang w:eastAsia="lv-LV"/>
              </w:rPr>
            </w:pPr>
            <w:r>
              <w:rPr>
                <w:rFonts w:ascii="Times New Roman" w:hAnsi="Times New Roman"/>
                <w:b/>
                <w:lang w:eastAsia="lv-LV"/>
              </w:rPr>
              <w:t>3</w:t>
            </w:r>
            <w:r w:rsidRPr="006F2118" w:rsidR="00047A73">
              <w:rPr>
                <w:rFonts w:ascii="Times New Roman" w:hAnsi="Times New Roman"/>
                <w:b/>
                <w:lang w:eastAsia="lv-LV"/>
              </w:rPr>
              <w:t>)</w:t>
            </w:r>
            <w:r w:rsidRPr="006F2118" w:rsidR="00047A73">
              <w:rPr>
                <w:rFonts w:ascii="Times New Roman" w:hAnsi="Times New Roman"/>
                <w:lang w:eastAsia="lv-LV"/>
              </w:rPr>
              <w:t> deleģējums Ministru kabinetam izdot noteikumus, ar kuriem tiks pilnībā pārņemti Direktīvas Nr. 98/70/EK 7.a</w:t>
            </w:r>
            <w:r w:rsidR="002E4363">
              <w:rPr>
                <w:rFonts w:ascii="Times New Roman" w:hAnsi="Times New Roman"/>
                <w:lang w:eastAsia="lv-LV"/>
              </w:rPr>
              <w:t> </w:t>
            </w:r>
            <w:r w:rsidRPr="006F2118" w:rsidR="00047A73">
              <w:rPr>
                <w:rFonts w:ascii="Times New Roman" w:hAnsi="Times New Roman"/>
                <w:lang w:eastAsia="lv-LV"/>
              </w:rPr>
              <w:t>panta nosacījumi, kā arī tiks pārņemti Direktīvas Nr. 2015/652 prasības par:</w:t>
            </w:r>
          </w:p>
          <w:p w:rsidR="0074103C" w:rsidRPr="006F2118" w:rsidP="0074103C" w14:paraId="4A33511B" w14:textId="77777777">
            <w:pPr>
              <w:spacing w:before="60" w:after="60"/>
              <w:rPr>
                <w:rFonts w:ascii="Times New Roman" w:hAnsi="Times New Roman"/>
              </w:rPr>
            </w:pPr>
            <w:r w:rsidRPr="006F2118">
              <w:rPr>
                <w:rFonts w:ascii="Times New Roman" w:hAnsi="Times New Roman"/>
              </w:rPr>
              <w:t xml:space="preserve">1) aprēķina metodēm, tostarp aprites cikla siltumnīcefekta gāzu emisijām un to samazinājumam, un </w:t>
            </w:r>
            <w:r w:rsidRPr="006F2118">
              <w:rPr>
                <w:rFonts w:ascii="Times New Roman" w:hAnsi="Times New Roman"/>
              </w:rPr>
              <w:t>augšposma</w:t>
            </w:r>
            <w:r w:rsidRPr="006F2118">
              <w:rPr>
                <w:rFonts w:ascii="Times New Roman" w:hAnsi="Times New Roman"/>
              </w:rPr>
              <w:t xml:space="preserve"> emisiju samazinājumam un to ietekmējošiem parametriem;</w:t>
            </w:r>
          </w:p>
          <w:p w:rsidR="0074103C" w:rsidRPr="006F2118" w:rsidP="0074103C" w14:paraId="4A33511C" w14:textId="77777777">
            <w:pPr>
              <w:spacing w:before="60" w:after="60"/>
              <w:rPr>
                <w:rFonts w:ascii="Times New Roman" w:hAnsi="Times New Roman"/>
              </w:rPr>
            </w:pPr>
            <w:r w:rsidRPr="006F2118">
              <w:rPr>
                <w:rFonts w:ascii="Times New Roman" w:hAnsi="Times New Roman"/>
              </w:rPr>
              <w:t>2) attiecināmām metodēm samazinājuma panākšanai;</w:t>
            </w:r>
          </w:p>
          <w:p w:rsidR="0074103C" w:rsidRPr="006F2118" w:rsidP="0074103C" w14:paraId="4A33511D" w14:textId="77777777">
            <w:pPr>
              <w:spacing w:before="60" w:after="60"/>
              <w:rPr>
                <w:rFonts w:ascii="Times New Roman" w:hAnsi="Times New Roman"/>
              </w:rPr>
            </w:pPr>
            <w:r w:rsidRPr="006F2118">
              <w:rPr>
                <w:rFonts w:ascii="Times New Roman" w:hAnsi="Times New Roman"/>
              </w:rPr>
              <w:t>3) datu ziņošanu kārtību attiecībā uz degvielu t.s. uz biodegvielu, un enerģijas aprites cikla siltumnīcefekta gāzu intensitāti;</w:t>
            </w:r>
          </w:p>
          <w:p w:rsidR="0074103C" w:rsidRPr="006F2118" w:rsidP="0074103C" w14:paraId="4A33511E" w14:textId="77777777">
            <w:pPr>
              <w:spacing w:before="60" w:after="60"/>
              <w:rPr>
                <w:rFonts w:ascii="Times New Roman" w:hAnsi="Times New Roman"/>
              </w:rPr>
            </w:pPr>
            <w:r w:rsidRPr="006F2118">
              <w:rPr>
                <w:rFonts w:ascii="Times New Roman" w:hAnsi="Times New Roman"/>
              </w:rPr>
              <w:t>4) degvielas piegādātāju ikgadējo ziņojumu veidlapas un ziņojumu pārbaudes kārtību, kā arī informācijas aprites kārtību;</w:t>
            </w:r>
          </w:p>
          <w:p w:rsidR="0074103C" w:rsidRPr="006F2118" w:rsidP="0074103C" w14:paraId="4A33511F" w14:textId="77777777">
            <w:pPr>
              <w:spacing w:before="60" w:after="60"/>
              <w:rPr>
                <w:rFonts w:ascii="Times New Roman" w:hAnsi="Times New Roman"/>
              </w:rPr>
            </w:pPr>
            <w:r w:rsidRPr="006F2118">
              <w:rPr>
                <w:rFonts w:ascii="Times New Roman" w:hAnsi="Times New Roman"/>
              </w:rPr>
              <w:t xml:space="preserve">5) Eiropas Komisijai iesniedzamo ziņojumu sagatavošanas un iesniegšanas kārtību. </w:t>
            </w:r>
          </w:p>
          <w:p w:rsidR="0074103C" w:rsidRPr="006F2118" w:rsidP="0074103C" w14:paraId="4A335120" w14:textId="77777777">
            <w:pPr>
              <w:spacing w:before="60" w:after="60"/>
              <w:rPr>
                <w:rFonts w:ascii="Times New Roman" w:hAnsi="Times New Roman"/>
                <w:lang w:eastAsia="lv-LV"/>
              </w:rPr>
            </w:pPr>
            <w:r w:rsidRPr="006F2118">
              <w:rPr>
                <w:rFonts w:ascii="Times New Roman" w:hAnsi="Times New Roman"/>
                <w:lang w:eastAsia="lv-LV"/>
              </w:rPr>
              <w:t>Šos Ministru kabineta noteikumu projektus izstrādās Ekonomikas ministrija.</w:t>
            </w:r>
          </w:p>
          <w:p w:rsidR="0074103C" w:rsidRPr="006F2118" w:rsidP="0074103C" w14:paraId="4A335121" w14:textId="7E0072A9">
            <w:pPr>
              <w:pStyle w:val="BodyText"/>
              <w:rPr>
                <w:rFonts w:ascii="Times New Roman" w:hAnsi="Times New Roman"/>
                <w:bCs/>
              </w:rPr>
            </w:pPr>
            <w:r>
              <w:rPr>
                <w:rFonts w:ascii="Times New Roman" w:hAnsi="Times New Roman"/>
                <w:b/>
                <w:bCs/>
              </w:rPr>
              <w:t>4</w:t>
            </w:r>
            <w:r w:rsidR="00373780">
              <w:rPr>
                <w:rFonts w:ascii="Times New Roman" w:hAnsi="Times New Roman"/>
                <w:b/>
                <w:bCs/>
              </w:rPr>
              <w:t>) </w:t>
            </w:r>
            <w:r w:rsidR="00373780">
              <w:rPr>
                <w:rFonts w:ascii="Times New Roman" w:hAnsi="Times New Roman"/>
                <w:bCs/>
              </w:rPr>
              <w:t>d</w:t>
            </w:r>
            <w:r w:rsidRPr="006F2118" w:rsidR="00047A73">
              <w:rPr>
                <w:rFonts w:ascii="Times New Roman" w:hAnsi="Times New Roman"/>
                <w:bCs/>
              </w:rPr>
              <w:t>eleģējums Ministru kabinetam izdot noteikumus par elektromagnētisko lauku (0 Hz līdz 300 GHz) iedarbības uz iedzīvotājiem ierobežošanu</w:t>
            </w:r>
          </w:p>
          <w:p w:rsidR="0074103C" w:rsidRPr="00BB154C" w:rsidP="0074103C" w14:paraId="4A335122" w14:textId="77777777">
            <w:pPr>
              <w:spacing w:before="60" w:after="60"/>
              <w:rPr>
                <w:rFonts w:ascii="Times New Roman" w:hAnsi="Times New Roman"/>
                <w:sz w:val="28"/>
                <w:szCs w:val="28"/>
              </w:rPr>
            </w:pPr>
            <w:r w:rsidRPr="003D509C">
              <w:rPr>
                <w:rFonts w:ascii="Times New Roman" w:hAnsi="Times New Roman"/>
              </w:rPr>
              <w:t xml:space="preserve">Šo </w:t>
            </w:r>
            <w:r w:rsidRPr="006F2118">
              <w:rPr>
                <w:rFonts w:ascii="Times New Roman" w:hAnsi="Times New Roman"/>
                <w:lang w:eastAsia="lv-LV"/>
              </w:rPr>
              <w:t>Ministru kabineta noteikumu projektu izstrādās Veselības ministrija.</w:t>
            </w:r>
          </w:p>
        </w:tc>
      </w:tr>
      <w:tr w14:paraId="4A335127" w14:textId="42332A04" w:rsidTr="0074103C">
        <w:tblPrEx>
          <w:tblW w:w="9356" w:type="dxa"/>
          <w:jc w:val="center"/>
          <w:tblCellMar>
            <w:top w:w="30" w:type="dxa"/>
            <w:left w:w="30" w:type="dxa"/>
            <w:bottom w:w="30" w:type="dxa"/>
            <w:right w:w="30" w:type="dxa"/>
          </w:tblCellMar>
          <w:tblLook w:val="00A0"/>
        </w:tblPrEx>
        <w:trPr>
          <w:jc w:val="center"/>
        </w:trPr>
        <w:tc>
          <w:tcPr>
            <w:tcW w:w="250" w:type="pct"/>
          </w:tcPr>
          <w:p w:rsidR="0074103C" w:rsidRPr="00F122F9" w:rsidP="0074103C" w14:paraId="4A335124" w14:textId="77777777">
            <w:pPr>
              <w:spacing w:before="60" w:after="60"/>
              <w:jc w:val="left"/>
              <w:rPr>
                <w:rFonts w:ascii="Times New Roman" w:hAnsi="Times New Roman"/>
                <w:lang w:eastAsia="lv-LV"/>
              </w:rPr>
            </w:pPr>
            <w:r w:rsidRPr="00F122F9">
              <w:rPr>
                <w:rFonts w:ascii="Times New Roman" w:hAnsi="Times New Roman"/>
                <w:lang w:eastAsia="lv-LV"/>
              </w:rPr>
              <w:t>2.</w:t>
            </w:r>
          </w:p>
        </w:tc>
        <w:tc>
          <w:tcPr>
            <w:tcW w:w="1079" w:type="pct"/>
          </w:tcPr>
          <w:p w:rsidR="0074103C" w:rsidRPr="00F122F9" w:rsidP="0074103C" w14:paraId="4A335125" w14:textId="77777777">
            <w:pPr>
              <w:spacing w:before="60" w:after="60"/>
              <w:jc w:val="left"/>
              <w:rPr>
                <w:rFonts w:ascii="Times New Roman" w:hAnsi="Times New Roman"/>
                <w:lang w:eastAsia="lv-LV"/>
              </w:rPr>
            </w:pPr>
            <w:r w:rsidRPr="00F122F9">
              <w:rPr>
                <w:rFonts w:ascii="Times New Roman" w:hAnsi="Times New Roman"/>
                <w:lang w:eastAsia="lv-LV"/>
              </w:rPr>
              <w:t>Atbildīgā institūcija</w:t>
            </w:r>
          </w:p>
        </w:tc>
        <w:tc>
          <w:tcPr>
            <w:tcW w:w="3671" w:type="pct"/>
          </w:tcPr>
          <w:p w:rsidR="0074103C" w:rsidRPr="00411594" w:rsidP="005C3028" w14:paraId="4A335126" w14:textId="77777777">
            <w:pPr>
              <w:spacing w:before="60" w:after="60"/>
              <w:rPr>
                <w:rFonts w:ascii="Times New Roman" w:hAnsi="Times New Roman"/>
                <w:lang w:eastAsia="lv-LV"/>
              </w:rPr>
            </w:pPr>
            <w:r w:rsidRPr="00411594">
              <w:rPr>
                <w:rFonts w:ascii="Times New Roman" w:hAnsi="Times New Roman"/>
                <w:lang w:eastAsia="lv-LV"/>
              </w:rPr>
              <w:t>V</w:t>
            </w:r>
            <w:r>
              <w:rPr>
                <w:rFonts w:ascii="Times New Roman" w:hAnsi="Times New Roman"/>
                <w:lang w:eastAsia="lv-LV"/>
              </w:rPr>
              <w:t>ARAM, Ekonomikas ministrija, Veselības ministrija</w:t>
            </w:r>
            <w:r w:rsidRPr="00411594">
              <w:rPr>
                <w:rFonts w:ascii="Times New Roman" w:hAnsi="Times New Roman"/>
                <w:lang w:eastAsia="lv-LV"/>
              </w:rPr>
              <w:t>.</w:t>
            </w:r>
          </w:p>
        </w:tc>
      </w:tr>
      <w:tr w14:paraId="4A33512B" w14:textId="01649939" w:rsidTr="0074103C">
        <w:tblPrEx>
          <w:tblW w:w="9356" w:type="dxa"/>
          <w:jc w:val="center"/>
          <w:tblCellMar>
            <w:top w:w="30" w:type="dxa"/>
            <w:left w:w="30" w:type="dxa"/>
            <w:bottom w:w="30" w:type="dxa"/>
            <w:right w:w="30" w:type="dxa"/>
          </w:tblCellMar>
          <w:tblLook w:val="00A0"/>
        </w:tblPrEx>
        <w:trPr>
          <w:jc w:val="center"/>
        </w:trPr>
        <w:tc>
          <w:tcPr>
            <w:tcW w:w="250" w:type="pct"/>
          </w:tcPr>
          <w:p w:rsidR="0074103C" w:rsidRPr="00F122F9" w:rsidP="0074103C" w14:paraId="4A335128" w14:textId="77777777">
            <w:pPr>
              <w:spacing w:before="60" w:after="60"/>
              <w:jc w:val="left"/>
              <w:rPr>
                <w:rFonts w:ascii="Times New Roman" w:hAnsi="Times New Roman"/>
                <w:lang w:eastAsia="lv-LV"/>
              </w:rPr>
            </w:pPr>
            <w:r w:rsidRPr="00F122F9">
              <w:rPr>
                <w:rFonts w:ascii="Times New Roman" w:hAnsi="Times New Roman"/>
                <w:lang w:eastAsia="lv-LV"/>
              </w:rPr>
              <w:t>3.</w:t>
            </w:r>
          </w:p>
        </w:tc>
        <w:tc>
          <w:tcPr>
            <w:tcW w:w="1079" w:type="pct"/>
          </w:tcPr>
          <w:p w:rsidR="0074103C" w:rsidRPr="00F122F9" w:rsidP="0074103C" w14:paraId="4A335129" w14:textId="77777777">
            <w:pPr>
              <w:spacing w:before="60" w:after="60"/>
              <w:jc w:val="left"/>
              <w:rPr>
                <w:rFonts w:ascii="Times New Roman" w:hAnsi="Times New Roman"/>
                <w:lang w:eastAsia="lv-LV"/>
              </w:rPr>
            </w:pPr>
            <w:r w:rsidRPr="00F122F9">
              <w:rPr>
                <w:rFonts w:ascii="Times New Roman" w:hAnsi="Times New Roman"/>
                <w:lang w:eastAsia="lv-LV"/>
              </w:rPr>
              <w:t>Cita informācija</w:t>
            </w:r>
          </w:p>
        </w:tc>
        <w:tc>
          <w:tcPr>
            <w:tcW w:w="3671" w:type="pct"/>
          </w:tcPr>
          <w:p w:rsidR="0074103C" w:rsidRPr="00411594" w:rsidP="0074103C" w14:paraId="4A33512A" w14:textId="77777777">
            <w:pPr>
              <w:spacing w:before="60" w:after="60"/>
              <w:jc w:val="left"/>
              <w:rPr>
                <w:rFonts w:ascii="Times New Roman" w:hAnsi="Times New Roman"/>
                <w:lang w:eastAsia="lv-LV"/>
              </w:rPr>
            </w:pPr>
            <w:r w:rsidRPr="00411594">
              <w:rPr>
                <w:rFonts w:ascii="Times New Roman" w:hAnsi="Times New Roman"/>
                <w:lang w:eastAsia="lv-LV"/>
              </w:rPr>
              <w:t>Nav</w:t>
            </w:r>
          </w:p>
        </w:tc>
      </w:tr>
    </w:tbl>
    <w:p w:rsidR="0074103C" w:rsidRPr="00F122F9" w:rsidP="0074103C" w14:paraId="4A33512C" w14:textId="77777777">
      <w:pPr>
        <w:shd w:val="clear" w:color="auto" w:fill="FFFFFF"/>
        <w:spacing w:after="0"/>
        <w:ind w:firstLine="300"/>
        <w:jc w:val="left"/>
        <w:rPr>
          <w:rFonts w:ascii="Times New Roman" w:hAnsi="Times New Roman"/>
          <w:sz w:val="24"/>
          <w:szCs w:val="24"/>
          <w:lang w:eastAsia="lv-LV"/>
        </w:rPr>
      </w:pPr>
      <w:r w:rsidRPr="00F122F9">
        <w:rPr>
          <w:rFonts w:ascii="Times New Roman" w:hAnsi="Times New Roman"/>
          <w:sz w:val="24"/>
          <w:szCs w:val="24"/>
          <w:lang w:eastAsia="lv-LV"/>
        </w:rPr>
        <w:t>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467"/>
        <w:gridCol w:w="1735"/>
        <w:gridCol w:w="7154"/>
      </w:tblGrid>
      <w:tr w14:paraId="4A33512E" w14:textId="77777777" w:rsidTr="0074103C">
        <w:tblPrEx>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Ex>
        <w:trPr>
          <w:jc w:val="center"/>
        </w:trPr>
        <w:tc>
          <w:tcPr>
            <w:tcW w:w="5000" w:type="pct"/>
            <w:gridSpan w:val="3"/>
            <w:shd w:val="clear" w:color="auto" w:fill="FFFFFF"/>
            <w:vAlign w:val="center"/>
          </w:tcPr>
          <w:p w:rsidR="0074103C" w:rsidRPr="00F122F9" w:rsidP="0074103C" w14:paraId="4A33512D" w14:textId="77777777">
            <w:pPr>
              <w:spacing w:before="60" w:after="60"/>
              <w:jc w:val="center"/>
              <w:rPr>
                <w:rFonts w:ascii="Times New Roman" w:hAnsi="Times New Roman"/>
                <w:b/>
                <w:bCs/>
                <w:lang w:eastAsia="lv-LV"/>
              </w:rPr>
            </w:pPr>
            <w:r w:rsidRPr="00F122F9">
              <w:rPr>
                <w:rFonts w:ascii="Times New Roman" w:hAnsi="Times New Roman"/>
                <w:b/>
                <w:bCs/>
                <w:lang w:eastAsia="lv-LV"/>
              </w:rPr>
              <w:t>V.</w:t>
            </w:r>
            <w:r>
              <w:rPr>
                <w:rFonts w:ascii="Times New Roman" w:hAnsi="Times New Roman"/>
                <w:b/>
                <w:bCs/>
                <w:lang w:eastAsia="lv-LV"/>
              </w:rPr>
              <w:t> </w:t>
            </w:r>
            <w:r w:rsidRPr="00F122F9">
              <w:rPr>
                <w:rFonts w:ascii="Times New Roman" w:hAnsi="Times New Roman"/>
                <w:b/>
                <w:bCs/>
                <w:lang w:eastAsia="lv-LV"/>
              </w:rPr>
              <w:t>Tiesību akta projekta atbilstība Latvijas Republikas starptautiskajām saistībām</w:t>
            </w:r>
          </w:p>
        </w:tc>
      </w:tr>
      <w:tr w14:paraId="4A335134" w14:textId="77777777" w:rsidTr="0074103C">
        <w:tblPrEx>
          <w:tblW w:w="9356" w:type="dxa"/>
          <w:jc w:val="center"/>
          <w:tblCellMar>
            <w:top w:w="30" w:type="dxa"/>
            <w:left w:w="30" w:type="dxa"/>
            <w:bottom w:w="30" w:type="dxa"/>
            <w:right w:w="30" w:type="dxa"/>
          </w:tblCellMar>
          <w:tblLook w:val="00A0"/>
        </w:tblPrEx>
        <w:trPr>
          <w:jc w:val="center"/>
        </w:trPr>
        <w:tc>
          <w:tcPr>
            <w:tcW w:w="250" w:type="pct"/>
            <w:shd w:val="clear" w:color="auto" w:fill="FFFFFF"/>
          </w:tcPr>
          <w:p w:rsidR="0074103C" w:rsidRPr="00F122F9" w:rsidP="0074103C" w14:paraId="4A33512F" w14:textId="77777777">
            <w:pPr>
              <w:spacing w:before="60" w:after="60"/>
              <w:jc w:val="left"/>
              <w:rPr>
                <w:rFonts w:ascii="Times New Roman" w:hAnsi="Times New Roman"/>
                <w:lang w:eastAsia="lv-LV"/>
              </w:rPr>
            </w:pPr>
            <w:r w:rsidRPr="00F122F9">
              <w:rPr>
                <w:rFonts w:ascii="Times New Roman" w:hAnsi="Times New Roman"/>
                <w:lang w:eastAsia="lv-LV"/>
              </w:rPr>
              <w:t>1.</w:t>
            </w:r>
          </w:p>
        </w:tc>
        <w:tc>
          <w:tcPr>
            <w:tcW w:w="927" w:type="pct"/>
            <w:shd w:val="clear" w:color="auto" w:fill="FFFFFF"/>
          </w:tcPr>
          <w:p w:rsidR="0074103C" w:rsidRPr="00F122F9" w:rsidP="0074103C" w14:paraId="4A335130" w14:textId="77777777">
            <w:pPr>
              <w:spacing w:before="60" w:after="60"/>
              <w:jc w:val="left"/>
              <w:rPr>
                <w:rFonts w:ascii="Times New Roman" w:hAnsi="Times New Roman"/>
                <w:lang w:eastAsia="lv-LV"/>
              </w:rPr>
            </w:pPr>
            <w:r w:rsidRPr="00F122F9">
              <w:rPr>
                <w:rFonts w:ascii="Times New Roman" w:hAnsi="Times New Roman"/>
                <w:lang w:eastAsia="lv-LV"/>
              </w:rPr>
              <w:t>Saistības pret Eiropas Savienību</w:t>
            </w:r>
          </w:p>
        </w:tc>
        <w:tc>
          <w:tcPr>
            <w:tcW w:w="3823" w:type="pct"/>
            <w:shd w:val="clear" w:color="auto" w:fill="FFFFFF"/>
          </w:tcPr>
          <w:p w:rsidR="0074103C" w:rsidRPr="00411594" w:rsidP="0074103C" w14:paraId="4A335131" w14:textId="77777777">
            <w:pPr>
              <w:autoSpaceDE w:val="0"/>
              <w:autoSpaceDN w:val="0"/>
              <w:adjustRightInd w:val="0"/>
              <w:spacing w:before="60" w:after="60"/>
              <w:rPr>
                <w:rFonts w:ascii="Times New Roman" w:hAnsi="Times New Roman"/>
              </w:rPr>
            </w:pPr>
            <w:r w:rsidRPr="00411594">
              <w:rPr>
                <w:rFonts w:ascii="Times New Roman" w:hAnsi="Times New Roman"/>
              </w:rPr>
              <w:t>Likumprojekts sagatavots, ievērojot šādu</w:t>
            </w:r>
            <w:r w:rsidR="002E4363">
              <w:rPr>
                <w:rFonts w:ascii="Times New Roman" w:hAnsi="Times New Roman"/>
              </w:rPr>
              <w:t>s</w:t>
            </w:r>
            <w:r w:rsidRPr="00411594">
              <w:rPr>
                <w:rFonts w:ascii="Times New Roman" w:hAnsi="Times New Roman"/>
              </w:rPr>
              <w:t xml:space="preserve"> Eiropas Savienības tiesību aktu</w:t>
            </w:r>
            <w:r w:rsidR="002E4363">
              <w:rPr>
                <w:rFonts w:ascii="Times New Roman" w:hAnsi="Times New Roman"/>
              </w:rPr>
              <w:t>s</w:t>
            </w:r>
            <w:r w:rsidRPr="00411594">
              <w:rPr>
                <w:rFonts w:ascii="Times New Roman" w:hAnsi="Times New Roman"/>
              </w:rPr>
              <w:t>:</w:t>
            </w:r>
          </w:p>
          <w:p w:rsidR="0074103C" w:rsidRPr="000252D3" w:rsidP="0074103C" w14:paraId="4A335132" w14:textId="77777777">
            <w:pPr>
              <w:pStyle w:val="ListParagraph"/>
              <w:numPr>
                <w:ilvl w:val="0"/>
                <w:numId w:val="20"/>
              </w:numPr>
              <w:autoSpaceDE w:val="0"/>
              <w:autoSpaceDN w:val="0"/>
              <w:adjustRightInd w:val="0"/>
              <w:spacing w:before="60" w:after="60"/>
              <w:ind w:left="284" w:hanging="284"/>
              <w:contextualSpacing w:val="0"/>
              <w:rPr>
                <w:lang w:eastAsia="lv-LV"/>
              </w:rPr>
            </w:pPr>
            <w:r w:rsidRPr="00411594">
              <w:rPr>
                <w:sz w:val="22"/>
                <w:szCs w:val="22"/>
              </w:rPr>
              <w:t xml:space="preserve">Eiropas Parlamenta un Padomes 2015. gada 29. aprīļa </w:t>
            </w:r>
            <w:r>
              <w:rPr>
                <w:sz w:val="22"/>
                <w:szCs w:val="22"/>
              </w:rPr>
              <w:t>R</w:t>
            </w:r>
            <w:r w:rsidRPr="00411594">
              <w:rPr>
                <w:sz w:val="22"/>
                <w:szCs w:val="22"/>
              </w:rPr>
              <w:t>egula Nr. 2015/757 par jūras transporta oglekļa dioksīda emisiju monitoringu, ziņošanu un verifikāciju un ar ko groza Direktīvu 2009/16/EK</w:t>
            </w:r>
            <w:r w:rsidR="002E4363">
              <w:rPr>
                <w:sz w:val="22"/>
                <w:szCs w:val="22"/>
              </w:rPr>
              <w:t>;</w:t>
            </w:r>
          </w:p>
          <w:p w:rsidR="0074103C" w:rsidP="0074103C" w14:paraId="4A335133" w14:textId="77777777">
            <w:pPr>
              <w:pStyle w:val="ListParagraph"/>
              <w:numPr>
                <w:ilvl w:val="0"/>
                <w:numId w:val="20"/>
              </w:numPr>
              <w:autoSpaceDE w:val="0"/>
              <w:autoSpaceDN w:val="0"/>
              <w:adjustRightInd w:val="0"/>
              <w:spacing w:before="60" w:after="60"/>
              <w:ind w:left="284" w:hanging="284"/>
              <w:contextualSpacing w:val="0"/>
              <w:rPr>
                <w:lang w:eastAsia="lv-LV"/>
              </w:rPr>
            </w:pPr>
            <w:r>
              <w:rPr>
                <w:sz w:val="22"/>
                <w:szCs w:val="22"/>
              </w:rPr>
              <w:t xml:space="preserve">Eiropas Parlamenta un Padomes </w:t>
            </w:r>
            <w:r w:rsidRPr="00D07C24">
              <w:rPr>
                <w:sz w:val="22"/>
                <w:szCs w:val="22"/>
              </w:rPr>
              <w:t>2009.</w:t>
            </w:r>
            <w:r>
              <w:rPr>
                <w:sz w:val="22"/>
                <w:szCs w:val="22"/>
              </w:rPr>
              <w:t> </w:t>
            </w:r>
            <w:r w:rsidRPr="00D07C24">
              <w:rPr>
                <w:sz w:val="22"/>
                <w:szCs w:val="22"/>
              </w:rPr>
              <w:t>gada 23.</w:t>
            </w:r>
            <w:r>
              <w:rPr>
                <w:sz w:val="22"/>
                <w:szCs w:val="22"/>
              </w:rPr>
              <w:t> </w:t>
            </w:r>
            <w:r w:rsidRPr="00D07C24">
              <w:rPr>
                <w:sz w:val="22"/>
                <w:szCs w:val="22"/>
              </w:rPr>
              <w:t xml:space="preserve">aprīļa </w:t>
            </w:r>
            <w:r>
              <w:rPr>
                <w:sz w:val="22"/>
                <w:szCs w:val="22"/>
              </w:rPr>
              <w:t>D</w:t>
            </w:r>
            <w:r w:rsidRPr="00D07C24">
              <w:rPr>
                <w:sz w:val="22"/>
                <w:szCs w:val="22"/>
              </w:rPr>
              <w:t>irektīv</w:t>
            </w:r>
            <w:r>
              <w:rPr>
                <w:sz w:val="22"/>
                <w:szCs w:val="22"/>
              </w:rPr>
              <w:t>a</w:t>
            </w:r>
            <w:r w:rsidRPr="00D07C24">
              <w:rPr>
                <w:sz w:val="22"/>
                <w:szCs w:val="22"/>
              </w:rPr>
              <w:t xml:space="preserve"> </w:t>
            </w:r>
            <w:r>
              <w:rPr>
                <w:sz w:val="22"/>
                <w:szCs w:val="22"/>
              </w:rPr>
              <w:t>Nr.</w:t>
            </w:r>
            <w:r w:rsidRPr="00D07C24">
              <w:rPr>
                <w:sz w:val="22"/>
                <w:szCs w:val="22"/>
              </w:rPr>
              <w:t>2009/30/EK</w:t>
            </w:r>
            <w:r w:rsidR="002E4363">
              <w:rPr>
                <w:sz w:val="22"/>
                <w:szCs w:val="22"/>
              </w:rPr>
              <w:t>,</w:t>
            </w:r>
            <w:r w:rsidRPr="00D07C24">
              <w:rPr>
                <w:sz w:val="22"/>
                <w:szCs w:val="22"/>
              </w:rPr>
              <w:t xml:space="preserve"> ar ko groza Direktīvu 98/70/EK attiecībā uz benzīna, dīzeļdegvielas un gāzeļļas specifikācijām un ievieš mehānismu autotransporta līdzekļos lietojamās degvielas radītās siltumnīcefekta gāzu emisijas kontrolei un samazināšanai, groza Padomes Direktīvu 1999/32/EK attiecībā uz tās degvielas specifikācijām, kuru lieto iekšējo ūdensceļu kuģos, un atceļ direktīvu 93/12/EEK</w:t>
            </w:r>
            <w:r>
              <w:rPr>
                <w:sz w:val="22"/>
                <w:szCs w:val="22"/>
              </w:rPr>
              <w:t>.</w:t>
            </w:r>
          </w:p>
        </w:tc>
      </w:tr>
      <w:tr w14:paraId="4A335138" w14:textId="77777777" w:rsidTr="0074103C">
        <w:tblPrEx>
          <w:tblW w:w="9356" w:type="dxa"/>
          <w:jc w:val="center"/>
          <w:tblCellMar>
            <w:top w:w="30" w:type="dxa"/>
            <w:left w:w="30" w:type="dxa"/>
            <w:bottom w:w="30" w:type="dxa"/>
            <w:right w:w="30" w:type="dxa"/>
          </w:tblCellMar>
          <w:tblLook w:val="00A0"/>
        </w:tblPrEx>
        <w:trPr>
          <w:jc w:val="center"/>
        </w:trPr>
        <w:tc>
          <w:tcPr>
            <w:tcW w:w="250" w:type="pct"/>
            <w:shd w:val="clear" w:color="auto" w:fill="FFFFFF"/>
          </w:tcPr>
          <w:p w:rsidR="0074103C" w:rsidRPr="00F122F9" w:rsidP="0074103C" w14:paraId="4A335135" w14:textId="77777777">
            <w:pPr>
              <w:spacing w:before="60" w:after="60"/>
              <w:jc w:val="left"/>
              <w:rPr>
                <w:rFonts w:ascii="Times New Roman" w:hAnsi="Times New Roman"/>
                <w:lang w:eastAsia="lv-LV"/>
              </w:rPr>
            </w:pPr>
            <w:r w:rsidRPr="00F122F9">
              <w:rPr>
                <w:rFonts w:ascii="Times New Roman" w:hAnsi="Times New Roman"/>
                <w:lang w:eastAsia="lv-LV"/>
              </w:rPr>
              <w:t>2.</w:t>
            </w:r>
          </w:p>
        </w:tc>
        <w:tc>
          <w:tcPr>
            <w:tcW w:w="927" w:type="pct"/>
            <w:shd w:val="clear" w:color="auto" w:fill="FFFFFF"/>
          </w:tcPr>
          <w:p w:rsidR="0074103C" w:rsidRPr="00F122F9" w:rsidP="0074103C" w14:paraId="4A335136" w14:textId="77777777">
            <w:pPr>
              <w:spacing w:before="60" w:after="60"/>
              <w:jc w:val="left"/>
              <w:rPr>
                <w:rFonts w:ascii="Times New Roman" w:hAnsi="Times New Roman"/>
                <w:lang w:eastAsia="lv-LV"/>
              </w:rPr>
            </w:pPr>
            <w:r w:rsidRPr="00F122F9">
              <w:rPr>
                <w:rFonts w:ascii="Times New Roman" w:hAnsi="Times New Roman"/>
                <w:lang w:eastAsia="lv-LV"/>
              </w:rPr>
              <w:t>Citas starptautiskās saistības</w:t>
            </w:r>
          </w:p>
        </w:tc>
        <w:tc>
          <w:tcPr>
            <w:tcW w:w="3823" w:type="pct"/>
            <w:shd w:val="clear" w:color="auto" w:fill="FFFFFF"/>
          </w:tcPr>
          <w:p w:rsidR="0074103C" w:rsidRPr="000022EA" w:rsidP="0074103C" w14:paraId="4A335137" w14:textId="77777777">
            <w:pPr>
              <w:spacing w:before="60" w:after="60"/>
              <w:rPr>
                <w:color w:val="1F497D"/>
              </w:rPr>
            </w:pPr>
            <w:r w:rsidRPr="00AB4BD9">
              <w:rPr>
                <w:rFonts w:ascii="Times New Roman" w:eastAsia="Times New Roman" w:hAnsi="Times New Roman"/>
              </w:rPr>
              <w:t>Eiropas Padomes Cilvēka tiesību un pamatbrīvību aizsardzības konvencijas 2. pants</w:t>
            </w:r>
            <w:r>
              <w:rPr>
                <w:rFonts w:ascii="Times New Roman" w:eastAsia="Times New Roman" w:hAnsi="Times New Roman"/>
              </w:rPr>
              <w:t>.</w:t>
            </w:r>
          </w:p>
        </w:tc>
      </w:tr>
      <w:tr w14:paraId="4A33513C" w14:textId="77777777" w:rsidTr="0074103C">
        <w:tblPrEx>
          <w:tblW w:w="9356" w:type="dxa"/>
          <w:jc w:val="center"/>
          <w:tblCellMar>
            <w:top w:w="30" w:type="dxa"/>
            <w:left w:w="30" w:type="dxa"/>
            <w:bottom w:w="30" w:type="dxa"/>
            <w:right w:w="30" w:type="dxa"/>
          </w:tblCellMar>
          <w:tblLook w:val="00A0"/>
        </w:tblPrEx>
        <w:trPr>
          <w:jc w:val="center"/>
        </w:trPr>
        <w:tc>
          <w:tcPr>
            <w:tcW w:w="250" w:type="pct"/>
            <w:shd w:val="clear" w:color="auto" w:fill="FFFFFF"/>
          </w:tcPr>
          <w:p w:rsidR="0074103C" w:rsidRPr="00F122F9" w:rsidP="0074103C" w14:paraId="4A335139" w14:textId="77777777">
            <w:pPr>
              <w:spacing w:before="60" w:after="60"/>
              <w:jc w:val="left"/>
              <w:rPr>
                <w:rFonts w:ascii="Times New Roman" w:hAnsi="Times New Roman"/>
                <w:lang w:eastAsia="lv-LV"/>
              </w:rPr>
            </w:pPr>
            <w:r w:rsidRPr="00F122F9">
              <w:rPr>
                <w:rFonts w:ascii="Times New Roman" w:hAnsi="Times New Roman"/>
                <w:lang w:eastAsia="lv-LV"/>
              </w:rPr>
              <w:t>3.</w:t>
            </w:r>
          </w:p>
        </w:tc>
        <w:tc>
          <w:tcPr>
            <w:tcW w:w="927" w:type="pct"/>
            <w:shd w:val="clear" w:color="auto" w:fill="FFFFFF"/>
          </w:tcPr>
          <w:p w:rsidR="0074103C" w:rsidRPr="00F122F9" w:rsidP="0074103C" w14:paraId="4A33513A" w14:textId="77777777">
            <w:pPr>
              <w:spacing w:before="60" w:after="60"/>
              <w:jc w:val="left"/>
              <w:rPr>
                <w:rFonts w:ascii="Times New Roman" w:hAnsi="Times New Roman"/>
                <w:lang w:eastAsia="lv-LV"/>
              </w:rPr>
            </w:pPr>
            <w:r w:rsidRPr="00F122F9">
              <w:rPr>
                <w:rFonts w:ascii="Times New Roman" w:hAnsi="Times New Roman"/>
                <w:lang w:eastAsia="lv-LV"/>
              </w:rPr>
              <w:t>Cita informācija</w:t>
            </w:r>
          </w:p>
        </w:tc>
        <w:tc>
          <w:tcPr>
            <w:tcW w:w="3823" w:type="pct"/>
            <w:shd w:val="clear" w:color="auto" w:fill="FFFFFF"/>
          </w:tcPr>
          <w:p w:rsidR="0074103C" w:rsidRPr="00F122F9" w:rsidP="0074103C" w14:paraId="4A33513B" w14:textId="77777777">
            <w:pPr>
              <w:spacing w:before="60" w:after="60"/>
              <w:rPr>
                <w:rFonts w:ascii="Times New Roman" w:hAnsi="Times New Roman"/>
                <w:b/>
                <w:lang w:eastAsia="lv-LV"/>
              </w:rPr>
            </w:pPr>
            <w:r>
              <w:rPr>
                <w:rFonts w:ascii="Times New Roman" w:hAnsi="Times New Roman"/>
                <w:lang w:eastAsia="lv-LV"/>
              </w:rPr>
              <w:t>Nav</w:t>
            </w:r>
          </w:p>
        </w:tc>
      </w:tr>
    </w:tbl>
    <w:p w:rsidR="0074103C" w:rsidRPr="00F122F9" w:rsidP="0074103C" w14:paraId="4A33513D" w14:textId="77777777">
      <w:pPr>
        <w:spacing w:after="0"/>
        <w:jc w:val="left"/>
        <w:rPr>
          <w:rFonts w:ascii="Times New Roman" w:hAnsi="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97"/>
        <w:gridCol w:w="2724"/>
        <w:gridCol w:w="1953"/>
        <w:gridCol w:w="2982"/>
      </w:tblGrid>
      <w:tr w14:paraId="4A335140" w14:textId="77777777" w:rsidTr="0074103C">
        <w:tblPrEx>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84"/>
          <w:jc w:val="center"/>
        </w:trPr>
        <w:tc>
          <w:tcPr>
            <w:tcW w:w="9072" w:type="dxa"/>
            <w:gridSpan w:val="4"/>
          </w:tcPr>
          <w:p w:rsidR="0074103C" w:rsidRPr="00F122F9" w:rsidP="0074103C" w14:paraId="4A33513E" w14:textId="77777777">
            <w:pPr>
              <w:spacing w:before="60" w:after="60"/>
              <w:jc w:val="center"/>
              <w:rPr>
                <w:rFonts w:ascii="Times New Roman" w:hAnsi="Times New Roman"/>
                <w:b/>
              </w:rPr>
            </w:pPr>
            <w:r w:rsidRPr="00F122F9">
              <w:rPr>
                <w:rFonts w:ascii="Times New Roman" w:hAnsi="Times New Roman"/>
                <w:b/>
              </w:rPr>
              <w:t>1.</w:t>
            </w:r>
            <w:r>
              <w:rPr>
                <w:rFonts w:ascii="Times New Roman" w:hAnsi="Times New Roman"/>
                <w:b/>
              </w:rPr>
              <w:t> </w:t>
            </w:r>
            <w:r w:rsidRPr="00F122F9">
              <w:rPr>
                <w:rFonts w:ascii="Times New Roman" w:hAnsi="Times New Roman"/>
                <w:b/>
              </w:rPr>
              <w:t>tabula</w:t>
            </w:r>
          </w:p>
          <w:p w:rsidR="0074103C" w:rsidRPr="00F122F9" w:rsidP="0074103C" w14:paraId="4A33513F" w14:textId="77777777">
            <w:pPr>
              <w:spacing w:before="60" w:after="60"/>
              <w:ind w:left="57"/>
              <w:jc w:val="center"/>
              <w:rPr>
                <w:rFonts w:ascii="Times New Roman" w:hAnsi="Times New Roman"/>
              </w:rPr>
            </w:pPr>
            <w:r w:rsidRPr="00F122F9">
              <w:rPr>
                <w:rFonts w:ascii="Times New Roman" w:hAnsi="Times New Roman"/>
                <w:b/>
              </w:rPr>
              <w:t>Tiesību akta projekta atbilstība ES tiesību aktiem</w:t>
            </w:r>
          </w:p>
        </w:tc>
      </w:tr>
      <w:tr w14:paraId="4A335143" w14:textId="77777777" w:rsidTr="0074103C">
        <w:tblPrEx>
          <w:tblW w:w="9356" w:type="dxa"/>
          <w:jc w:val="center"/>
          <w:tblLayout w:type="fixed"/>
          <w:tblCellMar>
            <w:left w:w="0" w:type="dxa"/>
            <w:right w:w="0" w:type="dxa"/>
          </w:tblCellMar>
          <w:tblLook w:val="0000"/>
        </w:tblPrEx>
        <w:trPr>
          <w:trHeight w:val="284"/>
          <w:jc w:val="center"/>
        </w:trPr>
        <w:tc>
          <w:tcPr>
            <w:tcW w:w="1646" w:type="dxa"/>
          </w:tcPr>
          <w:p w:rsidR="0074103C" w:rsidRPr="00F122F9" w:rsidP="0074103C" w14:paraId="4A335141" w14:textId="77777777">
            <w:pPr>
              <w:spacing w:before="60" w:after="60"/>
              <w:rPr>
                <w:rFonts w:ascii="Times New Roman" w:hAnsi="Times New Roman"/>
              </w:rPr>
            </w:pPr>
            <w:r w:rsidRPr="00F122F9">
              <w:rPr>
                <w:rFonts w:ascii="Times New Roman" w:hAnsi="Times New Roman"/>
              </w:rPr>
              <w:t>Attiecīgā Eiropas Savienības tiesību akta datums, numurs un nosaukums</w:t>
            </w:r>
          </w:p>
        </w:tc>
        <w:tc>
          <w:tcPr>
            <w:tcW w:w="7426" w:type="dxa"/>
            <w:gridSpan w:val="3"/>
            <w:vAlign w:val="center"/>
          </w:tcPr>
          <w:p w:rsidR="0074103C" w:rsidRPr="004134E1" w:rsidP="0074103C" w14:paraId="4A335142" w14:textId="77777777">
            <w:pPr>
              <w:pStyle w:val="ListParagraph"/>
              <w:autoSpaceDE w:val="0"/>
              <w:autoSpaceDN w:val="0"/>
              <w:adjustRightInd w:val="0"/>
              <w:spacing w:before="60" w:after="60"/>
              <w:ind w:left="284" w:firstLine="0"/>
              <w:contextualSpacing w:val="0"/>
              <w:rPr>
                <w:b/>
                <w:shd w:val="clear" w:color="auto" w:fill="FFFFFF"/>
              </w:rPr>
            </w:pPr>
            <w:r w:rsidRPr="004134E1">
              <w:rPr>
                <w:b/>
                <w:sz w:val="22"/>
                <w:szCs w:val="22"/>
              </w:rPr>
              <w:t>Eiropas Parlamenta un Padomes 2015.</w:t>
            </w:r>
            <w:r>
              <w:rPr>
                <w:b/>
                <w:sz w:val="22"/>
                <w:szCs w:val="22"/>
              </w:rPr>
              <w:t> </w:t>
            </w:r>
            <w:r w:rsidRPr="004134E1">
              <w:rPr>
                <w:b/>
                <w:sz w:val="22"/>
                <w:szCs w:val="22"/>
              </w:rPr>
              <w:t>gada 29.</w:t>
            </w:r>
            <w:r>
              <w:rPr>
                <w:b/>
                <w:sz w:val="22"/>
                <w:szCs w:val="22"/>
              </w:rPr>
              <w:t> </w:t>
            </w:r>
            <w:r w:rsidRPr="004134E1">
              <w:rPr>
                <w:b/>
                <w:sz w:val="22"/>
                <w:szCs w:val="22"/>
              </w:rPr>
              <w:t xml:space="preserve">aprīļa </w:t>
            </w:r>
            <w:r>
              <w:rPr>
                <w:b/>
                <w:sz w:val="22"/>
                <w:szCs w:val="22"/>
              </w:rPr>
              <w:t>R</w:t>
            </w:r>
            <w:r w:rsidRPr="004134E1">
              <w:rPr>
                <w:b/>
                <w:sz w:val="22"/>
                <w:szCs w:val="22"/>
              </w:rPr>
              <w:t>egula Nr.</w:t>
            </w:r>
            <w:r>
              <w:rPr>
                <w:b/>
                <w:sz w:val="22"/>
                <w:szCs w:val="22"/>
              </w:rPr>
              <w:t> </w:t>
            </w:r>
            <w:r w:rsidRPr="004134E1">
              <w:rPr>
                <w:b/>
                <w:sz w:val="22"/>
                <w:szCs w:val="22"/>
              </w:rPr>
              <w:t>2015/757 par jūras transporta oglekļa dioksīda emisiju monitoringu, ziņošanu un verifikāciju un ar ko groza Direktīvu 2009/16/EK</w:t>
            </w:r>
          </w:p>
        </w:tc>
      </w:tr>
      <w:tr w14:paraId="4A335148" w14:textId="77777777" w:rsidTr="0074103C">
        <w:tblPrEx>
          <w:tblW w:w="9356" w:type="dxa"/>
          <w:jc w:val="center"/>
          <w:tblLayout w:type="fixed"/>
          <w:tblCellMar>
            <w:left w:w="0" w:type="dxa"/>
            <w:right w:w="0" w:type="dxa"/>
          </w:tblCellMar>
          <w:tblLook w:val="0000"/>
        </w:tblPrEx>
        <w:trPr>
          <w:trHeight w:val="284"/>
          <w:jc w:val="center"/>
        </w:trPr>
        <w:tc>
          <w:tcPr>
            <w:tcW w:w="1646" w:type="dxa"/>
            <w:vAlign w:val="center"/>
          </w:tcPr>
          <w:p w:rsidR="0074103C" w:rsidRPr="00F122F9" w:rsidP="0074103C" w14:paraId="4A335144" w14:textId="77777777">
            <w:pPr>
              <w:spacing w:after="0"/>
              <w:jc w:val="center"/>
              <w:rPr>
                <w:rFonts w:ascii="Times New Roman" w:hAnsi="Times New Roman"/>
                <w:sz w:val="20"/>
                <w:szCs w:val="20"/>
              </w:rPr>
            </w:pPr>
            <w:r w:rsidRPr="00F122F9">
              <w:rPr>
                <w:rFonts w:ascii="Times New Roman" w:hAnsi="Times New Roman"/>
                <w:sz w:val="20"/>
                <w:szCs w:val="20"/>
              </w:rPr>
              <w:t>A</w:t>
            </w:r>
          </w:p>
        </w:tc>
        <w:tc>
          <w:tcPr>
            <w:tcW w:w="2641" w:type="dxa"/>
            <w:vAlign w:val="center"/>
          </w:tcPr>
          <w:p w:rsidR="0074103C" w:rsidRPr="00F122F9" w:rsidP="0074103C" w14:paraId="4A335145" w14:textId="77777777">
            <w:pPr>
              <w:spacing w:after="0"/>
              <w:ind w:left="57"/>
              <w:jc w:val="center"/>
              <w:rPr>
                <w:rFonts w:ascii="Times New Roman" w:hAnsi="Times New Roman"/>
                <w:sz w:val="20"/>
                <w:szCs w:val="20"/>
              </w:rPr>
            </w:pPr>
            <w:r w:rsidRPr="00F122F9">
              <w:rPr>
                <w:rFonts w:ascii="Times New Roman" w:hAnsi="Times New Roman"/>
                <w:sz w:val="20"/>
                <w:szCs w:val="20"/>
              </w:rPr>
              <w:t>B</w:t>
            </w:r>
          </w:p>
        </w:tc>
        <w:tc>
          <w:tcPr>
            <w:tcW w:w="1894" w:type="dxa"/>
            <w:vAlign w:val="center"/>
          </w:tcPr>
          <w:p w:rsidR="0074103C" w:rsidRPr="00F122F9" w:rsidP="0074103C" w14:paraId="4A335146" w14:textId="77777777">
            <w:pPr>
              <w:spacing w:after="0"/>
              <w:ind w:left="57"/>
              <w:jc w:val="center"/>
              <w:rPr>
                <w:rFonts w:ascii="Times New Roman" w:hAnsi="Times New Roman"/>
                <w:sz w:val="20"/>
                <w:szCs w:val="20"/>
              </w:rPr>
            </w:pPr>
            <w:r w:rsidRPr="00F122F9">
              <w:rPr>
                <w:rFonts w:ascii="Times New Roman" w:hAnsi="Times New Roman"/>
                <w:sz w:val="20"/>
                <w:szCs w:val="20"/>
              </w:rPr>
              <w:t>C</w:t>
            </w:r>
          </w:p>
        </w:tc>
        <w:tc>
          <w:tcPr>
            <w:tcW w:w="2891" w:type="dxa"/>
            <w:vAlign w:val="center"/>
          </w:tcPr>
          <w:p w:rsidR="0074103C" w:rsidRPr="00F122F9" w:rsidP="0074103C" w14:paraId="4A335147" w14:textId="77777777">
            <w:pPr>
              <w:spacing w:after="0"/>
              <w:ind w:left="57"/>
              <w:jc w:val="center"/>
              <w:rPr>
                <w:rFonts w:ascii="Times New Roman" w:hAnsi="Times New Roman"/>
                <w:sz w:val="20"/>
                <w:szCs w:val="20"/>
              </w:rPr>
            </w:pPr>
            <w:r w:rsidRPr="00F122F9">
              <w:rPr>
                <w:rFonts w:ascii="Times New Roman" w:hAnsi="Times New Roman"/>
                <w:sz w:val="20"/>
                <w:szCs w:val="20"/>
              </w:rPr>
              <w:t>D</w:t>
            </w:r>
          </w:p>
        </w:tc>
      </w:tr>
      <w:tr w14:paraId="4A335151" w14:textId="77777777" w:rsidTr="0074103C">
        <w:tblPrEx>
          <w:tblW w:w="9356" w:type="dxa"/>
          <w:jc w:val="center"/>
          <w:tblLayout w:type="fixed"/>
          <w:tblCellMar>
            <w:left w:w="0" w:type="dxa"/>
            <w:right w:w="0" w:type="dxa"/>
          </w:tblCellMar>
          <w:tblLook w:val="0000"/>
        </w:tblPrEx>
        <w:trPr>
          <w:trHeight w:val="284"/>
          <w:jc w:val="center"/>
        </w:trPr>
        <w:tc>
          <w:tcPr>
            <w:tcW w:w="1646" w:type="dxa"/>
          </w:tcPr>
          <w:p w:rsidR="0074103C" w:rsidRPr="00F122F9" w14:paraId="4A335149" w14:textId="77777777">
            <w:pPr>
              <w:spacing w:before="60" w:after="60"/>
              <w:rPr>
                <w:rFonts w:ascii="Times New Roman" w:hAnsi="Times New Roman"/>
                <w:spacing w:val="-3"/>
                <w:sz w:val="20"/>
                <w:szCs w:val="20"/>
              </w:rPr>
            </w:pPr>
            <w:r w:rsidRPr="00F122F9">
              <w:rPr>
                <w:rFonts w:ascii="Times New Roman" w:hAnsi="Times New Roman"/>
                <w:spacing w:val="-3"/>
                <w:sz w:val="20"/>
                <w:szCs w:val="20"/>
              </w:rPr>
              <w:t>Attiecīgā ES tiesību akta panta numurs (uzskaitot katru tiesību akta vienību – pantu, daļu, punktu, apakšpunktu)</w:t>
            </w:r>
          </w:p>
        </w:tc>
        <w:tc>
          <w:tcPr>
            <w:tcW w:w="2641" w:type="dxa"/>
          </w:tcPr>
          <w:p w:rsidR="0074103C" w:rsidRPr="00F122F9" w:rsidP="0074103C" w14:paraId="4A33514A" w14:textId="77777777">
            <w:pPr>
              <w:spacing w:before="60" w:after="60"/>
              <w:rPr>
                <w:rFonts w:ascii="Times New Roman" w:hAnsi="Times New Roman"/>
                <w:spacing w:val="-3"/>
                <w:sz w:val="20"/>
                <w:szCs w:val="20"/>
              </w:rPr>
            </w:pPr>
            <w:r w:rsidRPr="00F122F9">
              <w:rPr>
                <w:rFonts w:ascii="Times New Roman" w:hAnsi="Times New Roman"/>
                <w:spacing w:val="-3"/>
                <w:sz w:val="20"/>
                <w:szCs w:val="20"/>
              </w:rPr>
              <w:t>Projekta vienība, kas pārņem vai ievieš katru šīs tabulas A ailē minēto ES tiesību akta vienību, vai tiesību akts, kur attiecīgā ES tiesību akta vienība pārņemta vai ieviesta</w:t>
            </w:r>
          </w:p>
        </w:tc>
        <w:tc>
          <w:tcPr>
            <w:tcW w:w="1894" w:type="dxa"/>
          </w:tcPr>
          <w:p w:rsidR="0074103C" w:rsidRPr="00F122F9" w:rsidP="0074103C" w14:paraId="4A33514B" w14:textId="77777777">
            <w:pPr>
              <w:spacing w:before="60" w:after="60"/>
              <w:rPr>
                <w:rFonts w:ascii="Times New Roman" w:hAnsi="Times New Roman"/>
                <w:spacing w:val="-3"/>
                <w:sz w:val="20"/>
                <w:szCs w:val="20"/>
              </w:rPr>
            </w:pPr>
            <w:r w:rsidRPr="00F122F9">
              <w:rPr>
                <w:rFonts w:ascii="Times New Roman" w:hAnsi="Times New Roman"/>
                <w:spacing w:val="-3"/>
                <w:sz w:val="20"/>
                <w:szCs w:val="20"/>
              </w:rPr>
              <w:t>Informācija par to, vai šīs tabulas A ailē minētās ES tiesību akta vienības tiek pārņemtas vai ieviestas pilnībā vai daļēji.</w:t>
            </w:r>
          </w:p>
          <w:p w:rsidR="0074103C" w:rsidRPr="00F122F9" w:rsidP="0074103C" w14:paraId="4A33514C" w14:textId="77777777">
            <w:pPr>
              <w:spacing w:before="60" w:after="60"/>
              <w:rPr>
                <w:rFonts w:ascii="Times New Roman" w:hAnsi="Times New Roman"/>
                <w:spacing w:val="-3"/>
                <w:sz w:val="20"/>
                <w:szCs w:val="20"/>
              </w:rPr>
            </w:pPr>
            <w:r w:rsidRPr="00F122F9">
              <w:rPr>
                <w:rFonts w:ascii="Times New Roman" w:hAnsi="Times New Roman"/>
                <w:spacing w:val="-3"/>
                <w:sz w:val="20"/>
                <w:szCs w:val="20"/>
              </w:rPr>
              <w:t>Ja attiecīgā ES tiesību akta vienība tiek pārņemta vai ieviesta daļēji, sniedz attiecīgu skaidrojumu, kā arī precīzi norāda, kad un kādā veidā ES tiesību akta vienība tiks pārņemta vai ieviesta pilnībā.</w:t>
            </w:r>
          </w:p>
          <w:p w:rsidR="0074103C" w:rsidRPr="00F122F9" w:rsidP="0074103C" w14:paraId="4A33514D" w14:textId="77777777">
            <w:pPr>
              <w:spacing w:before="60" w:after="60"/>
              <w:rPr>
                <w:rFonts w:ascii="Times New Roman" w:hAnsi="Times New Roman"/>
                <w:spacing w:val="-3"/>
                <w:sz w:val="20"/>
                <w:szCs w:val="20"/>
              </w:rPr>
            </w:pPr>
            <w:r w:rsidRPr="00F122F9">
              <w:rPr>
                <w:rFonts w:ascii="Times New Roman" w:hAnsi="Times New Roman"/>
                <w:spacing w:val="-3"/>
                <w:sz w:val="20"/>
                <w:szCs w:val="20"/>
              </w:rPr>
              <w:t>Norāda institūciju, kas ir atbildīga par šo saistību izpildi pilnībā</w:t>
            </w:r>
          </w:p>
        </w:tc>
        <w:tc>
          <w:tcPr>
            <w:tcW w:w="2891" w:type="dxa"/>
          </w:tcPr>
          <w:p w:rsidR="0074103C" w:rsidRPr="00F122F9" w:rsidP="0074103C" w14:paraId="4A33514E" w14:textId="77777777">
            <w:pPr>
              <w:spacing w:before="60" w:after="60"/>
              <w:rPr>
                <w:rFonts w:ascii="Times New Roman" w:hAnsi="Times New Roman"/>
                <w:sz w:val="20"/>
                <w:szCs w:val="20"/>
              </w:rPr>
            </w:pPr>
            <w:r w:rsidRPr="00F122F9">
              <w:rPr>
                <w:rFonts w:ascii="Times New Roman" w:hAnsi="Times New Roman"/>
                <w:spacing w:val="-3"/>
                <w:sz w:val="20"/>
                <w:szCs w:val="20"/>
              </w:rPr>
              <w:t xml:space="preserve">Informācija par to, vai šīs </w:t>
            </w:r>
            <w:r w:rsidRPr="00F122F9">
              <w:rPr>
                <w:rFonts w:ascii="Times New Roman" w:hAnsi="Times New Roman"/>
                <w:sz w:val="20"/>
                <w:szCs w:val="20"/>
              </w:rPr>
              <w:t>tabulas B ailē minētās projekta vienības paredz stingrākas prasības nekā šīs tabulas A ailē minētās ES tiesību akta vienības.</w:t>
            </w:r>
          </w:p>
          <w:p w:rsidR="0074103C" w:rsidRPr="00F122F9" w:rsidP="0074103C" w14:paraId="4A33514F" w14:textId="77777777">
            <w:pPr>
              <w:spacing w:before="60" w:after="60"/>
              <w:rPr>
                <w:rFonts w:ascii="Times New Roman" w:hAnsi="Times New Roman"/>
                <w:sz w:val="20"/>
                <w:szCs w:val="20"/>
              </w:rPr>
            </w:pPr>
            <w:r w:rsidRPr="00F122F9">
              <w:rPr>
                <w:rFonts w:ascii="Times New Roman" w:hAnsi="Times New Roman"/>
                <w:sz w:val="20"/>
                <w:szCs w:val="20"/>
              </w:rPr>
              <w:t>Ja projekts satur stingrākas prasības nekā attiecīgais ES tiesību akts, norāda pamatojumu un samērīgumu.</w:t>
            </w:r>
          </w:p>
          <w:p w:rsidR="0074103C" w:rsidRPr="00F122F9" w:rsidP="0074103C" w14:paraId="4A335150" w14:textId="77777777">
            <w:pPr>
              <w:spacing w:before="60" w:after="60"/>
              <w:rPr>
                <w:rFonts w:ascii="Times New Roman" w:hAnsi="Times New Roman"/>
                <w:spacing w:val="-3"/>
                <w:sz w:val="20"/>
                <w:szCs w:val="20"/>
              </w:rPr>
            </w:pPr>
            <w:r w:rsidRPr="00F122F9">
              <w:rPr>
                <w:rFonts w:ascii="Times New Roman" w:hAnsi="Times New Roman"/>
                <w:sz w:val="20"/>
                <w:szCs w:val="20"/>
              </w:rPr>
              <w:t>Norāda iespējamās alternatīvas (t.sk. alternatīvas, kas neparedz tiesiskā regulējuma izstrādi) – kādos gadījumos būtu iespējams izvairīties no stingrāku prasību</w:t>
            </w:r>
            <w:r w:rsidRPr="00F122F9">
              <w:rPr>
                <w:rFonts w:ascii="Times New Roman" w:hAnsi="Times New Roman"/>
                <w:spacing w:val="-3"/>
                <w:sz w:val="20"/>
                <w:szCs w:val="20"/>
              </w:rPr>
              <w:t xml:space="preserve"> noteikšanas, nekā paredzēts attiecīgajos ES tiesību aktos</w:t>
            </w:r>
          </w:p>
        </w:tc>
      </w:tr>
      <w:tr w14:paraId="4A335156" w14:textId="77777777" w:rsidTr="0074103C">
        <w:tblPrEx>
          <w:tblW w:w="9356" w:type="dxa"/>
          <w:jc w:val="center"/>
          <w:tblLayout w:type="fixed"/>
          <w:tblCellMar>
            <w:left w:w="0" w:type="dxa"/>
            <w:right w:w="0" w:type="dxa"/>
          </w:tblCellMar>
          <w:tblLook w:val="0000"/>
        </w:tblPrEx>
        <w:trPr>
          <w:trHeight w:val="284"/>
          <w:jc w:val="center"/>
        </w:trPr>
        <w:tc>
          <w:tcPr>
            <w:tcW w:w="1646" w:type="dxa"/>
            <w:shd w:val="clear" w:color="auto" w:fill="auto"/>
            <w:vAlign w:val="center"/>
          </w:tcPr>
          <w:p w:rsidR="0074103C" w:rsidRPr="006900EE" w:rsidP="0074103C" w14:paraId="4A335152" w14:textId="77777777">
            <w:pPr>
              <w:spacing w:before="20" w:after="20"/>
              <w:rPr>
                <w:rFonts w:ascii="Times New Roman" w:hAnsi="Times New Roman"/>
              </w:rPr>
            </w:pPr>
            <w:r w:rsidRPr="006900EE">
              <w:rPr>
                <w:rFonts w:ascii="Times New Roman" w:hAnsi="Times New Roman"/>
              </w:rPr>
              <w:t>4. panta 1. punkts</w:t>
            </w:r>
          </w:p>
        </w:tc>
        <w:tc>
          <w:tcPr>
            <w:tcW w:w="2641" w:type="dxa"/>
            <w:shd w:val="clear" w:color="auto" w:fill="auto"/>
            <w:vAlign w:val="center"/>
          </w:tcPr>
          <w:p w:rsidR="0074103C" w:rsidRPr="006900EE" w:rsidP="0074103C" w14:paraId="4A335153" w14:textId="77777777">
            <w:pPr>
              <w:spacing w:before="20" w:after="20"/>
              <w:rPr>
                <w:rFonts w:ascii="Times New Roman" w:hAnsi="Times New Roman"/>
              </w:rPr>
            </w:pPr>
            <w:r w:rsidRPr="006900EE">
              <w:rPr>
                <w:rFonts w:ascii="Times New Roman" w:hAnsi="Times New Roman"/>
              </w:rPr>
              <w:t>Likumprojekta 1</w:t>
            </w:r>
            <w:r>
              <w:rPr>
                <w:rFonts w:ascii="Times New Roman" w:hAnsi="Times New Roman"/>
              </w:rPr>
              <w:t>4</w:t>
            </w:r>
            <w:r w:rsidRPr="006900EE">
              <w:rPr>
                <w:rFonts w:ascii="Times New Roman" w:hAnsi="Times New Roman"/>
              </w:rPr>
              <w:t>. pantā izteiktā Likuma „Par piesārņojumu” 45.</w:t>
            </w:r>
            <w:r w:rsidRPr="006900EE">
              <w:rPr>
                <w:rFonts w:ascii="Times New Roman" w:hAnsi="Times New Roman"/>
                <w:vertAlign w:val="superscript"/>
              </w:rPr>
              <w:t>1</w:t>
            </w:r>
            <w:r w:rsidRPr="006900EE">
              <w:rPr>
                <w:rFonts w:ascii="Times New Roman" w:hAnsi="Times New Roman"/>
              </w:rPr>
              <w:t> panta pirmā daļa</w:t>
            </w:r>
          </w:p>
        </w:tc>
        <w:tc>
          <w:tcPr>
            <w:tcW w:w="1894" w:type="dxa"/>
            <w:shd w:val="clear" w:color="auto" w:fill="auto"/>
            <w:vAlign w:val="center"/>
          </w:tcPr>
          <w:p w:rsidR="0074103C" w:rsidRPr="006900EE" w:rsidP="0074103C" w14:paraId="4A335154" w14:textId="77777777">
            <w:pPr>
              <w:spacing w:before="20" w:after="20"/>
              <w:rPr>
                <w:rFonts w:ascii="Times New Roman" w:hAnsi="Times New Roman"/>
              </w:rPr>
            </w:pPr>
            <w:r w:rsidRPr="00534854">
              <w:rPr>
                <w:rFonts w:ascii="Times New Roman" w:hAnsi="Times New Roman"/>
              </w:rPr>
              <w:t>pārņemts pilnībā</w:t>
            </w:r>
          </w:p>
        </w:tc>
        <w:tc>
          <w:tcPr>
            <w:tcW w:w="2891" w:type="dxa"/>
            <w:shd w:val="clear" w:color="auto" w:fill="auto"/>
            <w:vAlign w:val="center"/>
          </w:tcPr>
          <w:p w:rsidR="0074103C" w:rsidRPr="006900EE" w:rsidP="0074103C" w14:paraId="4A335155" w14:textId="77777777">
            <w:pPr>
              <w:pStyle w:val="naisc"/>
              <w:spacing w:before="20" w:after="20"/>
              <w:jc w:val="both"/>
              <w:rPr>
                <w:sz w:val="22"/>
                <w:szCs w:val="22"/>
              </w:rPr>
            </w:pPr>
            <w:r w:rsidRPr="00534854">
              <w:rPr>
                <w:sz w:val="22"/>
                <w:szCs w:val="22"/>
              </w:rPr>
              <w:t>netiek pārņemts paredzot stingrākas vai mazāk stingras prasības</w:t>
            </w:r>
          </w:p>
        </w:tc>
      </w:tr>
      <w:tr w14:paraId="4A33515B" w14:textId="77777777" w:rsidTr="0074103C">
        <w:tblPrEx>
          <w:tblW w:w="9356" w:type="dxa"/>
          <w:jc w:val="center"/>
          <w:tblLayout w:type="fixed"/>
          <w:tblCellMar>
            <w:left w:w="0" w:type="dxa"/>
            <w:right w:w="0" w:type="dxa"/>
          </w:tblCellMar>
          <w:tblLook w:val="0000"/>
        </w:tblPrEx>
        <w:trPr>
          <w:trHeight w:val="284"/>
          <w:jc w:val="center"/>
        </w:trPr>
        <w:tc>
          <w:tcPr>
            <w:tcW w:w="1646" w:type="dxa"/>
            <w:shd w:val="clear" w:color="auto" w:fill="auto"/>
            <w:vAlign w:val="center"/>
          </w:tcPr>
          <w:p w:rsidR="0074103C" w:rsidRPr="00F122F9" w:rsidP="0074103C" w14:paraId="4A335157" w14:textId="77777777">
            <w:pPr>
              <w:spacing w:before="20" w:after="20"/>
              <w:rPr>
                <w:rFonts w:ascii="Times New Roman" w:hAnsi="Times New Roman"/>
              </w:rPr>
            </w:pPr>
            <w:r>
              <w:rPr>
                <w:rFonts w:ascii="Times New Roman" w:hAnsi="Times New Roman"/>
              </w:rPr>
              <w:t>11. panta 1. punkts</w:t>
            </w:r>
          </w:p>
        </w:tc>
        <w:tc>
          <w:tcPr>
            <w:tcW w:w="2641" w:type="dxa"/>
            <w:shd w:val="clear" w:color="auto" w:fill="auto"/>
            <w:vAlign w:val="center"/>
          </w:tcPr>
          <w:p w:rsidR="0074103C" w:rsidRPr="00F122F9" w:rsidP="0074103C" w14:paraId="4A335158" w14:textId="77777777">
            <w:pPr>
              <w:spacing w:before="20" w:after="20"/>
              <w:rPr>
                <w:rFonts w:ascii="Times New Roman" w:hAnsi="Times New Roman"/>
              </w:rPr>
            </w:pPr>
            <w:r>
              <w:rPr>
                <w:rFonts w:ascii="Times New Roman" w:hAnsi="Times New Roman"/>
              </w:rPr>
              <w:t>Likumprojekta 14. pantā izteiktā Likuma „Par piesārņojumu” 45.</w:t>
            </w:r>
            <w:r w:rsidRPr="00681392">
              <w:rPr>
                <w:rFonts w:ascii="Times New Roman" w:hAnsi="Times New Roman"/>
                <w:vertAlign w:val="superscript"/>
              </w:rPr>
              <w:t>1</w:t>
            </w:r>
            <w:r>
              <w:rPr>
                <w:rFonts w:ascii="Times New Roman" w:hAnsi="Times New Roman"/>
              </w:rPr>
              <w:t> panta otrā daļa</w:t>
            </w:r>
          </w:p>
        </w:tc>
        <w:tc>
          <w:tcPr>
            <w:tcW w:w="1894" w:type="dxa"/>
            <w:shd w:val="clear" w:color="auto" w:fill="auto"/>
            <w:vAlign w:val="center"/>
          </w:tcPr>
          <w:p w:rsidR="0074103C" w:rsidRPr="00F122F9" w:rsidP="0074103C" w14:paraId="4A335159" w14:textId="77777777">
            <w:pPr>
              <w:spacing w:before="20" w:after="20"/>
              <w:rPr>
                <w:rFonts w:ascii="Times New Roman" w:hAnsi="Times New Roman"/>
              </w:rPr>
            </w:pPr>
            <w:r w:rsidRPr="00765671">
              <w:rPr>
                <w:rFonts w:ascii="Times New Roman" w:hAnsi="Times New Roman"/>
              </w:rPr>
              <w:t>pārņemts pilnībā</w:t>
            </w:r>
          </w:p>
        </w:tc>
        <w:tc>
          <w:tcPr>
            <w:tcW w:w="2891" w:type="dxa"/>
            <w:shd w:val="clear" w:color="auto" w:fill="auto"/>
            <w:vAlign w:val="center"/>
          </w:tcPr>
          <w:p w:rsidR="0074103C" w:rsidRPr="00F122F9" w:rsidP="0074103C" w14:paraId="4A33515A" w14:textId="77777777">
            <w:pPr>
              <w:pStyle w:val="naisc"/>
              <w:spacing w:before="20" w:after="20"/>
              <w:jc w:val="both"/>
              <w:rPr>
                <w:sz w:val="22"/>
                <w:szCs w:val="22"/>
              </w:rPr>
            </w:pPr>
            <w:r w:rsidRPr="00765671">
              <w:rPr>
                <w:sz w:val="22"/>
                <w:szCs w:val="22"/>
              </w:rPr>
              <w:t>netiek pārņemts paredzot stingrākas vai mazāk stingras prasības</w:t>
            </w:r>
          </w:p>
        </w:tc>
      </w:tr>
      <w:tr w14:paraId="4A33515E" w14:textId="77777777" w:rsidTr="0074103C">
        <w:tblPrEx>
          <w:tblW w:w="9356" w:type="dxa"/>
          <w:jc w:val="center"/>
          <w:tblLayout w:type="fixed"/>
          <w:tblCellMar>
            <w:left w:w="0" w:type="dxa"/>
            <w:right w:w="0" w:type="dxa"/>
          </w:tblCellMar>
          <w:tblLook w:val="0000"/>
        </w:tblPrEx>
        <w:trPr>
          <w:trHeight w:val="284"/>
          <w:jc w:val="center"/>
        </w:trPr>
        <w:tc>
          <w:tcPr>
            <w:tcW w:w="1646" w:type="dxa"/>
          </w:tcPr>
          <w:p w:rsidR="0074103C" w:rsidRPr="00F122F9" w:rsidP="0074103C" w14:paraId="4A33515C" w14:textId="77777777">
            <w:pPr>
              <w:spacing w:before="60" w:after="60"/>
              <w:rPr>
                <w:rFonts w:ascii="Times New Roman" w:hAnsi="Times New Roman"/>
              </w:rPr>
            </w:pPr>
            <w:r w:rsidRPr="00F122F9">
              <w:rPr>
                <w:rFonts w:ascii="Times New Roman" w:hAnsi="Times New Roman"/>
              </w:rPr>
              <w:t>Attiecīgā Eiropas Savienības tiesību akta datums, numurs un nosaukums</w:t>
            </w:r>
          </w:p>
        </w:tc>
        <w:tc>
          <w:tcPr>
            <w:tcW w:w="7426" w:type="dxa"/>
            <w:gridSpan w:val="3"/>
            <w:vAlign w:val="center"/>
          </w:tcPr>
          <w:p w:rsidR="0074103C" w:rsidRPr="004134E1" w:rsidP="0074103C" w14:paraId="4A33515D" w14:textId="77777777">
            <w:pPr>
              <w:pStyle w:val="ListParagraph"/>
              <w:autoSpaceDE w:val="0"/>
              <w:autoSpaceDN w:val="0"/>
              <w:adjustRightInd w:val="0"/>
              <w:spacing w:before="60" w:after="60"/>
              <w:ind w:left="284" w:firstLine="0"/>
              <w:contextualSpacing w:val="0"/>
              <w:rPr>
                <w:b/>
                <w:shd w:val="clear" w:color="auto" w:fill="FFFFFF"/>
              </w:rPr>
            </w:pPr>
            <w:r w:rsidRPr="00D07C24">
              <w:rPr>
                <w:b/>
                <w:sz w:val="22"/>
                <w:szCs w:val="22"/>
              </w:rPr>
              <w:t>Eiropas Parlamenta un Padomes 2009.</w:t>
            </w:r>
            <w:r>
              <w:rPr>
                <w:b/>
                <w:sz w:val="22"/>
                <w:szCs w:val="22"/>
              </w:rPr>
              <w:t> </w:t>
            </w:r>
            <w:r w:rsidRPr="00D07C24">
              <w:rPr>
                <w:b/>
                <w:sz w:val="22"/>
                <w:szCs w:val="22"/>
              </w:rPr>
              <w:t>gada 23.</w:t>
            </w:r>
            <w:r>
              <w:rPr>
                <w:b/>
                <w:sz w:val="22"/>
                <w:szCs w:val="22"/>
              </w:rPr>
              <w:t> </w:t>
            </w:r>
            <w:r w:rsidRPr="00D07C24">
              <w:rPr>
                <w:b/>
                <w:sz w:val="22"/>
                <w:szCs w:val="22"/>
              </w:rPr>
              <w:t xml:space="preserve">aprīļa </w:t>
            </w:r>
            <w:r>
              <w:rPr>
                <w:b/>
                <w:sz w:val="22"/>
                <w:szCs w:val="22"/>
              </w:rPr>
              <w:t>D</w:t>
            </w:r>
            <w:r w:rsidRPr="00D07C24">
              <w:rPr>
                <w:b/>
                <w:sz w:val="22"/>
                <w:szCs w:val="22"/>
              </w:rPr>
              <w:t xml:space="preserve">irektīva </w:t>
            </w:r>
            <w:r>
              <w:rPr>
                <w:b/>
                <w:sz w:val="22"/>
                <w:szCs w:val="22"/>
              </w:rPr>
              <w:t>Nr. </w:t>
            </w:r>
            <w:r w:rsidRPr="00D07C24">
              <w:rPr>
                <w:b/>
                <w:sz w:val="22"/>
                <w:szCs w:val="22"/>
              </w:rPr>
              <w:t>2009/30/EK ar ko groza Direktīvu 98/70/EK attiecībā uz benzīna, dīzeļdegvielas un gāzeļļas specifikācijām un ievieš mehānismu autotransporta līdzekļos lietojamās degvielas radītās siltumnīcefekta gāzu emisijas kontrolei un samazināšanai, groza Padomes Direktīvu 1999/32/EK attiecībā uz tās degvielas specifikācijām, kuru lieto iekšējo ūdensceļu kuģos, un atceļ direktīvu 93/12/EEK.</w:t>
            </w:r>
          </w:p>
        </w:tc>
      </w:tr>
      <w:tr w14:paraId="4A335163" w14:textId="77777777" w:rsidTr="0074103C">
        <w:tblPrEx>
          <w:tblW w:w="9356" w:type="dxa"/>
          <w:jc w:val="center"/>
          <w:tblLayout w:type="fixed"/>
          <w:tblCellMar>
            <w:left w:w="0" w:type="dxa"/>
            <w:right w:w="0" w:type="dxa"/>
          </w:tblCellMar>
          <w:tblLook w:val="0000"/>
        </w:tblPrEx>
        <w:trPr>
          <w:trHeight w:val="284"/>
          <w:jc w:val="center"/>
        </w:trPr>
        <w:tc>
          <w:tcPr>
            <w:tcW w:w="1646" w:type="dxa"/>
            <w:vAlign w:val="center"/>
          </w:tcPr>
          <w:p w:rsidR="0074103C" w:rsidRPr="00F122F9" w:rsidP="0074103C" w14:paraId="4A33515F" w14:textId="77777777">
            <w:pPr>
              <w:spacing w:after="0"/>
              <w:jc w:val="center"/>
              <w:rPr>
                <w:rFonts w:ascii="Times New Roman" w:hAnsi="Times New Roman"/>
                <w:sz w:val="20"/>
                <w:szCs w:val="20"/>
              </w:rPr>
            </w:pPr>
            <w:r w:rsidRPr="00F122F9">
              <w:rPr>
                <w:rFonts w:ascii="Times New Roman" w:hAnsi="Times New Roman"/>
                <w:sz w:val="20"/>
                <w:szCs w:val="20"/>
              </w:rPr>
              <w:t>A</w:t>
            </w:r>
          </w:p>
        </w:tc>
        <w:tc>
          <w:tcPr>
            <w:tcW w:w="2641" w:type="dxa"/>
            <w:vAlign w:val="center"/>
          </w:tcPr>
          <w:p w:rsidR="0074103C" w:rsidRPr="00F122F9" w:rsidP="0074103C" w14:paraId="4A335160" w14:textId="77777777">
            <w:pPr>
              <w:spacing w:after="0"/>
              <w:ind w:left="57"/>
              <w:jc w:val="center"/>
              <w:rPr>
                <w:rFonts w:ascii="Times New Roman" w:hAnsi="Times New Roman"/>
                <w:sz w:val="20"/>
                <w:szCs w:val="20"/>
              </w:rPr>
            </w:pPr>
            <w:r w:rsidRPr="00F122F9">
              <w:rPr>
                <w:rFonts w:ascii="Times New Roman" w:hAnsi="Times New Roman"/>
                <w:sz w:val="20"/>
                <w:szCs w:val="20"/>
              </w:rPr>
              <w:t>B</w:t>
            </w:r>
          </w:p>
        </w:tc>
        <w:tc>
          <w:tcPr>
            <w:tcW w:w="1894" w:type="dxa"/>
            <w:vAlign w:val="center"/>
          </w:tcPr>
          <w:p w:rsidR="0074103C" w:rsidRPr="00F122F9" w:rsidP="0074103C" w14:paraId="4A335161" w14:textId="77777777">
            <w:pPr>
              <w:spacing w:after="0"/>
              <w:ind w:left="57"/>
              <w:jc w:val="center"/>
              <w:rPr>
                <w:rFonts w:ascii="Times New Roman" w:hAnsi="Times New Roman"/>
                <w:sz w:val="20"/>
                <w:szCs w:val="20"/>
              </w:rPr>
            </w:pPr>
            <w:r w:rsidRPr="00F122F9">
              <w:rPr>
                <w:rFonts w:ascii="Times New Roman" w:hAnsi="Times New Roman"/>
                <w:sz w:val="20"/>
                <w:szCs w:val="20"/>
              </w:rPr>
              <w:t>C</w:t>
            </w:r>
          </w:p>
        </w:tc>
        <w:tc>
          <w:tcPr>
            <w:tcW w:w="2891" w:type="dxa"/>
            <w:vAlign w:val="center"/>
          </w:tcPr>
          <w:p w:rsidR="0074103C" w:rsidRPr="00F122F9" w:rsidP="0074103C" w14:paraId="4A335162" w14:textId="77777777">
            <w:pPr>
              <w:spacing w:after="0"/>
              <w:ind w:left="57"/>
              <w:jc w:val="center"/>
              <w:rPr>
                <w:rFonts w:ascii="Times New Roman" w:hAnsi="Times New Roman"/>
                <w:sz w:val="20"/>
                <w:szCs w:val="20"/>
              </w:rPr>
            </w:pPr>
            <w:r w:rsidRPr="00F122F9">
              <w:rPr>
                <w:rFonts w:ascii="Times New Roman" w:hAnsi="Times New Roman"/>
                <w:sz w:val="20"/>
                <w:szCs w:val="20"/>
              </w:rPr>
              <w:t>D</w:t>
            </w:r>
          </w:p>
        </w:tc>
      </w:tr>
      <w:tr w14:paraId="4A335168" w14:textId="77777777" w:rsidTr="0074103C">
        <w:tblPrEx>
          <w:tblW w:w="9356" w:type="dxa"/>
          <w:jc w:val="center"/>
          <w:tblLayout w:type="fixed"/>
          <w:tblCellMar>
            <w:left w:w="0" w:type="dxa"/>
            <w:right w:w="0" w:type="dxa"/>
          </w:tblCellMar>
          <w:tblLook w:val="0000"/>
        </w:tblPrEx>
        <w:trPr>
          <w:trHeight w:val="284"/>
          <w:jc w:val="center"/>
        </w:trPr>
        <w:tc>
          <w:tcPr>
            <w:tcW w:w="1646" w:type="dxa"/>
            <w:shd w:val="clear" w:color="auto" w:fill="auto"/>
            <w:vAlign w:val="center"/>
          </w:tcPr>
          <w:p w:rsidR="0074103C" w:rsidP="0074103C" w14:paraId="4A335164" w14:textId="77777777">
            <w:pPr>
              <w:spacing w:before="20" w:after="20"/>
              <w:rPr>
                <w:rFonts w:ascii="Times New Roman" w:hAnsi="Times New Roman"/>
              </w:rPr>
            </w:pPr>
            <w:r>
              <w:rPr>
                <w:rFonts w:ascii="Times New Roman" w:hAnsi="Times New Roman"/>
              </w:rPr>
              <w:t>2. punktā izteiktais direktīvas Nr. 98/70/EK 2.panta 6., 7., 8. punkts</w:t>
            </w:r>
          </w:p>
        </w:tc>
        <w:tc>
          <w:tcPr>
            <w:tcW w:w="2641" w:type="dxa"/>
            <w:shd w:val="clear" w:color="auto" w:fill="auto"/>
            <w:vAlign w:val="center"/>
          </w:tcPr>
          <w:p w:rsidR="0074103C" w:rsidP="0074103C" w14:paraId="4A335165" w14:textId="77777777">
            <w:pPr>
              <w:spacing w:before="20" w:after="20"/>
              <w:rPr>
                <w:rFonts w:ascii="Times New Roman" w:hAnsi="Times New Roman"/>
              </w:rPr>
            </w:pPr>
            <w:r>
              <w:rPr>
                <w:rFonts w:ascii="Times New Roman" w:hAnsi="Times New Roman"/>
              </w:rPr>
              <w:t>Likumprojekta 2. pantā izteiktais Likuma 1. panta 22., 24., 26. punkts</w:t>
            </w:r>
          </w:p>
        </w:tc>
        <w:tc>
          <w:tcPr>
            <w:tcW w:w="1894" w:type="dxa"/>
            <w:shd w:val="clear" w:color="auto" w:fill="auto"/>
            <w:vAlign w:val="center"/>
          </w:tcPr>
          <w:p w:rsidR="0074103C" w:rsidRPr="00F122F9" w:rsidP="0074103C" w14:paraId="4A335166" w14:textId="77777777">
            <w:pPr>
              <w:spacing w:before="20" w:after="20"/>
              <w:rPr>
                <w:rFonts w:ascii="Times New Roman" w:hAnsi="Times New Roman"/>
              </w:rPr>
            </w:pPr>
            <w:r w:rsidRPr="00765671">
              <w:rPr>
                <w:rFonts w:ascii="Times New Roman" w:hAnsi="Times New Roman"/>
              </w:rPr>
              <w:t>pārņemts pilnībā</w:t>
            </w:r>
          </w:p>
        </w:tc>
        <w:tc>
          <w:tcPr>
            <w:tcW w:w="2891" w:type="dxa"/>
            <w:shd w:val="clear" w:color="auto" w:fill="auto"/>
            <w:vAlign w:val="center"/>
          </w:tcPr>
          <w:p w:rsidR="0074103C" w:rsidRPr="00F122F9" w:rsidP="0074103C" w14:paraId="4A335167" w14:textId="77777777">
            <w:pPr>
              <w:pStyle w:val="naisc"/>
              <w:spacing w:before="20" w:after="20"/>
              <w:jc w:val="both"/>
              <w:rPr>
                <w:sz w:val="22"/>
                <w:szCs w:val="22"/>
              </w:rPr>
            </w:pPr>
            <w:r w:rsidRPr="00765671">
              <w:rPr>
                <w:sz w:val="22"/>
                <w:szCs w:val="22"/>
              </w:rPr>
              <w:t>netiek pārņemts paredzot stingrākas vai mazāk stingras prasības</w:t>
            </w:r>
          </w:p>
        </w:tc>
      </w:tr>
      <w:tr w14:paraId="4A33516E" w14:textId="77777777" w:rsidTr="0074103C">
        <w:tblPrEx>
          <w:tblW w:w="9356" w:type="dxa"/>
          <w:jc w:val="center"/>
          <w:tblLayout w:type="fixed"/>
          <w:tblCellMar>
            <w:left w:w="0" w:type="dxa"/>
            <w:right w:w="0" w:type="dxa"/>
          </w:tblCellMar>
          <w:tblLook w:val="0000"/>
        </w:tblPrEx>
        <w:trPr>
          <w:trHeight w:val="284"/>
          <w:jc w:val="center"/>
        </w:trPr>
        <w:tc>
          <w:tcPr>
            <w:tcW w:w="1646" w:type="dxa"/>
            <w:shd w:val="clear" w:color="auto" w:fill="auto"/>
            <w:vAlign w:val="center"/>
          </w:tcPr>
          <w:p w:rsidR="0074103C" w:rsidP="0074103C" w14:paraId="4A335169" w14:textId="77777777">
            <w:pPr>
              <w:spacing w:before="20" w:after="20"/>
              <w:rPr>
                <w:rFonts w:ascii="Times New Roman" w:hAnsi="Times New Roman"/>
              </w:rPr>
            </w:pPr>
            <w:r>
              <w:rPr>
                <w:rFonts w:ascii="Times New Roman" w:hAnsi="Times New Roman"/>
              </w:rPr>
              <w:t>5. punktā izteiktais direktīvas Nr. 98/70/EK 7.a panta 1. punkts</w:t>
            </w:r>
          </w:p>
        </w:tc>
        <w:tc>
          <w:tcPr>
            <w:tcW w:w="2641" w:type="dxa"/>
            <w:shd w:val="clear" w:color="auto" w:fill="auto"/>
            <w:vAlign w:val="center"/>
          </w:tcPr>
          <w:p w:rsidR="0074103C" w:rsidP="0074103C" w14:paraId="4A33516A" w14:textId="77777777">
            <w:pPr>
              <w:spacing w:before="20" w:after="20"/>
              <w:rPr>
                <w:rFonts w:ascii="Times New Roman" w:hAnsi="Times New Roman"/>
              </w:rPr>
            </w:pPr>
            <w:r>
              <w:rPr>
                <w:rFonts w:ascii="Times New Roman" w:hAnsi="Times New Roman"/>
              </w:rPr>
              <w:t>Likumprojekta 17. pantā izteiktā Likuma 55. panta trešā daļa.</w:t>
            </w:r>
          </w:p>
          <w:p w:rsidR="0074103C" w14:paraId="4A33516B" w14:textId="77777777">
            <w:pPr>
              <w:spacing w:before="20" w:after="20"/>
              <w:rPr>
                <w:rFonts w:ascii="Times New Roman" w:hAnsi="Times New Roman"/>
              </w:rPr>
            </w:pPr>
            <w:r>
              <w:rPr>
                <w:rFonts w:ascii="Times New Roman" w:hAnsi="Times New Roman"/>
              </w:rPr>
              <w:t>Tiks pārņemts, pieņemot Ministru kabineta noteikumus, kuriem deleģējums ir iekļauts likumprojekta 17. pantā izteiktajā Likuma 55. panta piektajā daļā.</w:t>
            </w:r>
          </w:p>
        </w:tc>
        <w:tc>
          <w:tcPr>
            <w:tcW w:w="1894" w:type="dxa"/>
            <w:shd w:val="clear" w:color="auto" w:fill="auto"/>
            <w:vAlign w:val="center"/>
          </w:tcPr>
          <w:p w:rsidR="0074103C" w:rsidRPr="00F122F9" w:rsidP="0074103C" w14:paraId="4A33516C" w14:textId="77777777">
            <w:pPr>
              <w:spacing w:before="20" w:after="20"/>
              <w:rPr>
                <w:rFonts w:ascii="Times New Roman" w:hAnsi="Times New Roman"/>
              </w:rPr>
            </w:pPr>
            <w:r w:rsidRPr="00765671">
              <w:rPr>
                <w:rFonts w:ascii="Times New Roman" w:hAnsi="Times New Roman"/>
              </w:rPr>
              <w:t>pārņemts pilnībā</w:t>
            </w:r>
          </w:p>
        </w:tc>
        <w:tc>
          <w:tcPr>
            <w:tcW w:w="2891" w:type="dxa"/>
            <w:shd w:val="clear" w:color="auto" w:fill="auto"/>
            <w:vAlign w:val="center"/>
          </w:tcPr>
          <w:p w:rsidR="0074103C" w:rsidRPr="00F122F9" w:rsidP="0074103C" w14:paraId="4A33516D" w14:textId="77777777">
            <w:pPr>
              <w:pStyle w:val="naisc"/>
              <w:spacing w:before="20" w:after="20"/>
              <w:jc w:val="both"/>
              <w:rPr>
                <w:sz w:val="22"/>
                <w:szCs w:val="22"/>
              </w:rPr>
            </w:pPr>
            <w:r w:rsidRPr="00765671">
              <w:rPr>
                <w:sz w:val="22"/>
                <w:szCs w:val="22"/>
              </w:rPr>
              <w:t>netiek pārņemts paredzot stingrākas vai mazāk stingras prasības</w:t>
            </w:r>
          </w:p>
        </w:tc>
      </w:tr>
      <w:tr w14:paraId="4A335174" w14:textId="77777777" w:rsidTr="0074103C">
        <w:tblPrEx>
          <w:tblW w:w="9356" w:type="dxa"/>
          <w:jc w:val="center"/>
          <w:tblLayout w:type="fixed"/>
          <w:tblCellMar>
            <w:left w:w="0" w:type="dxa"/>
            <w:right w:w="0" w:type="dxa"/>
          </w:tblCellMar>
          <w:tblLook w:val="0000"/>
        </w:tblPrEx>
        <w:trPr>
          <w:trHeight w:val="284"/>
          <w:jc w:val="center"/>
        </w:trPr>
        <w:tc>
          <w:tcPr>
            <w:tcW w:w="1646" w:type="dxa"/>
            <w:shd w:val="clear" w:color="auto" w:fill="auto"/>
            <w:vAlign w:val="center"/>
          </w:tcPr>
          <w:p w:rsidR="0074103C" w:rsidP="0074103C" w14:paraId="4A33516F" w14:textId="77777777">
            <w:pPr>
              <w:spacing w:before="20" w:after="20"/>
              <w:rPr>
                <w:rFonts w:ascii="Times New Roman" w:hAnsi="Times New Roman"/>
              </w:rPr>
            </w:pPr>
            <w:r>
              <w:rPr>
                <w:rFonts w:ascii="Times New Roman" w:hAnsi="Times New Roman"/>
              </w:rPr>
              <w:t>5. punktā izteiktais direktīvas Nr. 98/70/EK 7.a panta 2. punkts</w:t>
            </w:r>
          </w:p>
        </w:tc>
        <w:tc>
          <w:tcPr>
            <w:tcW w:w="2641" w:type="dxa"/>
            <w:shd w:val="clear" w:color="auto" w:fill="auto"/>
            <w:vAlign w:val="center"/>
          </w:tcPr>
          <w:p w:rsidR="0074103C" w:rsidP="0074103C" w14:paraId="4A335170" w14:textId="77777777">
            <w:pPr>
              <w:spacing w:before="20" w:after="20"/>
              <w:rPr>
                <w:rFonts w:ascii="Times New Roman" w:hAnsi="Times New Roman"/>
              </w:rPr>
            </w:pPr>
            <w:r>
              <w:rPr>
                <w:rFonts w:ascii="Times New Roman" w:hAnsi="Times New Roman"/>
              </w:rPr>
              <w:t>Likumprojekta 17. pantā izteiktā likuma 55. panta pirmā daļa</w:t>
            </w:r>
          </w:p>
          <w:p w:rsidR="0074103C" w:rsidP="0074103C" w14:paraId="4A335171" w14:textId="77777777">
            <w:pPr>
              <w:spacing w:before="20" w:after="20"/>
              <w:rPr>
                <w:rFonts w:ascii="Times New Roman" w:hAnsi="Times New Roman"/>
              </w:rPr>
            </w:pPr>
            <w:r>
              <w:rPr>
                <w:rFonts w:ascii="Times New Roman" w:hAnsi="Times New Roman"/>
              </w:rPr>
              <w:t>Tiks pārņemts, pieņemot Ministru kabineta noteikumus, kuriem deleģējums ir iekļauts likumprojekta 17. pantā izteiktajā Likuma 55. panta piektajā daļā.</w:t>
            </w:r>
          </w:p>
        </w:tc>
        <w:tc>
          <w:tcPr>
            <w:tcW w:w="1894" w:type="dxa"/>
            <w:shd w:val="clear" w:color="auto" w:fill="auto"/>
            <w:vAlign w:val="center"/>
          </w:tcPr>
          <w:p w:rsidR="0074103C" w:rsidRPr="00F122F9" w:rsidP="0074103C" w14:paraId="4A335172" w14:textId="77777777">
            <w:pPr>
              <w:spacing w:before="20" w:after="20"/>
              <w:rPr>
                <w:rFonts w:ascii="Times New Roman" w:hAnsi="Times New Roman"/>
              </w:rPr>
            </w:pPr>
            <w:r w:rsidRPr="00765671">
              <w:rPr>
                <w:rFonts w:ascii="Times New Roman" w:hAnsi="Times New Roman"/>
              </w:rPr>
              <w:t>pārņemts pilnībā</w:t>
            </w:r>
          </w:p>
        </w:tc>
        <w:tc>
          <w:tcPr>
            <w:tcW w:w="2891" w:type="dxa"/>
            <w:shd w:val="clear" w:color="auto" w:fill="auto"/>
            <w:vAlign w:val="center"/>
          </w:tcPr>
          <w:p w:rsidR="0074103C" w:rsidRPr="00F122F9" w:rsidP="0074103C" w14:paraId="4A335173" w14:textId="77777777">
            <w:pPr>
              <w:pStyle w:val="naisc"/>
              <w:spacing w:before="20" w:after="20"/>
              <w:jc w:val="both"/>
              <w:rPr>
                <w:sz w:val="22"/>
                <w:szCs w:val="22"/>
              </w:rPr>
            </w:pPr>
            <w:r w:rsidRPr="00765671">
              <w:rPr>
                <w:sz w:val="22"/>
                <w:szCs w:val="22"/>
              </w:rPr>
              <w:t>netiek pārņemts paredzot stingrākas vai mazāk stingras prasības</w:t>
            </w:r>
          </w:p>
        </w:tc>
      </w:tr>
      <w:tr w14:paraId="4A335179" w14:textId="77777777" w:rsidTr="0074103C">
        <w:tblPrEx>
          <w:tblW w:w="9356" w:type="dxa"/>
          <w:jc w:val="center"/>
          <w:tblLayout w:type="fixed"/>
          <w:tblCellMar>
            <w:left w:w="0" w:type="dxa"/>
            <w:right w:w="0" w:type="dxa"/>
          </w:tblCellMar>
          <w:tblLook w:val="0000"/>
        </w:tblPrEx>
        <w:trPr>
          <w:trHeight w:val="284"/>
          <w:jc w:val="center"/>
        </w:trPr>
        <w:tc>
          <w:tcPr>
            <w:tcW w:w="1646" w:type="dxa"/>
            <w:shd w:val="clear" w:color="auto" w:fill="auto"/>
            <w:vAlign w:val="center"/>
          </w:tcPr>
          <w:p w:rsidR="0074103C" w:rsidP="0074103C" w14:paraId="4A335175" w14:textId="77777777">
            <w:pPr>
              <w:spacing w:before="20" w:after="20"/>
              <w:rPr>
                <w:rFonts w:ascii="Times New Roman" w:hAnsi="Times New Roman"/>
              </w:rPr>
            </w:pPr>
            <w:r>
              <w:rPr>
                <w:rFonts w:ascii="Times New Roman" w:hAnsi="Times New Roman"/>
              </w:rPr>
              <w:t>5. punktā izteiktais direktīvas Nr. 98/70/EK 7.a panta 3. punkts</w:t>
            </w:r>
          </w:p>
        </w:tc>
        <w:tc>
          <w:tcPr>
            <w:tcW w:w="2641" w:type="dxa"/>
            <w:shd w:val="clear" w:color="auto" w:fill="auto"/>
            <w:vAlign w:val="center"/>
          </w:tcPr>
          <w:p w:rsidR="0074103C" w:rsidP="0074103C" w14:paraId="4A335176" w14:textId="77777777">
            <w:pPr>
              <w:spacing w:before="20" w:after="20"/>
              <w:rPr>
                <w:rFonts w:ascii="Times New Roman" w:hAnsi="Times New Roman"/>
              </w:rPr>
            </w:pPr>
            <w:r>
              <w:rPr>
                <w:rFonts w:ascii="Times New Roman" w:hAnsi="Times New Roman"/>
              </w:rPr>
              <w:t>Tiks pārņemts, pieņemot Ministru kabineta noteikumus, kuriem deleģējums ir iekļauts likumprojekta 17. pantā izteiktajā Likuma 55. panta piektajā daļā.</w:t>
            </w:r>
          </w:p>
        </w:tc>
        <w:tc>
          <w:tcPr>
            <w:tcW w:w="1894" w:type="dxa"/>
            <w:shd w:val="clear" w:color="auto" w:fill="auto"/>
            <w:vAlign w:val="center"/>
          </w:tcPr>
          <w:p w:rsidR="0074103C" w:rsidRPr="00F122F9" w:rsidP="0074103C" w14:paraId="4A335177" w14:textId="77777777">
            <w:pPr>
              <w:spacing w:before="20" w:after="20"/>
              <w:rPr>
                <w:rFonts w:ascii="Times New Roman" w:hAnsi="Times New Roman"/>
              </w:rPr>
            </w:pPr>
            <w:r w:rsidRPr="00765671">
              <w:rPr>
                <w:rFonts w:ascii="Times New Roman" w:hAnsi="Times New Roman"/>
              </w:rPr>
              <w:t>pārņemts pilnībā</w:t>
            </w:r>
          </w:p>
        </w:tc>
        <w:tc>
          <w:tcPr>
            <w:tcW w:w="2891" w:type="dxa"/>
            <w:shd w:val="clear" w:color="auto" w:fill="auto"/>
            <w:vAlign w:val="center"/>
          </w:tcPr>
          <w:p w:rsidR="0074103C" w:rsidRPr="00F122F9" w:rsidP="0074103C" w14:paraId="4A335178" w14:textId="77777777">
            <w:pPr>
              <w:pStyle w:val="naisc"/>
              <w:spacing w:before="20" w:after="20"/>
              <w:jc w:val="both"/>
              <w:rPr>
                <w:sz w:val="22"/>
                <w:szCs w:val="22"/>
              </w:rPr>
            </w:pPr>
            <w:r w:rsidRPr="00765671">
              <w:rPr>
                <w:sz w:val="22"/>
                <w:szCs w:val="22"/>
              </w:rPr>
              <w:t>netiek pārņemts paredzot stingrākas vai mazāk stingras prasības</w:t>
            </w:r>
          </w:p>
        </w:tc>
      </w:tr>
      <w:tr w14:paraId="4A33517F" w14:textId="77777777" w:rsidTr="0074103C">
        <w:tblPrEx>
          <w:tblW w:w="9356" w:type="dxa"/>
          <w:jc w:val="center"/>
          <w:tblLayout w:type="fixed"/>
          <w:tblCellMar>
            <w:left w:w="0" w:type="dxa"/>
            <w:right w:w="0" w:type="dxa"/>
          </w:tblCellMar>
          <w:tblLook w:val="0000"/>
        </w:tblPrEx>
        <w:trPr>
          <w:trHeight w:val="284"/>
          <w:jc w:val="center"/>
        </w:trPr>
        <w:tc>
          <w:tcPr>
            <w:tcW w:w="1646" w:type="dxa"/>
            <w:shd w:val="clear" w:color="auto" w:fill="auto"/>
            <w:vAlign w:val="center"/>
          </w:tcPr>
          <w:p w:rsidR="0074103C" w:rsidP="0074103C" w14:paraId="4A33517A" w14:textId="77777777">
            <w:pPr>
              <w:spacing w:before="20" w:after="20"/>
              <w:rPr>
                <w:rFonts w:ascii="Times New Roman" w:hAnsi="Times New Roman"/>
              </w:rPr>
            </w:pPr>
            <w:r>
              <w:rPr>
                <w:rFonts w:ascii="Times New Roman" w:hAnsi="Times New Roman"/>
              </w:rPr>
              <w:t>5. punktā izteiktais direktīvas Nr.98/70/EK 7.a panta 4. punkts</w:t>
            </w:r>
          </w:p>
        </w:tc>
        <w:tc>
          <w:tcPr>
            <w:tcW w:w="2641" w:type="dxa"/>
            <w:shd w:val="clear" w:color="auto" w:fill="auto"/>
            <w:vAlign w:val="center"/>
          </w:tcPr>
          <w:p w:rsidR="0074103C" w:rsidP="0074103C" w14:paraId="4A33517B" w14:textId="77777777">
            <w:pPr>
              <w:spacing w:before="20" w:after="20"/>
              <w:rPr>
                <w:rFonts w:ascii="Times New Roman" w:hAnsi="Times New Roman"/>
              </w:rPr>
            </w:pPr>
            <w:r>
              <w:rPr>
                <w:rFonts w:ascii="Times New Roman" w:hAnsi="Times New Roman"/>
              </w:rPr>
              <w:t>Likumprojekta 17. punktā izteiktā Likuma 55. panta otrā daļa</w:t>
            </w:r>
          </w:p>
          <w:p w:rsidR="0074103C" w14:paraId="4A33517C" w14:textId="77777777">
            <w:pPr>
              <w:spacing w:before="20" w:after="20"/>
              <w:rPr>
                <w:rFonts w:ascii="Times New Roman" w:hAnsi="Times New Roman"/>
              </w:rPr>
            </w:pPr>
            <w:r>
              <w:rPr>
                <w:rFonts w:ascii="Times New Roman" w:hAnsi="Times New Roman"/>
              </w:rPr>
              <w:t>Tiks pārņemts, pieņemot Ministru kabineta noteikumus, kuriem deleģējums ir iekļauts likumprojekta 17. pantā izteiktajā Likuma 55. panta piektajā daļā.</w:t>
            </w:r>
          </w:p>
        </w:tc>
        <w:tc>
          <w:tcPr>
            <w:tcW w:w="1894" w:type="dxa"/>
            <w:shd w:val="clear" w:color="auto" w:fill="auto"/>
            <w:vAlign w:val="center"/>
          </w:tcPr>
          <w:p w:rsidR="0074103C" w:rsidRPr="00F122F9" w:rsidP="0074103C" w14:paraId="4A33517D" w14:textId="77777777">
            <w:pPr>
              <w:spacing w:before="20" w:after="20"/>
              <w:rPr>
                <w:rFonts w:ascii="Times New Roman" w:hAnsi="Times New Roman"/>
              </w:rPr>
            </w:pPr>
            <w:r w:rsidRPr="00765671">
              <w:rPr>
                <w:rFonts w:ascii="Times New Roman" w:hAnsi="Times New Roman"/>
              </w:rPr>
              <w:t>pārņemts pilnībā</w:t>
            </w:r>
          </w:p>
        </w:tc>
        <w:tc>
          <w:tcPr>
            <w:tcW w:w="2891" w:type="dxa"/>
            <w:shd w:val="clear" w:color="auto" w:fill="auto"/>
            <w:vAlign w:val="center"/>
          </w:tcPr>
          <w:p w:rsidR="0074103C" w:rsidRPr="00F122F9" w:rsidP="0074103C" w14:paraId="4A33517E" w14:textId="77777777">
            <w:pPr>
              <w:pStyle w:val="naisc"/>
              <w:spacing w:before="20" w:after="20"/>
              <w:jc w:val="both"/>
              <w:rPr>
                <w:sz w:val="22"/>
                <w:szCs w:val="22"/>
              </w:rPr>
            </w:pPr>
            <w:r w:rsidRPr="00765671">
              <w:rPr>
                <w:sz w:val="22"/>
                <w:szCs w:val="22"/>
              </w:rPr>
              <w:t>netiek pārņemts paredzot stingrākas vai mazāk stingras prasības</w:t>
            </w:r>
          </w:p>
        </w:tc>
      </w:tr>
      <w:tr w14:paraId="4A335184" w14:textId="77777777" w:rsidTr="0074103C">
        <w:tblPrEx>
          <w:tblW w:w="9356" w:type="dxa"/>
          <w:jc w:val="center"/>
          <w:tblLayout w:type="fixed"/>
          <w:tblCellMar>
            <w:left w:w="0" w:type="dxa"/>
            <w:right w:w="0" w:type="dxa"/>
          </w:tblCellMar>
          <w:tblLook w:val="0000"/>
        </w:tblPrEx>
        <w:trPr>
          <w:trHeight w:val="284"/>
          <w:jc w:val="center"/>
        </w:trPr>
        <w:tc>
          <w:tcPr>
            <w:tcW w:w="1646" w:type="dxa"/>
            <w:shd w:val="clear" w:color="auto" w:fill="auto"/>
            <w:vAlign w:val="center"/>
          </w:tcPr>
          <w:p w:rsidR="0074103C" w:rsidP="0074103C" w14:paraId="4A335180" w14:textId="77777777">
            <w:pPr>
              <w:spacing w:before="20" w:after="20"/>
              <w:rPr>
                <w:rFonts w:ascii="Times New Roman" w:hAnsi="Times New Roman"/>
              </w:rPr>
            </w:pPr>
            <w:r>
              <w:rPr>
                <w:rFonts w:ascii="Times New Roman" w:hAnsi="Times New Roman"/>
              </w:rPr>
              <w:t>5. punktā izteiktais direktīvas Nr. 98/70/EK 7.a panta 5. punkts</w:t>
            </w:r>
          </w:p>
        </w:tc>
        <w:tc>
          <w:tcPr>
            <w:tcW w:w="2641" w:type="dxa"/>
            <w:shd w:val="clear" w:color="auto" w:fill="auto"/>
            <w:vAlign w:val="center"/>
          </w:tcPr>
          <w:p w:rsidR="0074103C" w:rsidP="0074103C" w14:paraId="4A335181" w14:textId="77777777">
            <w:pPr>
              <w:spacing w:before="20" w:after="20"/>
              <w:rPr>
                <w:rFonts w:ascii="Times New Roman" w:hAnsi="Times New Roman"/>
              </w:rPr>
            </w:pPr>
            <w:r>
              <w:rPr>
                <w:rFonts w:ascii="Times New Roman" w:hAnsi="Times New Roman"/>
              </w:rPr>
              <w:t>Neattiecas uz Latviju</w:t>
            </w:r>
          </w:p>
        </w:tc>
        <w:tc>
          <w:tcPr>
            <w:tcW w:w="1894" w:type="dxa"/>
            <w:shd w:val="clear" w:color="auto" w:fill="auto"/>
            <w:vAlign w:val="center"/>
          </w:tcPr>
          <w:p w:rsidR="0074103C" w:rsidRPr="00F122F9" w:rsidP="0074103C" w14:paraId="4A335182" w14:textId="77777777">
            <w:pPr>
              <w:spacing w:before="20" w:after="20"/>
              <w:rPr>
                <w:rFonts w:ascii="Times New Roman" w:hAnsi="Times New Roman"/>
              </w:rPr>
            </w:pPr>
          </w:p>
        </w:tc>
        <w:tc>
          <w:tcPr>
            <w:tcW w:w="2891" w:type="dxa"/>
            <w:shd w:val="clear" w:color="auto" w:fill="auto"/>
            <w:vAlign w:val="center"/>
          </w:tcPr>
          <w:p w:rsidR="0074103C" w:rsidRPr="00F122F9" w:rsidP="0074103C" w14:paraId="4A335183" w14:textId="77777777">
            <w:pPr>
              <w:pStyle w:val="naisc"/>
              <w:spacing w:before="20" w:after="20"/>
              <w:jc w:val="both"/>
              <w:rPr>
                <w:sz w:val="22"/>
                <w:szCs w:val="22"/>
              </w:rPr>
            </w:pPr>
          </w:p>
        </w:tc>
      </w:tr>
      <w:tr w14:paraId="4A335188" w14:textId="77777777" w:rsidTr="0074103C">
        <w:tblPrEx>
          <w:tblW w:w="9356" w:type="dxa"/>
          <w:jc w:val="center"/>
          <w:tblLayout w:type="fixed"/>
          <w:tblCellMar>
            <w:left w:w="0" w:type="dxa"/>
            <w:right w:w="0" w:type="dxa"/>
          </w:tblCellMar>
          <w:tblLook w:val="0000"/>
        </w:tblPrEx>
        <w:trPr>
          <w:trHeight w:val="284"/>
          <w:jc w:val="center"/>
        </w:trPr>
        <w:tc>
          <w:tcPr>
            <w:tcW w:w="1646" w:type="dxa"/>
          </w:tcPr>
          <w:p w:rsidR="0074103C" w:rsidRPr="00F122F9" w:rsidP="0074103C" w14:paraId="4A335185" w14:textId="77777777">
            <w:pPr>
              <w:pStyle w:val="naisc"/>
              <w:spacing w:before="60" w:after="60"/>
              <w:jc w:val="left"/>
              <w:rPr>
                <w:sz w:val="22"/>
                <w:szCs w:val="22"/>
              </w:rPr>
            </w:pPr>
            <w:r w:rsidRPr="00F122F9">
              <w:rPr>
                <w:sz w:val="22"/>
                <w:szCs w:val="22"/>
              </w:rPr>
              <w:t>Kā ir izmantota ES tiesību aktā paredzētā rīcības brīvība dalībvalstij pārņemt vai ieviest noteiktas ES tiesību akta normas?</w:t>
            </w:r>
          </w:p>
          <w:p w:rsidR="0074103C" w:rsidRPr="00F122F9" w:rsidP="0074103C" w14:paraId="4A335186" w14:textId="77777777">
            <w:pPr>
              <w:spacing w:before="60" w:after="60"/>
              <w:ind w:left="57"/>
              <w:jc w:val="left"/>
              <w:rPr>
                <w:rFonts w:ascii="Times New Roman" w:hAnsi="Times New Roman"/>
              </w:rPr>
            </w:pPr>
            <w:r w:rsidRPr="00F122F9">
              <w:rPr>
                <w:rFonts w:ascii="Times New Roman" w:hAnsi="Times New Roman"/>
              </w:rPr>
              <w:t>Kādēļ?</w:t>
            </w:r>
            <w:r w:rsidRPr="00F122F9">
              <w:rPr>
                <w:rFonts w:ascii="Times New Roman" w:hAnsi="Times New Roman"/>
              </w:rPr>
              <w:tab/>
            </w:r>
          </w:p>
        </w:tc>
        <w:tc>
          <w:tcPr>
            <w:tcW w:w="7426" w:type="dxa"/>
            <w:gridSpan w:val="3"/>
          </w:tcPr>
          <w:p w:rsidR="0074103C" w:rsidRPr="00F122F9" w:rsidP="0074103C" w14:paraId="4A335187" w14:textId="77777777">
            <w:pPr>
              <w:pStyle w:val="naisc"/>
              <w:spacing w:before="60" w:after="60"/>
              <w:jc w:val="both"/>
              <w:rPr>
                <w:sz w:val="22"/>
                <w:szCs w:val="22"/>
              </w:rPr>
            </w:pPr>
            <w:r w:rsidRPr="00F122F9">
              <w:rPr>
                <w:sz w:val="22"/>
                <w:szCs w:val="22"/>
              </w:rPr>
              <w:t>Projekts šo jomu neskar.</w:t>
            </w:r>
          </w:p>
        </w:tc>
      </w:tr>
      <w:tr w14:paraId="4A33518B" w14:textId="77777777" w:rsidTr="0074103C">
        <w:tblPrEx>
          <w:tblW w:w="9356" w:type="dxa"/>
          <w:jc w:val="center"/>
          <w:tblLayout w:type="fixed"/>
          <w:tblCellMar>
            <w:left w:w="0" w:type="dxa"/>
            <w:right w:w="0" w:type="dxa"/>
          </w:tblCellMar>
          <w:tblLook w:val="0000"/>
        </w:tblPrEx>
        <w:trPr>
          <w:trHeight w:val="284"/>
          <w:jc w:val="center"/>
        </w:trPr>
        <w:tc>
          <w:tcPr>
            <w:tcW w:w="1646" w:type="dxa"/>
          </w:tcPr>
          <w:p w:rsidR="0074103C" w:rsidRPr="00F122F9" w:rsidP="0074103C" w14:paraId="4A335189" w14:textId="77777777">
            <w:pPr>
              <w:spacing w:before="60" w:after="60"/>
              <w:ind w:left="57"/>
              <w:jc w:val="left"/>
              <w:rPr>
                <w:rFonts w:ascii="Times New Roman" w:hAnsi="Times New Roman"/>
              </w:rPr>
            </w:pPr>
            <w:r w:rsidRPr="00F122F9">
              <w:rPr>
                <w:rFonts w:ascii="Times New Roman" w:hAnsi="Times New Roman"/>
              </w:rPr>
              <w:t>Saistības sniegt paziņojumu ES institūcijām un ES dalībvalstīm atbilstoši normatīvajiem aktiem, kas regulē informācijas sniegšanu par tehnisko noteikumu, valsts atbalsts piešķiršanas un finanšu noteikumus (attiecībā un monetāro politiku)</w:t>
            </w:r>
          </w:p>
        </w:tc>
        <w:tc>
          <w:tcPr>
            <w:tcW w:w="7426" w:type="dxa"/>
            <w:gridSpan w:val="3"/>
          </w:tcPr>
          <w:p w:rsidR="0074103C" w:rsidRPr="00F122F9" w:rsidP="0074103C" w14:paraId="4A33518A" w14:textId="77777777">
            <w:pPr>
              <w:pStyle w:val="naisc"/>
              <w:spacing w:before="60" w:after="60"/>
              <w:jc w:val="both"/>
              <w:rPr>
                <w:sz w:val="22"/>
                <w:szCs w:val="22"/>
              </w:rPr>
            </w:pPr>
            <w:r w:rsidRPr="00F122F9">
              <w:rPr>
                <w:sz w:val="22"/>
                <w:szCs w:val="22"/>
              </w:rPr>
              <w:t>Projekts šo jomu neskar.</w:t>
            </w:r>
          </w:p>
        </w:tc>
      </w:tr>
      <w:tr w14:paraId="4A33518F" w14:textId="77777777" w:rsidTr="0074103C">
        <w:tblPrEx>
          <w:tblW w:w="9356" w:type="dxa"/>
          <w:jc w:val="center"/>
          <w:tblLayout w:type="fixed"/>
          <w:tblCellMar>
            <w:left w:w="0" w:type="dxa"/>
            <w:right w:w="0" w:type="dxa"/>
          </w:tblCellMar>
          <w:tblLook w:val="0000"/>
        </w:tblPrEx>
        <w:trPr>
          <w:trHeight w:val="284"/>
          <w:jc w:val="center"/>
        </w:trPr>
        <w:tc>
          <w:tcPr>
            <w:tcW w:w="1646" w:type="dxa"/>
          </w:tcPr>
          <w:p w:rsidR="0074103C" w:rsidRPr="00F122F9" w:rsidP="0074103C" w14:paraId="4A33518C" w14:textId="77777777">
            <w:pPr>
              <w:spacing w:before="60" w:after="60"/>
              <w:ind w:left="57"/>
              <w:rPr>
                <w:rFonts w:ascii="Times New Roman" w:hAnsi="Times New Roman"/>
              </w:rPr>
            </w:pPr>
            <w:r w:rsidRPr="00F122F9">
              <w:rPr>
                <w:rFonts w:ascii="Times New Roman" w:hAnsi="Times New Roman"/>
              </w:rPr>
              <w:t>Cita informācija</w:t>
            </w:r>
          </w:p>
        </w:tc>
        <w:tc>
          <w:tcPr>
            <w:tcW w:w="7426" w:type="dxa"/>
            <w:gridSpan w:val="3"/>
          </w:tcPr>
          <w:p w:rsidR="0074103C" w:rsidP="0074103C" w14:paraId="4A33518D" w14:textId="0C22B1B8">
            <w:pPr>
              <w:spacing w:before="60" w:after="60"/>
              <w:rPr>
                <w:rFonts w:ascii="Times New Roman" w:hAnsi="Times New Roman"/>
              </w:rPr>
            </w:pPr>
            <w:r w:rsidRPr="008422AA">
              <w:rPr>
                <w:rFonts w:ascii="Times New Roman" w:hAnsi="Times New Roman"/>
              </w:rPr>
              <w:t xml:space="preserve">Lai nodrošinātu pilnīgu </w:t>
            </w:r>
            <w:r w:rsidR="002E4363">
              <w:rPr>
                <w:rFonts w:ascii="Times New Roman" w:hAnsi="Times New Roman"/>
              </w:rPr>
              <w:t>r</w:t>
            </w:r>
            <w:r w:rsidRPr="008422AA">
              <w:rPr>
                <w:rFonts w:ascii="Times New Roman" w:hAnsi="Times New Roman"/>
              </w:rPr>
              <w:t>egulas Nr.</w:t>
            </w:r>
            <w:r>
              <w:rPr>
                <w:rFonts w:ascii="Times New Roman" w:hAnsi="Times New Roman"/>
              </w:rPr>
              <w:t> </w:t>
            </w:r>
            <w:r w:rsidRPr="008422AA">
              <w:rPr>
                <w:rFonts w:ascii="Times New Roman" w:hAnsi="Times New Roman"/>
              </w:rPr>
              <w:t xml:space="preserve">2015/757 </w:t>
            </w:r>
            <w:r>
              <w:rPr>
                <w:rFonts w:ascii="Times New Roman" w:hAnsi="Times New Roman"/>
              </w:rPr>
              <w:t>19.</w:t>
            </w:r>
            <w:r w:rsidR="002E4363">
              <w:rPr>
                <w:rFonts w:ascii="Times New Roman" w:hAnsi="Times New Roman"/>
              </w:rPr>
              <w:t> </w:t>
            </w:r>
            <w:r>
              <w:rPr>
                <w:rFonts w:ascii="Times New Roman" w:hAnsi="Times New Roman"/>
              </w:rPr>
              <w:t>panta un 20.</w:t>
            </w:r>
            <w:r w:rsidR="002E4363">
              <w:rPr>
                <w:rFonts w:ascii="Times New Roman" w:hAnsi="Times New Roman"/>
              </w:rPr>
              <w:t> </w:t>
            </w:r>
            <w:r>
              <w:rPr>
                <w:rFonts w:ascii="Times New Roman" w:hAnsi="Times New Roman"/>
              </w:rPr>
              <w:t>panta 3.</w:t>
            </w:r>
            <w:r w:rsidR="002E4363">
              <w:rPr>
                <w:rFonts w:ascii="Times New Roman" w:hAnsi="Times New Roman"/>
              </w:rPr>
              <w:t> </w:t>
            </w:r>
            <w:r>
              <w:rPr>
                <w:rFonts w:ascii="Times New Roman" w:hAnsi="Times New Roman"/>
              </w:rPr>
              <w:t xml:space="preserve">punkta </w:t>
            </w:r>
            <w:r w:rsidRPr="008422AA">
              <w:rPr>
                <w:rFonts w:ascii="Times New Roman" w:hAnsi="Times New Roman"/>
              </w:rPr>
              <w:t xml:space="preserve">piemērošanu, </w:t>
            </w:r>
            <w:r w:rsidR="002E4363">
              <w:rPr>
                <w:rFonts w:ascii="Times New Roman" w:hAnsi="Times New Roman"/>
              </w:rPr>
              <w:t xml:space="preserve">Ministru kabinets </w:t>
            </w:r>
            <w:r w:rsidR="005E4EA4">
              <w:rPr>
                <w:rFonts w:ascii="Times New Roman" w:hAnsi="Times New Roman"/>
              </w:rPr>
              <w:t>2017.</w:t>
            </w:r>
            <w:r w:rsidR="002E4363">
              <w:rPr>
                <w:rFonts w:ascii="Times New Roman" w:hAnsi="Times New Roman"/>
              </w:rPr>
              <w:t> </w:t>
            </w:r>
            <w:r w:rsidR="005E4EA4">
              <w:rPr>
                <w:rFonts w:ascii="Times New Roman" w:hAnsi="Times New Roman"/>
              </w:rPr>
              <w:t>gada 27.</w:t>
            </w:r>
            <w:r w:rsidR="002E4363">
              <w:rPr>
                <w:rFonts w:ascii="Times New Roman" w:hAnsi="Times New Roman"/>
              </w:rPr>
              <w:t> </w:t>
            </w:r>
            <w:r w:rsidR="0064362B">
              <w:rPr>
                <w:rFonts w:ascii="Times New Roman" w:hAnsi="Times New Roman"/>
              </w:rPr>
              <w:t>jūnijā</w:t>
            </w:r>
            <w:r w:rsidR="005E4EA4">
              <w:rPr>
                <w:rFonts w:ascii="Times New Roman" w:hAnsi="Times New Roman"/>
              </w:rPr>
              <w:t xml:space="preserve"> pieņ</w:t>
            </w:r>
            <w:r w:rsidR="002E4363">
              <w:rPr>
                <w:rFonts w:ascii="Times New Roman" w:hAnsi="Times New Roman"/>
              </w:rPr>
              <w:t>ēma</w:t>
            </w:r>
            <w:r w:rsidR="005E4EA4">
              <w:rPr>
                <w:rFonts w:ascii="Times New Roman" w:hAnsi="Times New Roman"/>
              </w:rPr>
              <w:t xml:space="preserve"> Ministru kabineta noteikum</w:t>
            </w:r>
            <w:r w:rsidR="002E4363">
              <w:rPr>
                <w:rFonts w:ascii="Times New Roman" w:hAnsi="Times New Roman"/>
              </w:rPr>
              <w:t>us</w:t>
            </w:r>
            <w:r w:rsidR="005E4EA4">
              <w:rPr>
                <w:rFonts w:ascii="Times New Roman" w:hAnsi="Times New Roman"/>
              </w:rPr>
              <w:t xml:space="preserve"> Nr.</w:t>
            </w:r>
            <w:r w:rsidR="002E4363">
              <w:rPr>
                <w:rFonts w:ascii="Times New Roman" w:hAnsi="Times New Roman"/>
              </w:rPr>
              <w:t> </w:t>
            </w:r>
            <w:r w:rsidR="005E4EA4">
              <w:rPr>
                <w:rFonts w:ascii="Times New Roman" w:hAnsi="Times New Roman"/>
              </w:rPr>
              <w:t>383 “</w:t>
            </w:r>
            <w:r w:rsidRPr="005E4EA4" w:rsidR="005E4EA4">
              <w:rPr>
                <w:rFonts w:ascii="Times New Roman" w:hAnsi="Times New Roman"/>
              </w:rPr>
              <w:t>Grozījumi Ministru kabineta 2010.</w:t>
            </w:r>
            <w:r w:rsidR="002E4363">
              <w:rPr>
                <w:rFonts w:ascii="Times New Roman" w:hAnsi="Times New Roman"/>
              </w:rPr>
              <w:t> </w:t>
            </w:r>
            <w:r w:rsidRPr="005E4EA4" w:rsidR="005E4EA4">
              <w:rPr>
                <w:rFonts w:ascii="Times New Roman" w:hAnsi="Times New Roman"/>
              </w:rPr>
              <w:t>gada 21.</w:t>
            </w:r>
            <w:r w:rsidR="002E4363">
              <w:rPr>
                <w:rFonts w:ascii="Times New Roman" w:hAnsi="Times New Roman"/>
              </w:rPr>
              <w:t> </w:t>
            </w:r>
            <w:r w:rsidRPr="005E4EA4" w:rsidR="005E4EA4">
              <w:rPr>
                <w:rFonts w:ascii="Times New Roman" w:hAnsi="Times New Roman"/>
              </w:rPr>
              <w:t>decembra noteikumos Nr.</w:t>
            </w:r>
            <w:r w:rsidR="002E4363">
              <w:rPr>
                <w:rFonts w:ascii="Times New Roman" w:hAnsi="Times New Roman"/>
              </w:rPr>
              <w:t> </w:t>
            </w:r>
            <w:r w:rsidRPr="005E4EA4" w:rsidR="005E4EA4">
              <w:rPr>
                <w:rFonts w:ascii="Times New Roman" w:hAnsi="Times New Roman"/>
              </w:rPr>
              <w:t xml:space="preserve">1164 </w:t>
            </w:r>
            <w:r w:rsidR="002E4363">
              <w:rPr>
                <w:rFonts w:ascii="Times New Roman" w:hAnsi="Times New Roman"/>
              </w:rPr>
              <w:t>“</w:t>
            </w:r>
            <w:r w:rsidR="005E4EA4">
              <w:rPr>
                <w:rFonts w:ascii="Times New Roman" w:hAnsi="Times New Roman"/>
              </w:rPr>
              <w:t>Ostas valsts kontroles kārtība”</w:t>
            </w:r>
            <w:r w:rsidR="00373780">
              <w:rPr>
                <w:rFonts w:ascii="Times New Roman" w:hAnsi="Times New Roman"/>
              </w:rPr>
              <w:t>”</w:t>
            </w:r>
            <w:r w:rsidRPr="008422AA">
              <w:rPr>
                <w:rFonts w:ascii="Times New Roman" w:hAnsi="Times New Roman"/>
              </w:rPr>
              <w:t>.</w:t>
            </w:r>
          </w:p>
          <w:p w:rsidR="003C1ACB" w:rsidRPr="003C1ACB" w:rsidP="005E4EA4" w14:paraId="4A33518E" w14:textId="77777777">
            <w:pPr>
              <w:spacing w:before="60" w:after="60"/>
              <w:rPr>
                <w:rFonts w:ascii="Times New Roman" w:hAnsi="Times New Roman"/>
                <w:lang w:eastAsia="lv-LV"/>
              </w:rPr>
            </w:pPr>
            <w:r w:rsidRPr="006F2118">
              <w:rPr>
                <w:rFonts w:ascii="Times New Roman" w:hAnsi="Times New Roman"/>
                <w:lang w:eastAsia="lv-LV"/>
              </w:rPr>
              <w:t>Šajos noteikumos</w:t>
            </w:r>
            <w:r w:rsidR="005E4EA4">
              <w:rPr>
                <w:rFonts w:ascii="Times New Roman" w:hAnsi="Times New Roman"/>
                <w:lang w:eastAsia="lv-LV"/>
              </w:rPr>
              <w:t xml:space="preserve"> ir iekļauti nosacījumi</w:t>
            </w:r>
            <w:r w:rsidRPr="006F2118">
              <w:rPr>
                <w:rFonts w:ascii="Times New Roman" w:hAnsi="Times New Roman"/>
                <w:lang w:eastAsia="lv-LV"/>
              </w:rPr>
              <w:t xml:space="preserve"> attiecībā uz </w:t>
            </w:r>
            <w:r w:rsidR="002E4363">
              <w:rPr>
                <w:rFonts w:ascii="Times New Roman" w:hAnsi="Times New Roman"/>
                <w:lang w:eastAsia="lv-LV"/>
              </w:rPr>
              <w:t>r</w:t>
            </w:r>
            <w:r w:rsidRPr="006F2118">
              <w:rPr>
                <w:rFonts w:ascii="Times New Roman" w:hAnsi="Times New Roman"/>
                <w:lang w:eastAsia="lv-LV"/>
              </w:rPr>
              <w:t>egulas Nr. 2015/757 20. panta 3. punktu – izraidīšanas rīkojuma vai lēmuma par ienākšanas aizliegumu pieņemšana (administratīvo aktu pieņemtu Latvijas Jūras administrācijas Kuģošanas drošības inspekcija, savukārt izpildi nodrošinātu Nacionālo bruņoto spēku Jūras spēku flotiles Krasta apsardzes dienests), apstrīdēšana vai pārstrīdēšana. Ti</w:t>
            </w:r>
            <w:r w:rsidR="005E4EA4">
              <w:rPr>
                <w:rFonts w:ascii="Times New Roman" w:hAnsi="Times New Roman"/>
                <w:lang w:eastAsia="lv-LV"/>
              </w:rPr>
              <w:t xml:space="preserve">ek arī </w:t>
            </w:r>
            <w:r w:rsidRPr="006F2118">
              <w:rPr>
                <w:rFonts w:ascii="Times New Roman" w:hAnsi="Times New Roman"/>
                <w:lang w:eastAsia="lv-LV"/>
              </w:rPr>
              <w:t xml:space="preserve">noteikts, ka Latvijas Jūras administrācijas Kuģošanas drošības inspekcijas ostas valsts kontroles inspektors katrā sākotnējā inspekcijā pārbauda, vai uz konkrētā kuģa atrodas </w:t>
            </w:r>
            <w:r w:rsidR="002E4363">
              <w:rPr>
                <w:rFonts w:ascii="Times New Roman" w:hAnsi="Times New Roman"/>
                <w:lang w:eastAsia="lv-LV"/>
              </w:rPr>
              <w:t>r</w:t>
            </w:r>
            <w:r w:rsidRPr="006F2118">
              <w:rPr>
                <w:rFonts w:ascii="Times New Roman" w:hAnsi="Times New Roman"/>
                <w:lang w:eastAsia="lv-LV"/>
              </w:rPr>
              <w:t>egulas Nr. 2015/757 17. pantā minētais atbilstības dokuments (</w:t>
            </w:r>
            <w:r w:rsidR="002E4363">
              <w:rPr>
                <w:rFonts w:ascii="Times New Roman" w:hAnsi="Times New Roman"/>
                <w:lang w:eastAsia="lv-LV"/>
              </w:rPr>
              <w:t>r</w:t>
            </w:r>
            <w:r w:rsidRPr="006F2118">
              <w:rPr>
                <w:rFonts w:ascii="Times New Roman" w:hAnsi="Times New Roman"/>
                <w:lang w:eastAsia="lv-LV"/>
              </w:rPr>
              <w:t xml:space="preserve">egulas Nr. 2015/757 18. pantā ir noteikts pienākums uz kuģa turēt derīgu atbilstības dokumentu). Šādas inspekcijas veikšanu nosaka </w:t>
            </w:r>
            <w:r w:rsidR="002E4363">
              <w:rPr>
                <w:rFonts w:ascii="Times New Roman" w:hAnsi="Times New Roman"/>
                <w:lang w:eastAsia="lv-LV"/>
              </w:rPr>
              <w:t>r</w:t>
            </w:r>
            <w:r w:rsidRPr="006F2118">
              <w:rPr>
                <w:rFonts w:ascii="Times New Roman" w:hAnsi="Times New Roman"/>
                <w:lang w:eastAsia="lv-LV"/>
              </w:rPr>
              <w:t>egulas Nr. 2015/757 19. panta 2. punkts.</w:t>
            </w:r>
          </w:p>
        </w:tc>
      </w:tr>
      <w:tr w14:paraId="4A335193" w14:textId="77777777" w:rsidTr="0074103C">
        <w:tblPrEx>
          <w:tblW w:w="9356" w:type="dxa"/>
          <w:jc w:val="center"/>
          <w:tblLayout w:type="fixed"/>
          <w:tblCellMar>
            <w:left w:w="0" w:type="dxa"/>
            <w:right w:w="0" w:type="dxa"/>
          </w:tblCellMar>
          <w:tblLook w:val="0000"/>
        </w:tblPrEx>
        <w:trPr>
          <w:trHeight w:val="284"/>
          <w:jc w:val="center"/>
        </w:trPr>
        <w:tc>
          <w:tcPr>
            <w:tcW w:w="9072" w:type="dxa"/>
            <w:gridSpan w:val="4"/>
          </w:tcPr>
          <w:p w:rsidR="0074103C" w:rsidRPr="00F122F9" w:rsidP="0074103C" w14:paraId="4A335190" w14:textId="77777777">
            <w:pPr>
              <w:pStyle w:val="naisc"/>
              <w:spacing w:before="60" w:after="60"/>
              <w:ind w:firstLine="266"/>
              <w:rPr>
                <w:b/>
                <w:sz w:val="22"/>
                <w:szCs w:val="22"/>
              </w:rPr>
            </w:pPr>
            <w:r w:rsidRPr="00F122F9">
              <w:rPr>
                <w:b/>
                <w:sz w:val="22"/>
                <w:szCs w:val="22"/>
              </w:rPr>
              <w:t>2.tabula</w:t>
            </w:r>
          </w:p>
          <w:p w:rsidR="0074103C" w:rsidRPr="00F122F9" w:rsidP="0074103C" w14:paraId="4A335191" w14:textId="77777777">
            <w:pPr>
              <w:pStyle w:val="naisc"/>
              <w:spacing w:before="60" w:after="60"/>
              <w:ind w:firstLine="266"/>
              <w:rPr>
                <w:b/>
                <w:sz w:val="22"/>
                <w:szCs w:val="22"/>
              </w:rPr>
            </w:pPr>
            <w:r w:rsidRPr="00F122F9">
              <w:rPr>
                <w:b/>
                <w:sz w:val="22"/>
                <w:szCs w:val="22"/>
              </w:rPr>
              <w:t>Ar tiesību akta projektu izpildītās vai uzņemtās saistības, kas izriet no starptautiskajiem tiesību aktiem vai starptautiskas institūcijas vai organizācijas dokumentiem.</w:t>
            </w:r>
          </w:p>
          <w:p w:rsidR="0074103C" w:rsidRPr="00F122F9" w:rsidP="0074103C" w14:paraId="4A335192" w14:textId="77777777">
            <w:pPr>
              <w:pStyle w:val="naisc"/>
              <w:spacing w:before="60" w:after="60"/>
              <w:ind w:firstLine="266"/>
              <w:rPr>
                <w:i/>
                <w:sz w:val="22"/>
                <w:szCs w:val="22"/>
              </w:rPr>
            </w:pPr>
            <w:r w:rsidRPr="00F122F9">
              <w:rPr>
                <w:b/>
                <w:sz w:val="22"/>
                <w:szCs w:val="22"/>
              </w:rPr>
              <w:t>Pasākumi šo saistību izpildei</w:t>
            </w:r>
          </w:p>
        </w:tc>
      </w:tr>
      <w:tr w14:paraId="4A335195" w14:textId="77777777" w:rsidTr="0074103C">
        <w:tblPrEx>
          <w:tblW w:w="9356" w:type="dxa"/>
          <w:jc w:val="center"/>
          <w:tblLayout w:type="fixed"/>
          <w:tblCellMar>
            <w:left w:w="0" w:type="dxa"/>
            <w:right w:w="0" w:type="dxa"/>
          </w:tblCellMar>
          <w:tblLook w:val="0000"/>
        </w:tblPrEx>
        <w:trPr>
          <w:trHeight w:val="284"/>
          <w:jc w:val="center"/>
        </w:trPr>
        <w:tc>
          <w:tcPr>
            <w:tcW w:w="9072" w:type="dxa"/>
            <w:gridSpan w:val="4"/>
          </w:tcPr>
          <w:p w:rsidR="0074103C" w:rsidRPr="00267CB7" w:rsidP="0074103C" w14:paraId="4A335194" w14:textId="77777777">
            <w:pPr>
              <w:pStyle w:val="naisc"/>
              <w:spacing w:before="60" w:beforeAutospacing="1" w:after="60" w:afterAutospacing="1"/>
              <w:ind w:firstLine="266"/>
              <w:jc w:val="both"/>
            </w:pPr>
            <w:r w:rsidRPr="005E05BA">
              <w:rPr>
                <w:rFonts w:eastAsia="Calibri"/>
                <w:sz w:val="22"/>
                <w:szCs w:val="22"/>
                <w:lang w:eastAsia="en-US"/>
              </w:rPr>
              <w:t>Eiropas Padomes Cilvēka tiesību un pamatbrīvību aizsardzības konvencijas 2. pants.</w:t>
            </w:r>
          </w:p>
        </w:tc>
      </w:tr>
    </w:tbl>
    <w:p w:rsidR="0074103C" w:rsidRPr="00F122F9" w:rsidP="0074103C" w14:paraId="4A335196" w14:textId="77777777">
      <w:pPr>
        <w:shd w:val="clear" w:color="auto" w:fill="FFFFFF"/>
        <w:spacing w:after="0"/>
        <w:jc w:val="left"/>
        <w:rPr>
          <w:rFonts w:ascii="Times New Roman" w:hAnsi="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468"/>
        <w:gridCol w:w="2560"/>
        <w:gridCol w:w="6328"/>
      </w:tblGrid>
      <w:tr w14:paraId="4A335198" w14:textId="77777777" w:rsidTr="0074103C">
        <w:tblPrEx>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Ex>
        <w:trPr>
          <w:trHeight w:val="420"/>
          <w:jc w:val="center"/>
        </w:trPr>
        <w:tc>
          <w:tcPr>
            <w:tcW w:w="0" w:type="auto"/>
            <w:gridSpan w:val="3"/>
            <w:vAlign w:val="center"/>
          </w:tcPr>
          <w:p w:rsidR="0074103C" w:rsidRPr="00F122F9" w:rsidP="0074103C" w14:paraId="4A335197" w14:textId="77777777">
            <w:pPr>
              <w:pStyle w:val="tvhtml"/>
              <w:spacing w:before="60" w:beforeAutospacing="0" w:after="60" w:afterAutospacing="0"/>
              <w:jc w:val="center"/>
              <w:rPr>
                <w:b/>
                <w:bCs/>
                <w:sz w:val="22"/>
                <w:szCs w:val="22"/>
              </w:rPr>
            </w:pPr>
            <w:r w:rsidRPr="00F122F9">
              <w:rPr>
                <w:b/>
                <w:bCs/>
                <w:sz w:val="22"/>
                <w:szCs w:val="22"/>
              </w:rPr>
              <w:t>VI. Sabiedrības līdzdalība un komunikācijas aktivitātes</w:t>
            </w:r>
          </w:p>
        </w:tc>
      </w:tr>
      <w:tr w14:paraId="4A33519D" w14:textId="77777777" w:rsidTr="0074103C">
        <w:tblPrEx>
          <w:tblW w:w="9356" w:type="dxa"/>
          <w:jc w:val="center"/>
          <w:tblCellMar>
            <w:top w:w="30" w:type="dxa"/>
            <w:left w:w="30" w:type="dxa"/>
            <w:bottom w:w="30" w:type="dxa"/>
            <w:right w:w="30" w:type="dxa"/>
          </w:tblCellMar>
          <w:tblLook w:val="00A0"/>
        </w:tblPrEx>
        <w:trPr>
          <w:trHeight w:val="540"/>
          <w:jc w:val="center"/>
        </w:trPr>
        <w:tc>
          <w:tcPr>
            <w:tcW w:w="250" w:type="pct"/>
          </w:tcPr>
          <w:p w:rsidR="0074103C" w:rsidRPr="00F122F9" w:rsidP="0074103C" w14:paraId="4A335199" w14:textId="77777777">
            <w:pPr>
              <w:spacing w:before="60" w:after="60"/>
              <w:rPr>
                <w:rFonts w:ascii="Times New Roman" w:hAnsi="Times New Roman"/>
              </w:rPr>
            </w:pPr>
            <w:r w:rsidRPr="00F122F9">
              <w:rPr>
                <w:rFonts w:ascii="Times New Roman" w:hAnsi="Times New Roman"/>
              </w:rPr>
              <w:t>1.</w:t>
            </w:r>
          </w:p>
        </w:tc>
        <w:tc>
          <w:tcPr>
            <w:tcW w:w="1368" w:type="pct"/>
          </w:tcPr>
          <w:p w:rsidR="0074103C" w:rsidRPr="00F122F9" w:rsidP="0074103C" w14:paraId="4A33519A" w14:textId="77777777">
            <w:pPr>
              <w:spacing w:before="60" w:after="60"/>
              <w:rPr>
                <w:rFonts w:ascii="Times New Roman" w:hAnsi="Times New Roman"/>
              </w:rPr>
            </w:pPr>
            <w:r w:rsidRPr="00F122F9">
              <w:rPr>
                <w:rFonts w:ascii="Times New Roman" w:hAnsi="Times New Roman"/>
              </w:rPr>
              <w:t>Plānotās sabiedrības līdzdalības un komunikācijas aktivitātes saistībā ar projektu</w:t>
            </w:r>
          </w:p>
        </w:tc>
        <w:tc>
          <w:tcPr>
            <w:tcW w:w="3382" w:type="pct"/>
          </w:tcPr>
          <w:p w:rsidR="0074103C" w:rsidRPr="00411594" w:rsidP="0074103C" w14:paraId="4A33519C" w14:textId="2A089784">
            <w:pPr>
              <w:pStyle w:val="naiskr"/>
              <w:spacing w:before="60" w:after="60"/>
              <w:jc w:val="both"/>
              <w:rPr>
                <w:sz w:val="22"/>
                <w:szCs w:val="22"/>
              </w:rPr>
            </w:pPr>
            <w:r w:rsidRPr="00411594">
              <w:rPr>
                <w:sz w:val="22"/>
                <w:szCs w:val="22"/>
              </w:rPr>
              <w:t>Saskaņā ar Ministru kabineta 2009. gada 25. augusta noteikumu Nr. 970 „Sabiedrības līdzdalības kārtība attīstības plānošanas procesā” 7.4.</w:t>
            </w:r>
            <w:r w:rsidRPr="00411594">
              <w:rPr>
                <w:sz w:val="22"/>
                <w:szCs w:val="22"/>
                <w:vertAlign w:val="superscript"/>
              </w:rPr>
              <w:t>1 </w:t>
            </w:r>
            <w:r w:rsidRPr="00411594">
              <w:rPr>
                <w:sz w:val="22"/>
                <w:szCs w:val="22"/>
              </w:rPr>
              <w:t xml:space="preserve">apakšpunktu sabiedrības pārstāvji ir aicināti līdzdarboties, rakstiski sniedzot viedokli par likumprojektu tā izstrādes stadijā. Sabiedrības pārstāvji ir informēti par iespēju līdzdarboties, publicējot paziņojumu par līdzdalības procesu </w:t>
            </w:r>
            <w:r>
              <w:rPr>
                <w:sz w:val="22"/>
                <w:szCs w:val="22"/>
              </w:rPr>
              <w:t>VARAM</w:t>
            </w:r>
            <w:r w:rsidRPr="00411594">
              <w:rPr>
                <w:sz w:val="22"/>
                <w:szCs w:val="22"/>
              </w:rPr>
              <w:t xml:space="preserve"> tīmekļvietnē.</w:t>
            </w:r>
          </w:p>
        </w:tc>
      </w:tr>
      <w:tr w14:paraId="4A3351A1" w14:textId="77777777" w:rsidTr="0074103C">
        <w:tblPrEx>
          <w:tblW w:w="9356" w:type="dxa"/>
          <w:jc w:val="center"/>
          <w:tblCellMar>
            <w:top w:w="30" w:type="dxa"/>
            <w:left w:w="30" w:type="dxa"/>
            <w:bottom w:w="30" w:type="dxa"/>
            <w:right w:w="30" w:type="dxa"/>
          </w:tblCellMar>
          <w:tblLook w:val="00A0"/>
        </w:tblPrEx>
        <w:trPr>
          <w:trHeight w:val="330"/>
          <w:jc w:val="center"/>
        </w:trPr>
        <w:tc>
          <w:tcPr>
            <w:tcW w:w="250" w:type="pct"/>
          </w:tcPr>
          <w:p w:rsidR="0074103C" w:rsidRPr="00F122F9" w:rsidP="0074103C" w14:paraId="4A33519E" w14:textId="77777777">
            <w:pPr>
              <w:spacing w:before="60" w:after="60"/>
              <w:rPr>
                <w:rFonts w:ascii="Times New Roman" w:hAnsi="Times New Roman"/>
              </w:rPr>
            </w:pPr>
            <w:r w:rsidRPr="00F122F9">
              <w:rPr>
                <w:rFonts w:ascii="Times New Roman" w:hAnsi="Times New Roman"/>
              </w:rPr>
              <w:t>2.</w:t>
            </w:r>
          </w:p>
        </w:tc>
        <w:tc>
          <w:tcPr>
            <w:tcW w:w="1368" w:type="pct"/>
          </w:tcPr>
          <w:p w:rsidR="0074103C" w:rsidRPr="00F122F9" w:rsidP="0074103C" w14:paraId="4A33519F" w14:textId="77777777">
            <w:pPr>
              <w:spacing w:before="60" w:after="60"/>
              <w:rPr>
                <w:rFonts w:ascii="Times New Roman" w:hAnsi="Times New Roman"/>
              </w:rPr>
            </w:pPr>
            <w:r w:rsidRPr="00F122F9">
              <w:rPr>
                <w:rFonts w:ascii="Times New Roman" w:hAnsi="Times New Roman"/>
              </w:rPr>
              <w:t>Sabiedrības līdzdalība projekta izstrādē</w:t>
            </w:r>
          </w:p>
        </w:tc>
        <w:tc>
          <w:tcPr>
            <w:tcW w:w="3382" w:type="pct"/>
          </w:tcPr>
          <w:p w:rsidR="0074103C" w:rsidRPr="00411594" w:rsidP="0074103C" w14:paraId="4A3351A0" w14:textId="1B09AF4F">
            <w:pPr>
              <w:spacing w:before="60" w:after="60"/>
              <w:rPr>
                <w:rFonts w:ascii="Times New Roman" w:hAnsi="Times New Roman"/>
              </w:rPr>
            </w:pPr>
            <w:r w:rsidRPr="00411594">
              <w:rPr>
                <w:rFonts w:ascii="Times New Roman" w:hAnsi="Times New Roman"/>
              </w:rPr>
              <w:t>Likumprojekts publicēts V</w:t>
            </w:r>
            <w:r>
              <w:rPr>
                <w:rFonts w:ascii="Times New Roman" w:hAnsi="Times New Roman"/>
              </w:rPr>
              <w:t>ARAM</w:t>
            </w:r>
            <w:r w:rsidR="00373780">
              <w:rPr>
                <w:rFonts w:ascii="Times New Roman" w:hAnsi="Times New Roman"/>
              </w:rPr>
              <w:t xml:space="preserve"> tīmekļa vietnē 2016. gada </w:t>
            </w:r>
            <w:r w:rsidRPr="00411594">
              <w:rPr>
                <w:rFonts w:ascii="Times New Roman" w:hAnsi="Times New Roman"/>
              </w:rPr>
              <w:t>1</w:t>
            </w:r>
            <w:r>
              <w:rPr>
                <w:rFonts w:ascii="Times New Roman" w:hAnsi="Times New Roman"/>
              </w:rPr>
              <w:t>3</w:t>
            </w:r>
            <w:r w:rsidRPr="00411594">
              <w:rPr>
                <w:rFonts w:ascii="Times New Roman" w:hAnsi="Times New Roman"/>
              </w:rPr>
              <w:t>. septembrī.</w:t>
            </w:r>
          </w:p>
        </w:tc>
      </w:tr>
      <w:tr w14:paraId="4A3351A5" w14:textId="77777777" w:rsidTr="0074103C">
        <w:tblPrEx>
          <w:tblW w:w="9356" w:type="dxa"/>
          <w:jc w:val="center"/>
          <w:tblCellMar>
            <w:top w:w="30" w:type="dxa"/>
            <w:left w:w="30" w:type="dxa"/>
            <w:bottom w:w="30" w:type="dxa"/>
            <w:right w:w="30" w:type="dxa"/>
          </w:tblCellMar>
          <w:tblLook w:val="00A0"/>
        </w:tblPrEx>
        <w:trPr>
          <w:trHeight w:val="465"/>
          <w:jc w:val="center"/>
        </w:trPr>
        <w:tc>
          <w:tcPr>
            <w:tcW w:w="250" w:type="pct"/>
          </w:tcPr>
          <w:p w:rsidR="0074103C" w:rsidRPr="00F122F9" w:rsidP="0074103C" w14:paraId="4A3351A2" w14:textId="77777777">
            <w:pPr>
              <w:spacing w:before="60" w:after="60"/>
              <w:rPr>
                <w:rFonts w:ascii="Times New Roman" w:hAnsi="Times New Roman"/>
              </w:rPr>
            </w:pPr>
            <w:r w:rsidRPr="00F122F9">
              <w:rPr>
                <w:rFonts w:ascii="Times New Roman" w:hAnsi="Times New Roman"/>
              </w:rPr>
              <w:t>3.</w:t>
            </w:r>
          </w:p>
        </w:tc>
        <w:tc>
          <w:tcPr>
            <w:tcW w:w="1368" w:type="pct"/>
          </w:tcPr>
          <w:p w:rsidR="0074103C" w:rsidRPr="00F122F9" w:rsidP="0074103C" w14:paraId="4A3351A3" w14:textId="77777777">
            <w:pPr>
              <w:spacing w:before="60" w:after="60"/>
              <w:rPr>
                <w:rFonts w:ascii="Times New Roman" w:hAnsi="Times New Roman"/>
              </w:rPr>
            </w:pPr>
            <w:r w:rsidRPr="00F122F9">
              <w:rPr>
                <w:rFonts w:ascii="Times New Roman" w:hAnsi="Times New Roman"/>
              </w:rPr>
              <w:t>Sabiedrības līdzdalības rezultāti</w:t>
            </w:r>
          </w:p>
        </w:tc>
        <w:tc>
          <w:tcPr>
            <w:tcW w:w="3382" w:type="pct"/>
          </w:tcPr>
          <w:p w:rsidR="0074103C" w:rsidRPr="00411594" w:rsidP="0074103C" w14:paraId="4A3351A4" w14:textId="77777777">
            <w:pPr>
              <w:spacing w:before="60" w:after="60"/>
              <w:rPr>
                <w:rFonts w:ascii="Times New Roman" w:hAnsi="Times New Roman"/>
              </w:rPr>
            </w:pPr>
            <w:r>
              <w:rPr>
                <w:rFonts w:ascii="Times New Roman" w:hAnsi="Times New Roman"/>
              </w:rPr>
              <w:t>S</w:t>
            </w:r>
            <w:r w:rsidRPr="00411594">
              <w:rPr>
                <w:rFonts w:ascii="Times New Roman" w:hAnsi="Times New Roman"/>
              </w:rPr>
              <w:t>abiedrības pārstāvju viedokļ</w:t>
            </w:r>
            <w:r>
              <w:rPr>
                <w:rFonts w:ascii="Times New Roman" w:hAnsi="Times New Roman"/>
              </w:rPr>
              <w:t>i vai</w:t>
            </w:r>
            <w:r w:rsidRPr="00411594">
              <w:rPr>
                <w:rFonts w:ascii="Times New Roman" w:hAnsi="Times New Roman"/>
              </w:rPr>
              <w:t xml:space="preserve"> komentār</w:t>
            </w:r>
            <w:r>
              <w:rPr>
                <w:rFonts w:ascii="Times New Roman" w:hAnsi="Times New Roman"/>
              </w:rPr>
              <w:t>i netika saņemti</w:t>
            </w:r>
            <w:r w:rsidRPr="00411594">
              <w:rPr>
                <w:rFonts w:ascii="Times New Roman" w:hAnsi="Times New Roman"/>
              </w:rPr>
              <w:t>.</w:t>
            </w:r>
          </w:p>
        </w:tc>
      </w:tr>
      <w:tr w14:paraId="4A3351A9" w14:textId="77777777" w:rsidTr="0074103C">
        <w:tblPrEx>
          <w:tblW w:w="9356" w:type="dxa"/>
          <w:jc w:val="center"/>
          <w:tblCellMar>
            <w:top w:w="30" w:type="dxa"/>
            <w:left w:w="30" w:type="dxa"/>
            <w:bottom w:w="30" w:type="dxa"/>
            <w:right w:w="30" w:type="dxa"/>
          </w:tblCellMar>
          <w:tblLook w:val="00A0"/>
        </w:tblPrEx>
        <w:trPr>
          <w:trHeight w:val="465"/>
          <w:jc w:val="center"/>
        </w:trPr>
        <w:tc>
          <w:tcPr>
            <w:tcW w:w="250" w:type="pct"/>
          </w:tcPr>
          <w:p w:rsidR="0074103C" w:rsidRPr="00F122F9" w:rsidP="0074103C" w14:paraId="4A3351A6" w14:textId="77777777">
            <w:pPr>
              <w:spacing w:before="60" w:after="60"/>
              <w:rPr>
                <w:rFonts w:ascii="Times New Roman" w:hAnsi="Times New Roman"/>
              </w:rPr>
            </w:pPr>
            <w:r w:rsidRPr="00F122F9">
              <w:rPr>
                <w:rFonts w:ascii="Times New Roman" w:hAnsi="Times New Roman"/>
              </w:rPr>
              <w:t>4.</w:t>
            </w:r>
          </w:p>
        </w:tc>
        <w:tc>
          <w:tcPr>
            <w:tcW w:w="1368" w:type="pct"/>
          </w:tcPr>
          <w:p w:rsidR="0074103C" w:rsidRPr="00F122F9" w:rsidP="0074103C" w14:paraId="4A3351A7" w14:textId="77777777">
            <w:pPr>
              <w:spacing w:before="60" w:after="60"/>
              <w:rPr>
                <w:rFonts w:ascii="Times New Roman" w:hAnsi="Times New Roman"/>
              </w:rPr>
            </w:pPr>
            <w:r w:rsidRPr="00F122F9">
              <w:rPr>
                <w:rFonts w:ascii="Times New Roman" w:hAnsi="Times New Roman"/>
              </w:rPr>
              <w:t>Cita informācija</w:t>
            </w:r>
          </w:p>
        </w:tc>
        <w:tc>
          <w:tcPr>
            <w:tcW w:w="3382" w:type="pct"/>
          </w:tcPr>
          <w:p w:rsidR="0074103C" w:rsidRPr="00411594" w:rsidP="0074103C" w14:paraId="4A3351A8" w14:textId="77777777">
            <w:pPr>
              <w:pStyle w:val="tvhtml"/>
              <w:spacing w:before="60" w:beforeAutospacing="0" w:after="60" w:afterAutospacing="0"/>
              <w:rPr>
                <w:sz w:val="22"/>
                <w:szCs w:val="22"/>
              </w:rPr>
            </w:pPr>
            <w:r w:rsidRPr="00411594">
              <w:rPr>
                <w:rFonts w:eastAsia="Calibri"/>
                <w:sz w:val="22"/>
                <w:szCs w:val="22"/>
                <w:lang w:eastAsia="en-US"/>
              </w:rPr>
              <w:t>Nav</w:t>
            </w:r>
          </w:p>
        </w:tc>
      </w:tr>
    </w:tbl>
    <w:p w:rsidR="0074103C" w:rsidRPr="00F122F9" w:rsidP="0074103C" w14:paraId="4A3351AA" w14:textId="77777777">
      <w:pPr>
        <w:shd w:val="clear" w:color="auto" w:fill="FFFFFF"/>
        <w:spacing w:after="0"/>
        <w:ind w:firstLine="335"/>
        <w:jc w:val="left"/>
        <w:rPr>
          <w:rFonts w:ascii="Times New Roman" w:hAnsi="Times New Roman"/>
          <w:sz w:val="24"/>
          <w:szCs w:val="24"/>
          <w:lang w:eastAsia="lv-LV"/>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467"/>
        <w:gridCol w:w="2010"/>
        <w:gridCol w:w="6879"/>
      </w:tblGrid>
      <w:tr w14:paraId="4A3351AC" w14:textId="77777777" w:rsidTr="0074103C">
        <w:tblPrEx>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Ex>
        <w:trPr>
          <w:trHeight w:val="375"/>
          <w:jc w:val="center"/>
        </w:trPr>
        <w:tc>
          <w:tcPr>
            <w:tcW w:w="0" w:type="auto"/>
            <w:gridSpan w:val="3"/>
            <w:vAlign w:val="center"/>
          </w:tcPr>
          <w:p w:rsidR="0074103C" w:rsidRPr="00F122F9" w:rsidP="0074103C" w14:paraId="4A3351AB" w14:textId="77777777">
            <w:pPr>
              <w:spacing w:before="60" w:after="60"/>
              <w:jc w:val="center"/>
              <w:rPr>
                <w:rFonts w:ascii="Times New Roman" w:hAnsi="Times New Roman"/>
                <w:b/>
                <w:bCs/>
                <w:lang w:eastAsia="lv-LV"/>
              </w:rPr>
            </w:pPr>
            <w:r w:rsidRPr="00F122F9">
              <w:rPr>
                <w:rFonts w:ascii="Times New Roman" w:hAnsi="Times New Roman"/>
                <w:b/>
                <w:bCs/>
                <w:lang w:eastAsia="lv-LV"/>
              </w:rPr>
              <w:t>VII.</w:t>
            </w:r>
            <w:r>
              <w:rPr>
                <w:rFonts w:ascii="Times New Roman" w:hAnsi="Times New Roman"/>
                <w:b/>
                <w:bCs/>
                <w:lang w:eastAsia="lv-LV"/>
              </w:rPr>
              <w:t> </w:t>
            </w:r>
            <w:r w:rsidRPr="00F122F9">
              <w:rPr>
                <w:rFonts w:ascii="Times New Roman" w:hAnsi="Times New Roman"/>
                <w:b/>
                <w:bCs/>
                <w:lang w:eastAsia="lv-LV"/>
              </w:rPr>
              <w:t>Tiesību akta projekta izpildes nodrošināšana un tās ietekme uz institūcijām</w:t>
            </w:r>
          </w:p>
        </w:tc>
      </w:tr>
      <w:tr w14:paraId="4A3351B6" w14:textId="77777777" w:rsidTr="0074103C">
        <w:tblPrEx>
          <w:tblW w:w="9356" w:type="dxa"/>
          <w:jc w:val="center"/>
          <w:tblCellMar>
            <w:top w:w="30" w:type="dxa"/>
            <w:left w:w="30" w:type="dxa"/>
            <w:bottom w:w="30" w:type="dxa"/>
            <w:right w:w="30" w:type="dxa"/>
          </w:tblCellMar>
          <w:tblLook w:val="00A0"/>
        </w:tblPrEx>
        <w:trPr>
          <w:trHeight w:val="420"/>
          <w:jc w:val="center"/>
        </w:trPr>
        <w:tc>
          <w:tcPr>
            <w:tcW w:w="250" w:type="pct"/>
          </w:tcPr>
          <w:p w:rsidR="0074103C" w:rsidRPr="00F122F9" w:rsidP="0074103C" w14:paraId="4A3351AD" w14:textId="77777777">
            <w:pPr>
              <w:spacing w:before="60" w:after="60"/>
              <w:jc w:val="left"/>
              <w:rPr>
                <w:rFonts w:ascii="Times New Roman" w:hAnsi="Times New Roman"/>
                <w:lang w:eastAsia="lv-LV"/>
              </w:rPr>
            </w:pPr>
            <w:r w:rsidRPr="00F122F9">
              <w:rPr>
                <w:rFonts w:ascii="Times New Roman" w:hAnsi="Times New Roman"/>
                <w:lang w:eastAsia="lv-LV"/>
              </w:rPr>
              <w:t>1.</w:t>
            </w:r>
          </w:p>
        </w:tc>
        <w:tc>
          <w:tcPr>
            <w:tcW w:w="1074" w:type="pct"/>
          </w:tcPr>
          <w:p w:rsidR="0074103C" w:rsidRPr="00F122F9" w:rsidP="0074103C" w14:paraId="4A3351AE" w14:textId="77777777">
            <w:pPr>
              <w:spacing w:before="60" w:after="60"/>
              <w:jc w:val="left"/>
              <w:rPr>
                <w:rFonts w:ascii="Times New Roman" w:hAnsi="Times New Roman"/>
                <w:lang w:eastAsia="lv-LV"/>
              </w:rPr>
            </w:pPr>
            <w:r w:rsidRPr="00F122F9">
              <w:rPr>
                <w:rFonts w:ascii="Times New Roman" w:hAnsi="Times New Roman"/>
                <w:lang w:eastAsia="lv-LV"/>
              </w:rPr>
              <w:t>Projekta izpildē iesaistītās institūcijas</w:t>
            </w:r>
          </w:p>
        </w:tc>
        <w:tc>
          <w:tcPr>
            <w:tcW w:w="3676" w:type="pct"/>
          </w:tcPr>
          <w:p w:rsidR="0074103C" w:rsidRPr="00411594" w:rsidP="0074103C" w14:paraId="4A3351AF" w14:textId="77777777">
            <w:pPr>
              <w:pStyle w:val="naisnod"/>
              <w:spacing w:before="60" w:after="60"/>
              <w:jc w:val="both"/>
              <w:rPr>
                <w:b w:val="0"/>
                <w:sz w:val="22"/>
                <w:szCs w:val="22"/>
              </w:rPr>
            </w:pPr>
            <w:r w:rsidRPr="00134806">
              <w:rPr>
                <w:b w:val="0"/>
                <w:sz w:val="22"/>
                <w:szCs w:val="22"/>
                <w:u w:val="single"/>
              </w:rPr>
              <w:t>VARAM</w:t>
            </w:r>
            <w:r w:rsidRPr="00411594">
              <w:rPr>
                <w:b w:val="0"/>
                <w:sz w:val="22"/>
                <w:szCs w:val="22"/>
              </w:rPr>
              <w:t xml:space="preserve"> – normatīvās bāzes </w:t>
            </w:r>
            <w:r>
              <w:rPr>
                <w:b w:val="0"/>
                <w:sz w:val="22"/>
                <w:szCs w:val="22"/>
              </w:rPr>
              <w:t>pilnveide, t.s. attiecībā uz Ministru kabineta noteikumu projektu izstrādi, kuriem sniegts deleģējums ar likumprojektu (likumprojekta 11. pantā izteiktā Likuma ,,Par piesārņojumu” 32.</w:t>
            </w:r>
            <w:r w:rsidRPr="00134806">
              <w:rPr>
                <w:b w:val="0"/>
                <w:sz w:val="22"/>
                <w:szCs w:val="22"/>
                <w:vertAlign w:val="superscript"/>
              </w:rPr>
              <w:t>6</w:t>
            </w:r>
            <w:r>
              <w:rPr>
                <w:b w:val="0"/>
                <w:sz w:val="22"/>
                <w:szCs w:val="22"/>
              </w:rPr>
              <w:t> panta septītā daļa, likumprojekta 14. pantā izteiktā Likuma ,,Par piesārņojumu” 45.</w:t>
            </w:r>
            <w:r w:rsidRPr="00134806">
              <w:rPr>
                <w:b w:val="0"/>
                <w:sz w:val="22"/>
                <w:szCs w:val="22"/>
                <w:vertAlign w:val="superscript"/>
              </w:rPr>
              <w:t>1</w:t>
            </w:r>
            <w:r>
              <w:rPr>
                <w:b w:val="0"/>
                <w:sz w:val="22"/>
                <w:szCs w:val="22"/>
              </w:rPr>
              <w:t> panta trešās daļas 1. punkts).</w:t>
            </w:r>
          </w:p>
          <w:p w:rsidR="0074103C" w:rsidRPr="00506D66" w:rsidP="0074103C" w14:paraId="4A3351B0" w14:textId="77777777">
            <w:pPr>
              <w:pStyle w:val="naisnod"/>
              <w:spacing w:before="60" w:after="60"/>
              <w:jc w:val="both"/>
              <w:rPr>
                <w:b w:val="0"/>
                <w:sz w:val="22"/>
                <w:szCs w:val="22"/>
                <w:u w:val="single"/>
              </w:rPr>
            </w:pPr>
            <w:r w:rsidRPr="001A7FD6">
              <w:rPr>
                <w:b w:val="0"/>
                <w:sz w:val="22"/>
                <w:szCs w:val="22"/>
                <w:u w:val="single"/>
              </w:rPr>
              <w:t>V</w:t>
            </w:r>
            <w:r w:rsidRPr="00506D66">
              <w:rPr>
                <w:b w:val="0"/>
                <w:sz w:val="22"/>
                <w:szCs w:val="22"/>
                <w:u w:val="single"/>
              </w:rPr>
              <w:t>VD</w:t>
            </w:r>
            <w:r w:rsidRPr="00534854">
              <w:rPr>
                <w:b w:val="0"/>
                <w:sz w:val="22"/>
                <w:szCs w:val="22"/>
              </w:rPr>
              <w:t xml:space="preserve"> – nosacījumi attiecībā degvielas piegādātāju piegādātās degvielas aprites cikla SEG emisiju samazināšanas un ziņošanas uzraudzību un kontroli, valsts informācijas ziņošana Eiropas Komisijai, kā arī sankciju piemērošana degvielas piegādātājiem uzlikto pienākumu nepildīšanas gadījumā.</w:t>
            </w:r>
          </w:p>
          <w:p w:rsidR="0074103C" w:rsidRPr="00411594" w:rsidP="0074103C" w14:paraId="4A3351B1" w14:textId="77777777">
            <w:pPr>
              <w:pStyle w:val="naisnod"/>
              <w:spacing w:before="60" w:after="60"/>
              <w:jc w:val="both"/>
              <w:rPr>
                <w:b w:val="0"/>
                <w:sz w:val="22"/>
                <w:szCs w:val="22"/>
              </w:rPr>
            </w:pPr>
            <w:r w:rsidRPr="00134806">
              <w:rPr>
                <w:b w:val="0"/>
                <w:sz w:val="22"/>
                <w:szCs w:val="22"/>
                <w:u w:val="single"/>
              </w:rPr>
              <w:t>Ekonomikas ministrija</w:t>
            </w:r>
            <w:r>
              <w:rPr>
                <w:b w:val="0"/>
                <w:sz w:val="22"/>
                <w:szCs w:val="22"/>
              </w:rPr>
              <w:t xml:space="preserve"> – normatīvās bāzes pilnveide attiecībā uz Ministru kabineta noteikumu projektu izstrādi, kuriem sniegts deleģējums ar likumprojektu (likumprojekta 16. pantā izteiktā Likuma ,,Par piesārņojumu” 55. panta piektā daļa).</w:t>
            </w:r>
          </w:p>
          <w:p w:rsidR="0074103C" w:rsidP="0074103C" w14:paraId="4A3351B2" w14:textId="77777777">
            <w:pPr>
              <w:pStyle w:val="naisnod"/>
              <w:spacing w:before="60" w:after="60"/>
              <w:jc w:val="both"/>
              <w:rPr>
                <w:b w:val="0"/>
                <w:sz w:val="22"/>
                <w:szCs w:val="22"/>
              </w:rPr>
            </w:pPr>
            <w:r>
              <w:rPr>
                <w:b w:val="0"/>
                <w:sz w:val="22"/>
                <w:szCs w:val="22"/>
                <w:u w:val="single"/>
              </w:rPr>
              <w:t>VVD</w:t>
            </w:r>
            <w:r w:rsidRPr="00411594">
              <w:rPr>
                <w:b w:val="0"/>
                <w:sz w:val="22"/>
                <w:szCs w:val="22"/>
              </w:rPr>
              <w:t xml:space="preserve"> – </w:t>
            </w:r>
            <w:r>
              <w:rPr>
                <w:b w:val="0"/>
                <w:sz w:val="22"/>
                <w:szCs w:val="22"/>
              </w:rPr>
              <w:t xml:space="preserve">kompetentā iestāde Latvijā attiecībā uz </w:t>
            </w:r>
            <w:r w:rsidR="002E4363">
              <w:rPr>
                <w:b w:val="0"/>
                <w:sz w:val="22"/>
                <w:szCs w:val="22"/>
              </w:rPr>
              <w:t>r</w:t>
            </w:r>
            <w:r w:rsidRPr="00A25CA3">
              <w:rPr>
                <w:b w:val="0"/>
                <w:sz w:val="22"/>
                <w:szCs w:val="22"/>
              </w:rPr>
              <w:t>egulas Nr.</w:t>
            </w:r>
            <w:r w:rsidR="002E4363">
              <w:rPr>
                <w:b w:val="0"/>
                <w:sz w:val="22"/>
                <w:szCs w:val="22"/>
              </w:rPr>
              <w:t> </w:t>
            </w:r>
            <w:r w:rsidRPr="00A25CA3">
              <w:rPr>
                <w:b w:val="0"/>
                <w:sz w:val="22"/>
                <w:szCs w:val="22"/>
              </w:rPr>
              <w:t>2015/757 3. panta „d” punktā definēt</w:t>
            </w:r>
            <w:r>
              <w:rPr>
                <w:b w:val="0"/>
                <w:sz w:val="22"/>
                <w:szCs w:val="22"/>
              </w:rPr>
              <w:t>ā</w:t>
            </w:r>
            <w:r w:rsidRPr="00A25CA3">
              <w:rPr>
                <w:b w:val="0"/>
                <w:sz w:val="22"/>
                <w:szCs w:val="22"/>
              </w:rPr>
              <w:t xml:space="preserve"> uzņēmuma </w:t>
            </w:r>
            <w:r>
              <w:rPr>
                <w:b w:val="0"/>
                <w:sz w:val="22"/>
                <w:szCs w:val="22"/>
              </w:rPr>
              <w:t>ikgadējā emisiju ziņojuma saņemšanu</w:t>
            </w:r>
            <w:r w:rsidR="002E4363">
              <w:rPr>
                <w:b w:val="0"/>
                <w:sz w:val="22"/>
                <w:szCs w:val="22"/>
              </w:rPr>
              <w:t>.</w:t>
            </w:r>
          </w:p>
          <w:p w:rsidR="0074103C" w:rsidRPr="00B76821" w:rsidP="0074103C" w14:paraId="4A3351B3" w14:textId="77777777">
            <w:pPr>
              <w:pStyle w:val="naisnod"/>
              <w:spacing w:before="60" w:after="60"/>
              <w:jc w:val="both"/>
              <w:rPr>
                <w:b w:val="0"/>
                <w:sz w:val="22"/>
                <w:szCs w:val="22"/>
              </w:rPr>
            </w:pPr>
            <w:r w:rsidRPr="00534854">
              <w:rPr>
                <w:b w:val="0"/>
                <w:sz w:val="22"/>
                <w:szCs w:val="22"/>
                <w:u w:val="single"/>
              </w:rPr>
              <w:t>Latvijas Jūras administrācijas Kuģošanas drošības inspekcija</w:t>
            </w:r>
            <w:r>
              <w:rPr>
                <w:b w:val="0"/>
                <w:sz w:val="22"/>
                <w:szCs w:val="22"/>
              </w:rPr>
              <w:t xml:space="preserve"> – atbildīgā institūcija par </w:t>
            </w:r>
            <w:r w:rsidR="002E4363">
              <w:rPr>
                <w:b w:val="0"/>
                <w:sz w:val="22"/>
                <w:szCs w:val="22"/>
              </w:rPr>
              <w:t>r</w:t>
            </w:r>
            <w:r>
              <w:rPr>
                <w:b w:val="0"/>
                <w:sz w:val="22"/>
                <w:szCs w:val="22"/>
              </w:rPr>
              <w:t xml:space="preserve">egulas Nr. 2015/757 17. pantā minētā atbilstības dokumenta esamības uz kuģa pārbaudi savas kompetences ietvaros veiktās inspekcijas laikā, kā arī būtu atbildīga par izraidīšanas rīkojuma vai ienākšanas ostā aizlieguma lēmuma pieņemšanu attiecībā uz kuģiem, </w:t>
            </w:r>
            <w:r w:rsidRPr="0042451B">
              <w:rPr>
                <w:b w:val="0"/>
                <w:sz w:val="22"/>
                <w:szCs w:val="22"/>
              </w:rPr>
              <w:t>kas monitoringa un ziņošanas prasības nav pildījuši divus vai vairākus secīgus ziņošanas laikposmus</w:t>
            </w:r>
            <w:r>
              <w:rPr>
                <w:b w:val="0"/>
                <w:sz w:val="22"/>
                <w:szCs w:val="22"/>
              </w:rPr>
              <w:t xml:space="preserve">. </w:t>
            </w:r>
            <w:bookmarkStart w:id="0" w:name="_GoBack"/>
            <w:bookmarkEnd w:id="0"/>
            <w:r>
              <w:rPr>
                <w:b w:val="0"/>
                <w:sz w:val="22"/>
                <w:szCs w:val="22"/>
              </w:rPr>
              <w:t xml:space="preserve">Šo nosacījumu īstenošanas kārtība tiks noteikta </w:t>
            </w:r>
            <w:r w:rsidR="002E4363">
              <w:rPr>
                <w:b w:val="0"/>
                <w:sz w:val="22"/>
                <w:szCs w:val="22"/>
              </w:rPr>
              <w:t xml:space="preserve">ar grozījumiem </w:t>
            </w:r>
            <w:r>
              <w:rPr>
                <w:b w:val="0"/>
                <w:sz w:val="22"/>
                <w:szCs w:val="22"/>
              </w:rPr>
              <w:t xml:space="preserve">Ministru kabineta </w:t>
            </w:r>
            <w:r w:rsidRPr="003331F6" w:rsidR="003331F6">
              <w:rPr>
                <w:b w:val="0"/>
                <w:sz w:val="22"/>
                <w:szCs w:val="22"/>
              </w:rPr>
              <w:t>2010.</w:t>
            </w:r>
            <w:r w:rsidR="002E4363">
              <w:rPr>
                <w:b w:val="0"/>
                <w:sz w:val="22"/>
                <w:szCs w:val="22"/>
              </w:rPr>
              <w:t> </w:t>
            </w:r>
            <w:r w:rsidRPr="003331F6" w:rsidR="003331F6">
              <w:rPr>
                <w:b w:val="0"/>
                <w:sz w:val="22"/>
                <w:szCs w:val="22"/>
              </w:rPr>
              <w:t>gada 21.</w:t>
            </w:r>
            <w:r w:rsidR="002E4363">
              <w:rPr>
                <w:b w:val="0"/>
                <w:sz w:val="22"/>
                <w:szCs w:val="22"/>
              </w:rPr>
              <w:t> </w:t>
            </w:r>
            <w:r w:rsidRPr="003331F6" w:rsidR="003331F6">
              <w:rPr>
                <w:b w:val="0"/>
                <w:sz w:val="22"/>
                <w:szCs w:val="22"/>
              </w:rPr>
              <w:t xml:space="preserve">decembra </w:t>
            </w:r>
            <w:r>
              <w:rPr>
                <w:b w:val="0"/>
                <w:sz w:val="22"/>
                <w:szCs w:val="22"/>
              </w:rPr>
              <w:t>noteikumos</w:t>
            </w:r>
            <w:r w:rsidR="003331F6">
              <w:rPr>
                <w:b w:val="0"/>
                <w:sz w:val="22"/>
                <w:szCs w:val="22"/>
              </w:rPr>
              <w:t xml:space="preserve"> </w:t>
            </w:r>
            <w:r w:rsidRPr="003331F6" w:rsidR="003331F6">
              <w:rPr>
                <w:b w:val="0"/>
                <w:sz w:val="22"/>
                <w:szCs w:val="22"/>
              </w:rPr>
              <w:t>Nr.</w:t>
            </w:r>
            <w:r w:rsidR="002E4363">
              <w:rPr>
                <w:b w:val="0"/>
                <w:sz w:val="22"/>
                <w:szCs w:val="22"/>
              </w:rPr>
              <w:t> </w:t>
            </w:r>
            <w:r w:rsidRPr="003331F6" w:rsidR="003331F6">
              <w:rPr>
                <w:b w:val="0"/>
                <w:sz w:val="22"/>
                <w:szCs w:val="22"/>
              </w:rPr>
              <w:t>1164 “Ostas valsts kontroles kārtība”</w:t>
            </w:r>
            <w:r>
              <w:rPr>
                <w:b w:val="0"/>
                <w:sz w:val="22"/>
                <w:szCs w:val="22"/>
              </w:rPr>
              <w:t xml:space="preserve">. </w:t>
            </w:r>
            <w:r w:rsidRPr="00B76821">
              <w:rPr>
                <w:b w:val="0"/>
                <w:sz w:val="22"/>
                <w:szCs w:val="22"/>
              </w:rPr>
              <w:t xml:space="preserve">Latvijas Jūras administrācija jau daļēji veic tos pienākumus, kuru ietvaros būtu iespējams veikt arī </w:t>
            </w:r>
            <w:r>
              <w:rPr>
                <w:b w:val="0"/>
                <w:sz w:val="22"/>
                <w:szCs w:val="22"/>
              </w:rPr>
              <w:t xml:space="preserve">šos </w:t>
            </w:r>
            <w:r w:rsidR="002E4363">
              <w:rPr>
                <w:b w:val="0"/>
                <w:sz w:val="22"/>
                <w:szCs w:val="22"/>
              </w:rPr>
              <w:t>r</w:t>
            </w:r>
            <w:r w:rsidRPr="00B76821">
              <w:rPr>
                <w:b w:val="0"/>
                <w:sz w:val="22"/>
                <w:szCs w:val="22"/>
              </w:rPr>
              <w:t>egulā Nr.</w:t>
            </w:r>
            <w:r>
              <w:rPr>
                <w:b w:val="0"/>
                <w:sz w:val="22"/>
                <w:szCs w:val="22"/>
              </w:rPr>
              <w:t> </w:t>
            </w:r>
            <w:r w:rsidRPr="00B76821">
              <w:rPr>
                <w:b w:val="0"/>
                <w:sz w:val="22"/>
                <w:szCs w:val="22"/>
              </w:rPr>
              <w:t>2015/757 noteikto</w:t>
            </w:r>
            <w:r>
              <w:rPr>
                <w:b w:val="0"/>
                <w:sz w:val="22"/>
                <w:szCs w:val="22"/>
              </w:rPr>
              <w:t>s</w:t>
            </w:r>
            <w:r w:rsidRPr="00B76821">
              <w:rPr>
                <w:b w:val="0"/>
                <w:sz w:val="22"/>
                <w:szCs w:val="22"/>
              </w:rPr>
              <w:t xml:space="preserve"> pienākumu</w:t>
            </w:r>
            <w:r>
              <w:rPr>
                <w:b w:val="0"/>
                <w:sz w:val="22"/>
                <w:szCs w:val="22"/>
              </w:rPr>
              <w:t xml:space="preserve">s, tāpēc </w:t>
            </w:r>
            <w:r w:rsidRPr="00B76821">
              <w:rPr>
                <w:b w:val="0"/>
                <w:sz w:val="22"/>
                <w:szCs w:val="22"/>
              </w:rPr>
              <w:t>Latvijas Jūras administrācija bez būtiska papildus sloga piemērošanas varētu arī veikt pienākumus attiecībā uz:</w:t>
            </w:r>
          </w:p>
          <w:p w:rsidR="0074103C" w:rsidRPr="00B76821" w:rsidP="005C3028" w14:paraId="4A3351B4" w14:textId="77777777">
            <w:pPr>
              <w:pStyle w:val="naisnod"/>
              <w:numPr>
                <w:ilvl w:val="0"/>
                <w:numId w:val="17"/>
              </w:numPr>
              <w:spacing w:before="60" w:after="60"/>
              <w:ind w:left="284" w:hanging="284"/>
              <w:jc w:val="both"/>
              <w:rPr>
                <w:b w:val="0"/>
                <w:sz w:val="22"/>
                <w:szCs w:val="22"/>
              </w:rPr>
            </w:pPr>
            <w:r>
              <w:rPr>
                <w:b w:val="0"/>
                <w:sz w:val="22"/>
                <w:szCs w:val="22"/>
              </w:rPr>
              <w:t>r</w:t>
            </w:r>
            <w:r w:rsidRPr="00B76821" w:rsidR="00047A73">
              <w:rPr>
                <w:b w:val="0"/>
                <w:sz w:val="22"/>
                <w:szCs w:val="22"/>
              </w:rPr>
              <w:t>egulas Nr.</w:t>
            </w:r>
            <w:r w:rsidR="00047A73">
              <w:rPr>
                <w:b w:val="0"/>
                <w:sz w:val="22"/>
                <w:szCs w:val="22"/>
              </w:rPr>
              <w:t> </w:t>
            </w:r>
            <w:r w:rsidRPr="00B76821" w:rsidR="00047A73">
              <w:rPr>
                <w:b w:val="0"/>
                <w:sz w:val="22"/>
                <w:szCs w:val="22"/>
              </w:rPr>
              <w:t>2015/757 17.</w:t>
            </w:r>
            <w:r w:rsidR="00047A73">
              <w:rPr>
                <w:b w:val="0"/>
                <w:sz w:val="22"/>
                <w:szCs w:val="22"/>
              </w:rPr>
              <w:t> </w:t>
            </w:r>
            <w:r w:rsidRPr="00B76821" w:rsidR="00047A73">
              <w:rPr>
                <w:b w:val="0"/>
                <w:sz w:val="22"/>
                <w:szCs w:val="22"/>
              </w:rPr>
              <w:t>pantā definētā atbilstības dokumenta esamības uz kuģa pārbaudi kuģa inspekciju laikā</w:t>
            </w:r>
            <w:r w:rsidR="005C3028">
              <w:rPr>
                <w:b w:val="0"/>
                <w:sz w:val="22"/>
                <w:szCs w:val="22"/>
              </w:rPr>
              <w:t>. Š</w:t>
            </w:r>
            <w:r w:rsidRPr="00B76821" w:rsidR="00047A73">
              <w:rPr>
                <w:b w:val="0"/>
                <w:sz w:val="22"/>
                <w:szCs w:val="22"/>
              </w:rPr>
              <w:t>obrīd Latvijas Jūras administrācijas Kuģošanas drošības inspekcija</w:t>
            </w:r>
            <w:r w:rsidR="005C3028">
              <w:rPr>
                <w:b w:val="0"/>
                <w:sz w:val="22"/>
                <w:szCs w:val="22"/>
              </w:rPr>
              <w:t xml:space="preserve"> </w:t>
            </w:r>
            <w:r w:rsidRPr="005C3028" w:rsidR="005C3028">
              <w:rPr>
                <w:b w:val="0"/>
                <w:sz w:val="22"/>
                <w:szCs w:val="22"/>
              </w:rPr>
              <w:t>veic citu starptautiskajās un Eiropas Savienības tiesību normās noteikt</w:t>
            </w:r>
            <w:r w:rsidR="005C3028">
              <w:rPr>
                <w:b w:val="0"/>
                <w:sz w:val="22"/>
                <w:szCs w:val="22"/>
              </w:rPr>
              <w:t>o dokumentu pārbaudes uz kuģiem</w:t>
            </w:r>
            <w:r w:rsidRPr="00B76821" w:rsidR="00047A73">
              <w:rPr>
                <w:b w:val="0"/>
                <w:sz w:val="22"/>
                <w:szCs w:val="22"/>
              </w:rPr>
              <w:t>;</w:t>
            </w:r>
          </w:p>
          <w:p w:rsidR="0074103C" w:rsidRPr="00411594" w:rsidP="005C3028" w14:paraId="4A3351B5" w14:textId="77777777">
            <w:pPr>
              <w:pStyle w:val="naisnod"/>
              <w:numPr>
                <w:ilvl w:val="0"/>
                <w:numId w:val="17"/>
              </w:numPr>
              <w:spacing w:before="60" w:after="60"/>
              <w:ind w:left="284" w:hanging="284"/>
              <w:jc w:val="both"/>
              <w:rPr>
                <w:b w:val="0"/>
                <w:sz w:val="22"/>
                <w:szCs w:val="22"/>
              </w:rPr>
            </w:pPr>
            <w:r w:rsidRPr="00B76821">
              <w:rPr>
                <w:b w:val="0"/>
                <w:sz w:val="22"/>
                <w:szCs w:val="22"/>
              </w:rPr>
              <w:t xml:space="preserve">izraidīšanas rīkojuma un </w:t>
            </w:r>
            <w:r>
              <w:rPr>
                <w:b w:val="0"/>
                <w:sz w:val="22"/>
                <w:szCs w:val="22"/>
              </w:rPr>
              <w:t>lēmuma par ienākšanu ostā pieņemšanu</w:t>
            </w:r>
            <w:r w:rsidR="005C3028">
              <w:rPr>
                <w:b w:val="0"/>
                <w:sz w:val="22"/>
                <w:szCs w:val="22"/>
              </w:rPr>
              <w:t>. Š</w:t>
            </w:r>
            <w:r>
              <w:rPr>
                <w:b w:val="0"/>
                <w:sz w:val="22"/>
                <w:szCs w:val="22"/>
              </w:rPr>
              <w:t xml:space="preserve">obrīd </w:t>
            </w:r>
            <w:r w:rsidRPr="00B34AF1">
              <w:rPr>
                <w:b w:val="0"/>
                <w:sz w:val="22"/>
                <w:szCs w:val="22"/>
              </w:rPr>
              <w:t>Latvijas Jūras administrācijas Kuģošanas drošības inspekcija un Nacionālo bruņoto spēku Jūras spēku flotiles Krasta apsardzes dienests</w:t>
            </w:r>
            <w:r>
              <w:rPr>
                <w:b w:val="0"/>
                <w:sz w:val="22"/>
                <w:szCs w:val="22"/>
              </w:rPr>
              <w:t xml:space="preserve"> </w:t>
            </w:r>
            <w:r w:rsidRPr="00B34AF1">
              <w:rPr>
                <w:b w:val="0"/>
                <w:sz w:val="22"/>
                <w:szCs w:val="22"/>
              </w:rPr>
              <w:t>saskaņā ar Ministru kabineta 2010.</w:t>
            </w:r>
            <w:r>
              <w:rPr>
                <w:b w:val="0"/>
                <w:sz w:val="22"/>
                <w:szCs w:val="22"/>
              </w:rPr>
              <w:t> </w:t>
            </w:r>
            <w:r w:rsidRPr="00B34AF1">
              <w:rPr>
                <w:b w:val="0"/>
                <w:sz w:val="22"/>
                <w:szCs w:val="22"/>
              </w:rPr>
              <w:t>gada 21.</w:t>
            </w:r>
            <w:r>
              <w:rPr>
                <w:b w:val="0"/>
                <w:sz w:val="22"/>
                <w:szCs w:val="22"/>
              </w:rPr>
              <w:t> </w:t>
            </w:r>
            <w:r w:rsidRPr="00B34AF1">
              <w:rPr>
                <w:b w:val="0"/>
                <w:sz w:val="22"/>
                <w:szCs w:val="22"/>
              </w:rPr>
              <w:t>decembra noteikumiem Nr.</w:t>
            </w:r>
            <w:r>
              <w:rPr>
                <w:b w:val="0"/>
                <w:sz w:val="22"/>
                <w:szCs w:val="22"/>
              </w:rPr>
              <w:t> </w:t>
            </w:r>
            <w:r w:rsidRPr="00B34AF1">
              <w:rPr>
                <w:b w:val="0"/>
                <w:sz w:val="22"/>
                <w:szCs w:val="22"/>
              </w:rPr>
              <w:t>1164 „Ostas valsts kontroles kārtība”</w:t>
            </w:r>
            <w:r w:rsidR="005C3028">
              <w:rPr>
                <w:b w:val="0"/>
                <w:sz w:val="22"/>
                <w:szCs w:val="22"/>
              </w:rPr>
              <w:t xml:space="preserve"> </w:t>
            </w:r>
            <w:r w:rsidRPr="005C3028" w:rsidR="005C3028">
              <w:rPr>
                <w:b w:val="0"/>
                <w:sz w:val="22"/>
                <w:szCs w:val="22"/>
              </w:rPr>
              <w:t>veic šāda lēmuma pieņemšanu un izpildi, lai nodrošinātu citu starptautisk</w:t>
            </w:r>
            <w:r w:rsidR="002E4363">
              <w:rPr>
                <w:b w:val="0"/>
                <w:sz w:val="22"/>
                <w:szCs w:val="22"/>
              </w:rPr>
              <w:t>o</w:t>
            </w:r>
            <w:r w:rsidRPr="005C3028" w:rsidR="005C3028">
              <w:rPr>
                <w:b w:val="0"/>
                <w:sz w:val="22"/>
                <w:szCs w:val="22"/>
              </w:rPr>
              <w:t xml:space="preserve"> un Eiropas Savienības tiesību norm</w:t>
            </w:r>
            <w:r w:rsidR="002E4363">
              <w:rPr>
                <w:b w:val="0"/>
                <w:sz w:val="22"/>
                <w:szCs w:val="22"/>
              </w:rPr>
              <w:t xml:space="preserve">u </w:t>
            </w:r>
            <w:r w:rsidRPr="005C3028" w:rsidR="005C3028">
              <w:rPr>
                <w:b w:val="0"/>
                <w:sz w:val="22"/>
                <w:szCs w:val="22"/>
              </w:rPr>
              <w:t xml:space="preserve"> ievērošanu</w:t>
            </w:r>
            <w:r>
              <w:rPr>
                <w:b w:val="0"/>
                <w:sz w:val="22"/>
                <w:szCs w:val="22"/>
              </w:rPr>
              <w:t>.</w:t>
            </w:r>
            <w:r w:rsidRPr="00134806">
              <w:rPr>
                <w:b w:val="0"/>
                <w:sz w:val="22"/>
                <w:szCs w:val="22"/>
              </w:rPr>
              <w:t xml:space="preserve"> </w:t>
            </w:r>
          </w:p>
        </w:tc>
      </w:tr>
      <w:tr w14:paraId="4A3351BD" w14:textId="77777777" w:rsidTr="0074103C">
        <w:tblPrEx>
          <w:tblW w:w="9356" w:type="dxa"/>
          <w:jc w:val="center"/>
          <w:tblCellMar>
            <w:top w:w="30" w:type="dxa"/>
            <w:left w:w="30" w:type="dxa"/>
            <w:bottom w:w="30" w:type="dxa"/>
            <w:right w:w="30" w:type="dxa"/>
          </w:tblCellMar>
          <w:tblLook w:val="00A0"/>
        </w:tblPrEx>
        <w:trPr>
          <w:trHeight w:val="450"/>
          <w:jc w:val="center"/>
        </w:trPr>
        <w:tc>
          <w:tcPr>
            <w:tcW w:w="250" w:type="pct"/>
          </w:tcPr>
          <w:p w:rsidR="0074103C" w:rsidRPr="00F122F9" w:rsidP="0074103C" w14:paraId="4A3351B7" w14:textId="77777777">
            <w:pPr>
              <w:spacing w:before="60" w:after="60"/>
              <w:jc w:val="left"/>
              <w:rPr>
                <w:rFonts w:ascii="Times New Roman" w:hAnsi="Times New Roman"/>
                <w:lang w:eastAsia="lv-LV"/>
              </w:rPr>
            </w:pPr>
            <w:r w:rsidRPr="00F122F9">
              <w:rPr>
                <w:rFonts w:ascii="Times New Roman" w:hAnsi="Times New Roman"/>
                <w:lang w:eastAsia="lv-LV"/>
              </w:rPr>
              <w:t>2.</w:t>
            </w:r>
          </w:p>
        </w:tc>
        <w:tc>
          <w:tcPr>
            <w:tcW w:w="1074" w:type="pct"/>
          </w:tcPr>
          <w:p w:rsidR="0074103C" w:rsidRPr="00F122F9" w:rsidP="0074103C" w14:paraId="4A3351B8" w14:textId="77777777">
            <w:pPr>
              <w:spacing w:before="60" w:after="60"/>
              <w:jc w:val="left"/>
              <w:rPr>
                <w:rFonts w:ascii="Times New Roman" w:hAnsi="Times New Roman"/>
                <w:lang w:eastAsia="lv-LV"/>
              </w:rPr>
            </w:pPr>
            <w:r w:rsidRPr="00F122F9">
              <w:rPr>
                <w:rFonts w:ascii="Times New Roman" w:hAnsi="Times New Roman"/>
                <w:lang w:eastAsia="lv-LV"/>
              </w:rPr>
              <w:t>Projekta izpildes ietekme uz pārvaldes funkcijām un institucionālo struktūru.</w:t>
            </w:r>
          </w:p>
          <w:p w:rsidR="0074103C" w:rsidRPr="00F122F9" w:rsidP="0074103C" w14:paraId="4A3351B9" w14:textId="77777777">
            <w:pPr>
              <w:spacing w:before="60" w:after="60"/>
              <w:jc w:val="left"/>
              <w:rPr>
                <w:rFonts w:ascii="Times New Roman" w:hAnsi="Times New Roman"/>
                <w:lang w:eastAsia="lv-LV"/>
              </w:rPr>
            </w:pPr>
            <w:r w:rsidRPr="00F122F9">
              <w:rPr>
                <w:rFonts w:ascii="Times New Roman" w:hAnsi="Times New Roman"/>
                <w:lang w:eastAsia="lv-LV"/>
              </w:rPr>
              <w:t>Jaunu institūciju izveide, esošu institūciju likvidācija vai reorganizācija, to ietekme uz institūcijas cilvēkresursiem</w:t>
            </w:r>
          </w:p>
        </w:tc>
        <w:tc>
          <w:tcPr>
            <w:tcW w:w="3676" w:type="pct"/>
          </w:tcPr>
          <w:p w:rsidR="0074103C" w:rsidRPr="00411594" w:rsidP="0074103C" w14:paraId="4A3351BA" w14:textId="77777777">
            <w:pPr>
              <w:spacing w:before="60" w:beforeAutospacing="1" w:after="60" w:afterAutospacing="1"/>
              <w:rPr>
                <w:rFonts w:ascii="Times New Roman" w:hAnsi="Times New Roman"/>
              </w:rPr>
            </w:pPr>
            <w:r w:rsidRPr="00411594">
              <w:rPr>
                <w:rFonts w:ascii="Times New Roman" w:hAnsi="Times New Roman"/>
              </w:rPr>
              <w:t>Likumprojektā iekļautie nosacījumi var radīt ietekmi uz pārvaldes funkcijām, tomēr tas neietekmēs institucionālo sistēmu.</w:t>
            </w:r>
          </w:p>
          <w:p w:rsidR="0074103C" w:rsidRPr="00411594" w:rsidP="0074103C" w14:paraId="4A3351BB" w14:textId="77777777">
            <w:pPr>
              <w:spacing w:before="60" w:beforeAutospacing="1" w:after="60" w:afterAutospacing="1"/>
              <w:rPr>
                <w:rFonts w:ascii="Times New Roman" w:hAnsi="Times New Roman"/>
              </w:rPr>
            </w:pPr>
            <w:r w:rsidRPr="00411594">
              <w:rPr>
                <w:rFonts w:ascii="Times New Roman" w:hAnsi="Times New Roman"/>
              </w:rPr>
              <w:t>Likumprojektā iekļauto nosacījumu izpildei nav nepieciešams veidot jaunas institūcijas, likvidēt vai reorganizēt esošās institūcijas.</w:t>
            </w:r>
          </w:p>
          <w:p w:rsidR="0074103C" w:rsidRPr="00411594" w:rsidP="0074103C" w14:paraId="4A3351BC" w14:textId="77777777">
            <w:pPr>
              <w:spacing w:before="60" w:beforeAutospacing="1" w:after="60" w:afterAutospacing="1"/>
              <w:rPr>
                <w:rFonts w:ascii="Times New Roman" w:hAnsi="Times New Roman"/>
              </w:rPr>
            </w:pPr>
            <w:r w:rsidRPr="00411594">
              <w:rPr>
                <w:rFonts w:ascii="Times New Roman" w:hAnsi="Times New Roman"/>
              </w:rPr>
              <w:t xml:space="preserve">Likumprojekta izpildē iesaistītās institūcijas likumprojektā iekļautos pasākumu nodrošinās piešķirto valsts budžeta līdzekļu ietvaros. </w:t>
            </w:r>
          </w:p>
        </w:tc>
      </w:tr>
      <w:tr w14:paraId="4A3351C1" w14:textId="77777777" w:rsidTr="0074103C">
        <w:tblPrEx>
          <w:tblW w:w="9356" w:type="dxa"/>
          <w:jc w:val="center"/>
          <w:tblCellMar>
            <w:top w:w="30" w:type="dxa"/>
            <w:left w:w="30" w:type="dxa"/>
            <w:bottom w:w="30" w:type="dxa"/>
            <w:right w:w="30" w:type="dxa"/>
          </w:tblCellMar>
          <w:tblLook w:val="00A0"/>
        </w:tblPrEx>
        <w:trPr>
          <w:trHeight w:val="390"/>
          <w:jc w:val="center"/>
        </w:trPr>
        <w:tc>
          <w:tcPr>
            <w:tcW w:w="250" w:type="pct"/>
          </w:tcPr>
          <w:p w:rsidR="0074103C" w:rsidRPr="00F122F9" w:rsidP="0074103C" w14:paraId="4A3351BE" w14:textId="77777777">
            <w:pPr>
              <w:spacing w:before="60" w:after="60"/>
              <w:jc w:val="left"/>
              <w:rPr>
                <w:rFonts w:ascii="Times New Roman" w:hAnsi="Times New Roman"/>
                <w:lang w:eastAsia="lv-LV"/>
              </w:rPr>
            </w:pPr>
            <w:r w:rsidRPr="00F122F9">
              <w:rPr>
                <w:rFonts w:ascii="Times New Roman" w:hAnsi="Times New Roman"/>
                <w:lang w:eastAsia="lv-LV"/>
              </w:rPr>
              <w:t>3.</w:t>
            </w:r>
          </w:p>
        </w:tc>
        <w:tc>
          <w:tcPr>
            <w:tcW w:w="1074" w:type="pct"/>
          </w:tcPr>
          <w:p w:rsidR="0074103C" w:rsidRPr="00F122F9" w:rsidP="0074103C" w14:paraId="4A3351BF" w14:textId="77777777">
            <w:pPr>
              <w:spacing w:before="60" w:after="60"/>
              <w:jc w:val="left"/>
              <w:rPr>
                <w:rFonts w:ascii="Times New Roman" w:hAnsi="Times New Roman"/>
                <w:lang w:eastAsia="lv-LV"/>
              </w:rPr>
            </w:pPr>
            <w:r w:rsidRPr="00F122F9">
              <w:rPr>
                <w:rFonts w:ascii="Times New Roman" w:hAnsi="Times New Roman"/>
                <w:lang w:eastAsia="lv-LV"/>
              </w:rPr>
              <w:t>Cita informācija</w:t>
            </w:r>
          </w:p>
        </w:tc>
        <w:tc>
          <w:tcPr>
            <w:tcW w:w="3676" w:type="pct"/>
          </w:tcPr>
          <w:p w:rsidR="0074103C" w:rsidRPr="00411594" w:rsidP="0074103C" w14:paraId="4A3351C0" w14:textId="77777777">
            <w:pPr>
              <w:spacing w:before="60" w:beforeAutospacing="1" w:after="60" w:afterAutospacing="1"/>
              <w:jc w:val="left"/>
              <w:rPr>
                <w:rFonts w:ascii="Times New Roman" w:hAnsi="Times New Roman"/>
                <w:lang w:eastAsia="lv-LV"/>
              </w:rPr>
            </w:pPr>
            <w:r w:rsidRPr="00411594">
              <w:rPr>
                <w:rFonts w:ascii="Times New Roman" w:hAnsi="Times New Roman"/>
                <w:lang w:eastAsia="lv-LV"/>
              </w:rPr>
              <w:t>Nav</w:t>
            </w:r>
          </w:p>
        </w:tc>
      </w:tr>
    </w:tbl>
    <w:p w:rsidR="0074103C" w:rsidP="0074103C" w14:paraId="4A3351C2" w14:textId="77777777">
      <w:pPr>
        <w:shd w:val="clear" w:color="auto" w:fill="FFFFFF"/>
        <w:spacing w:after="0"/>
        <w:rPr>
          <w:rFonts w:ascii="Times New Roman" w:hAnsi="Times New Roman"/>
          <w:sz w:val="20"/>
          <w:szCs w:val="20"/>
        </w:rPr>
      </w:pPr>
    </w:p>
    <w:p w:rsidR="0074103C" w:rsidP="0074103C" w14:paraId="4A3351C3" w14:textId="77777777">
      <w:pPr>
        <w:shd w:val="clear" w:color="auto" w:fill="FFFFFF"/>
        <w:spacing w:after="0"/>
        <w:rPr>
          <w:rFonts w:ascii="Times New Roman" w:hAnsi="Times New Roman"/>
          <w:sz w:val="20"/>
          <w:szCs w:val="20"/>
        </w:rPr>
      </w:pPr>
    </w:p>
    <w:p w:rsidR="0074103C" w:rsidP="0074103C" w14:paraId="4A3351C4" w14:textId="77777777">
      <w:pPr>
        <w:shd w:val="clear" w:color="auto" w:fill="FFFFFF"/>
        <w:spacing w:after="0"/>
        <w:rPr>
          <w:rFonts w:ascii="Times New Roman" w:hAnsi="Times New Roman"/>
          <w:sz w:val="20"/>
          <w:szCs w:val="20"/>
        </w:rPr>
      </w:pPr>
    </w:p>
    <w:p w:rsidR="0074103C" w:rsidRPr="00411594" w:rsidP="0074103C" w14:paraId="4A3351C5" w14:textId="77777777">
      <w:pPr>
        <w:pStyle w:val="tabula"/>
        <w:tabs>
          <w:tab w:val="clear" w:pos="5954"/>
          <w:tab w:val="left" w:pos="7513"/>
        </w:tabs>
        <w:spacing w:before="80" w:after="80"/>
        <w:jc w:val="both"/>
        <w:rPr>
          <w:rFonts w:ascii="Times New Roman" w:hAnsi="Times New Roman"/>
          <w:sz w:val="26"/>
          <w:szCs w:val="26"/>
        </w:rPr>
      </w:pPr>
      <w:r w:rsidRPr="002E7CC3">
        <w:rPr>
          <w:rFonts w:ascii="Times New Roman" w:eastAsia="Calibri" w:hAnsi="Times New Roman"/>
          <w:sz w:val="24"/>
          <w:szCs w:val="24"/>
          <w:lang w:eastAsia="en-US"/>
        </w:rPr>
        <w:t>Vides aizsardzības un reģionālās attīstības ministrs</w:t>
      </w:r>
      <w:r>
        <w:rPr>
          <w:rFonts w:ascii="Times New Roman" w:eastAsia="Calibri" w:hAnsi="Times New Roman"/>
          <w:sz w:val="24"/>
          <w:szCs w:val="24"/>
          <w:lang w:eastAsia="en-US"/>
        </w:rPr>
        <w:t xml:space="preserve">                                    Kaspars </w:t>
      </w:r>
      <w:r w:rsidRPr="002E7CC3">
        <w:rPr>
          <w:rFonts w:ascii="Times New Roman" w:eastAsia="Calibri" w:hAnsi="Times New Roman"/>
          <w:sz w:val="24"/>
          <w:szCs w:val="24"/>
          <w:lang w:eastAsia="en-US"/>
        </w:rPr>
        <w:t>Gerhards</w:t>
      </w:r>
    </w:p>
    <w:p w:rsidR="0074103C" w:rsidP="0074103C" w14:paraId="4A3351C6" w14:textId="77777777">
      <w:pPr>
        <w:tabs>
          <w:tab w:val="left" w:pos="5954"/>
          <w:tab w:val="left" w:pos="6804"/>
        </w:tabs>
        <w:rPr>
          <w:rFonts w:ascii="Times New Roman" w:hAnsi="Times New Roman"/>
          <w:sz w:val="26"/>
          <w:szCs w:val="26"/>
        </w:rPr>
      </w:pPr>
    </w:p>
    <w:p w:rsidR="0074103C" w:rsidRPr="00411594" w:rsidP="0074103C" w14:paraId="4A3351C7" w14:textId="77777777">
      <w:pPr>
        <w:tabs>
          <w:tab w:val="left" w:pos="5954"/>
          <w:tab w:val="left" w:pos="6804"/>
        </w:tabs>
        <w:rPr>
          <w:rFonts w:ascii="Times New Roman" w:hAnsi="Times New Roman"/>
          <w:sz w:val="26"/>
          <w:szCs w:val="26"/>
        </w:rPr>
      </w:pPr>
    </w:p>
    <w:p w:rsidR="0074103C" w:rsidRPr="00AB4BD9" w:rsidP="0074103C" w14:paraId="4A3351C8" w14:textId="77777777">
      <w:pPr>
        <w:tabs>
          <w:tab w:val="left" w:pos="7655"/>
          <w:tab w:val="right" w:pos="9072"/>
        </w:tabs>
        <w:spacing w:after="0"/>
        <w:rPr>
          <w:rFonts w:ascii="Times New Roman" w:hAnsi="Times New Roman"/>
          <w:sz w:val="24"/>
          <w:szCs w:val="24"/>
        </w:rPr>
      </w:pPr>
      <w:r w:rsidRPr="00AB4BD9">
        <w:rPr>
          <w:rFonts w:ascii="Times New Roman" w:hAnsi="Times New Roman"/>
          <w:sz w:val="24"/>
          <w:szCs w:val="24"/>
        </w:rPr>
        <w:t>Vides aizsardzības un</w:t>
      </w:r>
      <w:r>
        <w:rPr>
          <w:rFonts w:ascii="Times New Roman" w:hAnsi="Times New Roman"/>
          <w:sz w:val="24"/>
          <w:szCs w:val="24"/>
        </w:rPr>
        <w:t xml:space="preserve"> </w:t>
      </w:r>
      <w:r w:rsidRPr="00AB4BD9">
        <w:rPr>
          <w:rFonts w:ascii="Times New Roman" w:hAnsi="Times New Roman"/>
          <w:sz w:val="24"/>
          <w:szCs w:val="24"/>
        </w:rPr>
        <w:t>reģionālās attīstības ministrijas</w:t>
      </w:r>
    </w:p>
    <w:p w:rsidR="0074103C" w:rsidRPr="002E7CC3" w:rsidP="0074103C" w14:paraId="4A3351C9" w14:textId="77777777">
      <w:pPr>
        <w:tabs>
          <w:tab w:val="left" w:pos="7655"/>
          <w:tab w:val="right" w:pos="9072"/>
        </w:tabs>
        <w:spacing w:after="0"/>
        <w:rPr>
          <w:rFonts w:ascii="Times New Roman" w:hAnsi="Times New Roman"/>
          <w:sz w:val="24"/>
          <w:szCs w:val="24"/>
        </w:rPr>
      </w:pPr>
      <w:r w:rsidRPr="002E7CC3">
        <w:rPr>
          <w:rFonts w:ascii="Times New Roman" w:hAnsi="Times New Roman"/>
          <w:sz w:val="24"/>
          <w:szCs w:val="24"/>
        </w:rPr>
        <w:t>valsts sekretārs</w:t>
      </w:r>
      <w:r>
        <w:rPr>
          <w:rFonts w:ascii="Times New Roman" w:hAnsi="Times New Roman"/>
          <w:sz w:val="26"/>
          <w:szCs w:val="26"/>
        </w:rPr>
        <w:t xml:space="preserve">                                                                                         </w:t>
      </w:r>
      <w:r w:rsidRPr="002E7CC3">
        <w:rPr>
          <w:rFonts w:ascii="Times New Roman" w:hAnsi="Times New Roman"/>
          <w:sz w:val="24"/>
          <w:szCs w:val="24"/>
        </w:rPr>
        <w:t>Rinalds Muciņš</w:t>
      </w:r>
    </w:p>
    <w:p w:rsidR="0074103C" w:rsidP="0074103C" w14:paraId="4A3351CA" w14:textId="77777777">
      <w:pPr>
        <w:shd w:val="clear" w:color="auto" w:fill="FFFFFF"/>
        <w:tabs>
          <w:tab w:val="left" w:pos="7230"/>
        </w:tabs>
        <w:spacing w:after="0"/>
        <w:rPr>
          <w:rFonts w:ascii="Times New Roman" w:hAnsi="Times New Roman"/>
          <w:sz w:val="28"/>
          <w:szCs w:val="28"/>
        </w:rPr>
      </w:pPr>
      <w:r w:rsidRPr="000900A6">
        <w:rPr>
          <w:rFonts w:ascii="Times New Roman" w:hAnsi="Times New Roman"/>
          <w:sz w:val="28"/>
          <w:szCs w:val="28"/>
        </w:rPr>
        <w:t xml:space="preserve"> </w:t>
      </w:r>
    </w:p>
    <w:p w:rsidR="0074103C" w:rsidP="0074103C" w14:paraId="4A3351CB" w14:textId="77777777">
      <w:pPr>
        <w:shd w:val="clear" w:color="auto" w:fill="FFFFFF"/>
        <w:tabs>
          <w:tab w:val="left" w:pos="7230"/>
        </w:tabs>
        <w:spacing w:after="0"/>
        <w:rPr>
          <w:rFonts w:ascii="Times New Roman" w:hAnsi="Times New Roman"/>
          <w:sz w:val="24"/>
          <w:szCs w:val="24"/>
        </w:rPr>
      </w:pPr>
    </w:p>
    <w:p w:rsidR="00E42D24" w:rsidP="0074103C" w14:paraId="4A3351CC" w14:textId="77777777">
      <w:pPr>
        <w:shd w:val="clear" w:color="auto" w:fill="FFFFFF"/>
        <w:tabs>
          <w:tab w:val="left" w:pos="7230"/>
        </w:tabs>
        <w:spacing w:after="0"/>
        <w:rPr>
          <w:rFonts w:ascii="Times New Roman" w:hAnsi="Times New Roman"/>
          <w:sz w:val="24"/>
          <w:szCs w:val="24"/>
        </w:rPr>
      </w:pPr>
    </w:p>
    <w:p w:rsidR="00E42D24" w:rsidP="0074103C" w14:paraId="4A3351CD" w14:textId="77777777">
      <w:pPr>
        <w:shd w:val="clear" w:color="auto" w:fill="FFFFFF"/>
        <w:tabs>
          <w:tab w:val="left" w:pos="7230"/>
        </w:tabs>
        <w:spacing w:after="0"/>
        <w:rPr>
          <w:rFonts w:ascii="Times New Roman" w:hAnsi="Times New Roman"/>
          <w:sz w:val="24"/>
          <w:szCs w:val="24"/>
        </w:rPr>
      </w:pPr>
    </w:p>
    <w:p w:rsidR="00E42D24" w:rsidP="0074103C" w14:paraId="4A3351CE" w14:textId="77777777">
      <w:pPr>
        <w:shd w:val="clear" w:color="auto" w:fill="FFFFFF"/>
        <w:tabs>
          <w:tab w:val="left" w:pos="7230"/>
        </w:tabs>
        <w:spacing w:after="0"/>
        <w:rPr>
          <w:rFonts w:ascii="Times New Roman" w:hAnsi="Times New Roman"/>
          <w:sz w:val="24"/>
          <w:szCs w:val="24"/>
        </w:rPr>
      </w:pPr>
    </w:p>
    <w:p w:rsidR="00E42D24" w:rsidP="0074103C" w14:paraId="4A3351CF" w14:textId="77777777">
      <w:pPr>
        <w:shd w:val="clear" w:color="auto" w:fill="FFFFFF"/>
        <w:tabs>
          <w:tab w:val="left" w:pos="7230"/>
        </w:tabs>
        <w:spacing w:after="0"/>
        <w:rPr>
          <w:rFonts w:ascii="Times New Roman" w:hAnsi="Times New Roman"/>
          <w:sz w:val="24"/>
          <w:szCs w:val="24"/>
        </w:rPr>
      </w:pPr>
    </w:p>
    <w:p w:rsidR="00E42D24" w:rsidP="0074103C" w14:paraId="4A3351D0" w14:textId="77777777">
      <w:pPr>
        <w:shd w:val="clear" w:color="auto" w:fill="FFFFFF"/>
        <w:tabs>
          <w:tab w:val="left" w:pos="7230"/>
        </w:tabs>
        <w:spacing w:after="0"/>
        <w:rPr>
          <w:rFonts w:ascii="Times New Roman" w:hAnsi="Times New Roman"/>
          <w:sz w:val="24"/>
          <w:szCs w:val="24"/>
        </w:rPr>
      </w:pPr>
    </w:p>
    <w:p w:rsidR="00E42D24" w:rsidP="0074103C" w14:paraId="4A3351D1" w14:textId="77777777">
      <w:pPr>
        <w:shd w:val="clear" w:color="auto" w:fill="FFFFFF"/>
        <w:tabs>
          <w:tab w:val="left" w:pos="7230"/>
        </w:tabs>
        <w:spacing w:after="0"/>
        <w:rPr>
          <w:rFonts w:ascii="Times New Roman" w:hAnsi="Times New Roman"/>
          <w:sz w:val="24"/>
          <w:szCs w:val="24"/>
        </w:rPr>
      </w:pPr>
    </w:p>
    <w:p w:rsidR="00E42D24" w:rsidP="0074103C" w14:paraId="4A3351D2" w14:textId="77777777">
      <w:pPr>
        <w:shd w:val="clear" w:color="auto" w:fill="FFFFFF"/>
        <w:tabs>
          <w:tab w:val="left" w:pos="7230"/>
        </w:tabs>
        <w:spacing w:after="0"/>
        <w:rPr>
          <w:rFonts w:ascii="Times New Roman" w:hAnsi="Times New Roman"/>
          <w:sz w:val="24"/>
          <w:szCs w:val="24"/>
        </w:rPr>
      </w:pPr>
    </w:p>
    <w:p w:rsidR="00E42D24" w:rsidP="0074103C" w14:paraId="4A3351D3" w14:textId="77777777">
      <w:pPr>
        <w:shd w:val="clear" w:color="auto" w:fill="FFFFFF"/>
        <w:tabs>
          <w:tab w:val="left" w:pos="7230"/>
        </w:tabs>
        <w:spacing w:after="0"/>
        <w:rPr>
          <w:rFonts w:ascii="Times New Roman" w:hAnsi="Times New Roman"/>
          <w:sz w:val="24"/>
          <w:szCs w:val="24"/>
        </w:rPr>
      </w:pPr>
    </w:p>
    <w:p w:rsidR="00E42D24" w:rsidP="0074103C" w14:paraId="4A3351D4" w14:textId="77777777">
      <w:pPr>
        <w:shd w:val="clear" w:color="auto" w:fill="FFFFFF"/>
        <w:tabs>
          <w:tab w:val="left" w:pos="7230"/>
        </w:tabs>
        <w:spacing w:after="0"/>
        <w:rPr>
          <w:rFonts w:ascii="Times New Roman" w:hAnsi="Times New Roman"/>
          <w:sz w:val="24"/>
          <w:szCs w:val="24"/>
        </w:rPr>
      </w:pPr>
    </w:p>
    <w:p w:rsidR="00E42D24" w:rsidP="0074103C" w14:paraId="4A3351D5" w14:textId="77777777">
      <w:pPr>
        <w:shd w:val="clear" w:color="auto" w:fill="FFFFFF"/>
        <w:tabs>
          <w:tab w:val="left" w:pos="7230"/>
        </w:tabs>
        <w:spacing w:after="0"/>
        <w:rPr>
          <w:rFonts w:ascii="Times New Roman" w:hAnsi="Times New Roman"/>
          <w:sz w:val="24"/>
          <w:szCs w:val="24"/>
        </w:rPr>
      </w:pPr>
    </w:p>
    <w:p w:rsidR="00E42D24" w:rsidP="0074103C" w14:paraId="4A3351D6" w14:textId="77777777">
      <w:pPr>
        <w:shd w:val="clear" w:color="auto" w:fill="FFFFFF"/>
        <w:tabs>
          <w:tab w:val="left" w:pos="7230"/>
        </w:tabs>
        <w:spacing w:after="0"/>
        <w:rPr>
          <w:rFonts w:ascii="Times New Roman" w:hAnsi="Times New Roman"/>
          <w:sz w:val="24"/>
          <w:szCs w:val="24"/>
        </w:rPr>
      </w:pPr>
    </w:p>
    <w:p w:rsidR="00E42D24" w:rsidRPr="001F16CF" w:rsidP="0074103C" w14:paraId="4A3351D7" w14:textId="77777777">
      <w:pPr>
        <w:shd w:val="clear" w:color="auto" w:fill="FFFFFF"/>
        <w:tabs>
          <w:tab w:val="left" w:pos="7230"/>
        </w:tabs>
        <w:spacing w:after="0"/>
        <w:rPr>
          <w:rFonts w:ascii="Times New Roman" w:hAnsi="Times New Roman"/>
          <w:sz w:val="24"/>
          <w:szCs w:val="24"/>
        </w:rPr>
      </w:pPr>
    </w:p>
    <w:p w:rsidR="0074103C" w:rsidP="0074103C" w14:paraId="4A3351D8" w14:textId="77777777">
      <w:pPr>
        <w:spacing w:after="0"/>
        <w:rPr>
          <w:rFonts w:ascii="Times New Roman" w:hAnsi="Times New Roman"/>
          <w:sz w:val="8"/>
          <w:szCs w:val="8"/>
        </w:rPr>
      </w:pPr>
    </w:p>
    <w:p w:rsidR="0074103C" w:rsidP="0074103C" w14:paraId="4A3351D9" w14:textId="77777777">
      <w:pPr>
        <w:spacing w:after="0"/>
        <w:rPr>
          <w:rFonts w:ascii="Times New Roman" w:hAnsi="Times New Roman"/>
          <w:sz w:val="8"/>
          <w:szCs w:val="8"/>
        </w:rPr>
      </w:pPr>
    </w:p>
    <w:p w:rsidR="0074103C" w:rsidRPr="00797A1A" w:rsidP="0074103C" w14:paraId="4A3351DA" w14:textId="77777777">
      <w:pPr>
        <w:pStyle w:val="BodyTextIndent"/>
        <w:tabs>
          <w:tab w:val="left" w:pos="8275"/>
        </w:tabs>
        <w:spacing w:after="0"/>
        <w:ind w:left="0"/>
        <w:rPr>
          <w:sz w:val="18"/>
          <w:szCs w:val="18"/>
        </w:rPr>
      </w:pPr>
      <w:r w:rsidRPr="00797A1A">
        <w:rPr>
          <w:sz w:val="18"/>
          <w:szCs w:val="18"/>
        </w:rPr>
        <w:t>Rimša</w:t>
      </w:r>
      <w:r>
        <w:rPr>
          <w:sz w:val="18"/>
          <w:szCs w:val="18"/>
        </w:rPr>
        <w:t xml:space="preserve"> </w:t>
      </w:r>
      <w:r w:rsidRPr="00797A1A">
        <w:rPr>
          <w:sz w:val="18"/>
          <w:szCs w:val="18"/>
        </w:rPr>
        <w:t>67026512, 26380127</w:t>
      </w:r>
    </w:p>
    <w:p w:rsidR="0074103C" w:rsidRPr="00797A1A" w:rsidP="0074103C" w14:paraId="4A3351DB" w14:textId="77777777">
      <w:pPr>
        <w:pStyle w:val="BodyTextIndent"/>
        <w:spacing w:after="0"/>
        <w:ind w:left="0"/>
        <w:rPr>
          <w:sz w:val="18"/>
          <w:szCs w:val="18"/>
        </w:rPr>
      </w:pPr>
      <w:r w:rsidRPr="00797A1A">
        <w:rPr>
          <w:sz w:val="18"/>
          <w:szCs w:val="18"/>
        </w:rPr>
        <w:t>Helena.Rimsa@varam.gov.lv</w:t>
      </w:r>
    </w:p>
    <w:p w:rsidR="0074103C" w:rsidRPr="00797A1A" w:rsidP="0074103C" w14:paraId="4A3351DC" w14:textId="77777777">
      <w:pPr>
        <w:spacing w:after="0"/>
        <w:rPr>
          <w:rFonts w:ascii="Times New Roman" w:hAnsi="Times New Roman"/>
          <w:sz w:val="18"/>
          <w:szCs w:val="18"/>
        </w:rPr>
      </w:pPr>
      <w:r w:rsidRPr="00797A1A">
        <w:rPr>
          <w:rFonts w:ascii="Times New Roman" w:hAnsi="Times New Roman"/>
          <w:sz w:val="18"/>
          <w:szCs w:val="18"/>
        </w:rPr>
        <w:t>Ozola</w:t>
      </w:r>
      <w:r>
        <w:rPr>
          <w:rFonts w:ascii="Times New Roman" w:hAnsi="Times New Roman"/>
          <w:sz w:val="18"/>
          <w:szCs w:val="18"/>
        </w:rPr>
        <w:t xml:space="preserve"> </w:t>
      </w:r>
      <w:r w:rsidRPr="00797A1A">
        <w:rPr>
          <w:rFonts w:ascii="Times New Roman" w:hAnsi="Times New Roman"/>
          <w:sz w:val="18"/>
          <w:szCs w:val="18"/>
        </w:rPr>
        <w:t>67026516</w:t>
      </w:r>
    </w:p>
    <w:p w:rsidR="0074103C" w:rsidP="0074103C" w14:paraId="4A3351DD" w14:textId="77777777">
      <w:pPr>
        <w:spacing w:after="0"/>
        <w:rPr>
          <w:rStyle w:val="Hyperlink"/>
          <w:color w:val="auto"/>
          <w:sz w:val="18"/>
          <w:szCs w:val="18"/>
        </w:rPr>
      </w:pPr>
      <w:r>
        <w:rPr>
          <w:rFonts w:ascii="Times New Roman" w:hAnsi="Times New Roman"/>
          <w:sz w:val="18"/>
          <w:szCs w:val="18"/>
        </w:rPr>
        <w:t>D</w:t>
      </w:r>
      <w:r w:rsidRPr="00797A1A">
        <w:rPr>
          <w:rFonts w:ascii="Times New Roman" w:hAnsi="Times New Roman"/>
          <w:sz w:val="18"/>
          <w:szCs w:val="18"/>
        </w:rPr>
        <w:t>aina.</w:t>
      </w:r>
      <w:r>
        <w:rPr>
          <w:rFonts w:ascii="Times New Roman" w:hAnsi="Times New Roman"/>
          <w:sz w:val="18"/>
          <w:szCs w:val="18"/>
        </w:rPr>
        <w:t>O</w:t>
      </w:r>
      <w:r w:rsidRPr="00797A1A">
        <w:rPr>
          <w:rFonts w:ascii="Times New Roman" w:hAnsi="Times New Roman"/>
          <w:sz w:val="18"/>
          <w:szCs w:val="18"/>
        </w:rPr>
        <w:t>zola@varam.gov.lv</w:t>
      </w:r>
    </w:p>
    <w:sectPr w:rsidSect="0074103C">
      <w:headerReference w:type="default" r:id="rId6"/>
      <w:footerReference w:type="default" r:id="rId7"/>
      <w:footerReference w:type="first" r:id="rId8"/>
      <w:pgSz w:w="11906" w:h="16838" w:code="9"/>
      <w:pgMar w:top="1418" w:right="1134"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F58" w:rsidRPr="0074103C" w:rsidP="0074103C" w14:paraId="4A3351E5" w14:textId="77777777">
    <w:pPr>
      <w:spacing w:after="0"/>
      <w:rPr>
        <w:rFonts w:ascii="Times New Roman" w:hAnsi="Times New Roman"/>
        <w:noProof/>
        <w:sz w:val="20"/>
        <w:szCs w:val="20"/>
      </w:rPr>
    </w:pPr>
    <w:r>
      <w:rPr>
        <w:rFonts w:ascii="Times New Roman" w:hAnsi="Times New Roman"/>
        <w:noProof/>
        <w:sz w:val="20"/>
        <w:szCs w:val="20"/>
      </w:rPr>
      <w:fldChar w:fldCharType="begin"/>
    </w:r>
    <w:r>
      <w:rPr>
        <w:rFonts w:ascii="Times New Roman" w:hAnsi="Times New Roman"/>
        <w:noProof/>
        <w:sz w:val="20"/>
        <w:szCs w:val="20"/>
      </w:rPr>
      <w:instrText xml:space="preserve"> FILENAME   \* MERGEFORMAT </w:instrText>
    </w:r>
    <w:r>
      <w:rPr>
        <w:rFonts w:ascii="Times New Roman" w:hAnsi="Times New Roman"/>
        <w:noProof/>
        <w:sz w:val="20"/>
        <w:szCs w:val="20"/>
      </w:rPr>
      <w:fldChar w:fldCharType="separate"/>
    </w:r>
    <w:r>
      <w:rPr>
        <w:rFonts w:ascii="Times New Roman" w:hAnsi="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F58" w:rsidRPr="00BB154C" w:rsidP="0074103C" w14:paraId="4A3351E6" w14:textId="77777777">
    <w:pPr>
      <w:spacing w:after="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0F58" w:rsidP="0074103C" w14:paraId="46269982" w14:textId="77777777">
      <w:pPr>
        <w:spacing w:after="0"/>
      </w:pPr>
      <w:r>
        <w:separator/>
      </w:r>
    </w:p>
  </w:footnote>
  <w:footnote w:type="continuationSeparator" w:id="1">
    <w:p w:rsidR="00920F58" w:rsidP="0074103C" w14:paraId="7F755FE7" w14:textId="77777777">
      <w:pPr>
        <w:spacing w:after="0"/>
      </w:pPr>
      <w:r>
        <w:continuationSeparator/>
      </w:r>
    </w:p>
  </w:footnote>
  <w:footnote w:type="continuationNotice" w:id="2">
    <w:p w:rsidR="00920F58" w14:paraId="24FA7804" w14:textId="77777777">
      <w:pPr>
        <w:spacing w:after="0"/>
      </w:pPr>
    </w:p>
  </w:footnote>
  <w:footnote w:id="3">
    <w:p w:rsidR="00920F58" w:rsidRPr="00C96990" w14:paraId="4A3351E7" w14:textId="77777777">
      <w:pPr>
        <w:pStyle w:val="FootnoteText"/>
        <w:rPr>
          <w:sz w:val="18"/>
          <w:szCs w:val="18"/>
        </w:rPr>
      </w:pPr>
      <w:r w:rsidRPr="00C96990">
        <w:rPr>
          <w:rStyle w:val="FootnoteReference"/>
          <w:sz w:val="18"/>
          <w:szCs w:val="18"/>
        </w:rPr>
        <w:footnoteRef/>
      </w:r>
      <w:r w:rsidRPr="00C96990">
        <w:rPr>
          <w:sz w:val="18"/>
          <w:szCs w:val="18"/>
        </w:rPr>
        <w:t> Priekšlikums pieejams: http://titania.saeima.lv/LIVS12/saeimalivs12.nsf/0/BDB8DD34E0DC6244C2257FA1001D239E?OpenDocument</w:t>
      </w:r>
    </w:p>
  </w:footnote>
  <w:footnote w:id="4">
    <w:p w:rsidR="00920F58" w:rsidRPr="00C96990" w:rsidP="0074103C" w14:paraId="4A3351E8" w14:textId="77777777">
      <w:pPr>
        <w:pStyle w:val="FootnoteText"/>
        <w:jc w:val="both"/>
        <w:rPr>
          <w:sz w:val="18"/>
          <w:szCs w:val="18"/>
        </w:rPr>
      </w:pPr>
      <w:r w:rsidRPr="00C96990">
        <w:rPr>
          <w:rStyle w:val="FootnoteReference"/>
          <w:sz w:val="18"/>
          <w:szCs w:val="18"/>
        </w:rPr>
        <w:footnoteRef/>
      </w:r>
      <w:r w:rsidRPr="00C96990">
        <w:rPr>
          <w:sz w:val="18"/>
          <w:szCs w:val="18"/>
        </w:rPr>
        <w:t> Eiropas Komisijas 2010. gada 12. novembra Regula Nr. 1031/2010 par siltumnīcas efektu izraisošo gāzu emisiju kvotu izsoļu laika grafiku, administrēšanu un citiem aspektiem saskaņā ar Eiropas Parlamenta un Padomes Direktīvu 2003/87/EK, ar kuru nosaka sistēmu siltumnīcas efektu izraisošo gāzu emisijas kvotu tirdzniecībai Kopienā</w:t>
      </w:r>
    </w:p>
  </w:footnote>
  <w:footnote w:id="5">
    <w:p w:rsidR="00920F58" w:rsidRPr="00C96990" w14:paraId="4A3351E9" w14:textId="77777777">
      <w:pPr>
        <w:pStyle w:val="FootnoteText"/>
        <w:rPr>
          <w:sz w:val="18"/>
          <w:szCs w:val="18"/>
        </w:rPr>
      </w:pPr>
      <w:r w:rsidRPr="00C96990">
        <w:rPr>
          <w:rStyle w:val="FootnoteReference"/>
          <w:sz w:val="18"/>
          <w:szCs w:val="18"/>
        </w:rPr>
        <w:footnoteRef/>
      </w:r>
      <w:r w:rsidRPr="00C96990">
        <w:rPr>
          <w:sz w:val="18"/>
          <w:szCs w:val="18"/>
        </w:rPr>
        <w:t> http://www.tiesibsargs.lv/files/content/atzinumi/Atzinums%20lieta%20Nr.%202012-196-22.pdf</w:t>
      </w:r>
    </w:p>
  </w:footnote>
  <w:footnote w:id="6">
    <w:p w:rsidR="00920F58" w:rsidRPr="00C96990" w:rsidP="0074103C" w14:paraId="4A3351EA" w14:textId="77777777">
      <w:pPr>
        <w:pStyle w:val="FootnoteText"/>
        <w:jc w:val="both"/>
        <w:rPr>
          <w:sz w:val="18"/>
          <w:szCs w:val="18"/>
        </w:rPr>
      </w:pPr>
      <w:r w:rsidRPr="00C96990">
        <w:rPr>
          <w:rStyle w:val="FootnoteReference"/>
          <w:sz w:val="18"/>
          <w:szCs w:val="18"/>
        </w:rPr>
        <w:footnoteRef/>
      </w:r>
      <w:r w:rsidRPr="00C96990">
        <w:rPr>
          <w:sz w:val="18"/>
          <w:szCs w:val="18"/>
        </w:rPr>
        <w:t> Eiropas Komisijas 2011. gada 27. aprīļa Lēmums Nr. 2011/278/ES, ar kuru visā Savienībā nosaka pagaidu noteikumus saskaņotai bezmaksas emisiju kvotu sadalei atbilstoši 10.a pantam Eiropas Parlamenta un Padomes Direktīvā 2003/87/EK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F58" w14:paraId="4A3351E3" w14:textId="77777777">
    <w:pPr>
      <w:pStyle w:val="Header"/>
      <w:jc w:val="center"/>
    </w:pPr>
    <w:r>
      <w:fldChar w:fldCharType="begin"/>
    </w:r>
    <w:r>
      <w:instrText xml:space="preserve"> PAGE   \* MERGEFORMAT </w:instrText>
    </w:r>
    <w:r>
      <w:fldChar w:fldCharType="separate"/>
    </w:r>
    <w:r w:rsidR="00BD2185">
      <w:rPr>
        <w:noProof/>
      </w:rPr>
      <w:t>21</w:t>
    </w:r>
    <w:r>
      <w:rPr>
        <w:noProof/>
      </w:rPr>
      <w:fldChar w:fldCharType="end"/>
    </w:r>
  </w:p>
  <w:p w:rsidR="00920F58" w14:paraId="4A3351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F59F2"/>
    <w:multiLevelType w:val="hybridMultilevel"/>
    <w:tmpl w:val="E8280A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93248"/>
    <w:multiLevelType w:val="hybridMultilevel"/>
    <w:tmpl w:val="6E288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A83C6C"/>
    <w:multiLevelType w:val="hybridMultilevel"/>
    <w:tmpl w:val="9B301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922E6"/>
    <w:multiLevelType w:val="hybridMultilevel"/>
    <w:tmpl w:val="FE1AB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A37EA9"/>
    <w:multiLevelType w:val="hybridMultilevel"/>
    <w:tmpl w:val="F2508D6E"/>
    <w:lvl w:ilvl="0">
      <w:start w:val="1"/>
      <w:numFmt w:val="bullet"/>
      <w:lvlText w:val=""/>
      <w:lvlJc w:val="left"/>
      <w:pPr>
        <w:ind w:left="947" w:hanging="360"/>
      </w:pPr>
      <w:rPr>
        <w:rFonts w:ascii="Symbol" w:hAnsi="Symbol" w:hint="default"/>
      </w:rPr>
    </w:lvl>
    <w:lvl w:ilvl="1" w:tentative="1">
      <w:start w:val="1"/>
      <w:numFmt w:val="bullet"/>
      <w:lvlText w:val="o"/>
      <w:lvlJc w:val="left"/>
      <w:pPr>
        <w:ind w:left="1667" w:hanging="360"/>
      </w:pPr>
      <w:rPr>
        <w:rFonts w:ascii="Courier New" w:hAnsi="Courier New" w:cs="Courier New" w:hint="default"/>
      </w:rPr>
    </w:lvl>
    <w:lvl w:ilvl="2" w:tentative="1">
      <w:start w:val="1"/>
      <w:numFmt w:val="bullet"/>
      <w:lvlText w:val=""/>
      <w:lvlJc w:val="left"/>
      <w:pPr>
        <w:ind w:left="2387" w:hanging="360"/>
      </w:pPr>
      <w:rPr>
        <w:rFonts w:ascii="Wingdings" w:hAnsi="Wingdings" w:hint="default"/>
      </w:rPr>
    </w:lvl>
    <w:lvl w:ilvl="3" w:tentative="1">
      <w:start w:val="1"/>
      <w:numFmt w:val="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cs="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cs="Courier New" w:hint="default"/>
      </w:rPr>
    </w:lvl>
    <w:lvl w:ilvl="8" w:tentative="1">
      <w:start w:val="1"/>
      <w:numFmt w:val="bullet"/>
      <w:lvlText w:val=""/>
      <w:lvlJc w:val="left"/>
      <w:pPr>
        <w:ind w:left="6707" w:hanging="360"/>
      </w:pPr>
      <w:rPr>
        <w:rFonts w:ascii="Wingdings" w:hAnsi="Wingdings" w:hint="default"/>
      </w:rPr>
    </w:lvl>
  </w:abstractNum>
  <w:abstractNum w:abstractNumId="5">
    <w:nsid w:val="18DD7D13"/>
    <w:multiLevelType w:val="hybridMultilevel"/>
    <w:tmpl w:val="409C20EE"/>
    <w:lvl w:ilvl="0">
      <w:start w:val="1"/>
      <w:numFmt w:val="bullet"/>
      <w:lvlText w:val=""/>
      <w:lvlJc w:val="left"/>
      <w:pPr>
        <w:ind w:left="1004" w:hanging="360"/>
      </w:pPr>
      <w:rPr>
        <w:rFonts w:ascii="Symbol" w:hAnsi="Symbol" w:hint="default"/>
      </w:rPr>
    </w:lvl>
    <w:lvl w:ilvl="1">
      <w:start w:val="1"/>
      <w:numFmt w:val="bullet"/>
      <w:lvlText w:val=""/>
      <w:lvlJc w:val="left"/>
      <w:pPr>
        <w:ind w:left="1724" w:hanging="360"/>
      </w:pPr>
      <w:rPr>
        <w:rFonts w:ascii="Symbol" w:hAnsi="Symbol"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6">
    <w:nsid w:val="1CB74205"/>
    <w:multiLevelType w:val="hybridMultilevel"/>
    <w:tmpl w:val="16541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18645E"/>
    <w:multiLevelType w:val="hybridMultilevel"/>
    <w:tmpl w:val="6FF6BFBA"/>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DA91357"/>
    <w:multiLevelType w:val="hybridMultilevel"/>
    <w:tmpl w:val="493E3808"/>
    <w:lvl w:ilvl="0">
      <w:start w:val="1"/>
      <w:numFmt w:val="bullet"/>
      <w:lvlText w:val=""/>
      <w:lvlJc w:val="left"/>
      <w:pPr>
        <w:ind w:left="587" w:hanging="360"/>
      </w:pPr>
      <w:rPr>
        <w:rFonts w:ascii="Symbol" w:hAnsi="Symbol" w:hint="default"/>
      </w:rPr>
    </w:lvl>
    <w:lvl w:ilvl="1" w:tentative="1">
      <w:start w:val="1"/>
      <w:numFmt w:val="bullet"/>
      <w:lvlText w:val="o"/>
      <w:lvlJc w:val="left"/>
      <w:pPr>
        <w:ind w:left="1307" w:hanging="360"/>
      </w:pPr>
      <w:rPr>
        <w:rFonts w:ascii="Courier New" w:hAnsi="Courier New" w:hint="default"/>
      </w:rPr>
    </w:lvl>
    <w:lvl w:ilvl="2" w:tentative="1">
      <w:start w:val="1"/>
      <w:numFmt w:val="bullet"/>
      <w:lvlText w:val=""/>
      <w:lvlJc w:val="left"/>
      <w:pPr>
        <w:ind w:left="2027" w:hanging="360"/>
      </w:pPr>
      <w:rPr>
        <w:rFonts w:ascii="Wingdings" w:hAnsi="Wingdings" w:hint="default"/>
      </w:rPr>
    </w:lvl>
    <w:lvl w:ilvl="3" w:tentative="1">
      <w:start w:val="1"/>
      <w:numFmt w:val="bullet"/>
      <w:lvlText w:val=""/>
      <w:lvlJc w:val="left"/>
      <w:pPr>
        <w:ind w:left="2747" w:hanging="360"/>
      </w:pPr>
      <w:rPr>
        <w:rFonts w:ascii="Symbol" w:hAnsi="Symbol" w:hint="default"/>
      </w:rPr>
    </w:lvl>
    <w:lvl w:ilvl="4" w:tentative="1">
      <w:start w:val="1"/>
      <w:numFmt w:val="bullet"/>
      <w:lvlText w:val="o"/>
      <w:lvlJc w:val="left"/>
      <w:pPr>
        <w:ind w:left="3467" w:hanging="360"/>
      </w:pPr>
      <w:rPr>
        <w:rFonts w:ascii="Courier New" w:hAnsi="Courier New" w:hint="default"/>
      </w:rPr>
    </w:lvl>
    <w:lvl w:ilvl="5" w:tentative="1">
      <w:start w:val="1"/>
      <w:numFmt w:val="bullet"/>
      <w:lvlText w:val=""/>
      <w:lvlJc w:val="left"/>
      <w:pPr>
        <w:ind w:left="4187" w:hanging="360"/>
      </w:pPr>
      <w:rPr>
        <w:rFonts w:ascii="Wingdings" w:hAnsi="Wingdings" w:hint="default"/>
      </w:rPr>
    </w:lvl>
    <w:lvl w:ilvl="6" w:tentative="1">
      <w:start w:val="1"/>
      <w:numFmt w:val="bullet"/>
      <w:lvlText w:val=""/>
      <w:lvlJc w:val="left"/>
      <w:pPr>
        <w:ind w:left="4907" w:hanging="360"/>
      </w:pPr>
      <w:rPr>
        <w:rFonts w:ascii="Symbol" w:hAnsi="Symbol" w:hint="default"/>
      </w:rPr>
    </w:lvl>
    <w:lvl w:ilvl="7" w:tentative="1">
      <w:start w:val="1"/>
      <w:numFmt w:val="bullet"/>
      <w:lvlText w:val="o"/>
      <w:lvlJc w:val="left"/>
      <w:pPr>
        <w:ind w:left="5627" w:hanging="360"/>
      </w:pPr>
      <w:rPr>
        <w:rFonts w:ascii="Courier New" w:hAnsi="Courier New" w:hint="default"/>
      </w:rPr>
    </w:lvl>
    <w:lvl w:ilvl="8" w:tentative="1">
      <w:start w:val="1"/>
      <w:numFmt w:val="bullet"/>
      <w:lvlText w:val=""/>
      <w:lvlJc w:val="left"/>
      <w:pPr>
        <w:ind w:left="6347" w:hanging="360"/>
      </w:pPr>
      <w:rPr>
        <w:rFonts w:ascii="Wingdings" w:hAnsi="Wingdings" w:hint="default"/>
      </w:rPr>
    </w:lvl>
  </w:abstractNum>
  <w:abstractNum w:abstractNumId="9">
    <w:nsid w:val="29207B7D"/>
    <w:multiLevelType w:val="hybridMultilevel"/>
    <w:tmpl w:val="63508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040EDF"/>
    <w:multiLevelType w:val="hybridMultilevel"/>
    <w:tmpl w:val="16BCA2E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90038E"/>
    <w:multiLevelType w:val="hybridMultilevel"/>
    <w:tmpl w:val="41EA1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BE0813"/>
    <w:multiLevelType w:val="hybridMultilevel"/>
    <w:tmpl w:val="F574F362"/>
    <w:lvl w:ilvl="0">
      <w:start w:val="1"/>
      <w:numFmt w:val="decimal"/>
      <w:lvlText w:val="%1)"/>
      <w:lvlJc w:val="left"/>
      <w:pPr>
        <w:ind w:left="587" w:hanging="360"/>
      </w:pPr>
      <w:rPr>
        <w:rFonts w:hint="default"/>
        <w:b/>
      </w:rPr>
    </w:lvl>
    <w:lvl w:ilvl="1" w:tentative="1">
      <w:start w:val="1"/>
      <w:numFmt w:val="lowerLetter"/>
      <w:lvlText w:val="%2."/>
      <w:lvlJc w:val="left"/>
      <w:pPr>
        <w:ind w:left="1307" w:hanging="360"/>
      </w:p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13">
    <w:nsid w:val="3D620BF9"/>
    <w:multiLevelType w:val="hybridMultilevel"/>
    <w:tmpl w:val="F268004E"/>
    <w:lvl w:ilvl="0">
      <w:start w:val="1"/>
      <w:numFmt w:val="decimal"/>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5A44BE"/>
    <w:multiLevelType w:val="hybridMultilevel"/>
    <w:tmpl w:val="9B9AFD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B0279C"/>
    <w:multiLevelType w:val="hybridMultilevel"/>
    <w:tmpl w:val="1CCE603A"/>
    <w:lvl w:ilvl="0">
      <w:start w:val="1"/>
      <w:numFmt w:val="bullet"/>
      <w:lvlText w:val=""/>
      <w:lvlJc w:val="left"/>
      <w:pPr>
        <w:ind w:left="947" w:hanging="360"/>
      </w:pPr>
      <w:rPr>
        <w:rFonts w:ascii="Symbol" w:hAnsi="Symbol" w:hint="default"/>
      </w:rPr>
    </w:lvl>
    <w:lvl w:ilvl="1">
      <w:start w:val="5"/>
      <w:numFmt w:val="bullet"/>
      <w:lvlText w:val="-"/>
      <w:lvlJc w:val="left"/>
      <w:pPr>
        <w:ind w:left="1667" w:hanging="360"/>
      </w:pPr>
      <w:rPr>
        <w:rFonts w:ascii="Times New Roman" w:eastAsia="Times New Roman" w:hAnsi="Times New Roman" w:hint="default"/>
      </w:rPr>
    </w:lvl>
    <w:lvl w:ilvl="2" w:tentative="1">
      <w:start w:val="1"/>
      <w:numFmt w:val="bullet"/>
      <w:lvlText w:val=""/>
      <w:lvlJc w:val="left"/>
      <w:pPr>
        <w:ind w:left="2387" w:hanging="360"/>
      </w:pPr>
      <w:rPr>
        <w:rFonts w:ascii="Wingdings" w:hAnsi="Wingdings" w:hint="default"/>
      </w:rPr>
    </w:lvl>
    <w:lvl w:ilvl="3" w:tentative="1">
      <w:start w:val="1"/>
      <w:numFmt w:val="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hint="default"/>
      </w:rPr>
    </w:lvl>
    <w:lvl w:ilvl="8" w:tentative="1">
      <w:start w:val="1"/>
      <w:numFmt w:val="bullet"/>
      <w:lvlText w:val=""/>
      <w:lvlJc w:val="left"/>
      <w:pPr>
        <w:ind w:left="6707" w:hanging="360"/>
      </w:pPr>
      <w:rPr>
        <w:rFonts w:ascii="Wingdings" w:hAnsi="Wingdings" w:hint="default"/>
      </w:rPr>
    </w:lvl>
  </w:abstractNum>
  <w:abstractNum w:abstractNumId="16">
    <w:nsid w:val="51FB6389"/>
    <w:multiLevelType w:val="hybridMultilevel"/>
    <w:tmpl w:val="FBFEEC76"/>
    <w:lvl w:ilvl="0">
      <w:start w:val="5"/>
      <w:numFmt w:val="bullet"/>
      <w:lvlText w:val="-"/>
      <w:lvlJc w:val="left"/>
      <w:pPr>
        <w:ind w:left="587" w:hanging="360"/>
      </w:pPr>
      <w:rPr>
        <w:rFonts w:ascii="Times New Roman" w:eastAsia="Times New Roman" w:hAnsi="Times New Roman" w:hint="default"/>
      </w:rPr>
    </w:lvl>
    <w:lvl w:ilvl="1" w:tentative="1">
      <w:start w:val="1"/>
      <w:numFmt w:val="bullet"/>
      <w:lvlText w:val="o"/>
      <w:lvlJc w:val="left"/>
      <w:pPr>
        <w:ind w:left="1307" w:hanging="360"/>
      </w:pPr>
      <w:rPr>
        <w:rFonts w:ascii="Courier New" w:hAnsi="Courier New" w:hint="default"/>
      </w:rPr>
    </w:lvl>
    <w:lvl w:ilvl="2" w:tentative="1">
      <w:start w:val="1"/>
      <w:numFmt w:val="bullet"/>
      <w:lvlText w:val=""/>
      <w:lvlJc w:val="left"/>
      <w:pPr>
        <w:ind w:left="2027" w:hanging="360"/>
      </w:pPr>
      <w:rPr>
        <w:rFonts w:ascii="Wingdings" w:hAnsi="Wingdings" w:hint="default"/>
      </w:rPr>
    </w:lvl>
    <w:lvl w:ilvl="3" w:tentative="1">
      <w:start w:val="1"/>
      <w:numFmt w:val="bullet"/>
      <w:lvlText w:val=""/>
      <w:lvlJc w:val="left"/>
      <w:pPr>
        <w:ind w:left="2747" w:hanging="360"/>
      </w:pPr>
      <w:rPr>
        <w:rFonts w:ascii="Symbol" w:hAnsi="Symbol" w:hint="default"/>
      </w:rPr>
    </w:lvl>
    <w:lvl w:ilvl="4" w:tentative="1">
      <w:start w:val="1"/>
      <w:numFmt w:val="bullet"/>
      <w:lvlText w:val="o"/>
      <w:lvlJc w:val="left"/>
      <w:pPr>
        <w:ind w:left="3467" w:hanging="360"/>
      </w:pPr>
      <w:rPr>
        <w:rFonts w:ascii="Courier New" w:hAnsi="Courier New" w:hint="default"/>
      </w:rPr>
    </w:lvl>
    <w:lvl w:ilvl="5" w:tentative="1">
      <w:start w:val="1"/>
      <w:numFmt w:val="bullet"/>
      <w:lvlText w:val=""/>
      <w:lvlJc w:val="left"/>
      <w:pPr>
        <w:ind w:left="4187" w:hanging="360"/>
      </w:pPr>
      <w:rPr>
        <w:rFonts w:ascii="Wingdings" w:hAnsi="Wingdings" w:hint="default"/>
      </w:rPr>
    </w:lvl>
    <w:lvl w:ilvl="6" w:tentative="1">
      <w:start w:val="1"/>
      <w:numFmt w:val="bullet"/>
      <w:lvlText w:val=""/>
      <w:lvlJc w:val="left"/>
      <w:pPr>
        <w:ind w:left="4907" w:hanging="360"/>
      </w:pPr>
      <w:rPr>
        <w:rFonts w:ascii="Symbol" w:hAnsi="Symbol" w:hint="default"/>
      </w:rPr>
    </w:lvl>
    <w:lvl w:ilvl="7" w:tentative="1">
      <w:start w:val="1"/>
      <w:numFmt w:val="bullet"/>
      <w:lvlText w:val="o"/>
      <w:lvlJc w:val="left"/>
      <w:pPr>
        <w:ind w:left="5627" w:hanging="360"/>
      </w:pPr>
      <w:rPr>
        <w:rFonts w:ascii="Courier New" w:hAnsi="Courier New" w:hint="default"/>
      </w:rPr>
    </w:lvl>
    <w:lvl w:ilvl="8" w:tentative="1">
      <w:start w:val="1"/>
      <w:numFmt w:val="bullet"/>
      <w:lvlText w:val=""/>
      <w:lvlJc w:val="left"/>
      <w:pPr>
        <w:ind w:left="6347" w:hanging="360"/>
      </w:pPr>
      <w:rPr>
        <w:rFonts w:ascii="Wingdings" w:hAnsi="Wingdings" w:hint="default"/>
      </w:rPr>
    </w:lvl>
  </w:abstractNum>
  <w:abstractNum w:abstractNumId="17">
    <w:nsid w:val="553814BF"/>
    <w:multiLevelType w:val="hybridMultilevel"/>
    <w:tmpl w:val="16BCA2E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165214"/>
    <w:multiLevelType w:val="hybridMultilevel"/>
    <w:tmpl w:val="302EDA1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9">
    <w:nsid w:val="59376E05"/>
    <w:multiLevelType w:val="hybridMultilevel"/>
    <w:tmpl w:val="1DACBB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44059B"/>
    <w:multiLevelType w:val="hybridMultilevel"/>
    <w:tmpl w:val="C4CAFDBE"/>
    <w:lvl w:ilvl="0">
      <w:start w:val="3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8F119A"/>
    <w:multiLevelType w:val="hybridMultilevel"/>
    <w:tmpl w:val="9F925556"/>
    <w:lvl w:ilvl="0">
      <w:start w:val="1"/>
      <w:numFmt w:val="decimal"/>
      <w:lvlText w:val="%1)"/>
      <w:lvlJc w:val="left"/>
      <w:pPr>
        <w:ind w:left="616" w:hanging="360"/>
      </w:pPr>
      <w:rPr>
        <w:rFonts w:eastAsia="Times New Roman" w:cs="Times New Roman" w:hint="default"/>
        <w:sz w:val="22"/>
        <w:szCs w:val="22"/>
      </w:rPr>
    </w:lvl>
    <w:lvl w:ilvl="1" w:tentative="1">
      <w:start w:val="1"/>
      <w:numFmt w:val="lowerLetter"/>
      <w:lvlText w:val="%2."/>
      <w:lvlJc w:val="left"/>
      <w:pPr>
        <w:ind w:left="1336" w:hanging="360"/>
      </w:pPr>
      <w:rPr>
        <w:rFonts w:cs="Times New Roman"/>
      </w:rPr>
    </w:lvl>
    <w:lvl w:ilvl="2" w:tentative="1">
      <w:start w:val="1"/>
      <w:numFmt w:val="lowerRoman"/>
      <w:lvlText w:val="%3."/>
      <w:lvlJc w:val="right"/>
      <w:pPr>
        <w:ind w:left="2056" w:hanging="180"/>
      </w:pPr>
      <w:rPr>
        <w:rFonts w:cs="Times New Roman"/>
      </w:rPr>
    </w:lvl>
    <w:lvl w:ilvl="3" w:tentative="1">
      <w:start w:val="1"/>
      <w:numFmt w:val="decimal"/>
      <w:lvlText w:val="%4."/>
      <w:lvlJc w:val="left"/>
      <w:pPr>
        <w:ind w:left="2776" w:hanging="360"/>
      </w:pPr>
      <w:rPr>
        <w:rFonts w:cs="Times New Roman"/>
      </w:rPr>
    </w:lvl>
    <w:lvl w:ilvl="4" w:tentative="1">
      <w:start w:val="1"/>
      <w:numFmt w:val="lowerLetter"/>
      <w:lvlText w:val="%5."/>
      <w:lvlJc w:val="left"/>
      <w:pPr>
        <w:ind w:left="3496" w:hanging="360"/>
      </w:pPr>
      <w:rPr>
        <w:rFonts w:cs="Times New Roman"/>
      </w:rPr>
    </w:lvl>
    <w:lvl w:ilvl="5" w:tentative="1">
      <w:start w:val="1"/>
      <w:numFmt w:val="lowerRoman"/>
      <w:lvlText w:val="%6."/>
      <w:lvlJc w:val="right"/>
      <w:pPr>
        <w:ind w:left="4216" w:hanging="180"/>
      </w:pPr>
      <w:rPr>
        <w:rFonts w:cs="Times New Roman"/>
      </w:rPr>
    </w:lvl>
    <w:lvl w:ilvl="6" w:tentative="1">
      <w:start w:val="1"/>
      <w:numFmt w:val="decimal"/>
      <w:lvlText w:val="%7."/>
      <w:lvlJc w:val="left"/>
      <w:pPr>
        <w:ind w:left="4936" w:hanging="360"/>
      </w:pPr>
      <w:rPr>
        <w:rFonts w:cs="Times New Roman"/>
      </w:rPr>
    </w:lvl>
    <w:lvl w:ilvl="7" w:tentative="1">
      <w:start w:val="1"/>
      <w:numFmt w:val="lowerLetter"/>
      <w:lvlText w:val="%8."/>
      <w:lvlJc w:val="left"/>
      <w:pPr>
        <w:ind w:left="5656" w:hanging="360"/>
      </w:pPr>
      <w:rPr>
        <w:rFonts w:cs="Times New Roman"/>
      </w:rPr>
    </w:lvl>
    <w:lvl w:ilvl="8" w:tentative="1">
      <w:start w:val="1"/>
      <w:numFmt w:val="lowerRoman"/>
      <w:lvlText w:val="%9."/>
      <w:lvlJc w:val="right"/>
      <w:pPr>
        <w:ind w:left="6376" w:hanging="180"/>
      </w:pPr>
      <w:rPr>
        <w:rFonts w:cs="Times New Roman"/>
      </w:rPr>
    </w:lvl>
  </w:abstractNum>
  <w:abstractNum w:abstractNumId="22">
    <w:nsid w:val="5ED32202"/>
    <w:multiLevelType w:val="hybridMultilevel"/>
    <w:tmpl w:val="B8E48524"/>
    <w:lvl w:ilvl="0">
      <w:start w:val="1"/>
      <w:numFmt w:val="bullet"/>
      <w:lvlText w:val=""/>
      <w:lvlJc w:val="left"/>
      <w:pPr>
        <w:ind w:left="947" w:hanging="360"/>
      </w:pPr>
      <w:rPr>
        <w:rFonts w:ascii="Symbol" w:hAnsi="Symbol" w:hint="default"/>
      </w:rPr>
    </w:lvl>
    <w:lvl w:ilvl="1" w:tentative="1">
      <w:start w:val="1"/>
      <w:numFmt w:val="bullet"/>
      <w:lvlText w:val="o"/>
      <w:lvlJc w:val="left"/>
      <w:pPr>
        <w:ind w:left="1667" w:hanging="360"/>
      </w:pPr>
      <w:rPr>
        <w:rFonts w:ascii="Courier New" w:hAnsi="Courier New" w:hint="default"/>
      </w:rPr>
    </w:lvl>
    <w:lvl w:ilvl="2" w:tentative="1">
      <w:start w:val="1"/>
      <w:numFmt w:val="bullet"/>
      <w:lvlText w:val=""/>
      <w:lvlJc w:val="left"/>
      <w:pPr>
        <w:ind w:left="2387" w:hanging="360"/>
      </w:pPr>
      <w:rPr>
        <w:rFonts w:ascii="Wingdings" w:hAnsi="Wingdings" w:hint="default"/>
      </w:rPr>
    </w:lvl>
    <w:lvl w:ilvl="3" w:tentative="1">
      <w:start w:val="1"/>
      <w:numFmt w:val="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hint="default"/>
      </w:rPr>
    </w:lvl>
    <w:lvl w:ilvl="8" w:tentative="1">
      <w:start w:val="1"/>
      <w:numFmt w:val="bullet"/>
      <w:lvlText w:val=""/>
      <w:lvlJc w:val="left"/>
      <w:pPr>
        <w:ind w:left="6707" w:hanging="360"/>
      </w:pPr>
      <w:rPr>
        <w:rFonts w:ascii="Wingdings" w:hAnsi="Wingdings" w:hint="default"/>
      </w:rPr>
    </w:lvl>
  </w:abstractNum>
  <w:abstractNum w:abstractNumId="23">
    <w:nsid w:val="60142C52"/>
    <w:multiLevelType w:val="hybridMultilevel"/>
    <w:tmpl w:val="09BCB2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59376C"/>
    <w:multiLevelType w:val="hybridMultilevel"/>
    <w:tmpl w:val="BAA4D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8D345C"/>
    <w:multiLevelType w:val="hybridMultilevel"/>
    <w:tmpl w:val="D1321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F1D4FD0"/>
    <w:multiLevelType w:val="hybridMultilevel"/>
    <w:tmpl w:val="73EA38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FD43D62"/>
    <w:multiLevelType w:val="hybridMultilevel"/>
    <w:tmpl w:val="18CCAF70"/>
    <w:lvl w:ilvl="0">
      <w:start w:val="1"/>
      <w:numFmt w:val="bullet"/>
      <w:lvlText w:val=""/>
      <w:lvlJc w:val="left"/>
      <w:pPr>
        <w:ind w:left="587" w:hanging="360"/>
      </w:pPr>
      <w:rPr>
        <w:rFonts w:ascii="Symbol" w:hAnsi="Symbol" w:hint="default"/>
      </w:rPr>
    </w:lvl>
    <w:lvl w:ilvl="1" w:tentative="1">
      <w:start w:val="1"/>
      <w:numFmt w:val="bullet"/>
      <w:lvlText w:val="o"/>
      <w:lvlJc w:val="left"/>
      <w:pPr>
        <w:ind w:left="1307" w:hanging="360"/>
      </w:pPr>
      <w:rPr>
        <w:rFonts w:ascii="Courier New" w:hAnsi="Courier New" w:hint="default"/>
      </w:rPr>
    </w:lvl>
    <w:lvl w:ilvl="2" w:tentative="1">
      <w:start w:val="1"/>
      <w:numFmt w:val="bullet"/>
      <w:lvlText w:val=""/>
      <w:lvlJc w:val="left"/>
      <w:pPr>
        <w:ind w:left="2027" w:hanging="360"/>
      </w:pPr>
      <w:rPr>
        <w:rFonts w:ascii="Wingdings" w:hAnsi="Wingdings" w:hint="default"/>
      </w:rPr>
    </w:lvl>
    <w:lvl w:ilvl="3" w:tentative="1">
      <w:start w:val="1"/>
      <w:numFmt w:val="bullet"/>
      <w:lvlText w:val=""/>
      <w:lvlJc w:val="left"/>
      <w:pPr>
        <w:ind w:left="2747" w:hanging="360"/>
      </w:pPr>
      <w:rPr>
        <w:rFonts w:ascii="Symbol" w:hAnsi="Symbol" w:hint="default"/>
      </w:rPr>
    </w:lvl>
    <w:lvl w:ilvl="4" w:tentative="1">
      <w:start w:val="1"/>
      <w:numFmt w:val="bullet"/>
      <w:lvlText w:val="o"/>
      <w:lvlJc w:val="left"/>
      <w:pPr>
        <w:ind w:left="3467" w:hanging="360"/>
      </w:pPr>
      <w:rPr>
        <w:rFonts w:ascii="Courier New" w:hAnsi="Courier New" w:hint="default"/>
      </w:rPr>
    </w:lvl>
    <w:lvl w:ilvl="5" w:tentative="1">
      <w:start w:val="1"/>
      <w:numFmt w:val="bullet"/>
      <w:lvlText w:val=""/>
      <w:lvlJc w:val="left"/>
      <w:pPr>
        <w:ind w:left="4187" w:hanging="360"/>
      </w:pPr>
      <w:rPr>
        <w:rFonts w:ascii="Wingdings" w:hAnsi="Wingdings" w:hint="default"/>
      </w:rPr>
    </w:lvl>
    <w:lvl w:ilvl="6" w:tentative="1">
      <w:start w:val="1"/>
      <w:numFmt w:val="bullet"/>
      <w:lvlText w:val=""/>
      <w:lvlJc w:val="left"/>
      <w:pPr>
        <w:ind w:left="4907" w:hanging="360"/>
      </w:pPr>
      <w:rPr>
        <w:rFonts w:ascii="Symbol" w:hAnsi="Symbol" w:hint="default"/>
      </w:rPr>
    </w:lvl>
    <w:lvl w:ilvl="7" w:tentative="1">
      <w:start w:val="1"/>
      <w:numFmt w:val="bullet"/>
      <w:lvlText w:val="o"/>
      <w:lvlJc w:val="left"/>
      <w:pPr>
        <w:ind w:left="5627" w:hanging="360"/>
      </w:pPr>
      <w:rPr>
        <w:rFonts w:ascii="Courier New" w:hAnsi="Courier New" w:hint="default"/>
      </w:rPr>
    </w:lvl>
    <w:lvl w:ilvl="8" w:tentative="1">
      <w:start w:val="1"/>
      <w:numFmt w:val="bullet"/>
      <w:lvlText w:val=""/>
      <w:lvlJc w:val="left"/>
      <w:pPr>
        <w:ind w:left="6347"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6"/>
  </w:num>
  <w:num w:numId="6">
    <w:abstractNumId w:val="2"/>
  </w:num>
  <w:num w:numId="7">
    <w:abstractNumId w:val="4"/>
  </w:num>
  <w:num w:numId="8">
    <w:abstractNumId w:val="7"/>
  </w:num>
  <w:num w:numId="9">
    <w:abstractNumId w:val="23"/>
  </w:num>
  <w:num w:numId="10">
    <w:abstractNumId w:val="27"/>
  </w:num>
  <w:num w:numId="11">
    <w:abstractNumId w:val="12"/>
  </w:num>
  <w:num w:numId="12">
    <w:abstractNumId w:val="19"/>
  </w:num>
  <w:num w:numId="13">
    <w:abstractNumId w:val="13"/>
  </w:num>
  <w:num w:numId="14">
    <w:abstractNumId w:val="14"/>
  </w:num>
  <w:num w:numId="15">
    <w:abstractNumId w:val="24"/>
  </w:num>
  <w:num w:numId="16">
    <w:abstractNumId w:val="20"/>
  </w:num>
  <w:num w:numId="17">
    <w:abstractNumId w:val="1"/>
  </w:num>
  <w:num w:numId="18">
    <w:abstractNumId w:val="25"/>
  </w:num>
  <w:num w:numId="19">
    <w:abstractNumId w:val="11"/>
  </w:num>
  <w:num w:numId="20">
    <w:abstractNumId w:val="8"/>
  </w:num>
  <w:num w:numId="21">
    <w:abstractNumId w:val="3"/>
  </w:num>
  <w:num w:numId="22">
    <w:abstractNumId w:val="17"/>
  </w:num>
  <w:num w:numId="23">
    <w:abstractNumId w:val="26"/>
  </w:num>
  <w:num w:numId="24">
    <w:abstractNumId w:val="0"/>
  </w:num>
  <w:num w:numId="25">
    <w:abstractNumId w:val="18"/>
  </w:num>
  <w:num w:numId="26">
    <w:abstractNumId w:val="5"/>
  </w:num>
  <w:num w:numId="27">
    <w:abstractNumId w:val="10"/>
  </w:num>
  <w:num w:numId="2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defaultTabStop w:val="720"/>
  <w:drawingGridHorizontalSpacing w:val="110"/>
  <w:displayHorizontalDrawingGridEvery w:val="2"/>
  <w:displayVerticalDrawingGridEvery w:val="2"/>
  <w:doNotShadeFormData/>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63"/>
    <w:rsid w:val="000022EA"/>
    <w:rsid w:val="000252D3"/>
    <w:rsid w:val="00027E83"/>
    <w:rsid w:val="00047A73"/>
    <w:rsid w:val="0005196F"/>
    <w:rsid w:val="00074D3F"/>
    <w:rsid w:val="000900A6"/>
    <w:rsid w:val="000E41E3"/>
    <w:rsid w:val="00134806"/>
    <w:rsid w:val="00150BD9"/>
    <w:rsid w:val="0015502A"/>
    <w:rsid w:val="00166712"/>
    <w:rsid w:val="00184AA8"/>
    <w:rsid w:val="001A7FD6"/>
    <w:rsid w:val="001B1C26"/>
    <w:rsid w:val="001D545A"/>
    <w:rsid w:val="001F16CF"/>
    <w:rsid w:val="001F504E"/>
    <w:rsid w:val="00267CB7"/>
    <w:rsid w:val="002E4363"/>
    <w:rsid w:val="002E7CC3"/>
    <w:rsid w:val="002F2F37"/>
    <w:rsid w:val="00317F29"/>
    <w:rsid w:val="003331F6"/>
    <w:rsid w:val="00333CCB"/>
    <w:rsid w:val="003446B8"/>
    <w:rsid w:val="00351116"/>
    <w:rsid w:val="00360426"/>
    <w:rsid w:val="00373003"/>
    <w:rsid w:val="00373780"/>
    <w:rsid w:val="0038491A"/>
    <w:rsid w:val="003B72C0"/>
    <w:rsid w:val="003C1ACB"/>
    <w:rsid w:val="003D509C"/>
    <w:rsid w:val="003E712B"/>
    <w:rsid w:val="00411594"/>
    <w:rsid w:val="004134E1"/>
    <w:rsid w:val="0042451B"/>
    <w:rsid w:val="004807D8"/>
    <w:rsid w:val="00497953"/>
    <w:rsid w:val="004C293F"/>
    <w:rsid w:val="004F14D4"/>
    <w:rsid w:val="00500383"/>
    <w:rsid w:val="00504EEA"/>
    <w:rsid w:val="00506D66"/>
    <w:rsid w:val="00534854"/>
    <w:rsid w:val="00544937"/>
    <w:rsid w:val="00584840"/>
    <w:rsid w:val="005B0D25"/>
    <w:rsid w:val="005C3028"/>
    <w:rsid w:val="005E05BA"/>
    <w:rsid w:val="005E4EA4"/>
    <w:rsid w:val="00620DB6"/>
    <w:rsid w:val="00623CB7"/>
    <w:rsid w:val="0064362B"/>
    <w:rsid w:val="00671AA1"/>
    <w:rsid w:val="00681392"/>
    <w:rsid w:val="006900EE"/>
    <w:rsid w:val="006A505E"/>
    <w:rsid w:val="006B3CF8"/>
    <w:rsid w:val="006C06CF"/>
    <w:rsid w:val="006E4A2A"/>
    <w:rsid w:val="006F2118"/>
    <w:rsid w:val="007032A9"/>
    <w:rsid w:val="00705224"/>
    <w:rsid w:val="007128EC"/>
    <w:rsid w:val="00721085"/>
    <w:rsid w:val="0074103C"/>
    <w:rsid w:val="00751716"/>
    <w:rsid w:val="00765671"/>
    <w:rsid w:val="00797A1A"/>
    <w:rsid w:val="008422AA"/>
    <w:rsid w:val="008C2B73"/>
    <w:rsid w:val="00920094"/>
    <w:rsid w:val="00920F58"/>
    <w:rsid w:val="00952392"/>
    <w:rsid w:val="00957009"/>
    <w:rsid w:val="009600FA"/>
    <w:rsid w:val="009706D3"/>
    <w:rsid w:val="0097615A"/>
    <w:rsid w:val="00996AC0"/>
    <w:rsid w:val="009A0023"/>
    <w:rsid w:val="009B4C95"/>
    <w:rsid w:val="00A00C4D"/>
    <w:rsid w:val="00A25CA3"/>
    <w:rsid w:val="00A31D08"/>
    <w:rsid w:val="00A42733"/>
    <w:rsid w:val="00A43CA7"/>
    <w:rsid w:val="00A525F0"/>
    <w:rsid w:val="00A91E44"/>
    <w:rsid w:val="00AB378B"/>
    <w:rsid w:val="00AB4BD9"/>
    <w:rsid w:val="00AC2C97"/>
    <w:rsid w:val="00AE0A06"/>
    <w:rsid w:val="00AF0B5D"/>
    <w:rsid w:val="00B34AF1"/>
    <w:rsid w:val="00B46E07"/>
    <w:rsid w:val="00B73620"/>
    <w:rsid w:val="00B76821"/>
    <w:rsid w:val="00BB154C"/>
    <w:rsid w:val="00BD2185"/>
    <w:rsid w:val="00BD6314"/>
    <w:rsid w:val="00BF0857"/>
    <w:rsid w:val="00C01952"/>
    <w:rsid w:val="00C168CD"/>
    <w:rsid w:val="00C83F08"/>
    <w:rsid w:val="00C87719"/>
    <w:rsid w:val="00C96990"/>
    <w:rsid w:val="00CB7B76"/>
    <w:rsid w:val="00CF55E5"/>
    <w:rsid w:val="00D07C24"/>
    <w:rsid w:val="00D12F70"/>
    <w:rsid w:val="00D137E0"/>
    <w:rsid w:val="00D47C8F"/>
    <w:rsid w:val="00D50673"/>
    <w:rsid w:val="00D76CC5"/>
    <w:rsid w:val="00DB5E66"/>
    <w:rsid w:val="00DD4E86"/>
    <w:rsid w:val="00DE3648"/>
    <w:rsid w:val="00E42D24"/>
    <w:rsid w:val="00E5749F"/>
    <w:rsid w:val="00ED0F76"/>
    <w:rsid w:val="00ED62DC"/>
    <w:rsid w:val="00EE6B7D"/>
    <w:rsid w:val="00F12174"/>
    <w:rsid w:val="00F122F9"/>
    <w:rsid w:val="00F31195"/>
    <w:rsid w:val="00F35DEB"/>
    <w:rsid w:val="00F40DF5"/>
    <w:rsid w:val="00F43609"/>
    <w:rsid w:val="00F52A6E"/>
    <w:rsid w:val="00FA1263"/>
    <w:rsid w:val="00FD2E1E"/>
    <w:rsid w:val="00FE6F9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26D3518-C899-4A67-BD5D-D9EFCBFF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049"/>
    <w:pPr>
      <w:spacing w:after="120"/>
      <w:jc w:val="both"/>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A32CD"/>
    <w:rPr>
      <w:rFonts w:cs="Times New Roman"/>
    </w:rPr>
  </w:style>
  <w:style w:type="paragraph" w:customStyle="1" w:styleId="labojumupamats">
    <w:name w:val="labojumu_pamats"/>
    <w:basedOn w:val="Normal"/>
    <w:uiPriority w:val="99"/>
    <w:rsid w:val="006A32CD"/>
    <w:pPr>
      <w:spacing w:before="100" w:beforeAutospacing="1" w:after="100" w:afterAutospacing="1"/>
      <w:jc w:val="left"/>
    </w:pPr>
    <w:rPr>
      <w:rFonts w:ascii="Times New Roman" w:eastAsia="Times New Roman" w:hAnsi="Times New Roman"/>
      <w:sz w:val="24"/>
      <w:szCs w:val="24"/>
      <w:lang w:eastAsia="lv-LV"/>
    </w:rPr>
  </w:style>
  <w:style w:type="character" w:styleId="Hyperlink">
    <w:name w:val="Hyperlink"/>
    <w:basedOn w:val="DefaultParagraphFont"/>
    <w:uiPriority w:val="99"/>
    <w:rsid w:val="006A32CD"/>
    <w:rPr>
      <w:rFonts w:cs="Times New Roman"/>
      <w:color w:val="0000FF"/>
      <w:u w:val="single"/>
    </w:rPr>
  </w:style>
  <w:style w:type="paragraph" w:customStyle="1" w:styleId="tvhtml">
    <w:name w:val="tv_html"/>
    <w:basedOn w:val="Normal"/>
    <w:uiPriority w:val="99"/>
    <w:rsid w:val="006A32CD"/>
    <w:pPr>
      <w:spacing w:before="100" w:beforeAutospacing="1" w:after="100" w:afterAutospacing="1"/>
      <w:jc w:val="left"/>
    </w:pPr>
    <w:rPr>
      <w:rFonts w:ascii="Times New Roman" w:eastAsia="Times New Roman" w:hAnsi="Times New Roman"/>
      <w:sz w:val="24"/>
      <w:szCs w:val="24"/>
      <w:lang w:eastAsia="lv-LV"/>
    </w:rPr>
  </w:style>
  <w:style w:type="paragraph" w:customStyle="1" w:styleId="naiskr">
    <w:name w:val="naiskr"/>
    <w:basedOn w:val="Normal"/>
    <w:uiPriority w:val="99"/>
    <w:rsid w:val="00E57372"/>
    <w:pPr>
      <w:spacing w:before="75" w:after="75"/>
      <w:jc w:val="left"/>
    </w:pPr>
    <w:rPr>
      <w:rFonts w:ascii="Times New Roman" w:eastAsia="Times New Roman" w:hAnsi="Times New Roman"/>
      <w:sz w:val="24"/>
      <w:szCs w:val="24"/>
      <w:lang w:eastAsia="lv-LV"/>
    </w:rPr>
  </w:style>
  <w:style w:type="character" w:customStyle="1" w:styleId="apple-style-span">
    <w:name w:val="apple-style-span"/>
    <w:uiPriority w:val="99"/>
    <w:rsid w:val="00E57372"/>
  </w:style>
  <w:style w:type="paragraph" w:styleId="BodyTextIndent2">
    <w:name w:val="Body Text Indent 2"/>
    <w:basedOn w:val="Normal"/>
    <w:link w:val="BodyTextIndent2Char"/>
    <w:uiPriority w:val="99"/>
    <w:rsid w:val="00E57372"/>
    <w:pPr>
      <w:spacing w:line="480" w:lineRule="auto"/>
      <w:ind w:left="283"/>
      <w:jc w:val="left"/>
    </w:pPr>
    <w:rPr>
      <w:rFonts w:ascii="Times New Roman" w:eastAsia="Times New Roman" w:hAnsi="Times New Roman"/>
      <w:sz w:val="24"/>
      <w:szCs w:val="24"/>
      <w:lang w:eastAsia="lv-LV"/>
    </w:rPr>
  </w:style>
  <w:style w:type="character" w:customStyle="1" w:styleId="BodyTextIndent2Char">
    <w:name w:val="Body Text Indent 2 Char"/>
    <w:basedOn w:val="DefaultParagraphFont"/>
    <w:link w:val="BodyTextIndent2"/>
    <w:uiPriority w:val="99"/>
    <w:locked/>
    <w:rsid w:val="00E57372"/>
    <w:rPr>
      <w:rFonts w:ascii="Times New Roman" w:hAnsi="Times New Roman" w:cs="Times New Roman"/>
      <w:sz w:val="24"/>
      <w:szCs w:val="24"/>
      <w:lang w:eastAsia="lv-LV"/>
    </w:rPr>
  </w:style>
  <w:style w:type="paragraph" w:customStyle="1" w:styleId="naisf">
    <w:name w:val="naisf"/>
    <w:basedOn w:val="Normal"/>
    <w:uiPriority w:val="99"/>
    <w:rsid w:val="00E57372"/>
    <w:pPr>
      <w:spacing w:before="75" w:after="75"/>
      <w:ind w:firstLine="375"/>
    </w:pPr>
    <w:rPr>
      <w:rFonts w:ascii="Times New Roman" w:eastAsia="Times New Roman" w:hAnsi="Times New Roman"/>
      <w:sz w:val="24"/>
      <w:szCs w:val="24"/>
      <w:lang w:eastAsia="lv-LV"/>
    </w:rPr>
  </w:style>
  <w:style w:type="paragraph" w:styleId="Header">
    <w:name w:val="header"/>
    <w:basedOn w:val="Normal"/>
    <w:link w:val="HeaderChar"/>
    <w:uiPriority w:val="99"/>
    <w:rsid w:val="00E57372"/>
    <w:pPr>
      <w:tabs>
        <w:tab w:val="center" w:pos="4153"/>
        <w:tab w:val="right" w:pos="8306"/>
      </w:tabs>
      <w:spacing w:after="0"/>
      <w:jc w:val="left"/>
    </w:pPr>
    <w:rPr>
      <w:rFonts w:ascii="Times New Roman" w:eastAsia="Times New Roman" w:hAnsi="Times New Roman"/>
      <w:sz w:val="24"/>
      <w:szCs w:val="24"/>
      <w:lang w:eastAsia="lv-LV"/>
    </w:rPr>
  </w:style>
  <w:style w:type="character" w:customStyle="1" w:styleId="HeaderChar">
    <w:name w:val="Header Char"/>
    <w:basedOn w:val="DefaultParagraphFont"/>
    <w:link w:val="Header"/>
    <w:uiPriority w:val="99"/>
    <w:locked/>
    <w:rsid w:val="00E57372"/>
    <w:rPr>
      <w:rFonts w:ascii="Times New Roman" w:hAnsi="Times New Roman" w:cs="Times New Roman"/>
      <w:sz w:val="24"/>
      <w:szCs w:val="24"/>
      <w:lang w:eastAsia="lv-LV"/>
    </w:rPr>
  </w:style>
  <w:style w:type="character" w:styleId="PageNumber">
    <w:name w:val="page number"/>
    <w:basedOn w:val="DefaultParagraphFont"/>
    <w:uiPriority w:val="99"/>
    <w:rsid w:val="00E57372"/>
    <w:rPr>
      <w:rFonts w:cs="Times New Roman"/>
    </w:rPr>
  </w:style>
  <w:style w:type="paragraph" w:customStyle="1" w:styleId="naisnod">
    <w:name w:val="naisnod"/>
    <w:basedOn w:val="Normal"/>
    <w:uiPriority w:val="99"/>
    <w:rsid w:val="00E57372"/>
    <w:pPr>
      <w:spacing w:before="150" w:after="150"/>
      <w:jc w:val="center"/>
    </w:pPr>
    <w:rPr>
      <w:rFonts w:ascii="Times New Roman" w:eastAsia="Times New Roman" w:hAnsi="Times New Roman"/>
      <w:b/>
      <w:bCs/>
      <w:sz w:val="24"/>
      <w:szCs w:val="24"/>
      <w:lang w:eastAsia="lv-LV"/>
    </w:rPr>
  </w:style>
  <w:style w:type="paragraph" w:customStyle="1" w:styleId="naislab">
    <w:name w:val="naislab"/>
    <w:basedOn w:val="Normal"/>
    <w:uiPriority w:val="99"/>
    <w:rsid w:val="00E57372"/>
    <w:pPr>
      <w:spacing w:before="75" w:after="75"/>
      <w:jc w:val="right"/>
    </w:pPr>
    <w:rPr>
      <w:rFonts w:ascii="Times New Roman" w:eastAsia="Times New Roman" w:hAnsi="Times New Roman"/>
      <w:sz w:val="24"/>
      <w:szCs w:val="24"/>
      <w:lang w:eastAsia="lv-LV"/>
    </w:rPr>
  </w:style>
  <w:style w:type="paragraph" w:customStyle="1" w:styleId="naisc">
    <w:name w:val="naisc"/>
    <w:basedOn w:val="Normal"/>
    <w:uiPriority w:val="99"/>
    <w:rsid w:val="00E57372"/>
    <w:pPr>
      <w:spacing w:before="75" w:after="75"/>
      <w:jc w:val="center"/>
    </w:pPr>
    <w:rPr>
      <w:rFonts w:ascii="Times New Roman" w:eastAsia="Times New Roman" w:hAnsi="Times New Roman"/>
      <w:sz w:val="24"/>
      <w:szCs w:val="24"/>
      <w:lang w:eastAsia="lv-LV"/>
    </w:rPr>
  </w:style>
  <w:style w:type="character" w:customStyle="1" w:styleId="th1">
    <w:name w:val="th1"/>
    <w:basedOn w:val="DefaultParagraphFont"/>
    <w:uiPriority w:val="99"/>
    <w:rsid w:val="00E57372"/>
    <w:rPr>
      <w:rFonts w:cs="Times New Roman"/>
      <w:b/>
      <w:bCs/>
      <w:color w:val="333333"/>
    </w:rPr>
  </w:style>
  <w:style w:type="character" w:styleId="CommentReference">
    <w:name w:val="annotation reference"/>
    <w:basedOn w:val="DefaultParagraphFont"/>
    <w:uiPriority w:val="99"/>
    <w:semiHidden/>
    <w:rsid w:val="00E57372"/>
    <w:rPr>
      <w:rFonts w:cs="Times New Roman"/>
      <w:sz w:val="16"/>
      <w:szCs w:val="16"/>
    </w:rPr>
  </w:style>
  <w:style w:type="paragraph" w:styleId="CommentText">
    <w:name w:val="annotation text"/>
    <w:basedOn w:val="Normal"/>
    <w:link w:val="CommentTextChar"/>
    <w:uiPriority w:val="99"/>
    <w:semiHidden/>
    <w:rsid w:val="00E57372"/>
    <w:pPr>
      <w:spacing w:after="0"/>
      <w:jc w:val="left"/>
    </w:pPr>
    <w:rPr>
      <w:rFonts w:ascii="Times New Roman" w:eastAsia="Times New Roman" w:hAnsi="Times New Roman"/>
      <w:sz w:val="20"/>
      <w:szCs w:val="20"/>
      <w:lang w:eastAsia="lv-LV"/>
    </w:rPr>
  </w:style>
  <w:style w:type="character" w:customStyle="1" w:styleId="CommentTextChar">
    <w:name w:val="Comment Text Char"/>
    <w:basedOn w:val="DefaultParagraphFont"/>
    <w:link w:val="CommentText"/>
    <w:uiPriority w:val="99"/>
    <w:semiHidden/>
    <w:locked/>
    <w:rsid w:val="00E57372"/>
    <w:rPr>
      <w:rFonts w:ascii="Times New Roman" w:hAnsi="Times New Roman" w:cs="Times New Roman"/>
      <w:sz w:val="20"/>
      <w:szCs w:val="20"/>
      <w:lang w:eastAsia="lv-LV"/>
    </w:rPr>
  </w:style>
  <w:style w:type="paragraph" w:styleId="BalloonText">
    <w:name w:val="Balloon Text"/>
    <w:basedOn w:val="Normal"/>
    <w:link w:val="BalloonTextChar"/>
    <w:uiPriority w:val="99"/>
    <w:semiHidden/>
    <w:rsid w:val="00475049"/>
    <w:pPr>
      <w:spacing w:after="0"/>
      <w:jc w:val="left"/>
    </w:pPr>
    <w:rPr>
      <w:rFonts w:ascii="Tahoma" w:eastAsia="Times New Roman" w:hAnsi="Tahoma" w:cs="Tahoma"/>
      <w:szCs w:val="16"/>
      <w:lang w:eastAsia="lv-LV"/>
    </w:rPr>
  </w:style>
  <w:style w:type="character" w:customStyle="1" w:styleId="BalloonTextChar">
    <w:name w:val="Balloon Text Char"/>
    <w:basedOn w:val="DefaultParagraphFont"/>
    <w:link w:val="BalloonText"/>
    <w:uiPriority w:val="99"/>
    <w:semiHidden/>
    <w:locked/>
    <w:rsid w:val="00475049"/>
    <w:rPr>
      <w:rFonts w:ascii="Tahoma" w:eastAsia="Times New Roman" w:hAnsi="Tahoma" w:cs="Tahoma"/>
      <w:szCs w:val="16"/>
    </w:rPr>
  </w:style>
  <w:style w:type="table" w:styleId="TableGrid">
    <w:name w:val="Table Grid"/>
    <w:basedOn w:val="TableNormal"/>
    <w:uiPriority w:val="99"/>
    <w:rsid w:val="00E5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E57372"/>
    <w:pPr>
      <w:spacing w:after="0"/>
      <w:jc w:val="left"/>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locked/>
    <w:rsid w:val="00E57372"/>
    <w:rPr>
      <w:rFonts w:ascii="Times New Roman" w:hAnsi="Times New Roman" w:cs="Times New Roman"/>
      <w:sz w:val="20"/>
      <w:szCs w:val="20"/>
      <w:lang w:eastAsia="lv-LV"/>
    </w:rPr>
  </w:style>
  <w:style w:type="character" w:styleId="FootnoteReference">
    <w:name w:val="footnote reference"/>
    <w:basedOn w:val="DefaultParagraphFont"/>
    <w:link w:val="FootnoteRefernece"/>
    <w:uiPriority w:val="99"/>
    <w:qFormat/>
    <w:rsid w:val="00E57372"/>
    <w:rPr>
      <w:rFonts w:cs="Times New Roman"/>
      <w:vertAlign w:val="superscript"/>
    </w:rPr>
  </w:style>
  <w:style w:type="paragraph" w:styleId="CommentSubject">
    <w:name w:val="annotation subject"/>
    <w:basedOn w:val="CommentText"/>
    <w:next w:val="CommentText"/>
    <w:link w:val="CommentSubjectChar"/>
    <w:uiPriority w:val="99"/>
    <w:semiHidden/>
    <w:rsid w:val="00E57372"/>
    <w:rPr>
      <w:b/>
      <w:bCs/>
    </w:rPr>
  </w:style>
  <w:style w:type="character" w:customStyle="1" w:styleId="CommentSubjectChar">
    <w:name w:val="Comment Subject Char"/>
    <w:basedOn w:val="CommentTextChar"/>
    <w:link w:val="CommentSubject"/>
    <w:uiPriority w:val="99"/>
    <w:semiHidden/>
    <w:locked/>
    <w:rsid w:val="00E57372"/>
    <w:rPr>
      <w:rFonts w:ascii="Times New Roman" w:hAnsi="Times New Roman" w:cs="Times New Roman"/>
      <w:b/>
      <w:bCs/>
      <w:sz w:val="20"/>
      <w:szCs w:val="20"/>
      <w:lang w:eastAsia="lv-LV"/>
    </w:rPr>
  </w:style>
  <w:style w:type="paragraph" w:styleId="Footer">
    <w:name w:val="footer"/>
    <w:basedOn w:val="Normal"/>
    <w:link w:val="FooterChar"/>
    <w:uiPriority w:val="99"/>
    <w:rsid w:val="00E57372"/>
    <w:pPr>
      <w:tabs>
        <w:tab w:val="center" w:pos="4153"/>
        <w:tab w:val="right" w:pos="8306"/>
      </w:tabs>
      <w:spacing w:after="0"/>
      <w:jc w:val="left"/>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locked/>
    <w:rsid w:val="00E57372"/>
    <w:rPr>
      <w:rFonts w:ascii="Times New Roman" w:hAnsi="Times New Roman" w:cs="Times New Roman"/>
      <w:sz w:val="24"/>
      <w:szCs w:val="24"/>
      <w:lang w:eastAsia="lv-LV"/>
    </w:rPr>
  </w:style>
  <w:style w:type="paragraph" w:styleId="DocumentMap">
    <w:name w:val="Document Map"/>
    <w:basedOn w:val="Normal"/>
    <w:link w:val="DocumentMapChar"/>
    <w:uiPriority w:val="99"/>
    <w:semiHidden/>
    <w:rsid w:val="00E57372"/>
    <w:pPr>
      <w:shd w:val="clear" w:color="auto" w:fill="000080"/>
      <w:spacing w:after="0"/>
      <w:jc w:val="left"/>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locked/>
    <w:rsid w:val="00E57372"/>
    <w:rPr>
      <w:rFonts w:ascii="Tahoma" w:hAnsi="Tahoma" w:cs="Tahoma"/>
      <w:sz w:val="20"/>
      <w:szCs w:val="20"/>
      <w:shd w:val="clear" w:color="auto" w:fill="000080"/>
      <w:lang w:eastAsia="lv-LV"/>
    </w:rPr>
  </w:style>
  <w:style w:type="paragraph" w:styleId="ListParagraph">
    <w:name w:val="List Paragraph"/>
    <w:aliases w:val="2"/>
    <w:basedOn w:val="Normal"/>
    <w:link w:val="ListParagraphChar"/>
    <w:uiPriority w:val="34"/>
    <w:qFormat/>
    <w:rsid w:val="00E57372"/>
    <w:pPr>
      <w:ind w:left="720" w:firstLine="720"/>
      <w:contextualSpacing/>
    </w:pPr>
    <w:rPr>
      <w:rFonts w:ascii="Times New Roman" w:eastAsia="Times New Roman" w:hAnsi="Times New Roman"/>
      <w:sz w:val="28"/>
      <w:szCs w:val="20"/>
    </w:rPr>
  </w:style>
  <w:style w:type="paragraph" w:styleId="BodyText2">
    <w:name w:val="Body Text 2"/>
    <w:basedOn w:val="Normal"/>
    <w:link w:val="BodyText2Char"/>
    <w:uiPriority w:val="99"/>
    <w:rsid w:val="00E57372"/>
    <w:pPr>
      <w:widowControl w:val="0"/>
      <w:adjustRightInd w:val="0"/>
      <w:spacing w:after="0" w:line="360" w:lineRule="atLeast"/>
      <w:jc w:val="center"/>
      <w:textAlignment w:val="baseline"/>
    </w:pPr>
    <w:rPr>
      <w:rFonts w:ascii="Times New Roman" w:eastAsia="Times New Roman" w:hAnsi="Times New Roman"/>
      <w:b/>
      <w:bCs/>
      <w:sz w:val="28"/>
      <w:szCs w:val="28"/>
    </w:rPr>
  </w:style>
  <w:style w:type="character" w:customStyle="1" w:styleId="BodyText2Char">
    <w:name w:val="Body Text 2 Char"/>
    <w:basedOn w:val="DefaultParagraphFont"/>
    <w:link w:val="BodyText2"/>
    <w:uiPriority w:val="99"/>
    <w:locked/>
    <w:rsid w:val="00E57372"/>
    <w:rPr>
      <w:rFonts w:ascii="Times New Roman" w:hAnsi="Times New Roman" w:cs="Times New Roman"/>
      <w:b/>
      <w:bCs/>
      <w:sz w:val="28"/>
      <w:szCs w:val="28"/>
    </w:rPr>
  </w:style>
  <w:style w:type="paragraph" w:customStyle="1" w:styleId="Default">
    <w:name w:val="Default"/>
    <w:uiPriority w:val="99"/>
    <w:rsid w:val="00E57372"/>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uiPriority w:val="99"/>
    <w:rsid w:val="00E5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locked/>
    <w:rsid w:val="00E57372"/>
    <w:rPr>
      <w:rFonts w:ascii="Courier New" w:hAnsi="Courier New" w:cs="Courier New"/>
      <w:sz w:val="20"/>
      <w:szCs w:val="20"/>
      <w:lang w:eastAsia="lv-LV"/>
    </w:rPr>
  </w:style>
  <w:style w:type="paragraph" w:styleId="BodyTextIndent">
    <w:name w:val="Body Text Indent"/>
    <w:basedOn w:val="Normal"/>
    <w:link w:val="BodyTextIndentChar"/>
    <w:uiPriority w:val="99"/>
    <w:rsid w:val="00E57372"/>
    <w:pPr>
      <w:ind w:left="283"/>
      <w:jc w:val="left"/>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uiPriority w:val="99"/>
    <w:locked/>
    <w:rsid w:val="00E57372"/>
    <w:rPr>
      <w:rFonts w:ascii="Times New Roman" w:hAnsi="Times New Roman" w:cs="Times New Roman"/>
      <w:sz w:val="24"/>
      <w:szCs w:val="24"/>
      <w:lang w:eastAsia="lv-LV"/>
    </w:rPr>
  </w:style>
  <w:style w:type="paragraph" w:customStyle="1" w:styleId="tvhtmlmktable">
    <w:name w:val="tv_html mk_table"/>
    <w:basedOn w:val="Normal"/>
    <w:uiPriority w:val="99"/>
    <w:rsid w:val="00E57372"/>
    <w:pPr>
      <w:spacing w:before="100" w:beforeAutospacing="1" w:after="100" w:afterAutospacing="1"/>
      <w:jc w:val="left"/>
    </w:pPr>
    <w:rPr>
      <w:rFonts w:ascii="Verdana" w:eastAsia="Times New Roman" w:hAnsi="Verdana"/>
      <w:sz w:val="12"/>
      <w:szCs w:val="12"/>
      <w:lang w:eastAsia="lv-LV"/>
    </w:rPr>
  </w:style>
  <w:style w:type="paragraph" w:styleId="Revision">
    <w:name w:val="Revision"/>
    <w:hidden/>
    <w:uiPriority w:val="99"/>
    <w:semiHidden/>
    <w:rsid w:val="00E57372"/>
    <w:rPr>
      <w:rFonts w:ascii="Times New Roman" w:eastAsia="Times New Roman" w:hAnsi="Times New Roman"/>
      <w:sz w:val="24"/>
      <w:szCs w:val="24"/>
    </w:rPr>
  </w:style>
  <w:style w:type="paragraph" w:customStyle="1" w:styleId="b">
    <w:name w:val="b"/>
    <w:basedOn w:val="Normal"/>
    <w:uiPriority w:val="99"/>
    <w:rsid w:val="00E57372"/>
    <w:pPr>
      <w:spacing w:before="100" w:beforeAutospacing="1" w:after="100" w:afterAutospacing="1"/>
      <w:jc w:val="left"/>
    </w:pPr>
    <w:rPr>
      <w:rFonts w:ascii="Times New Roman" w:eastAsia="Times New Roman" w:hAnsi="Times New Roman"/>
      <w:color w:val="306060"/>
      <w:sz w:val="24"/>
      <w:szCs w:val="24"/>
      <w:lang w:eastAsia="lv-LV"/>
    </w:rPr>
  </w:style>
  <w:style w:type="paragraph" w:customStyle="1" w:styleId="h2">
    <w:name w:val="h2"/>
    <w:basedOn w:val="Normal"/>
    <w:uiPriority w:val="99"/>
    <w:rsid w:val="00DB68EA"/>
    <w:pPr>
      <w:spacing w:before="100" w:beforeAutospacing="1" w:after="100" w:afterAutospacing="1"/>
      <w:jc w:val="left"/>
    </w:pPr>
    <w:rPr>
      <w:rFonts w:ascii="Times New Roman" w:eastAsia="Times New Roman" w:hAnsi="Times New Roman"/>
      <w:color w:val="306060"/>
      <w:sz w:val="24"/>
      <w:szCs w:val="24"/>
      <w:lang w:eastAsia="lv-LV"/>
    </w:rPr>
  </w:style>
  <w:style w:type="paragraph" w:customStyle="1" w:styleId="bdc">
    <w:name w:val="bdc"/>
    <w:basedOn w:val="Normal"/>
    <w:uiPriority w:val="99"/>
    <w:rsid w:val="00912060"/>
    <w:pPr>
      <w:spacing w:before="100" w:beforeAutospacing="1" w:after="100" w:afterAutospacing="1"/>
      <w:jc w:val="left"/>
    </w:pPr>
    <w:rPr>
      <w:rFonts w:ascii="Times New Roman" w:eastAsia="Times New Roman" w:hAnsi="Times New Roman"/>
      <w:b/>
      <w:bCs/>
      <w:sz w:val="24"/>
      <w:szCs w:val="24"/>
      <w:lang w:eastAsia="lv-LV"/>
    </w:rPr>
  </w:style>
  <w:style w:type="character" w:styleId="Strong">
    <w:name w:val="Strong"/>
    <w:uiPriority w:val="22"/>
    <w:qFormat/>
    <w:locked/>
    <w:rsid w:val="00AA78FF"/>
    <w:rPr>
      <w:b/>
      <w:bCs/>
    </w:rPr>
  </w:style>
  <w:style w:type="character" w:styleId="PlaceholderText">
    <w:name w:val="Placeholder Text"/>
    <w:basedOn w:val="DefaultParagraphFont"/>
    <w:uiPriority w:val="99"/>
    <w:semiHidden/>
    <w:rsid w:val="00167E1C"/>
    <w:rPr>
      <w:color w:val="808080"/>
    </w:rPr>
  </w:style>
  <w:style w:type="paragraph" w:customStyle="1" w:styleId="FootnoteRefernece">
    <w:name w:val="Footnote Refernece"/>
    <w:aliases w:val="-E Fußnotenzeichen,E,E FNZ,Footnotes refss,Odwołanie przypisu,Ref,de nota al pie,ftref"/>
    <w:basedOn w:val="Normal"/>
    <w:next w:val="Normal"/>
    <w:link w:val="FootnoteReference"/>
    <w:uiPriority w:val="99"/>
    <w:rsid w:val="00C16C56"/>
    <w:pPr>
      <w:spacing w:after="160" w:line="240" w:lineRule="exact"/>
      <w:textAlignment w:val="baseline"/>
    </w:pPr>
    <w:rPr>
      <w:vertAlign w:val="superscript"/>
      <w:lang w:eastAsia="lv-LV"/>
    </w:rPr>
  </w:style>
  <w:style w:type="character" w:customStyle="1" w:styleId="NormalIPChar">
    <w:name w:val="Normal _IP Char"/>
    <w:basedOn w:val="DefaultParagraphFont"/>
    <w:link w:val="NormalIP"/>
    <w:uiPriority w:val="99"/>
    <w:locked/>
    <w:rsid w:val="004B2CB9"/>
  </w:style>
  <w:style w:type="paragraph" w:customStyle="1" w:styleId="NormalIP">
    <w:name w:val="Normal _IP"/>
    <w:basedOn w:val="Normal"/>
    <w:link w:val="NormalIPChar"/>
    <w:uiPriority w:val="99"/>
    <w:rsid w:val="004B2CB9"/>
    <w:pPr>
      <w:spacing w:before="80" w:after="80"/>
    </w:pPr>
    <w:rPr>
      <w:lang w:eastAsia="lv-LV"/>
    </w:rPr>
  </w:style>
  <w:style w:type="paragraph" w:customStyle="1" w:styleId="tabula">
    <w:name w:val="tabula"/>
    <w:basedOn w:val="Normal"/>
    <w:rsid w:val="00142A71"/>
    <w:pPr>
      <w:tabs>
        <w:tab w:val="left" w:pos="5954"/>
      </w:tabs>
      <w:spacing w:after="0"/>
      <w:jc w:val="left"/>
    </w:pPr>
    <w:rPr>
      <w:rFonts w:ascii="Arial" w:eastAsia="Times New Roman" w:hAnsi="Arial"/>
      <w:sz w:val="20"/>
      <w:szCs w:val="20"/>
      <w:lang w:eastAsia="lv-LV"/>
    </w:rPr>
  </w:style>
  <w:style w:type="character" w:customStyle="1" w:styleId="ListParagraphChar">
    <w:name w:val="List Paragraph Char"/>
    <w:aliases w:val="2 Char"/>
    <w:basedOn w:val="DefaultParagraphFont"/>
    <w:link w:val="ListParagraph"/>
    <w:uiPriority w:val="34"/>
    <w:locked/>
    <w:rsid w:val="00F464B8"/>
    <w:rPr>
      <w:rFonts w:ascii="Times New Roman" w:eastAsia="Times New Roman" w:hAnsi="Times New Roman"/>
      <w:sz w:val="28"/>
      <w:szCs w:val="20"/>
      <w:lang w:eastAsia="en-US"/>
    </w:rPr>
  </w:style>
  <w:style w:type="paragraph" w:styleId="NormalWeb">
    <w:name w:val="Normal (Web)"/>
    <w:basedOn w:val="Normal"/>
    <w:uiPriority w:val="99"/>
    <w:semiHidden/>
    <w:unhideWhenUsed/>
    <w:rsid w:val="00E5749F"/>
    <w:pPr>
      <w:spacing w:after="0"/>
      <w:jc w:val="left"/>
    </w:pPr>
    <w:rPr>
      <w:rFonts w:ascii="Times New Roman" w:hAnsi="Times New Roman" w:eastAsiaTheme="minorHAnsi"/>
      <w:sz w:val="24"/>
      <w:szCs w:val="24"/>
      <w:lang w:eastAsia="lv-LV"/>
    </w:rPr>
  </w:style>
  <w:style w:type="paragraph" w:styleId="BodyText">
    <w:name w:val="Body Text"/>
    <w:basedOn w:val="Normal"/>
    <w:link w:val="BodyTextChar"/>
    <w:uiPriority w:val="99"/>
    <w:semiHidden/>
    <w:unhideWhenUsed/>
    <w:rsid w:val="006900EE"/>
  </w:style>
  <w:style w:type="character" w:customStyle="1" w:styleId="BodyTextChar">
    <w:name w:val="Body Text Char"/>
    <w:basedOn w:val="DefaultParagraphFont"/>
    <w:link w:val="BodyText"/>
    <w:uiPriority w:val="99"/>
    <w:semiHidden/>
    <w:rsid w:val="006900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C467-156C-4E15-AC92-4984BB74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9665</Words>
  <Characters>55094</Characters>
  <Application>Microsoft Office Word</Application>
  <DocSecurity>0</DocSecurity>
  <Lines>459</Lines>
  <Paragraphs>129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Anotācija likumprojektam "Grozījumi likumā "Par piesārņojumu""</vt:lpstr>
      <vt:lpstr>Anotācija likumprojektam "Grozījumi likumā "Par piesārņojumu""</vt:lpstr>
    </vt:vector>
  </TitlesOfParts>
  <Manager>Helena.Rimsa@varam.gov.lv</Manager>
  <Company>Vides aizsardzības un reģionālās attīstības ministrija</Company>
  <LinksUpToDate>false</LinksUpToDate>
  <CharactersWithSpaces>64630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 likumprojektam "Grozījumi likumā "Par piesārņojumu""</dc:title>
  <dc:subject>anotācija likumprojektam</dc:subject>
  <dc:creator>Helena Rimsa</dc:creator>
  <dc:description>H.Rimša, 67026512, Helena.Rimsa@varam.gov.lv</dc:description>
  <cp:lastModifiedBy>Marta Ošleja</cp:lastModifiedBy>
  <cp:revision>11</cp:revision>
  <cp:lastPrinted>2016-02-11T13:52:00Z</cp:lastPrinted>
  <dcterms:created xsi:type="dcterms:W3CDTF">2017-07-12T14:25:00Z</dcterms:created>
  <dcterms:modified xsi:type="dcterms:W3CDTF">2017-07-25T16:27:00Z</dcterms:modified>
  <cp:category>Vides politika</cp:category>
</cp:coreProperties>
</file>