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44C2C" w:rsidRPr="005B6906" w:rsidP="00B44C2C" w14:paraId="49B1733A" w14:textId="77777777">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Pielikums </w:t>
      </w:r>
    </w:p>
    <w:p w:rsidR="00B44C2C" w:rsidRPr="005B6906" w:rsidP="00B44C2C" w14:paraId="379E4EFD" w14:textId="77777777">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Ministru kabineta</w:t>
      </w:r>
    </w:p>
    <w:p w:rsidR="00B44C2C" w:rsidRPr="005B6906" w:rsidP="00B44C2C" w14:paraId="4F490E5C" w14:textId="2A1174EA">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 201</w:t>
      </w:r>
      <w:r w:rsidR="00C71FDA">
        <w:rPr>
          <w:rFonts w:ascii="Times New Roman" w:eastAsia="Times New Roman" w:hAnsi="Times New Roman" w:cs="Times New Roman"/>
          <w:sz w:val="24"/>
          <w:szCs w:val="24"/>
          <w:lang w:eastAsia="lv-LV"/>
        </w:rPr>
        <w:t>7</w:t>
      </w:r>
      <w:r w:rsidRPr="005B6906">
        <w:rPr>
          <w:rFonts w:ascii="Times New Roman" w:eastAsia="Times New Roman" w:hAnsi="Times New Roman" w:cs="Times New Roman"/>
          <w:sz w:val="24"/>
          <w:szCs w:val="24"/>
          <w:lang w:eastAsia="lv-LV"/>
        </w:rPr>
        <w:t>. gada   </w:t>
      </w:r>
      <w:r w:rsidRPr="005B6906" w:rsidR="009B5A61">
        <w:rPr>
          <w:rFonts w:ascii="Times New Roman" w:eastAsia="Times New Roman" w:hAnsi="Times New Roman" w:cs="Times New Roman"/>
          <w:sz w:val="24"/>
          <w:szCs w:val="24"/>
          <w:lang w:eastAsia="lv-LV"/>
        </w:rPr>
        <w:t>_______</w:t>
      </w:r>
      <w:r w:rsidRPr="005B6906">
        <w:rPr>
          <w:rFonts w:ascii="Times New Roman" w:eastAsia="Times New Roman" w:hAnsi="Times New Roman" w:cs="Times New Roman"/>
          <w:sz w:val="24"/>
          <w:szCs w:val="24"/>
          <w:lang w:eastAsia="lv-LV"/>
        </w:rPr>
        <w:t> rīkojumam Nr.  </w:t>
      </w:r>
      <w:r w:rsidRPr="005B6906" w:rsidR="009B5A61">
        <w:rPr>
          <w:rFonts w:ascii="Times New Roman" w:eastAsia="Times New Roman" w:hAnsi="Times New Roman" w:cs="Times New Roman"/>
          <w:sz w:val="24"/>
          <w:szCs w:val="24"/>
          <w:lang w:eastAsia="lv-LV"/>
        </w:rPr>
        <w:t>____</w:t>
      </w:r>
      <w:r w:rsidRPr="005B6906">
        <w:rPr>
          <w:rFonts w:ascii="Times New Roman" w:eastAsia="Times New Roman" w:hAnsi="Times New Roman" w:cs="Times New Roman"/>
          <w:sz w:val="24"/>
          <w:szCs w:val="24"/>
          <w:lang w:eastAsia="lv-LV"/>
        </w:rPr>
        <w:t>   </w:t>
      </w:r>
    </w:p>
    <w:p w:rsidR="00AD2A37" w:rsidRPr="005B6906" w:rsidP="00AD2A37" w14:paraId="40B8C014" w14:textId="77777777">
      <w:pPr>
        <w:pStyle w:val="VPBody"/>
        <w:jc w:val="right"/>
        <w:rPr>
          <w:szCs w:val="24"/>
        </w:rPr>
      </w:pPr>
    </w:p>
    <w:p w:rsidR="005331FE" w:rsidRPr="00233F95" w:rsidP="00FF0C61" w14:paraId="0AADA53F" w14:textId="528B9D7D">
      <w:pPr>
        <w:pStyle w:val="VPBody"/>
        <w:spacing w:before="0" w:after="60"/>
        <w:jc w:val="center"/>
        <w:rPr>
          <w:b/>
          <w:szCs w:val="24"/>
        </w:rPr>
      </w:pPr>
      <w:r w:rsidRPr="00233F95">
        <w:rPr>
          <w:b/>
          <w:szCs w:val="24"/>
        </w:rPr>
        <w:t xml:space="preserve">Loģiski vienotais datu centrs </w:t>
      </w:r>
    </w:p>
    <w:p w:rsidR="00B44C2C" w:rsidRPr="00943C9B" w:rsidP="00FF0C61" w14:paraId="42A91D88" w14:textId="77777777">
      <w:pPr>
        <w:pStyle w:val="VPBody"/>
        <w:spacing w:before="0" w:after="60"/>
        <w:jc w:val="center"/>
        <w:rPr>
          <w:b/>
          <w:szCs w:val="24"/>
        </w:rPr>
      </w:pPr>
      <w:r w:rsidRPr="00943C9B">
        <w:rPr>
          <w:b/>
          <w:szCs w:val="24"/>
        </w:rPr>
        <w:t>p</w:t>
      </w:r>
      <w:r w:rsidRPr="00943C9B">
        <w:rPr>
          <w:b/>
          <w:szCs w:val="24"/>
        </w:rPr>
        <w:t>rojekta apraksts (kopsavilkums)</w:t>
      </w:r>
    </w:p>
    <w:p w:rsidR="00AD2A37" w:rsidRPr="00943C9B" w:rsidP="00FF0C61" w14:paraId="6CDEB45C" w14:textId="77777777">
      <w:pPr>
        <w:pStyle w:val="VPBody"/>
        <w:spacing w:before="0" w:after="60"/>
        <w:jc w:val="right"/>
        <w:rPr>
          <w:szCs w:val="24"/>
        </w:rPr>
      </w:pPr>
    </w:p>
    <w:p w:rsidR="003972BA" w:rsidRPr="00161FF0" w:rsidP="003972BA" w14:paraId="36BA11FA" w14:textId="69F97D13">
      <w:pPr>
        <w:spacing w:before="0" w:after="0"/>
        <w:jc w:val="both"/>
        <w:rPr>
          <w:rFonts w:ascii="Times New Roman" w:eastAsia="Times New Roman" w:hAnsi="Times New Roman" w:cs="Times New Roman"/>
          <w:sz w:val="24"/>
          <w:szCs w:val="24"/>
          <w:lang w:eastAsia="lv-LV"/>
        </w:rPr>
      </w:pPr>
      <w:bookmarkStart w:id="0" w:name="_Toc435687094"/>
      <w:bookmarkStart w:id="1" w:name="_Toc435687095"/>
      <w:bookmarkStart w:id="2" w:name="_Toc435687096"/>
      <w:bookmarkEnd w:id="0"/>
      <w:bookmarkEnd w:id="1"/>
      <w:bookmarkEnd w:id="2"/>
      <w:r w:rsidRPr="009171BA">
        <w:rPr>
          <w:rFonts w:ascii="Times New Roman" w:hAnsi="Times New Roman" w:cs="Times New Roman"/>
          <w:bCs/>
          <w:sz w:val="24"/>
          <w:szCs w:val="24"/>
        </w:rPr>
        <w:t xml:space="preserve">Projekta </w:t>
      </w:r>
      <w:r w:rsidRPr="009171BA">
        <w:rPr>
          <w:rFonts w:ascii="Times New Roman" w:hAnsi="Times New Roman" w:cs="Times New Roman"/>
          <w:bCs/>
          <w:sz w:val="24"/>
          <w:szCs w:val="24"/>
        </w:rPr>
        <w:t>virs</w:t>
      </w:r>
      <w:r w:rsidRPr="009171BA" w:rsidR="009B3DB9">
        <w:rPr>
          <w:rFonts w:ascii="Times New Roman" w:hAnsi="Times New Roman" w:cs="Times New Roman"/>
          <w:bCs/>
          <w:sz w:val="24"/>
          <w:szCs w:val="24"/>
        </w:rPr>
        <w:t>mērķis</w:t>
      </w:r>
      <w:r w:rsidRPr="009171BA">
        <w:rPr>
          <w:rFonts w:ascii="Times New Roman" w:hAnsi="Times New Roman" w:cs="Times New Roman"/>
          <w:bCs/>
          <w:sz w:val="24"/>
          <w:szCs w:val="24"/>
        </w:rPr>
        <w:t xml:space="preserve"> ir</w:t>
      </w:r>
      <w:r w:rsidRPr="009171BA" w:rsidR="009B3DB9">
        <w:rPr>
          <w:rFonts w:ascii="Times New Roman" w:hAnsi="Times New Roman" w:cs="Times New Roman"/>
          <w:bCs/>
          <w:sz w:val="24"/>
          <w:szCs w:val="24"/>
        </w:rPr>
        <w:t xml:space="preserve"> </w:t>
      </w:r>
      <w:r w:rsidRPr="009171BA">
        <w:rPr>
          <w:rFonts w:ascii="Times New Roman" w:eastAsia="Times New Roman" w:hAnsi="Times New Roman" w:cs="Times New Roman"/>
          <w:sz w:val="24"/>
          <w:szCs w:val="24"/>
          <w:lang w:eastAsia="lv-LV"/>
        </w:rPr>
        <w:t xml:space="preserve">veicināt darbības programmas „Izaugsme un nodarbinātība” </w:t>
      </w:r>
      <w:r w:rsidRPr="00F61FF7" w:rsidR="00F61FF7">
        <w:rPr>
          <w:rFonts w:ascii="Times New Roman" w:eastAsia="Times New Roman" w:hAnsi="Times New Roman" w:cs="Times New Roman"/>
          <w:sz w:val="24"/>
          <w:szCs w:val="24"/>
          <w:lang w:eastAsia="lv-LV"/>
        </w:rPr>
        <w:t xml:space="preserve">2.2.1.specifiskā atbalsta mērķa “Nodrošināt publisko datu </w:t>
      </w:r>
      <w:r w:rsidRPr="00F61FF7" w:rsidR="00F61FF7">
        <w:rPr>
          <w:rFonts w:ascii="Times New Roman" w:eastAsia="Times New Roman" w:hAnsi="Times New Roman" w:cs="Times New Roman"/>
          <w:sz w:val="24"/>
          <w:szCs w:val="24"/>
          <w:lang w:eastAsia="lv-LV"/>
        </w:rPr>
        <w:t>atkalizmantošanas</w:t>
      </w:r>
      <w:r w:rsidRPr="00F61FF7" w:rsidR="00F61FF7">
        <w:rPr>
          <w:rFonts w:ascii="Times New Roman" w:eastAsia="Times New Roman" w:hAnsi="Times New Roman" w:cs="Times New Roman"/>
          <w:sz w:val="24"/>
          <w:szCs w:val="24"/>
          <w:lang w:eastAsia="lv-LV"/>
        </w:rPr>
        <w:t xml:space="preserve"> pieaugumu un efektīvu publiskās pārvaldes un privātā sektora mij</w:t>
      </w:r>
      <w:r w:rsidR="00F61FF7">
        <w:rPr>
          <w:rFonts w:ascii="Times New Roman" w:eastAsia="Times New Roman" w:hAnsi="Times New Roman" w:cs="Times New Roman"/>
          <w:sz w:val="24"/>
          <w:szCs w:val="24"/>
          <w:lang w:eastAsia="lv-LV"/>
        </w:rPr>
        <w:t>iedarbību” rādītāju sasniegšanu</w:t>
      </w:r>
      <w:r w:rsidRPr="00161FF0">
        <w:rPr>
          <w:rFonts w:ascii="Times New Roman" w:eastAsia="Times New Roman" w:hAnsi="Times New Roman" w:cs="Times New Roman"/>
          <w:sz w:val="24"/>
          <w:szCs w:val="24"/>
          <w:lang w:eastAsia="lv-LV"/>
        </w:rPr>
        <w:t xml:space="preserve">, īstenojot </w:t>
      </w:r>
      <w:bookmarkStart w:id="3" w:name="_GoBack"/>
      <w:bookmarkEnd w:id="3"/>
      <w:r w:rsidRPr="00161FF0">
        <w:rPr>
          <w:rFonts w:ascii="Times New Roman" w:eastAsia="Times New Roman" w:hAnsi="Times New Roman" w:cs="Times New Roman"/>
          <w:sz w:val="24"/>
          <w:szCs w:val="24"/>
          <w:lang w:eastAsia="lv-LV"/>
        </w:rPr>
        <w:t xml:space="preserve">projektu “Loģiski vienotais datu centrs” </w:t>
      </w:r>
      <w:r w:rsidRPr="00161FF0" w:rsidR="001134A9">
        <w:rPr>
          <w:rFonts w:ascii="Times New Roman" w:eastAsia="Times New Roman" w:hAnsi="Times New Roman" w:cs="Times New Roman"/>
          <w:sz w:val="24"/>
          <w:szCs w:val="24"/>
          <w:lang w:eastAsia="lv-LV"/>
        </w:rPr>
        <w:t xml:space="preserve">(turpmāk – LVDC) </w:t>
      </w:r>
      <w:r w:rsidRPr="00161FF0">
        <w:rPr>
          <w:rFonts w:ascii="Times New Roman" w:eastAsia="Times New Roman" w:hAnsi="Times New Roman" w:cs="Times New Roman"/>
          <w:sz w:val="24"/>
          <w:szCs w:val="24"/>
          <w:lang w:eastAsia="lv-LV"/>
        </w:rPr>
        <w:t>2.2.1.1.pasākuma „Centralizētu publiskās pārvaldes IKT platformu izveide, publiskās pārvaldes procesu optimizēšana un attīstība” ietvaros.</w:t>
      </w:r>
    </w:p>
    <w:p w:rsidR="00991397" w:rsidRPr="00161FF0" w:rsidP="001D3205" w14:paraId="78989D95" w14:textId="2468ECC9">
      <w:pPr>
        <w:overflowPunct w:val="0"/>
        <w:autoSpaceDE w:val="0"/>
        <w:autoSpaceDN w:val="0"/>
        <w:spacing w:before="120" w:after="120"/>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Projekta</w:t>
      </w:r>
      <w:r w:rsidRPr="00161FF0" w:rsidR="000B527B">
        <w:rPr>
          <w:rFonts w:ascii="Times New Roman" w:eastAsia="Times New Roman" w:hAnsi="Times New Roman" w:cs="Times New Roman"/>
          <w:b/>
          <w:sz w:val="24"/>
          <w:szCs w:val="24"/>
          <w:lang w:eastAsia="lv-LV"/>
        </w:rPr>
        <w:t xml:space="preserve"> mērķi:</w:t>
      </w:r>
    </w:p>
    <w:p w:rsidR="00FD60B7" w:rsidRPr="007A1F3A" w:rsidP="007A1F3A" w14:paraId="11E258B0" w14:textId="5D8FA736">
      <w:pPr>
        <w:pStyle w:val="ListParagraph"/>
        <w:numPr>
          <w:ilvl w:val="0"/>
          <w:numId w:val="33"/>
        </w:numPr>
        <w:jc w:val="both"/>
        <w:rPr>
          <w:bCs/>
          <w:szCs w:val="24"/>
        </w:rPr>
      </w:pPr>
      <w:r>
        <w:rPr>
          <w:bCs/>
          <w:szCs w:val="24"/>
        </w:rPr>
        <w:t>I</w:t>
      </w:r>
      <w:r w:rsidRPr="007A1F3A">
        <w:rPr>
          <w:bCs/>
          <w:szCs w:val="24"/>
        </w:rPr>
        <w:t xml:space="preserve">zveidot ietvaru, kurā Iestādes saņem centralizētus </w:t>
      </w:r>
      <w:r w:rsidRPr="007A1F3A" w:rsidR="00E64D95">
        <w:rPr>
          <w:bCs/>
          <w:szCs w:val="24"/>
        </w:rPr>
        <w:t>informācijas komunikāciju tehnoloģiju (turpmāk – IKT)</w:t>
      </w:r>
      <w:r w:rsidRPr="007A1F3A">
        <w:rPr>
          <w:bCs/>
          <w:szCs w:val="24"/>
        </w:rPr>
        <w:t xml:space="preserve"> koplietošanas infrastruktūras (tikai x86 arhitektūras) pakalpojumus atbilstoši to darbības vajadzībām;</w:t>
      </w:r>
    </w:p>
    <w:p w:rsidR="00FD60B7" w:rsidRPr="007A1F3A" w:rsidP="003A2E6D" w14:paraId="33711FA5" w14:textId="12D3C10C">
      <w:pPr>
        <w:pStyle w:val="ListParagraph"/>
        <w:numPr>
          <w:ilvl w:val="0"/>
          <w:numId w:val="33"/>
        </w:numPr>
        <w:jc w:val="both"/>
        <w:rPr>
          <w:bCs/>
          <w:szCs w:val="24"/>
        </w:rPr>
      </w:pPr>
      <w:r>
        <w:rPr>
          <w:bCs/>
          <w:szCs w:val="24"/>
        </w:rPr>
        <w:t>P</w:t>
      </w:r>
      <w:r w:rsidRPr="003A2E6D">
        <w:rPr>
          <w:bCs/>
          <w:szCs w:val="24"/>
        </w:rPr>
        <w:t xml:space="preserve">ilnveidojot esošo </w:t>
      </w:r>
      <w:r w:rsidRPr="003A2E6D">
        <w:rPr>
          <w:bCs/>
          <w:szCs w:val="24"/>
        </w:rPr>
        <w:t>Iekšlietu</w:t>
      </w:r>
      <w:r w:rsidRPr="003A2E6D">
        <w:rPr>
          <w:bCs/>
          <w:szCs w:val="24"/>
        </w:rPr>
        <w:t xml:space="preserve"> ministrijas </w:t>
      </w:r>
      <w:r>
        <w:rPr>
          <w:bCs/>
          <w:szCs w:val="24"/>
        </w:rPr>
        <w:t>I</w:t>
      </w:r>
      <w:r w:rsidRPr="003A2E6D">
        <w:rPr>
          <w:bCs/>
          <w:szCs w:val="24"/>
        </w:rPr>
        <w:t>nformācijas centra datu centru</w:t>
      </w:r>
      <w:r>
        <w:rPr>
          <w:bCs/>
          <w:szCs w:val="24"/>
        </w:rPr>
        <w:t>, i</w:t>
      </w:r>
      <w:r w:rsidRPr="007A1F3A">
        <w:rPr>
          <w:bCs/>
          <w:szCs w:val="24"/>
        </w:rPr>
        <w:t xml:space="preserve">zveidot </w:t>
      </w:r>
      <w:r w:rsidRPr="00D05AE0">
        <w:rPr>
          <w:bCs/>
          <w:szCs w:val="24"/>
        </w:rPr>
        <w:t>bojājumpiecietīgu,</w:t>
      </w:r>
      <w:r w:rsidRPr="007A1F3A">
        <w:rPr>
          <w:bCs/>
          <w:szCs w:val="24"/>
        </w:rPr>
        <w:t xml:space="preserve"> drošu un viegli paplašināmu augstas pieejamības koplietošanas infrastruktūru, kurā tiks darbinātas gan esošās, gan jaunajā Eiropas </w:t>
      </w:r>
      <w:r w:rsidR="00516B21">
        <w:rPr>
          <w:bCs/>
          <w:szCs w:val="24"/>
        </w:rPr>
        <w:t xml:space="preserve">Savienības </w:t>
      </w:r>
      <w:r w:rsidRPr="007A1F3A">
        <w:rPr>
          <w:bCs/>
          <w:szCs w:val="24"/>
        </w:rPr>
        <w:t>fondu pl</w:t>
      </w:r>
      <w:r w:rsidR="00516B21">
        <w:rPr>
          <w:bCs/>
          <w:szCs w:val="24"/>
        </w:rPr>
        <w:t>ānošanas periodā izstrādājamās i</w:t>
      </w:r>
      <w:r w:rsidRPr="007A1F3A">
        <w:rPr>
          <w:bCs/>
          <w:szCs w:val="24"/>
        </w:rPr>
        <w:t xml:space="preserve">estāžu </w:t>
      </w:r>
      <w:r w:rsidRPr="007A1F3A" w:rsidR="00E64D95">
        <w:rPr>
          <w:bCs/>
          <w:szCs w:val="24"/>
        </w:rPr>
        <w:t>informācijas sistēma</w:t>
      </w:r>
      <w:r w:rsidR="00516B21">
        <w:rPr>
          <w:bCs/>
          <w:szCs w:val="24"/>
        </w:rPr>
        <w:t>s</w:t>
      </w:r>
      <w:r w:rsidRPr="007A1F3A" w:rsidR="00E64D95">
        <w:rPr>
          <w:bCs/>
          <w:szCs w:val="24"/>
        </w:rPr>
        <w:t xml:space="preserve"> (turpmāk – </w:t>
      </w:r>
      <w:r w:rsidRPr="007A1F3A">
        <w:rPr>
          <w:bCs/>
          <w:szCs w:val="24"/>
        </w:rPr>
        <w:t>IS</w:t>
      </w:r>
      <w:r w:rsidRPr="007A1F3A" w:rsidR="00E64D95">
        <w:rPr>
          <w:bCs/>
          <w:szCs w:val="24"/>
        </w:rPr>
        <w:t>)</w:t>
      </w:r>
      <w:r w:rsidRPr="007A1F3A">
        <w:rPr>
          <w:bCs/>
          <w:szCs w:val="24"/>
        </w:rPr>
        <w:t>, kā arī tiks izvietotas testa vides;</w:t>
      </w:r>
    </w:p>
    <w:p w:rsidR="00FD60B7" w:rsidRPr="008B32DD" w:rsidP="00EE6E85" w14:paraId="15D7D044" w14:textId="78682BFD">
      <w:pPr>
        <w:pStyle w:val="ListParagraph"/>
        <w:numPr>
          <w:ilvl w:val="0"/>
          <w:numId w:val="33"/>
        </w:numPr>
        <w:jc w:val="both"/>
        <w:rPr>
          <w:bCs/>
          <w:szCs w:val="24"/>
        </w:rPr>
      </w:pPr>
      <w:r w:rsidRPr="008B32DD">
        <w:rPr>
          <w:bCs/>
          <w:szCs w:val="24"/>
        </w:rPr>
        <w:t>N</w:t>
      </w:r>
      <w:r w:rsidRPr="008B32DD">
        <w:rPr>
          <w:bCs/>
          <w:szCs w:val="24"/>
        </w:rPr>
        <w:t xml:space="preserve">odrošināt </w:t>
      </w:r>
      <w:r w:rsidRPr="008B32DD" w:rsidR="008B32DD">
        <w:rPr>
          <w:bCs/>
          <w:szCs w:val="24"/>
        </w:rPr>
        <w:t>drošas</w:t>
      </w:r>
      <w:r w:rsidR="008B32DD">
        <w:rPr>
          <w:bCs/>
          <w:szCs w:val="24"/>
        </w:rPr>
        <w:t xml:space="preserve"> un </w:t>
      </w:r>
      <w:r w:rsidRPr="008B32DD" w:rsidR="008B32DD">
        <w:rPr>
          <w:bCs/>
          <w:szCs w:val="24"/>
        </w:rPr>
        <w:t>augstas pieejamī</w:t>
      </w:r>
      <w:r w:rsidR="008B32DD">
        <w:rPr>
          <w:bCs/>
          <w:szCs w:val="24"/>
        </w:rPr>
        <w:t xml:space="preserve">bas koplietošanas infrastruktūras pakalpojumus valsts pārvaldes </w:t>
      </w:r>
      <w:r w:rsidRPr="008B32DD">
        <w:rPr>
          <w:bCs/>
          <w:szCs w:val="24"/>
        </w:rPr>
        <w:t>i</w:t>
      </w:r>
      <w:r w:rsidRPr="008B32DD">
        <w:rPr>
          <w:bCs/>
          <w:szCs w:val="24"/>
        </w:rPr>
        <w:t>estādēm</w:t>
      </w:r>
      <w:r w:rsidR="00EC4608">
        <w:rPr>
          <w:bCs/>
          <w:szCs w:val="24"/>
        </w:rPr>
        <w:t xml:space="preserve">, </w:t>
      </w:r>
      <w:r w:rsidRPr="00F052D4" w:rsidR="00EC4608">
        <w:rPr>
          <w:rFonts w:eastAsia="Calibri"/>
        </w:rPr>
        <w:t>ar kurā</w:t>
      </w:r>
      <w:r w:rsidR="00EC4608">
        <w:rPr>
          <w:rFonts w:eastAsia="Calibri"/>
        </w:rPr>
        <w:t>m</w:t>
      </w:r>
      <w:r w:rsidRPr="00F052D4" w:rsidR="00EC4608">
        <w:rPr>
          <w:rFonts w:eastAsia="Calibri"/>
        </w:rPr>
        <w:t xml:space="preserve"> panākta vienošanās par pakalpojumu sniegšanu.</w:t>
      </w:r>
    </w:p>
    <w:p w:rsidR="00C71D31" w:rsidRPr="00FF0C61" w:rsidP="001D3205" w14:paraId="0327DB6C" w14:textId="100956F7">
      <w:pPr>
        <w:overflowPunct w:val="0"/>
        <w:autoSpaceDE w:val="0"/>
        <w:autoSpaceDN w:val="0"/>
        <w:spacing w:before="120" w:after="120"/>
        <w:textAlignment w:val="baseline"/>
        <w:rPr>
          <w:rFonts w:ascii="Times New Roman" w:eastAsia="Times New Roman" w:hAnsi="Times New Roman" w:cs="Times New Roman"/>
          <w:b/>
          <w:sz w:val="24"/>
          <w:szCs w:val="24"/>
          <w:lang w:eastAsia="lv-LV"/>
        </w:rPr>
      </w:pPr>
      <w:r w:rsidRPr="00FF0C61">
        <w:rPr>
          <w:rFonts w:ascii="Times New Roman" w:eastAsia="Times New Roman" w:hAnsi="Times New Roman" w:cs="Times New Roman"/>
          <w:b/>
          <w:sz w:val="24"/>
          <w:szCs w:val="24"/>
          <w:lang w:eastAsia="lv-LV"/>
        </w:rPr>
        <w:t>Darbības</w:t>
      </w:r>
      <w:r w:rsidRPr="001D3205">
        <w:rPr>
          <w:rFonts w:ascii="Times New Roman" w:eastAsia="Times New Roman" w:hAnsi="Times New Roman" w:cs="Times New Roman"/>
          <w:b/>
          <w:sz w:val="24"/>
          <w:szCs w:val="24"/>
          <w:lang w:eastAsia="lv-LV"/>
        </w:rPr>
        <w:t xml:space="preserve"> pr</w:t>
      </w:r>
      <w:r w:rsidR="00516B21">
        <w:rPr>
          <w:rFonts w:ascii="Times New Roman" w:eastAsia="Times New Roman" w:hAnsi="Times New Roman" w:cs="Times New Roman"/>
          <w:b/>
          <w:sz w:val="24"/>
          <w:szCs w:val="24"/>
          <w:lang w:eastAsia="lv-LV"/>
        </w:rPr>
        <w:t>ojekta mērķu sasniegšanai</w:t>
      </w:r>
      <w:r w:rsidRPr="00FF0C61" w:rsidR="00BA2041">
        <w:rPr>
          <w:rFonts w:ascii="Times New Roman" w:eastAsia="Times New Roman" w:hAnsi="Times New Roman" w:cs="Times New Roman"/>
          <w:b/>
          <w:sz w:val="24"/>
          <w:szCs w:val="24"/>
          <w:lang w:eastAsia="lv-LV"/>
        </w:rPr>
        <w:t>:</w:t>
      </w:r>
    </w:p>
    <w:p w:rsidR="00E64D95" w:rsidRPr="009D61B7" w:rsidP="00E64D95" w14:paraId="2B196BDE" w14:textId="69AA3A49">
      <w:pPr>
        <w:overflowPunct w:val="0"/>
        <w:autoSpaceDE w:val="0"/>
        <w:autoSpaceDN w:val="0"/>
        <w:adjustRightInd w:val="0"/>
        <w:spacing w:before="120" w:after="120"/>
        <w:jc w:val="both"/>
        <w:textAlignment w:val="baseline"/>
        <w:rPr>
          <w:rFonts w:ascii="Times New Roman" w:eastAsia="MS Mincho" w:hAnsi="Times New Roman" w:cs="Times New Roman"/>
          <w:bCs/>
          <w:sz w:val="24"/>
          <w:szCs w:val="24"/>
        </w:rPr>
      </w:pPr>
      <w:r w:rsidRPr="009D61B7">
        <w:rPr>
          <w:rFonts w:ascii="Times New Roman" w:eastAsia="MS Mincho" w:hAnsi="Times New Roman" w:cs="Times New Roman"/>
          <w:bCs/>
          <w:sz w:val="24"/>
          <w:szCs w:val="24"/>
        </w:rPr>
        <w:t>Projekta mērķu sasniegšanai tik</w:t>
      </w:r>
      <w:r>
        <w:rPr>
          <w:rFonts w:ascii="Times New Roman" w:eastAsia="MS Mincho" w:hAnsi="Times New Roman" w:cs="Times New Roman"/>
          <w:bCs/>
          <w:sz w:val="24"/>
          <w:szCs w:val="24"/>
        </w:rPr>
        <w:t xml:space="preserve">s īstenotas </w:t>
      </w:r>
      <w:r w:rsidR="00516B21">
        <w:rPr>
          <w:rFonts w:ascii="Times New Roman" w:eastAsia="MS Mincho" w:hAnsi="Times New Roman" w:cs="Times New Roman"/>
          <w:bCs/>
          <w:sz w:val="24"/>
          <w:szCs w:val="24"/>
        </w:rPr>
        <w:t>šādas</w:t>
      </w:r>
      <w:r>
        <w:rPr>
          <w:rFonts w:ascii="Times New Roman" w:eastAsia="MS Mincho" w:hAnsi="Times New Roman" w:cs="Times New Roman"/>
          <w:bCs/>
          <w:sz w:val="24"/>
          <w:szCs w:val="24"/>
        </w:rPr>
        <w:t xml:space="preserve"> darbības:</w:t>
      </w:r>
    </w:p>
    <w:p w:rsidR="00E64D95" w:rsidRPr="009D61B7" w:rsidP="00E64D95" w14:paraId="094BEEE2" w14:textId="77777777">
      <w:pPr>
        <w:pStyle w:val="ListParagraph"/>
        <w:numPr>
          <w:ilvl w:val="0"/>
          <w:numId w:val="27"/>
        </w:numPr>
        <w:overflowPunct w:val="0"/>
        <w:autoSpaceDE w:val="0"/>
        <w:autoSpaceDN w:val="0"/>
        <w:adjustRightInd w:val="0"/>
        <w:spacing w:before="120" w:after="120"/>
        <w:jc w:val="both"/>
        <w:textAlignment w:val="baseline"/>
        <w:rPr>
          <w:rFonts w:eastAsia="MS Mincho"/>
          <w:b/>
          <w:bCs/>
          <w:szCs w:val="24"/>
        </w:rPr>
      </w:pPr>
      <w:r w:rsidRPr="009D61B7">
        <w:rPr>
          <w:rFonts w:eastAsia="MS Mincho"/>
          <w:b/>
          <w:bCs/>
          <w:szCs w:val="24"/>
        </w:rPr>
        <w:t xml:space="preserve">Izpētes veikšana </w:t>
      </w:r>
      <w:r w:rsidRPr="009D61B7">
        <w:rPr>
          <w:rFonts w:eastAsia="MS Mincho"/>
          <w:bCs/>
          <w:szCs w:val="24"/>
        </w:rPr>
        <w:t>ar mērķi iegūt detalizētu informāciju par lietotāju vajadzībām un nepieciešamo infrastruktūru</w:t>
      </w:r>
      <w:r>
        <w:rPr>
          <w:rFonts w:eastAsia="MS Mincho"/>
          <w:bCs/>
          <w:szCs w:val="24"/>
        </w:rPr>
        <w:t>, kā arī tās pilnveides iespējām un metodēm.</w:t>
      </w:r>
    </w:p>
    <w:p w:rsidR="00E64D95" w:rsidRPr="009D61B7" w:rsidP="00E64D95" w14:paraId="4118064E" w14:textId="77777777">
      <w:pPr>
        <w:pStyle w:val="ListParagraph"/>
        <w:numPr>
          <w:ilvl w:val="0"/>
          <w:numId w:val="27"/>
        </w:numPr>
        <w:overflowPunct w:val="0"/>
        <w:autoSpaceDE w:val="0"/>
        <w:autoSpaceDN w:val="0"/>
        <w:adjustRightInd w:val="0"/>
        <w:spacing w:before="120" w:after="120"/>
        <w:jc w:val="both"/>
        <w:textAlignment w:val="baseline"/>
        <w:rPr>
          <w:rFonts w:eastAsia="MS Mincho"/>
          <w:b/>
          <w:bCs/>
          <w:szCs w:val="24"/>
        </w:rPr>
      </w:pPr>
      <w:r w:rsidRPr="009D61B7">
        <w:rPr>
          <w:rFonts w:eastAsia="MS Mincho"/>
          <w:b/>
          <w:bCs/>
          <w:szCs w:val="24"/>
        </w:rPr>
        <w:t>Centralizētu IKT pakalpojumu saņemšanai nepieciešamās infrastruktūras izveide</w:t>
      </w:r>
      <w:r w:rsidRPr="009D61B7">
        <w:rPr>
          <w:rFonts w:eastAsia="MS Mincho"/>
          <w:bCs/>
          <w:szCs w:val="24"/>
        </w:rPr>
        <w:t xml:space="preserve">, kas ļaus iestādēm saņemt nepieciešamos pakalpojumus, nodrošinot atbilstoša līmeņa lietotāju atbalstu un </w:t>
      </w:r>
      <w:r>
        <w:rPr>
          <w:rFonts w:eastAsia="MS Mincho"/>
          <w:bCs/>
          <w:szCs w:val="24"/>
        </w:rPr>
        <w:t>infrastruktūras pakalpojumu pieejamību.</w:t>
      </w:r>
    </w:p>
    <w:p w:rsidR="00E64D95" w:rsidRPr="009D61B7" w:rsidP="00E64D95" w14:paraId="51B6ACA3" w14:textId="77777777">
      <w:pPr>
        <w:pStyle w:val="ListParagraph"/>
        <w:numPr>
          <w:ilvl w:val="0"/>
          <w:numId w:val="27"/>
        </w:numPr>
        <w:overflowPunct w:val="0"/>
        <w:autoSpaceDE w:val="0"/>
        <w:autoSpaceDN w:val="0"/>
        <w:adjustRightInd w:val="0"/>
        <w:spacing w:before="120" w:after="120"/>
        <w:jc w:val="both"/>
        <w:textAlignment w:val="baseline"/>
        <w:rPr>
          <w:rFonts w:eastAsia="MS Mincho"/>
          <w:b/>
          <w:bCs/>
          <w:szCs w:val="24"/>
        </w:rPr>
      </w:pPr>
      <w:r w:rsidRPr="009D61B7">
        <w:rPr>
          <w:rFonts w:eastAsia="MS Mincho"/>
          <w:b/>
          <w:bCs/>
          <w:szCs w:val="24"/>
        </w:rPr>
        <w:t xml:space="preserve">Lietotāju apmācība, </w:t>
      </w:r>
      <w:r w:rsidRPr="009D61B7">
        <w:rPr>
          <w:rFonts w:eastAsia="MS Mincho"/>
          <w:bCs/>
          <w:szCs w:val="24"/>
        </w:rPr>
        <w:t>kas ļaus veiksmīgi realizēt projekta mērķi un nodrošinās atgriezenisko saikni ar lietotāj</w:t>
      </w:r>
      <w:r>
        <w:rPr>
          <w:rFonts w:eastAsia="MS Mincho"/>
          <w:bCs/>
          <w:szCs w:val="24"/>
        </w:rPr>
        <w:t>iem projekta īstenošanas laikā.</w:t>
      </w:r>
    </w:p>
    <w:p w:rsidR="00E64D95" w:rsidRPr="00B108B7" w:rsidP="00B108B7" w14:paraId="6809BBEF" w14:textId="77777777">
      <w:pPr>
        <w:pStyle w:val="ListParagraph"/>
        <w:numPr>
          <w:ilvl w:val="0"/>
          <w:numId w:val="27"/>
        </w:numPr>
        <w:overflowPunct w:val="0"/>
        <w:autoSpaceDE w:val="0"/>
        <w:autoSpaceDN w:val="0"/>
        <w:adjustRightInd w:val="0"/>
        <w:jc w:val="both"/>
        <w:textAlignment w:val="baseline"/>
        <w:rPr>
          <w:rFonts w:eastAsia="MS Mincho"/>
          <w:b/>
          <w:bCs/>
          <w:szCs w:val="24"/>
        </w:rPr>
      </w:pPr>
      <w:r w:rsidRPr="009D61B7">
        <w:rPr>
          <w:rFonts w:eastAsia="MS Mincho"/>
          <w:b/>
          <w:bCs/>
          <w:szCs w:val="24"/>
        </w:rPr>
        <w:t>Nepieciešamo izmaiņu veikšana normatīvajos aktos</w:t>
      </w:r>
      <w:r w:rsidRPr="009D61B7">
        <w:rPr>
          <w:rFonts w:eastAsia="MS Mincho"/>
          <w:bCs/>
          <w:szCs w:val="24"/>
        </w:rPr>
        <w:t>, lai nodrošinātu tiesisko pamatu Loģiski vienotā datu centra darb</w:t>
      </w:r>
      <w:r>
        <w:rPr>
          <w:rFonts w:eastAsia="MS Mincho"/>
          <w:bCs/>
          <w:szCs w:val="24"/>
        </w:rPr>
        <w:t>ībai un pakalpojumu sniegšanai.</w:t>
      </w:r>
    </w:p>
    <w:p w:rsidR="00B108B7" w:rsidRPr="009D61B7" w:rsidP="00B108B7" w14:paraId="587BAE0B" w14:textId="77777777">
      <w:pPr>
        <w:pStyle w:val="ListParagraph"/>
        <w:overflowPunct w:val="0"/>
        <w:autoSpaceDE w:val="0"/>
        <w:autoSpaceDN w:val="0"/>
        <w:adjustRightInd w:val="0"/>
        <w:jc w:val="both"/>
        <w:textAlignment w:val="baseline"/>
        <w:rPr>
          <w:rFonts w:eastAsia="MS Mincho"/>
          <w:b/>
          <w:bCs/>
          <w:szCs w:val="24"/>
        </w:rPr>
      </w:pPr>
    </w:p>
    <w:p w:rsidR="00C71D31" w:rsidRPr="001D3205" w:rsidP="001D3205" w14:paraId="1BD0BD41" w14:textId="77777777">
      <w:pPr>
        <w:overflowPunct w:val="0"/>
        <w:autoSpaceDE w:val="0"/>
        <w:autoSpaceDN w:val="0"/>
        <w:spacing w:before="120" w:after="120"/>
        <w:textAlignment w:val="baseline"/>
        <w:rPr>
          <w:rFonts w:ascii="Times New Roman" w:eastAsia="Times New Roman" w:hAnsi="Times New Roman" w:cs="Times New Roman"/>
          <w:b/>
          <w:sz w:val="24"/>
          <w:szCs w:val="24"/>
          <w:lang w:eastAsia="lv-LV"/>
        </w:rPr>
      </w:pPr>
      <w:r w:rsidRPr="001D3205">
        <w:rPr>
          <w:rFonts w:ascii="Times New Roman" w:eastAsia="Times New Roman" w:hAnsi="Times New Roman" w:cs="Times New Roman"/>
          <w:b/>
          <w:sz w:val="24"/>
          <w:szCs w:val="24"/>
          <w:lang w:eastAsia="lv-LV"/>
        </w:rPr>
        <w:t>Projekta rezultāta rādītāji:</w:t>
      </w:r>
    </w:p>
    <w:tbl>
      <w:tblPr>
        <w:tblStyle w:val="TableGrid"/>
        <w:tblW w:w="0" w:type="auto"/>
        <w:tblInd w:w="-113" w:type="dxa"/>
        <w:tblLook w:val="04A0"/>
      </w:tblPr>
      <w:tblGrid>
        <w:gridCol w:w="785"/>
        <w:gridCol w:w="2306"/>
        <w:gridCol w:w="1535"/>
        <w:gridCol w:w="1206"/>
        <w:gridCol w:w="1673"/>
        <w:gridCol w:w="1669"/>
      </w:tblGrid>
      <w:tr w14:paraId="130C8E00" w14:textId="77777777" w:rsidTr="001D3205">
        <w:tblPrEx>
          <w:tblW w:w="0" w:type="auto"/>
          <w:tblInd w:w="-113" w:type="dxa"/>
          <w:tblLook w:val="04A0"/>
        </w:tblPrEx>
        <w:tc>
          <w:tcPr>
            <w:tcW w:w="0" w:type="auto"/>
          </w:tcPr>
          <w:p w:rsidR="00D05AE0" w:rsidRPr="002B1D81" w:rsidP="001D3205" w14:paraId="1EC6859D" w14:textId="77777777">
            <w:pPr>
              <w:pStyle w:val="VPBody"/>
              <w:spacing w:before="0" w:after="0"/>
              <w:jc w:val="center"/>
              <w:rPr>
                <w:b/>
                <w:sz w:val="22"/>
              </w:rPr>
            </w:pPr>
          </w:p>
          <w:p w:rsidR="00D05AE0" w:rsidRPr="002B1D81" w:rsidP="001D3205" w14:paraId="4100A42A" w14:textId="77777777">
            <w:pPr>
              <w:pStyle w:val="VPBody"/>
              <w:spacing w:before="0" w:after="0"/>
              <w:jc w:val="center"/>
              <w:rPr>
                <w:b/>
                <w:sz w:val="22"/>
              </w:rPr>
            </w:pPr>
          </w:p>
          <w:p w:rsidR="00AA0330" w:rsidRPr="002B1D81" w:rsidP="001D3205" w14:paraId="40D74313" w14:textId="7C94988B">
            <w:pPr>
              <w:pStyle w:val="VPBody"/>
              <w:spacing w:before="0" w:after="0"/>
              <w:jc w:val="center"/>
              <w:rPr>
                <w:b/>
                <w:sz w:val="22"/>
              </w:rPr>
            </w:pPr>
            <w:r w:rsidRPr="002B1D81">
              <w:rPr>
                <w:b/>
                <w:sz w:val="22"/>
              </w:rPr>
              <w:t>N.p.k</w:t>
            </w:r>
            <w:r w:rsidRPr="002B1D81">
              <w:rPr>
                <w:b/>
                <w:sz w:val="22"/>
              </w:rPr>
              <w:t>.</w:t>
            </w:r>
          </w:p>
        </w:tc>
        <w:tc>
          <w:tcPr>
            <w:tcW w:w="0" w:type="auto"/>
            <w:vAlign w:val="center"/>
          </w:tcPr>
          <w:p w:rsidR="00AA0330" w:rsidRPr="002B1D81" w:rsidP="00010D65" w14:paraId="1D34FCDB" w14:textId="77777777">
            <w:pPr>
              <w:pStyle w:val="VPBody"/>
              <w:spacing w:before="0" w:after="0"/>
              <w:rPr>
                <w:b/>
                <w:sz w:val="22"/>
              </w:rPr>
            </w:pPr>
            <w:r w:rsidRPr="002B1D81">
              <w:rPr>
                <w:b/>
                <w:sz w:val="22"/>
              </w:rPr>
              <w:t>Rezultāta rādītājs</w:t>
            </w:r>
          </w:p>
        </w:tc>
        <w:tc>
          <w:tcPr>
            <w:tcW w:w="0" w:type="auto"/>
            <w:vAlign w:val="center"/>
          </w:tcPr>
          <w:p w:rsidR="00AA0330" w:rsidRPr="002B1D81" w:rsidP="00010D65" w14:paraId="14D525F1" w14:textId="77777777">
            <w:pPr>
              <w:pStyle w:val="VPBody"/>
              <w:spacing w:before="0" w:after="0"/>
              <w:rPr>
                <w:b/>
                <w:sz w:val="22"/>
              </w:rPr>
            </w:pPr>
            <w:r w:rsidRPr="002B1D81">
              <w:rPr>
                <w:b/>
                <w:sz w:val="22"/>
              </w:rPr>
              <w:t>Mērvienība</w:t>
            </w:r>
          </w:p>
        </w:tc>
        <w:tc>
          <w:tcPr>
            <w:tcW w:w="0" w:type="auto"/>
            <w:vAlign w:val="center"/>
          </w:tcPr>
          <w:p w:rsidR="00AA0330" w:rsidRPr="002B1D81" w:rsidP="00010D65" w14:paraId="501D53DC" w14:textId="77777777">
            <w:pPr>
              <w:pStyle w:val="VPBody"/>
              <w:spacing w:before="0" w:after="0"/>
              <w:rPr>
                <w:b/>
                <w:sz w:val="22"/>
              </w:rPr>
            </w:pPr>
            <w:r w:rsidRPr="002B1D81">
              <w:rPr>
                <w:b/>
                <w:sz w:val="22"/>
              </w:rPr>
              <w:t>Sākotnējā vērtība</w:t>
            </w:r>
          </w:p>
        </w:tc>
        <w:tc>
          <w:tcPr>
            <w:tcW w:w="0" w:type="auto"/>
            <w:vAlign w:val="center"/>
          </w:tcPr>
          <w:p w:rsidR="00AA0330" w:rsidRPr="002B1D81" w:rsidP="00010D65" w14:paraId="1026F970" w14:textId="77777777">
            <w:pPr>
              <w:pStyle w:val="VPBody"/>
              <w:spacing w:before="0" w:after="0"/>
              <w:rPr>
                <w:b/>
                <w:sz w:val="22"/>
              </w:rPr>
            </w:pPr>
            <w:r w:rsidRPr="002B1D81">
              <w:rPr>
                <w:b/>
                <w:sz w:val="22"/>
              </w:rPr>
              <w:t>Sasniedzamā  vērtība 2 gadus pēc projekta beigām</w:t>
            </w:r>
          </w:p>
        </w:tc>
        <w:tc>
          <w:tcPr>
            <w:tcW w:w="0" w:type="auto"/>
          </w:tcPr>
          <w:p w:rsidR="00AA0330" w:rsidRPr="002B1D81" w:rsidP="00010D65" w14:paraId="423C0159" w14:textId="77777777">
            <w:pPr>
              <w:pStyle w:val="VPBody"/>
              <w:spacing w:before="0" w:after="0"/>
              <w:rPr>
                <w:b/>
                <w:sz w:val="22"/>
              </w:rPr>
            </w:pPr>
            <w:r w:rsidRPr="002B1D81">
              <w:rPr>
                <w:b/>
                <w:sz w:val="22"/>
              </w:rPr>
              <w:t>Sasniedzamā vērtība 3 gadus pēc projekta beigām</w:t>
            </w:r>
          </w:p>
        </w:tc>
      </w:tr>
      <w:tr w14:paraId="28811473" w14:textId="77777777" w:rsidTr="001D3205">
        <w:tblPrEx>
          <w:tblW w:w="0" w:type="auto"/>
          <w:tblInd w:w="-113" w:type="dxa"/>
          <w:tblLook w:val="04A0"/>
        </w:tblPrEx>
        <w:tc>
          <w:tcPr>
            <w:tcW w:w="0" w:type="auto"/>
          </w:tcPr>
          <w:p w:rsidR="00AA0330" w:rsidRPr="002B1D81" w:rsidP="001D3205" w14:paraId="63B0413B" w14:textId="77777777">
            <w:pPr>
              <w:pStyle w:val="VPBody"/>
              <w:numPr>
                <w:ilvl w:val="0"/>
                <w:numId w:val="28"/>
              </w:numPr>
              <w:spacing w:before="0" w:after="0"/>
              <w:jc w:val="center"/>
              <w:rPr>
                <w:sz w:val="22"/>
              </w:rPr>
            </w:pPr>
          </w:p>
        </w:tc>
        <w:tc>
          <w:tcPr>
            <w:tcW w:w="0" w:type="auto"/>
          </w:tcPr>
          <w:p w:rsidR="00AA0330" w:rsidRPr="002B1D81" w:rsidP="00010D65" w14:paraId="7BC36D37" w14:textId="77777777">
            <w:pPr>
              <w:pStyle w:val="VPBody"/>
              <w:spacing w:before="0" w:after="0"/>
              <w:rPr>
                <w:sz w:val="22"/>
              </w:rPr>
            </w:pPr>
            <w:r w:rsidRPr="002B1D81">
              <w:rPr>
                <w:sz w:val="22"/>
              </w:rPr>
              <w:t>LVDC vienotajā tīklā pieslēgto esošo datu centru skaits</w:t>
            </w:r>
          </w:p>
        </w:tc>
        <w:tc>
          <w:tcPr>
            <w:tcW w:w="0" w:type="auto"/>
          </w:tcPr>
          <w:p w:rsidR="00AA0330" w:rsidRPr="002B1D81" w:rsidP="00010D65" w14:paraId="1341CFB1" w14:textId="1455C043">
            <w:pPr>
              <w:pStyle w:val="VPBody"/>
              <w:spacing w:before="0" w:after="0"/>
              <w:rPr>
                <w:sz w:val="22"/>
              </w:rPr>
            </w:pPr>
            <w:r w:rsidRPr="002B1D81">
              <w:rPr>
                <w:sz w:val="22"/>
              </w:rPr>
              <w:t>s</w:t>
            </w:r>
            <w:r w:rsidRPr="002B1D81">
              <w:rPr>
                <w:sz w:val="22"/>
              </w:rPr>
              <w:t>kaits</w:t>
            </w:r>
          </w:p>
        </w:tc>
        <w:tc>
          <w:tcPr>
            <w:tcW w:w="0" w:type="auto"/>
          </w:tcPr>
          <w:p w:rsidR="00AA0330" w:rsidRPr="002B1D81" w:rsidP="00010D65" w14:paraId="5EC984C1" w14:textId="77777777">
            <w:pPr>
              <w:pStyle w:val="VPBody"/>
              <w:spacing w:before="0" w:after="0"/>
              <w:rPr>
                <w:sz w:val="22"/>
              </w:rPr>
            </w:pPr>
            <w:r w:rsidRPr="002B1D81">
              <w:rPr>
                <w:sz w:val="22"/>
              </w:rPr>
              <w:t>2</w:t>
            </w:r>
          </w:p>
        </w:tc>
        <w:tc>
          <w:tcPr>
            <w:tcW w:w="0" w:type="auto"/>
          </w:tcPr>
          <w:p w:rsidR="00AA0330" w:rsidRPr="002B1D81" w:rsidP="00010D65" w14:paraId="73F6B694" w14:textId="77777777">
            <w:pPr>
              <w:pStyle w:val="VPBody"/>
              <w:spacing w:before="0" w:after="0"/>
              <w:rPr>
                <w:sz w:val="22"/>
              </w:rPr>
            </w:pPr>
            <w:r w:rsidRPr="002B1D81">
              <w:rPr>
                <w:sz w:val="22"/>
              </w:rPr>
              <w:t>3</w:t>
            </w:r>
          </w:p>
        </w:tc>
        <w:tc>
          <w:tcPr>
            <w:tcW w:w="0" w:type="auto"/>
          </w:tcPr>
          <w:p w:rsidR="00AA0330" w:rsidRPr="002B1D81" w:rsidP="00010D65" w14:paraId="5AC73D21" w14:textId="77777777">
            <w:pPr>
              <w:pStyle w:val="VPBody"/>
              <w:spacing w:before="0" w:after="0"/>
              <w:rPr>
                <w:sz w:val="22"/>
              </w:rPr>
            </w:pPr>
            <w:r w:rsidRPr="002B1D81">
              <w:rPr>
                <w:sz w:val="22"/>
              </w:rPr>
              <w:t>3</w:t>
            </w:r>
          </w:p>
        </w:tc>
      </w:tr>
      <w:tr w14:paraId="779586B5" w14:textId="77777777" w:rsidTr="001D3205">
        <w:tblPrEx>
          <w:tblW w:w="0" w:type="auto"/>
          <w:tblInd w:w="-113" w:type="dxa"/>
          <w:tblLook w:val="04A0"/>
        </w:tblPrEx>
        <w:tc>
          <w:tcPr>
            <w:tcW w:w="0" w:type="auto"/>
          </w:tcPr>
          <w:p w:rsidR="00AA0330" w:rsidRPr="002B1D81" w:rsidP="001D3205" w14:paraId="7AFA441C" w14:textId="77777777">
            <w:pPr>
              <w:pStyle w:val="VPBody"/>
              <w:numPr>
                <w:ilvl w:val="0"/>
                <w:numId w:val="28"/>
              </w:numPr>
              <w:spacing w:before="0" w:after="0"/>
              <w:jc w:val="center"/>
              <w:rPr>
                <w:sz w:val="22"/>
              </w:rPr>
            </w:pPr>
          </w:p>
        </w:tc>
        <w:tc>
          <w:tcPr>
            <w:tcW w:w="0" w:type="auto"/>
          </w:tcPr>
          <w:p w:rsidR="00AA0330" w:rsidRPr="002B1D81" w:rsidP="00010D65" w14:paraId="6E13D92F" w14:textId="59C6FEA1">
            <w:pPr>
              <w:pStyle w:val="VPBody"/>
              <w:spacing w:before="0" w:after="0"/>
              <w:rPr>
                <w:sz w:val="22"/>
              </w:rPr>
            </w:pPr>
            <w:r w:rsidRPr="002B1D81">
              <w:rPr>
                <w:sz w:val="22"/>
              </w:rPr>
              <w:t>LVDC izvietotās i</w:t>
            </w:r>
            <w:r w:rsidRPr="002B1D81">
              <w:rPr>
                <w:sz w:val="22"/>
              </w:rPr>
              <w:t>estāžu IS</w:t>
            </w:r>
          </w:p>
          <w:p w:rsidR="00AA0330" w:rsidRPr="002B1D81" w:rsidP="00010D65" w14:paraId="0A7FD963" w14:textId="77777777">
            <w:pPr>
              <w:pStyle w:val="VPBody"/>
              <w:spacing w:before="0" w:after="0"/>
              <w:rPr>
                <w:sz w:val="22"/>
              </w:rPr>
            </w:pPr>
            <w:r w:rsidRPr="002B1D81">
              <w:rPr>
                <w:sz w:val="22"/>
              </w:rPr>
              <w:t>(jaunās, kas ir savietojamas ar LVDC x86 arhitektūru)</w:t>
            </w:r>
          </w:p>
        </w:tc>
        <w:tc>
          <w:tcPr>
            <w:tcW w:w="0" w:type="auto"/>
          </w:tcPr>
          <w:p w:rsidR="00AA0330" w:rsidRPr="002B1D81" w:rsidP="00010D65" w14:paraId="65C36170" w14:textId="076BF240">
            <w:pPr>
              <w:pStyle w:val="VPBody"/>
              <w:spacing w:before="0" w:after="0"/>
              <w:rPr>
                <w:sz w:val="22"/>
              </w:rPr>
            </w:pPr>
            <w:r w:rsidRPr="002B1D81">
              <w:rPr>
                <w:sz w:val="22"/>
              </w:rPr>
              <w:t>s</w:t>
            </w:r>
            <w:r w:rsidRPr="002B1D81">
              <w:rPr>
                <w:sz w:val="22"/>
              </w:rPr>
              <w:t>kaits</w:t>
            </w:r>
          </w:p>
        </w:tc>
        <w:tc>
          <w:tcPr>
            <w:tcW w:w="0" w:type="auto"/>
          </w:tcPr>
          <w:p w:rsidR="00AA0330" w:rsidRPr="002B1D81" w:rsidP="00010D65" w14:paraId="137DE18D" w14:textId="77777777">
            <w:pPr>
              <w:pStyle w:val="VPBody"/>
              <w:spacing w:before="0" w:after="0"/>
              <w:rPr>
                <w:sz w:val="22"/>
              </w:rPr>
            </w:pPr>
            <w:r w:rsidRPr="002B1D81">
              <w:rPr>
                <w:sz w:val="22"/>
              </w:rPr>
              <w:t>0</w:t>
            </w:r>
          </w:p>
        </w:tc>
        <w:tc>
          <w:tcPr>
            <w:tcW w:w="0" w:type="auto"/>
          </w:tcPr>
          <w:p w:rsidR="00AA0330" w:rsidRPr="002B1D81" w:rsidP="00010D65" w14:paraId="5F42AC39" w14:textId="77777777">
            <w:pPr>
              <w:pStyle w:val="VPBody"/>
              <w:spacing w:before="0" w:after="0"/>
              <w:rPr>
                <w:sz w:val="22"/>
              </w:rPr>
            </w:pPr>
            <w:r w:rsidRPr="002B1D81">
              <w:rPr>
                <w:sz w:val="22"/>
              </w:rPr>
              <w:t>2</w:t>
            </w:r>
          </w:p>
        </w:tc>
        <w:tc>
          <w:tcPr>
            <w:tcW w:w="0" w:type="auto"/>
          </w:tcPr>
          <w:p w:rsidR="00AA0330" w:rsidRPr="002B1D81" w:rsidP="00010D65" w14:paraId="1BD5E3EC" w14:textId="77777777">
            <w:pPr>
              <w:pStyle w:val="VPBody"/>
              <w:spacing w:before="0" w:after="0"/>
              <w:rPr>
                <w:sz w:val="22"/>
              </w:rPr>
            </w:pPr>
            <w:r w:rsidRPr="002B1D81">
              <w:rPr>
                <w:sz w:val="22"/>
              </w:rPr>
              <w:t>vismaz IS, kuras ERAF ietvaros izstrādās IeM resorā</w:t>
            </w:r>
          </w:p>
        </w:tc>
      </w:tr>
      <w:tr w14:paraId="41B08ABD" w14:textId="77777777" w:rsidTr="001D3205">
        <w:tblPrEx>
          <w:tblW w:w="0" w:type="auto"/>
          <w:tblInd w:w="-113" w:type="dxa"/>
          <w:tblLook w:val="04A0"/>
        </w:tblPrEx>
        <w:tc>
          <w:tcPr>
            <w:tcW w:w="0" w:type="auto"/>
          </w:tcPr>
          <w:p w:rsidR="00AA0330" w:rsidRPr="002B1D81" w:rsidP="001D3205" w14:paraId="3E5DD3E0" w14:textId="77777777">
            <w:pPr>
              <w:pStyle w:val="VPBody"/>
              <w:numPr>
                <w:ilvl w:val="0"/>
                <w:numId w:val="28"/>
              </w:numPr>
              <w:spacing w:before="0" w:after="0"/>
              <w:jc w:val="center"/>
              <w:rPr>
                <w:sz w:val="22"/>
              </w:rPr>
            </w:pPr>
          </w:p>
        </w:tc>
        <w:tc>
          <w:tcPr>
            <w:tcW w:w="0" w:type="auto"/>
          </w:tcPr>
          <w:p w:rsidR="00AA0330" w:rsidRPr="002B1D81" w:rsidP="00010D65" w14:paraId="3096179C" w14:textId="5FA0CE94">
            <w:pPr>
              <w:pStyle w:val="VPBody"/>
              <w:spacing w:before="0" w:after="0"/>
              <w:rPr>
                <w:sz w:val="22"/>
              </w:rPr>
            </w:pPr>
            <w:r w:rsidRPr="002B1D81">
              <w:rPr>
                <w:sz w:val="22"/>
              </w:rPr>
              <w:t>LVDC izvietotās i</w:t>
            </w:r>
            <w:r w:rsidRPr="002B1D81">
              <w:rPr>
                <w:sz w:val="22"/>
              </w:rPr>
              <w:t>estāžu IS</w:t>
            </w:r>
          </w:p>
          <w:p w:rsidR="00AA0330" w:rsidRPr="002B1D81" w:rsidP="00010D65" w14:paraId="09149058" w14:textId="77777777">
            <w:pPr>
              <w:pStyle w:val="VPBody"/>
              <w:spacing w:before="0" w:after="0"/>
              <w:rPr>
                <w:sz w:val="22"/>
              </w:rPr>
            </w:pPr>
            <w:r w:rsidRPr="002B1D81">
              <w:rPr>
                <w:sz w:val="22"/>
              </w:rPr>
              <w:t>(esošās, kas ir savietojamas ar LVDC x86 arhitektūru )</w:t>
            </w:r>
          </w:p>
        </w:tc>
        <w:tc>
          <w:tcPr>
            <w:tcW w:w="0" w:type="auto"/>
          </w:tcPr>
          <w:p w:rsidR="00AA0330" w:rsidRPr="002B1D81" w:rsidP="00010D65" w14:paraId="74F23D2F" w14:textId="77777777">
            <w:pPr>
              <w:pStyle w:val="VPBody"/>
              <w:spacing w:before="0" w:after="0"/>
              <w:rPr>
                <w:sz w:val="22"/>
              </w:rPr>
            </w:pPr>
            <w:r w:rsidRPr="002B1D81">
              <w:rPr>
                <w:sz w:val="22"/>
              </w:rPr>
              <w:t>%</w:t>
            </w:r>
          </w:p>
        </w:tc>
        <w:tc>
          <w:tcPr>
            <w:tcW w:w="0" w:type="auto"/>
          </w:tcPr>
          <w:p w:rsidR="00AA0330" w:rsidRPr="002B1D81" w:rsidP="00010D65" w14:paraId="0C221D47" w14:textId="77777777">
            <w:pPr>
              <w:pStyle w:val="VPBody"/>
              <w:spacing w:before="0" w:after="0"/>
              <w:rPr>
                <w:sz w:val="22"/>
              </w:rPr>
            </w:pPr>
            <w:r w:rsidRPr="002B1D81">
              <w:rPr>
                <w:sz w:val="22"/>
              </w:rPr>
              <w:t>0%</w:t>
            </w:r>
          </w:p>
        </w:tc>
        <w:tc>
          <w:tcPr>
            <w:tcW w:w="0" w:type="auto"/>
          </w:tcPr>
          <w:p w:rsidR="00AA0330" w:rsidRPr="002B1D81" w:rsidP="00010D65" w14:paraId="13C9E12C" w14:textId="77777777">
            <w:pPr>
              <w:pStyle w:val="VPBody"/>
              <w:spacing w:before="0" w:after="0"/>
              <w:rPr>
                <w:sz w:val="22"/>
              </w:rPr>
            </w:pPr>
            <w:r w:rsidRPr="002B1D81">
              <w:rPr>
                <w:sz w:val="22"/>
              </w:rPr>
              <w:t>50%</w:t>
            </w:r>
          </w:p>
        </w:tc>
        <w:tc>
          <w:tcPr>
            <w:tcW w:w="0" w:type="auto"/>
          </w:tcPr>
          <w:p w:rsidR="00AA0330" w:rsidRPr="002B1D81" w:rsidP="00010D65" w14:paraId="42D00730" w14:textId="77777777">
            <w:pPr>
              <w:pStyle w:val="VPBody"/>
              <w:spacing w:before="0" w:after="0"/>
              <w:rPr>
                <w:sz w:val="22"/>
              </w:rPr>
            </w:pPr>
            <w:r w:rsidRPr="002B1D81">
              <w:rPr>
                <w:sz w:val="22"/>
              </w:rPr>
              <w:t>100%</w:t>
            </w:r>
          </w:p>
        </w:tc>
      </w:tr>
      <w:tr w14:paraId="4C709899" w14:textId="77777777" w:rsidTr="001D3205">
        <w:tblPrEx>
          <w:tblW w:w="0" w:type="auto"/>
          <w:tblInd w:w="-113" w:type="dxa"/>
          <w:tblLook w:val="04A0"/>
        </w:tblPrEx>
        <w:tc>
          <w:tcPr>
            <w:tcW w:w="0" w:type="auto"/>
          </w:tcPr>
          <w:p w:rsidR="00AA0330" w:rsidRPr="002B1D81" w:rsidP="001D3205" w14:paraId="2CC74762" w14:textId="77777777">
            <w:pPr>
              <w:pStyle w:val="VPBody"/>
              <w:numPr>
                <w:ilvl w:val="0"/>
                <w:numId w:val="28"/>
              </w:numPr>
              <w:spacing w:before="0" w:after="0"/>
              <w:jc w:val="center"/>
              <w:rPr>
                <w:sz w:val="22"/>
              </w:rPr>
            </w:pPr>
          </w:p>
        </w:tc>
        <w:tc>
          <w:tcPr>
            <w:tcW w:w="0" w:type="auto"/>
          </w:tcPr>
          <w:p w:rsidR="00AA0330" w:rsidRPr="002B1D81" w:rsidP="00010D65" w14:paraId="740A4274" w14:textId="77777777">
            <w:pPr>
              <w:pStyle w:val="VPBody"/>
              <w:spacing w:before="0" w:after="0"/>
              <w:rPr>
                <w:sz w:val="22"/>
              </w:rPr>
            </w:pPr>
            <w:r w:rsidRPr="002B1D81">
              <w:rPr>
                <w:sz w:val="22"/>
              </w:rPr>
              <w:t>IKT resursu saņemšana pamatotiem pieprasījumiem, kas ir savietojamas ar LVDC x86 arhitektūru, ieskaitot saskaņošanas procesu</w:t>
            </w:r>
          </w:p>
        </w:tc>
        <w:tc>
          <w:tcPr>
            <w:tcW w:w="0" w:type="auto"/>
          </w:tcPr>
          <w:p w:rsidR="00AA0330" w:rsidRPr="002B1D81" w:rsidP="00010D65" w14:paraId="48A463C3" w14:textId="2D612564">
            <w:pPr>
              <w:pStyle w:val="VPBody"/>
              <w:spacing w:before="0" w:after="0"/>
              <w:rPr>
                <w:sz w:val="22"/>
              </w:rPr>
            </w:pPr>
            <w:r w:rsidRPr="002B1D81">
              <w:rPr>
                <w:sz w:val="22"/>
              </w:rPr>
              <w:t>p</w:t>
            </w:r>
            <w:r w:rsidRPr="002B1D81">
              <w:rPr>
                <w:sz w:val="22"/>
              </w:rPr>
              <w:t>rocentuāls gadījumu skaits noteiktajā laikā periodā</w:t>
            </w:r>
          </w:p>
        </w:tc>
        <w:tc>
          <w:tcPr>
            <w:tcW w:w="0" w:type="auto"/>
          </w:tcPr>
          <w:p w:rsidR="00AA0330" w:rsidRPr="002B1D81" w:rsidP="00010D65" w14:paraId="659400FC" w14:textId="77777777">
            <w:pPr>
              <w:pStyle w:val="VPBody"/>
              <w:spacing w:before="0" w:after="0"/>
              <w:rPr>
                <w:sz w:val="22"/>
              </w:rPr>
            </w:pPr>
            <w:r w:rsidRPr="002B1D81">
              <w:rPr>
                <w:sz w:val="22"/>
              </w:rPr>
              <w:t xml:space="preserve">90% gadījumos </w:t>
            </w:r>
          </w:p>
          <w:p w:rsidR="00AA0330" w:rsidRPr="002B1D81" w:rsidP="00010D65" w14:paraId="79F6B8E2" w14:textId="77777777">
            <w:pPr>
              <w:pStyle w:val="VPBody"/>
              <w:spacing w:before="0" w:after="0"/>
              <w:rPr>
                <w:sz w:val="22"/>
              </w:rPr>
            </w:pPr>
            <w:r w:rsidRPr="002B1D81">
              <w:rPr>
                <w:sz w:val="22"/>
              </w:rPr>
              <w:t>2 mēnešu laikā</w:t>
            </w:r>
          </w:p>
        </w:tc>
        <w:tc>
          <w:tcPr>
            <w:tcW w:w="0" w:type="auto"/>
          </w:tcPr>
          <w:p w:rsidR="00AA0330" w:rsidRPr="002B1D81" w:rsidP="00010D65" w14:paraId="091FA12E" w14:textId="77777777">
            <w:pPr>
              <w:pStyle w:val="VPBody"/>
              <w:spacing w:before="0" w:after="0"/>
              <w:rPr>
                <w:sz w:val="22"/>
              </w:rPr>
            </w:pPr>
            <w:r w:rsidRPr="002B1D81">
              <w:rPr>
                <w:sz w:val="22"/>
              </w:rPr>
              <w:t xml:space="preserve">90% gadījumos </w:t>
            </w:r>
          </w:p>
          <w:p w:rsidR="00AA0330" w:rsidRPr="002B1D81" w:rsidP="00010D65" w14:paraId="1D77048E" w14:textId="77777777">
            <w:pPr>
              <w:pStyle w:val="VPBody"/>
              <w:spacing w:before="0" w:after="0"/>
              <w:rPr>
                <w:sz w:val="22"/>
              </w:rPr>
            </w:pPr>
            <w:r w:rsidRPr="002B1D81">
              <w:rPr>
                <w:sz w:val="22"/>
              </w:rPr>
              <w:t>1 mēneša laikā</w:t>
            </w:r>
          </w:p>
        </w:tc>
        <w:tc>
          <w:tcPr>
            <w:tcW w:w="0" w:type="auto"/>
          </w:tcPr>
          <w:p w:rsidR="00AA0330" w:rsidRPr="002B1D81" w:rsidP="00010D65" w14:paraId="79F680D1" w14:textId="77777777">
            <w:pPr>
              <w:pStyle w:val="VPBody"/>
              <w:spacing w:before="0" w:after="0"/>
              <w:rPr>
                <w:sz w:val="22"/>
              </w:rPr>
            </w:pPr>
            <w:r w:rsidRPr="002B1D81">
              <w:rPr>
                <w:sz w:val="22"/>
              </w:rPr>
              <w:t xml:space="preserve">90% gadījumos </w:t>
            </w:r>
          </w:p>
          <w:p w:rsidR="00AA0330" w:rsidRPr="002B1D81" w:rsidP="00010D65" w14:paraId="00B8CBD7" w14:textId="77777777">
            <w:pPr>
              <w:pStyle w:val="VPBody"/>
              <w:spacing w:before="0" w:after="0"/>
              <w:rPr>
                <w:sz w:val="22"/>
              </w:rPr>
            </w:pPr>
            <w:r w:rsidRPr="002B1D81">
              <w:rPr>
                <w:sz w:val="22"/>
              </w:rPr>
              <w:t>1 mēneša laikā</w:t>
            </w:r>
          </w:p>
        </w:tc>
      </w:tr>
      <w:tr w14:paraId="71BE05C4" w14:textId="77777777" w:rsidTr="001D3205">
        <w:tblPrEx>
          <w:tblW w:w="0" w:type="auto"/>
          <w:tblInd w:w="-113" w:type="dxa"/>
          <w:tblLook w:val="04A0"/>
        </w:tblPrEx>
        <w:tc>
          <w:tcPr>
            <w:tcW w:w="0" w:type="auto"/>
          </w:tcPr>
          <w:p w:rsidR="00AA0330" w:rsidRPr="002B1D81" w:rsidP="001D3205" w14:paraId="169B06D8" w14:textId="77777777">
            <w:pPr>
              <w:pStyle w:val="VPBody"/>
              <w:numPr>
                <w:ilvl w:val="0"/>
                <w:numId w:val="28"/>
              </w:numPr>
              <w:spacing w:before="0" w:after="0"/>
              <w:jc w:val="center"/>
              <w:rPr>
                <w:sz w:val="22"/>
              </w:rPr>
            </w:pPr>
          </w:p>
        </w:tc>
        <w:tc>
          <w:tcPr>
            <w:tcW w:w="0" w:type="auto"/>
          </w:tcPr>
          <w:p w:rsidR="00AA0330" w:rsidRPr="002B1D81" w:rsidP="00010D65" w14:paraId="54624291" w14:textId="77777777">
            <w:pPr>
              <w:pStyle w:val="VPBody"/>
              <w:spacing w:before="0" w:after="0"/>
              <w:rPr>
                <w:sz w:val="22"/>
              </w:rPr>
            </w:pPr>
            <w:r w:rsidRPr="002B1D81">
              <w:rPr>
                <w:sz w:val="22"/>
              </w:rPr>
              <w:t>Augstas pieejamības (rezervētas) infrastruktūras katra piešķirtā IKT resursa gada pieejamība</w:t>
            </w:r>
          </w:p>
        </w:tc>
        <w:tc>
          <w:tcPr>
            <w:tcW w:w="0" w:type="auto"/>
          </w:tcPr>
          <w:p w:rsidR="00AA0330" w:rsidRPr="002B1D81" w:rsidP="00010D65" w14:paraId="58A0940F" w14:textId="77777777">
            <w:pPr>
              <w:pStyle w:val="VPBody"/>
              <w:spacing w:before="0" w:after="0"/>
              <w:rPr>
                <w:sz w:val="22"/>
              </w:rPr>
            </w:pPr>
            <w:r w:rsidRPr="002B1D81">
              <w:rPr>
                <w:sz w:val="22"/>
              </w:rPr>
              <w:t>%</w:t>
            </w:r>
          </w:p>
        </w:tc>
        <w:tc>
          <w:tcPr>
            <w:tcW w:w="0" w:type="auto"/>
          </w:tcPr>
          <w:p w:rsidR="00AA0330" w:rsidRPr="002B1D81" w:rsidP="00010D65" w14:paraId="235CE60F" w14:textId="77777777">
            <w:pPr>
              <w:pStyle w:val="VPBody"/>
              <w:spacing w:before="0" w:after="0"/>
              <w:rPr>
                <w:sz w:val="22"/>
              </w:rPr>
            </w:pPr>
            <w:r w:rsidRPr="002B1D81">
              <w:rPr>
                <w:sz w:val="22"/>
              </w:rPr>
              <w:t>99,5%</w:t>
            </w:r>
          </w:p>
        </w:tc>
        <w:tc>
          <w:tcPr>
            <w:tcW w:w="0" w:type="auto"/>
          </w:tcPr>
          <w:p w:rsidR="00AA0330" w:rsidRPr="002B1D81" w:rsidP="00010D65" w14:paraId="3DF2826D" w14:textId="77777777">
            <w:pPr>
              <w:pStyle w:val="VPBody"/>
              <w:spacing w:before="0" w:after="0"/>
              <w:rPr>
                <w:sz w:val="22"/>
              </w:rPr>
            </w:pPr>
            <w:r w:rsidRPr="002B1D81">
              <w:rPr>
                <w:sz w:val="22"/>
              </w:rPr>
              <w:t>99,5%</w:t>
            </w:r>
          </w:p>
        </w:tc>
        <w:tc>
          <w:tcPr>
            <w:tcW w:w="0" w:type="auto"/>
          </w:tcPr>
          <w:p w:rsidR="00AA0330" w:rsidRPr="002B1D81" w:rsidP="00010D65" w14:paraId="1B82532F" w14:textId="77777777">
            <w:pPr>
              <w:pStyle w:val="VPBody"/>
              <w:spacing w:before="0" w:after="0"/>
              <w:rPr>
                <w:sz w:val="22"/>
              </w:rPr>
            </w:pPr>
            <w:r w:rsidRPr="002B1D81">
              <w:rPr>
                <w:sz w:val="22"/>
              </w:rPr>
              <w:t>99,5%</w:t>
            </w:r>
          </w:p>
        </w:tc>
      </w:tr>
      <w:tr w14:paraId="382EF9E8" w14:textId="77777777" w:rsidTr="001D3205">
        <w:tblPrEx>
          <w:tblW w:w="0" w:type="auto"/>
          <w:tblInd w:w="-113" w:type="dxa"/>
          <w:tblLook w:val="04A0"/>
        </w:tblPrEx>
        <w:tc>
          <w:tcPr>
            <w:tcW w:w="0" w:type="auto"/>
          </w:tcPr>
          <w:p w:rsidR="00AA0330" w:rsidRPr="002B1D81" w:rsidP="001D3205" w14:paraId="21F02C49" w14:textId="77777777">
            <w:pPr>
              <w:pStyle w:val="VPBody"/>
              <w:numPr>
                <w:ilvl w:val="0"/>
                <w:numId w:val="28"/>
              </w:numPr>
              <w:spacing w:before="0" w:after="0"/>
              <w:jc w:val="center"/>
              <w:rPr>
                <w:sz w:val="22"/>
              </w:rPr>
            </w:pPr>
          </w:p>
        </w:tc>
        <w:tc>
          <w:tcPr>
            <w:tcW w:w="0" w:type="auto"/>
          </w:tcPr>
          <w:p w:rsidR="00AA0330" w:rsidRPr="002B1D81" w:rsidP="00010D65" w14:paraId="15DFBE92" w14:textId="77777777">
            <w:pPr>
              <w:pStyle w:val="VPBody"/>
              <w:spacing w:before="0" w:after="0"/>
              <w:rPr>
                <w:sz w:val="22"/>
              </w:rPr>
            </w:pPr>
            <w:r w:rsidRPr="002B1D81">
              <w:rPr>
                <w:sz w:val="22"/>
              </w:rPr>
              <w:t>Infrastruktūras (nerezervētas) katra piešķirtā IKT resursa gada pieejamība</w:t>
            </w:r>
          </w:p>
        </w:tc>
        <w:tc>
          <w:tcPr>
            <w:tcW w:w="0" w:type="auto"/>
          </w:tcPr>
          <w:p w:rsidR="00AA0330" w:rsidRPr="002B1D81" w:rsidP="00010D65" w14:paraId="439E968B" w14:textId="77777777">
            <w:pPr>
              <w:pStyle w:val="VPBody"/>
              <w:spacing w:before="0" w:after="0"/>
              <w:rPr>
                <w:sz w:val="22"/>
              </w:rPr>
            </w:pPr>
            <w:r w:rsidRPr="002B1D81">
              <w:rPr>
                <w:sz w:val="22"/>
              </w:rPr>
              <w:t>%</w:t>
            </w:r>
          </w:p>
        </w:tc>
        <w:tc>
          <w:tcPr>
            <w:tcW w:w="0" w:type="auto"/>
          </w:tcPr>
          <w:p w:rsidR="00AA0330" w:rsidRPr="002B1D81" w:rsidP="00010D65" w14:paraId="3602327B" w14:textId="77777777">
            <w:pPr>
              <w:pStyle w:val="VPBody"/>
              <w:spacing w:before="0" w:after="0"/>
              <w:rPr>
                <w:sz w:val="22"/>
              </w:rPr>
            </w:pPr>
            <w:r w:rsidRPr="002B1D81">
              <w:rPr>
                <w:sz w:val="22"/>
              </w:rPr>
              <w:t>99%</w:t>
            </w:r>
          </w:p>
        </w:tc>
        <w:tc>
          <w:tcPr>
            <w:tcW w:w="0" w:type="auto"/>
          </w:tcPr>
          <w:p w:rsidR="00AA0330" w:rsidRPr="002B1D81" w:rsidP="00010D65" w14:paraId="0D576650" w14:textId="77777777">
            <w:pPr>
              <w:pStyle w:val="VPBody"/>
              <w:spacing w:before="0" w:after="0"/>
              <w:rPr>
                <w:sz w:val="22"/>
              </w:rPr>
            </w:pPr>
            <w:r w:rsidRPr="002B1D81">
              <w:rPr>
                <w:sz w:val="22"/>
              </w:rPr>
              <w:t>99%</w:t>
            </w:r>
          </w:p>
        </w:tc>
        <w:tc>
          <w:tcPr>
            <w:tcW w:w="0" w:type="auto"/>
          </w:tcPr>
          <w:p w:rsidR="00AA0330" w:rsidRPr="002B1D81" w:rsidP="00010D65" w14:paraId="6CFCC56E" w14:textId="77777777">
            <w:pPr>
              <w:pStyle w:val="VPBody"/>
              <w:spacing w:before="0" w:after="0"/>
              <w:rPr>
                <w:sz w:val="22"/>
              </w:rPr>
            </w:pPr>
            <w:r w:rsidRPr="002B1D81">
              <w:rPr>
                <w:sz w:val="22"/>
              </w:rPr>
              <w:t>99%</w:t>
            </w:r>
          </w:p>
        </w:tc>
      </w:tr>
      <w:tr w14:paraId="728DAD87" w14:textId="77777777" w:rsidTr="001D3205">
        <w:tblPrEx>
          <w:tblW w:w="0" w:type="auto"/>
          <w:tblInd w:w="-113" w:type="dxa"/>
          <w:tblLook w:val="04A0"/>
        </w:tblPrEx>
        <w:tc>
          <w:tcPr>
            <w:tcW w:w="0" w:type="auto"/>
          </w:tcPr>
          <w:p w:rsidR="00AA0330" w:rsidRPr="002B1D81" w:rsidP="001D3205" w14:paraId="7D361750" w14:textId="77777777">
            <w:pPr>
              <w:pStyle w:val="VPBody"/>
              <w:numPr>
                <w:ilvl w:val="0"/>
                <w:numId w:val="28"/>
              </w:numPr>
              <w:spacing w:before="0" w:after="0"/>
              <w:jc w:val="center"/>
              <w:rPr>
                <w:sz w:val="22"/>
              </w:rPr>
            </w:pPr>
          </w:p>
        </w:tc>
        <w:tc>
          <w:tcPr>
            <w:tcW w:w="0" w:type="auto"/>
          </w:tcPr>
          <w:p w:rsidR="00AA0330" w:rsidRPr="002B1D81" w:rsidP="005D270E" w14:paraId="1F2956B2" w14:textId="77777777">
            <w:pPr>
              <w:pStyle w:val="VPBody"/>
              <w:spacing w:before="0" w:after="0"/>
              <w:rPr>
                <w:sz w:val="22"/>
              </w:rPr>
            </w:pPr>
            <w:r w:rsidRPr="002B1D81">
              <w:rPr>
                <w:sz w:val="22"/>
              </w:rPr>
              <w:t xml:space="preserve">LVDC izvietotās </w:t>
            </w:r>
            <w:r w:rsidRPr="002B1D81" w:rsidR="009B5F99">
              <w:rPr>
                <w:sz w:val="22"/>
              </w:rPr>
              <w:t>Iekšlietu</w:t>
            </w:r>
            <w:r w:rsidRPr="002B1D81" w:rsidR="009B5F99">
              <w:rPr>
                <w:sz w:val="22"/>
              </w:rPr>
              <w:t xml:space="preserve"> ministrijas (</w:t>
            </w:r>
            <w:r w:rsidRPr="002B1D81">
              <w:rPr>
                <w:sz w:val="22"/>
              </w:rPr>
              <w:t>IeM</w:t>
            </w:r>
            <w:r w:rsidRPr="002B1D81" w:rsidR="009B5F99">
              <w:rPr>
                <w:sz w:val="22"/>
              </w:rPr>
              <w:t>)</w:t>
            </w:r>
            <w:r w:rsidRPr="002B1D81">
              <w:rPr>
                <w:sz w:val="22"/>
              </w:rPr>
              <w:t xml:space="preserve"> resora ietvaros izmantojamās testa vides, īpatsvars</w:t>
            </w:r>
          </w:p>
        </w:tc>
        <w:tc>
          <w:tcPr>
            <w:tcW w:w="0" w:type="auto"/>
          </w:tcPr>
          <w:p w:rsidR="00AA0330" w:rsidRPr="002B1D81" w:rsidP="00010D65" w14:paraId="0FEF9D3E" w14:textId="77777777">
            <w:pPr>
              <w:pStyle w:val="VPBody"/>
              <w:spacing w:before="0" w:after="0"/>
              <w:rPr>
                <w:sz w:val="22"/>
              </w:rPr>
            </w:pPr>
            <w:r w:rsidRPr="002B1D81">
              <w:rPr>
                <w:sz w:val="22"/>
              </w:rPr>
              <w:t>%</w:t>
            </w:r>
          </w:p>
        </w:tc>
        <w:tc>
          <w:tcPr>
            <w:tcW w:w="0" w:type="auto"/>
          </w:tcPr>
          <w:p w:rsidR="00AA0330" w:rsidRPr="002B1D81" w:rsidP="00010D65" w14:paraId="76701E4D" w14:textId="77777777">
            <w:pPr>
              <w:pStyle w:val="VPBody"/>
              <w:spacing w:before="0" w:after="0"/>
              <w:rPr>
                <w:sz w:val="22"/>
              </w:rPr>
            </w:pPr>
            <w:r w:rsidRPr="002B1D81">
              <w:rPr>
                <w:sz w:val="22"/>
              </w:rPr>
              <w:t>0%</w:t>
            </w:r>
          </w:p>
        </w:tc>
        <w:tc>
          <w:tcPr>
            <w:tcW w:w="0" w:type="auto"/>
          </w:tcPr>
          <w:p w:rsidR="00AA0330" w:rsidRPr="002B1D81" w:rsidP="00010D65" w14:paraId="46475474" w14:textId="77777777">
            <w:pPr>
              <w:pStyle w:val="VPBody"/>
              <w:spacing w:before="0" w:after="0"/>
              <w:rPr>
                <w:sz w:val="22"/>
              </w:rPr>
            </w:pPr>
            <w:r w:rsidRPr="002B1D81">
              <w:rPr>
                <w:sz w:val="22"/>
              </w:rPr>
              <w:t>50%</w:t>
            </w:r>
          </w:p>
        </w:tc>
        <w:tc>
          <w:tcPr>
            <w:tcW w:w="0" w:type="auto"/>
          </w:tcPr>
          <w:p w:rsidR="00AA0330" w:rsidRPr="002B1D81" w:rsidP="00010D65" w14:paraId="397FAFF2" w14:textId="77777777">
            <w:pPr>
              <w:pStyle w:val="VPBody"/>
              <w:spacing w:before="0" w:after="0"/>
              <w:rPr>
                <w:sz w:val="22"/>
              </w:rPr>
            </w:pPr>
            <w:r w:rsidRPr="002B1D81">
              <w:rPr>
                <w:sz w:val="22"/>
              </w:rPr>
              <w:t>100%</w:t>
            </w:r>
          </w:p>
        </w:tc>
      </w:tr>
      <w:tr w14:paraId="2DD07009" w14:textId="77777777" w:rsidTr="001D3205">
        <w:tblPrEx>
          <w:tblW w:w="0" w:type="auto"/>
          <w:tblInd w:w="-113" w:type="dxa"/>
          <w:tblLook w:val="04A0"/>
        </w:tblPrEx>
        <w:tc>
          <w:tcPr>
            <w:tcW w:w="0" w:type="auto"/>
          </w:tcPr>
          <w:p w:rsidR="00AA0330" w:rsidRPr="002B1D81" w:rsidP="001D3205" w14:paraId="40471359" w14:textId="77777777">
            <w:pPr>
              <w:pStyle w:val="VPBody"/>
              <w:numPr>
                <w:ilvl w:val="0"/>
                <w:numId w:val="28"/>
              </w:numPr>
              <w:spacing w:before="0" w:after="0"/>
              <w:jc w:val="center"/>
              <w:rPr>
                <w:sz w:val="22"/>
              </w:rPr>
            </w:pPr>
          </w:p>
        </w:tc>
        <w:tc>
          <w:tcPr>
            <w:tcW w:w="0" w:type="auto"/>
          </w:tcPr>
          <w:p w:rsidR="00AA0330" w:rsidRPr="002B1D81" w:rsidP="00010D65" w14:paraId="01BE0831" w14:textId="32820942">
            <w:pPr>
              <w:pStyle w:val="VPBody"/>
              <w:spacing w:before="0" w:after="0"/>
              <w:rPr>
                <w:sz w:val="22"/>
              </w:rPr>
            </w:pPr>
            <w:r w:rsidRPr="002B1D81">
              <w:rPr>
                <w:sz w:val="22"/>
              </w:rPr>
              <w:t>Iestādes, ka</w:t>
            </w:r>
            <w:r w:rsidR="004E601A">
              <w:rPr>
                <w:sz w:val="22"/>
              </w:rPr>
              <w:t xml:space="preserve">s IS darbināšanai izmanto </w:t>
            </w:r>
            <w:r w:rsidRPr="002B1D81">
              <w:rPr>
                <w:sz w:val="22"/>
              </w:rPr>
              <w:t>LVDC</w:t>
            </w:r>
          </w:p>
        </w:tc>
        <w:tc>
          <w:tcPr>
            <w:tcW w:w="0" w:type="auto"/>
          </w:tcPr>
          <w:p w:rsidR="00AA0330" w:rsidRPr="002B1D81" w:rsidP="00010D65" w14:paraId="724CDE85" w14:textId="53CE3610">
            <w:pPr>
              <w:pStyle w:val="VPBody"/>
              <w:spacing w:before="0" w:after="0"/>
              <w:rPr>
                <w:sz w:val="22"/>
              </w:rPr>
            </w:pPr>
            <w:r w:rsidRPr="002B1D81">
              <w:rPr>
                <w:sz w:val="22"/>
              </w:rPr>
              <w:t>s</w:t>
            </w:r>
            <w:r w:rsidRPr="002B1D81">
              <w:rPr>
                <w:sz w:val="22"/>
              </w:rPr>
              <w:t>kaits</w:t>
            </w:r>
          </w:p>
        </w:tc>
        <w:tc>
          <w:tcPr>
            <w:tcW w:w="0" w:type="auto"/>
          </w:tcPr>
          <w:p w:rsidR="00AA0330" w:rsidRPr="002B1D81" w:rsidP="00010D65" w14:paraId="0A01804B" w14:textId="77777777">
            <w:pPr>
              <w:pStyle w:val="VPBody"/>
              <w:spacing w:before="0" w:after="0"/>
              <w:rPr>
                <w:sz w:val="22"/>
              </w:rPr>
            </w:pPr>
            <w:r w:rsidRPr="002B1D81">
              <w:rPr>
                <w:sz w:val="22"/>
              </w:rPr>
              <w:t>0</w:t>
            </w:r>
          </w:p>
        </w:tc>
        <w:tc>
          <w:tcPr>
            <w:tcW w:w="0" w:type="auto"/>
          </w:tcPr>
          <w:p w:rsidR="00AA0330" w:rsidRPr="002B1D81" w:rsidP="00010D65" w14:paraId="76A37DE8" w14:textId="77777777">
            <w:pPr>
              <w:pStyle w:val="VPBody"/>
              <w:spacing w:before="0" w:after="0"/>
              <w:rPr>
                <w:sz w:val="22"/>
              </w:rPr>
            </w:pPr>
            <w:r w:rsidRPr="002B1D81">
              <w:rPr>
                <w:sz w:val="22"/>
              </w:rPr>
              <w:t>vismaz 8</w:t>
            </w:r>
          </w:p>
        </w:tc>
        <w:tc>
          <w:tcPr>
            <w:tcW w:w="0" w:type="auto"/>
          </w:tcPr>
          <w:p w:rsidR="00AA0330" w:rsidRPr="002B1D81" w:rsidP="00010D65" w14:paraId="7922241D" w14:textId="77777777">
            <w:pPr>
              <w:pStyle w:val="VPBody"/>
              <w:spacing w:before="0" w:after="0"/>
              <w:rPr>
                <w:sz w:val="22"/>
              </w:rPr>
            </w:pPr>
            <w:r w:rsidRPr="002B1D81">
              <w:rPr>
                <w:sz w:val="22"/>
              </w:rPr>
              <w:t>vismaz 8</w:t>
            </w:r>
          </w:p>
        </w:tc>
      </w:tr>
    </w:tbl>
    <w:p w:rsidR="001D3205" w:rsidP="001D3205" w14:paraId="36F8C4CC" w14:textId="77777777">
      <w:pPr>
        <w:overflowPunct w:val="0"/>
        <w:autoSpaceDE w:val="0"/>
        <w:autoSpaceDN w:val="0"/>
        <w:spacing w:before="120" w:after="120"/>
        <w:textAlignment w:val="baseline"/>
        <w:rPr>
          <w:rFonts w:ascii="Times New Roman" w:eastAsia="Times New Roman" w:hAnsi="Times New Roman" w:cs="Times New Roman"/>
          <w:b/>
          <w:sz w:val="24"/>
          <w:szCs w:val="24"/>
          <w:lang w:eastAsia="lv-LV"/>
        </w:rPr>
      </w:pPr>
    </w:p>
    <w:p w:rsidR="00C71D31" w:rsidRPr="001D3205" w:rsidP="001D3205" w14:paraId="74E18953" w14:textId="77777777">
      <w:pPr>
        <w:overflowPunct w:val="0"/>
        <w:autoSpaceDE w:val="0"/>
        <w:autoSpaceDN w:val="0"/>
        <w:spacing w:before="120" w:after="120"/>
        <w:textAlignment w:val="baseline"/>
        <w:rPr>
          <w:rFonts w:ascii="Times New Roman" w:eastAsia="Times New Roman" w:hAnsi="Times New Roman" w:cs="Times New Roman"/>
          <w:b/>
          <w:sz w:val="24"/>
          <w:szCs w:val="24"/>
          <w:lang w:eastAsia="lv-LV"/>
        </w:rPr>
      </w:pPr>
      <w:r w:rsidRPr="001D3205">
        <w:rPr>
          <w:rFonts w:ascii="Times New Roman" w:eastAsia="Times New Roman" w:hAnsi="Times New Roman" w:cs="Times New Roman"/>
          <w:b/>
          <w:sz w:val="24"/>
          <w:szCs w:val="24"/>
          <w:lang w:eastAsia="lv-LV"/>
        </w:rPr>
        <w:t>Projekta iznākuma rādītāji:</w:t>
      </w:r>
    </w:p>
    <w:tbl>
      <w:tblPr>
        <w:tblStyle w:val="TableGrid"/>
        <w:tblW w:w="5000" w:type="pct"/>
        <w:tblLook w:val="04A0"/>
      </w:tblPr>
      <w:tblGrid>
        <w:gridCol w:w="785"/>
        <w:gridCol w:w="3449"/>
        <w:gridCol w:w="1304"/>
        <w:gridCol w:w="1826"/>
        <w:gridCol w:w="1697"/>
      </w:tblGrid>
      <w:tr w14:paraId="26E2B267" w14:textId="77777777" w:rsidTr="001D3205">
        <w:tblPrEx>
          <w:tblW w:w="5000" w:type="pct"/>
          <w:tblLook w:val="04A0"/>
        </w:tblPrEx>
        <w:tc>
          <w:tcPr>
            <w:tcW w:w="409" w:type="pct"/>
          </w:tcPr>
          <w:p w:rsidR="009A646D" w:rsidRPr="00AA6C87" w:rsidP="001D3205" w14:paraId="6D662F63" w14:textId="77777777">
            <w:pPr>
              <w:tabs>
                <w:tab w:val="left" w:pos="0"/>
              </w:tabs>
              <w:spacing w:before="0" w:after="0"/>
              <w:jc w:val="center"/>
              <w:rPr>
                <w:rFonts w:ascii="Times New Roman" w:hAnsi="Times New Roman" w:cs="Times New Roman"/>
                <w:b/>
                <w:bCs/>
              </w:rPr>
            </w:pPr>
          </w:p>
          <w:p w:rsidR="00D05AE0" w:rsidRPr="00AA6C87" w:rsidP="001D3205" w14:paraId="384E7483" w14:textId="0434D278">
            <w:pPr>
              <w:tabs>
                <w:tab w:val="left" w:pos="0"/>
              </w:tabs>
              <w:spacing w:before="0" w:after="0"/>
              <w:jc w:val="center"/>
              <w:rPr>
                <w:rFonts w:ascii="Times New Roman" w:hAnsi="Times New Roman" w:cs="Times New Roman"/>
                <w:b/>
                <w:bCs/>
              </w:rPr>
            </w:pPr>
            <w:r w:rsidRPr="00AA6C87">
              <w:rPr>
                <w:rFonts w:ascii="Times New Roman" w:hAnsi="Times New Roman" w:cs="Times New Roman"/>
                <w:b/>
                <w:bCs/>
              </w:rPr>
              <w:t>N.p.k</w:t>
            </w:r>
            <w:r w:rsidRPr="00AA6C87">
              <w:rPr>
                <w:rFonts w:ascii="Times New Roman" w:hAnsi="Times New Roman" w:cs="Times New Roman"/>
                <w:b/>
                <w:bCs/>
              </w:rPr>
              <w:t>.</w:t>
            </w:r>
          </w:p>
        </w:tc>
        <w:tc>
          <w:tcPr>
            <w:tcW w:w="1915" w:type="pct"/>
            <w:vAlign w:val="center"/>
          </w:tcPr>
          <w:p w:rsidR="009A646D" w:rsidRPr="00AA6C87" w:rsidP="00010D65" w14:paraId="34D8A31A" w14:textId="77777777">
            <w:pPr>
              <w:tabs>
                <w:tab w:val="left" w:pos="0"/>
              </w:tabs>
              <w:spacing w:before="0" w:after="0"/>
              <w:jc w:val="both"/>
              <w:rPr>
                <w:rFonts w:ascii="Times New Roman" w:hAnsi="Times New Roman" w:cs="Times New Roman"/>
                <w:b/>
                <w:bCs/>
              </w:rPr>
            </w:pPr>
            <w:r w:rsidRPr="00AA6C87">
              <w:rPr>
                <w:rFonts w:ascii="Times New Roman" w:hAnsi="Times New Roman" w:cs="Times New Roman"/>
                <w:b/>
                <w:bCs/>
              </w:rPr>
              <w:t>Iznākuma rādītājs</w:t>
            </w:r>
          </w:p>
        </w:tc>
        <w:tc>
          <w:tcPr>
            <w:tcW w:w="709" w:type="pct"/>
            <w:vAlign w:val="center"/>
          </w:tcPr>
          <w:p w:rsidR="009A646D" w:rsidRPr="00AA6C87" w:rsidP="00010D65" w14:paraId="75F5EA4B" w14:textId="77777777">
            <w:pPr>
              <w:tabs>
                <w:tab w:val="left" w:pos="0"/>
              </w:tabs>
              <w:spacing w:before="0" w:after="0"/>
              <w:jc w:val="both"/>
              <w:rPr>
                <w:rFonts w:ascii="Times New Roman" w:hAnsi="Times New Roman" w:cs="Times New Roman"/>
                <w:b/>
                <w:bCs/>
              </w:rPr>
            </w:pPr>
            <w:r w:rsidRPr="00AA6C87">
              <w:rPr>
                <w:rFonts w:ascii="Times New Roman" w:hAnsi="Times New Roman" w:cs="Times New Roman"/>
                <w:b/>
                <w:bCs/>
              </w:rPr>
              <w:t>Mērvienība</w:t>
            </w:r>
          </w:p>
        </w:tc>
        <w:tc>
          <w:tcPr>
            <w:tcW w:w="1019" w:type="pct"/>
            <w:vAlign w:val="center"/>
          </w:tcPr>
          <w:p w:rsidR="009A646D" w:rsidRPr="00AA6C87" w:rsidP="00010D65" w14:paraId="762A34E1" w14:textId="77777777">
            <w:pPr>
              <w:tabs>
                <w:tab w:val="left" w:pos="0"/>
              </w:tabs>
              <w:spacing w:before="0" w:after="0"/>
              <w:jc w:val="both"/>
              <w:rPr>
                <w:rFonts w:ascii="Times New Roman" w:hAnsi="Times New Roman" w:cs="Times New Roman"/>
                <w:b/>
                <w:bCs/>
              </w:rPr>
            </w:pPr>
            <w:r w:rsidRPr="00AA6C87">
              <w:rPr>
                <w:rFonts w:ascii="Times New Roman" w:hAnsi="Times New Roman" w:cs="Times New Roman"/>
                <w:b/>
                <w:bCs/>
              </w:rPr>
              <w:t>Starpvērtība</w:t>
            </w:r>
            <w:r w:rsidRPr="00AA6C87">
              <w:rPr>
                <w:rFonts w:ascii="Times New Roman" w:hAnsi="Times New Roman" w:cs="Times New Roman"/>
                <w:b/>
                <w:bCs/>
              </w:rPr>
              <w:t xml:space="preserve"> (2 gadi pēc projekta sākuma)</w:t>
            </w:r>
          </w:p>
        </w:tc>
        <w:tc>
          <w:tcPr>
            <w:tcW w:w="949" w:type="pct"/>
            <w:vAlign w:val="center"/>
          </w:tcPr>
          <w:p w:rsidR="009A646D" w:rsidRPr="00AA6C87" w:rsidP="00010D65" w14:paraId="4C3BA2D5" w14:textId="77777777">
            <w:pPr>
              <w:tabs>
                <w:tab w:val="left" w:pos="0"/>
              </w:tabs>
              <w:spacing w:before="0" w:after="0"/>
              <w:jc w:val="both"/>
              <w:rPr>
                <w:rFonts w:ascii="Times New Roman" w:hAnsi="Times New Roman" w:cs="Times New Roman"/>
                <w:b/>
                <w:bCs/>
              </w:rPr>
            </w:pPr>
            <w:r w:rsidRPr="00AA6C87">
              <w:rPr>
                <w:rFonts w:ascii="Times New Roman" w:hAnsi="Times New Roman" w:cs="Times New Roman"/>
                <w:b/>
                <w:bCs/>
              </w:rPr>
              <w:t>Sasniedzamā vērtība projekta beigās</w:t>
            </w:r>
          </w:p>
        </w:tc>
      </w:tr>
      <w:tr w14:paraId="062A3C69" w14:textId="77777777" w:rsidTr="001D3205">
        <w:tblPrEx>
          <w:tblW w:w="5000" w:type="pct"/>
          <w:tblLook w:val="04A0"/>
        </w:tblPrEx>
        <w:tc>
          <w:tcPr>
            <w:tcW w:w="409" w:type="pct"/>
          </w:tcPr>
          <w:p w:rsidR="009A646D" w:rsidRPr="009D61B7" w:rsidP="001D3205" w14:paraId="61E2D7E8" w14:textId="0DAE47DB">
            <w:pPr>
              <w:tabs>
                <w:tab w:val="left" w:pos="0"/>
              </w:tabs>
              <w:spacing w:before="0" w:after="0"/>
              <w:jc w:val="center"/>
              <w:rPr>
                <w:rFonts w:ascii="Times New Roman" w:hAnsi="Times New Roman" w:cs="Times New Roman"/>
                <w:bCs/>
              </w:rPr>
            </w:pPr>
            <w:r w:rsidRPr="009D61B7">
              <w:rPr>
                <w:rFonts w:ascii="Times New Roman" w:hAnsi="Times New Roman" w:cs="Times New Roman"/>
                <w:bCs/>
              </w:rPr>
              <w:t>1</w:t>
            </w:r>
            <w:r w:rsidR="00D05AE0">
              <w:rPr>
                <w:rFonts w:ascii="Times New Roman" w:hAnsi="Times New Roman" w:cs="Times New Roman"/>
                <w:bCs/>
              </w:rPr>
              <w:t>.</w:t>
            </w:r>
          </w:p>
        </w:tc>
        <w:tc>
          <w:tcPr>
            <w:tcW w:w="1915" w:type="pct"/>
          </w:tcPr>
          <w:p w:rsidR="009A646D" w:rsidRPr="009D61B7" w:rsidP="00010D65" w14:paraId="5681CBDA" w14:textId="77777777">
            <w:pPr>
              <w:tabs>
                <w:tab w:val="left" w:pos="0"/>
              </w:tabs>
              <w:spacing w:before="0" w:after="0"/>
              <w:jc w:val="both"/>
              <w:rPr>
                <w:rFonts w:ascii="Times New Roman" w:hAnsi="Times New Roman" w:cs="Times New Roman"/>
                <w:bCs/>
              </w:rPr>
            </w:pPr>
            <w:r w:rsidRPr="009D61B7">
              <w:rPr>
                <w:rFonts w:ascii="Times New Roman" w:hAnsi="Times New Roman" w:cs="Times New Roman"/>
                <w:bCs/>
              </w:rPr>
              <w:t xml:space="preserve">Pilnveidoti darbības procesi </w:t>
            </w:r>
          </w:p>
        </w:tc>
        <w:tc>
          <w:tcPr>
            <w:tcW w:w="709" w:type="pct"/>
          </w:tcPr>
          <w:p w:rsidR="009A646D" w:rsidRPr="009D61B7" w:rsidP="00010D65" w14:paraId="4C764B9A" w14:textId="77777777">
            <w:pPr>
              <w:tabs>
                <w:tab w:val="left" w:pos="0"/>
              </w:tabs>
              <w:spacing w:before="0" w:after="0"/>
              <w:jc w:val="both"/>
              <w:rPr>
                <w:rFonts w:ascii="Times New Roman" w:hAnsi="Times New Roman" w:cs="Times New Roman"/>
                <w:bCs/>
              </w:rPr>
            </w:pPr>
            <w:r w:rsidRPr="009D61B7">
              <w:rPr>
                <w:rFonts w:ascii="Times New Roman" w:hAnsi="Times New Roman" w:cs="Times New Roman"/>
                <w:bCs/>
              </w:rPr>
              <w:t xml:space="preserve">skaits </w:t>
            </w:r>
          </w:p>
        </w:tc>
        <w:tc>
          <w:tcPr>
            <w:tcW w:w="1019" w:type="pct"/>
          </w:tcPr>
          <w:p w:rsidR="009A646D" w:rsidRPr="009D61B7" w:rsidP="00010D65" w14:paraId="713F31E0" w14:textId="77777777">
            <w:pPr>
              <w:tabs>
                <w:tab w:val="left" w:pos="0"/>
              </w:tabs>
              <w:spacing w:before="0" w:after="0"/>
              <w:jc w:val="both"/>
              <w:rPr>
                <w:rFonts w:ascii="Times New Roman" w:hAnsi="Times New Roman" w:cs="Times New Roman"/>
                <w:bCs/>
              </w:rPr>
            </w:pPr>
            <w:r w:rsidRPr="009D61B7">
              <w:rPr>
                <w:rFonts w:ascii="Times New Roman" w:hAnsi="Times New Roman" w:cs="Times New Roman"/>
                <w:bCs/>
              </w:rPr>
              <w:t>1</w:t>
            </w:r>
          </w:p>
        </w:tc>
        <w:tc>
          <w:tcPr>
            <w:tcW w:w="949" w:type="pct"/>
          </w:tcPr>
          <w:p w:rsidR="009A646D" w:rsidRPr="009D61B7" w:rsidP="00010D65" w14:paraId="206963E6" w14:textId="77777777">
            <w:pPr>
              <w:tabs>
                <w:tab w:val="left" w:pos="0"/>
              </w:tabs>
              <w:spacing w:before="0" w:after="0"/>
              <w:jc w:val="both"/>
              <w:rPr>
                <w:rFonts w:ascii="Times New Roman" w:hAnsi="Times New Roman" w:cs="Times New Roman"/>
                <w:bCs/>
              </w:rPr>
            </w:pPr>
            <w:r w:rsidRPr="009D61B7">
              <w:rPr>
                <w:rFonts w:ascii="Times New Roman" w:hAnsi="Times New Roman" w:cs="Times New Roman"/>
                <w:bCs/>
              </w:rPr>
              <w:t>3</w:t>
            </w:r>
          </w:p>
        </w:tc>
      </w:tr>
      <w:tr w14:paraId="4C471165" w14:textId="77777777" w:rsidTr="001D3205">
        <w:tblPrEx>
          <w:tblW w:w="5000" w:type="pct"/>
          <w:tblLook w:val="04A0"/>
        </w:tblPrEx>
        <w:tc>
          <w:tcPr>
            <w:tcW w:w="409" w:type="pct"/>
          </w:tcPr>
          <w:p w:rsidR="009A646D" w:rsidRPr="009D61B7" w:rsidP="001D3205" w14:paraId="1D5C310F" w14:textId="72075D4C">
            <w:pPr>
              <w:tabs>
                <w:tab w:val="left" w:pos="0"/>
              </w:tabs>
              <w:spacing w:before="0" w:after="0"/>
              <w:jc w:val="center"/>
              <w:rPr>
                <w:rFonts w:ascii="Times New Roman" w:hAnsi="Times New Roman" w:cs="Times New Roman"/>
                <w:bCs/>
              </w:rPr>
            </w:pPr>
            <w:r>
              <w:rPr>
                <w:rFonts w:ascii="Times New Roman" w:hAnsi="Times New Roman" w:cs="Times New Roman"/>
                <w:bCs/>
              </w:rPr>
              <w:t>2</w:t>
            </w:r>
            <w:r w:rsidR="00D05AE0">
              <w:rPr>
                <w:rFonts w:ascii="Times New Roman" w:hAnsi="Times New Roman" w:cs="Times New Roman"/>
                <w:bCs/>
              </w:rPr>
              <w:t>.</w:t>
            </w:r>
          </w:p>
        </w:tc>
        <w:tc>
          <w:tcPr>
            <w:tcW w:w="1915" w:type="pct"/>
          </w:tcPr>
          <w:p w:rsidR="009A646D" w:rsidRPr="009D61B7" w:rsidP="00010D65" w14:paraId="74D2C6AA" w14:textId="77777777">
            <w:pPr>
              <w:tabs>
                <w:tab w:val="left" w:pos="0"/>
              </w:tabs>
              <w:spacing w:before="0" w:after="0"/>
              <w:jc w:val="both"/>
              <w:rPr>
                <w:rFonts w:ascii="Times New Roman" w:hAnsi="Times New Roman" w:cs="Times New Roman"/>
                <w:bCs/>
              </w:rPr>
            </w:pPr>
            <w:r>
              <w:rPr>
                <w:rFonts w:ascii="Times New Roman" w:hAnsi="Times New Roman" w:cs="Times New Roman"/>
                <w:bCs/>
              </w:rPr>
              <w:t>Izveidoti darbības procesi</w:t>
            </w:r>
          </w:p>
        </w:tc>
        <w:tc>
          <w:tcPr>
            <w:tcW w:w="709" w:type="pct"/>
          </w:tcPr>
          <w:p w:rsidR="009A646D" w:rsidRPr="009D61B7" w:rsidP="00010D65" w14:paraId="551C6D21" w14:textId="77777777">
            <w:pPr>
              <w:tabs>
                <w:tab w:val="left" w:pos="0"/>
              </w:tabs>
              <w:spacing w:before="0" w:after="0"/>
              <w:jc w:val="both"/>
              <w:rPr>
                <w:rFonts w:ascii="Times New Roman" w:hAnsi="Times New Roman" w:cs="Times New Roman"/>
                <w:bCs/>
              </w:rPr>
            </w:pPr>
            <w:r>
              <w:rPr>
                <w:rFonts w:ascii="Times New Roman" w:hAnsi="Times New Roman" w:cs="Times New Roman"/>
                <w:bCs/>
              </w:rPr>
              <w:t xml:space="preserve">skaits </w:t>
            </w:r>
          </w:p>
        </w:tc>
        <w:tc>
          <w:tcPr>
            <w:tcW w:w="1019" w:type="pct"/>
          </w:tcPr>
          <w:p w:rsidR="009A646D" w:rsidRPr="009D61B7" w:rsidP="00010D65" w14:paraId="3E93711E" w14:textId="77777777">
            <w:pPr>
              <w:tabs>
                <w:tab w:val="left" w:pos="0"/>
              </w:tabs>
              <w:spacing w:before="0" w:after="0"/>
              <w:jc w:val="both"/>
              <w:rPr>
                <w:rFonts w:ascii="Times New Roman" w:hAnsi="Times New Roman" w:cs="Times New Roman"/>
                <w:bCs/>
              </w:rPr>
            </w:pPr>
            <w:r>
              <w:rPr>
                <w:rFonts w:ascii="Times New Roman" w:hAnsi="Times New Roman" w:cs="Times New Roman"/>
                <w:bCs/>
              </w:rPr>
              <w:t>3</w:t>
            </w:r>
          </w:p>
        </w:tc>
        <w:tc>
          <w:tcPr>
            <w:tcW w:w="949" w:type="pct"/>
          </w:tcPr>
          <w:p w:rsidR="009A646D" w:rsidRPr="009D61B7" w:rsidP="00010D65" w14:paraId="3967557B" w14:textId="77777777">
            <w:pPr>
              <w:tabs>
                <w:tab w:val="left" w:pos="0"/>
              </w:tabs>
              <w:spacing w:before="0" w:after="0"/>
              <w:jc w:val="both"/>
              <w:rPr>
                <w:rFonts w:ascii="Times New Roman" w:hAnsi="Times New Roman" w:cs="Times New Roman"/>
                <w:bCs/>
              </w:rPr>
            </w:pPr>
            <w:r>
              <w:rPr>
                <w:rFonts w:ascii="Times New Roman" w:hAnsi="Times New Roman" w:cs="Times New Roman"/>
                <w:bCs/>
              </w:rPr>
              <w:t>10</w:t>
            </w:r>
          </w:p>
        </w:tc>
      </w:tr>
      <w:tr w14:paraId="60DF6E3B" w14:textId="77777777" w:rsidTr="001D3205">
        <w:tblPrEx>
          <w:tblW w:w="5000" w:type="pct"/>
          <w:tblLook w:val="04A0"/>
        </w:tblPrEx>
        <w:tc>
          <w:tcPr>
            <w:tcW w:w="409" w:type="pct"/>
          </w:tcPr>
          <w:p w:rsidR="009A646D" w:rsidRPr="009D61B7" w:rsidP="001D3205" w14:paraId="5D7334FE" w14:textId="1F931B0E">
            <w:pPr>
              <w:tabs>
                <w:tab w:val="left" w:pos="0"/>
              </w:tabs>
              <w:spacing w:before="0" w:after="0"/>
              <w:jc w:val="center"/>
              <w:rPr>
                <w:rFonts w:ascii="Times New Roman" w:hAnsi="Times New Roman" w:cs="Times New Roman"/>
                <w:bCs/>
              </w:rPr>
            </w:pPr>
            <w:r>
              <w:rPr>
                <w:rFonts w:ascii="Times New Roman" w:hAnsi="Times New Roman" w:cs="Times New Roman"/>
                <w:bCs/>
              </w:rPr>
              <w:t>3</w:t>
            </w:r>
            <w:r w:rsidR="00D05AE0">
              <w:rPr>
                <w:rFonts w:ascii="Times New Roman" w:hAnsi="Times New Roman" w:cs="Times New Roman"/>
                <w:bCs/>
              </w:rPr>
              <w:t>.</w:t>
            </w:r>
          </w:p>
        </w:tc>
        <w:tc>
          <w:tcPr>
            <w:tcW w:w="1915" w:type="pct"/>
          </w:tcPr>
          <w:p w:rsidR="009A646D" w:rsidRPr="009D61B7" w:rsidP="001D3205" w14:paraId="4776D9ED" w14:textId="71D52134">
            <w:pPr>
              <w:pStyle w:val="Default"/>
              <w:spacing w:before="0"/>
              <w:jc w:val="both"/>
              <w:rPr>
                <w:bCs/>
              </w:rPr>
            </w:pPr>
            <w:r w:rsidRPr="009D61B7">
              <w:rPr>
                <w:sz w:val="22"/>
                <w:szCs w:val="22"/>
              </w:rPr>
              <w:t xml:space="preserve">Īstenoti apmācību, informatīvie un publicitātes pasākumi </w:t>
            </w:r>
          </w:p>
        </w:tc>
        <w:tc>
          <w:tcPr>
            <w:tcW w:w="709" w:type="pct"/>
          </w:tcPr>
          <w:p w:rsidR="009A646D" w:rsidRPr="009D61B7" w:rsidP="00010D65" w14:paraId="35933A48" w14:textId="77777777">
            <w:pPr>
              <w:tabs>
                <w:tab w:val="left" w:pos="0"/>
              </w:tabs>
              <w:spacing w:before="0" w:after="0"/>
              <w:jc w:val="both"/>
              <w:rPr>
                <w:rFonts w:ascii="Times New Roman" w:hAnsi="Times New Roman" w:cs="Times New Roman"/>
                <w:bCs/>
              </w:rPr>
            </w:pPr>
            <w:r>
              <w:rPr>
                <w:rFonts w:ascii="Times New Roman" w:hAnsi="Times New Roman" w:cs="Times New Roman"/>
                <w:bCs/>
              </w:rPr>
              <w:t>s</w:t>
            </w:r>
            <w:r w:rsidRPr="009D61B7">
              <w:rPr>
                <w:rFonts w:ascii="Times New Roman" w:hAnsi="Times New Roman" w:cs="Times New Roman"/>
                <w:bCs/>
              </w:rPr>
              <w:t>kaits</w:t>
            </w:r>
          </w:p>
        </w:tc>
        <w:tc>
          <w:tcPr>
            <w:tcW w:w="1019" w:type="pct"/>
          </w:tcPr>
          <w:p w:rsidR="009A646D" w:rsidRPr="009D61B7" w:rsidP="00010D65" w14:paraId="6C2FA62F" w14:textId="77777777">
            <w:pPr>
              <w:tabs>
                <w:tab w:val="left" w:pos="0"/>
              </w:tabs>
              <w:spacing w:before="0" w:after="0"/>
              <w:jc w:val="both"/>
              <w:rPr>
                <w:rFonts w:ascii="Times New Roman" w:hAnsi="Times New Roman" w:cs="Times New Roman"/>
                <w:bCs/>
              </w:rPr>
            </w:pPr>
            <w:r w:rsidRPr="009D61B7">
              <w:rPr>
                <w:rFonts w:ascii="Times New Roman" w:hAnsi="Times New Roman" w:cs="Times New Roman"/>
                <w:bCs/>
              </w:rPr>
              <w:t>2</w:t>
            </w:r>
          </w:p>
        </w:tc>
        <w:tc>
          <w:tcPr>
            <w:tcW w:w="949" w:type="pct"/>
          </w:tcPr>
          <w:p w:rsidR="009A646D" w:rsidRPr="009D61B7" w:rsidP="00010D65" w14:paraId="7B074498" w14:textId="77777777">
            <w:pPr>
              <w:tabs>
                <w:tab w:val="left" w:pos="0"/>
              </w:tabs>
              <w:spacing w:before="0" w:after="0"/>
              <w:jc w:val="both"/>
              <w:rPr>
                <w:rFonts w:ascii="Times New Roman" w:hAnsi="Times New Roman" w:cs="Times New Roman"/>
                <w:bCs/>
              </w:rPr>
            </w:pPr>
            <w:r w:rsidRPr="009D61B7">
              <w:rPr>
                <w:rFonts w:ascii="Times New Roman" w:hAnsi="Times New Roman" w:cs="Times New Roman"/>
                <w:bCs/>
              </w:rPr>
              <w:t>8</w:t>
            </w:r>
          </w:p>
        </w:tc>
      </w:tr>
      <w:tr w14:paraId="15C49DEC" w14:textId="77777777" w:rsidTr="001D3205">
        <w:tblPrEx>
          <w:tblW w:w="5000" w:type="pct"/>
          <w:tblLook w:val="04A0"/>
        </w:tblPrEx>
        <w:tc>
          <w:tcPr>
            <w:tcW w:w="409" w:type="pct"/>
          </w:tcPr>
          <w:p w:rsidR="009A646D" w:rsidRPr="009D61B7" w:rsidP="001D3205" w14:paraId="7694C6BD" w14:textId="6981B808">
            <w:pPr>
              <w:tabs>
                <w:tab w:val="left" w:pos="0"/>
              </w:tabs>
              <w:spacing w:before="0" w:after="0"/>
              <w:jc w:val="center"/>
              <w:rPr>
                <w:rFonts w:ascii="Times New Roman" w:hAnsi="Times New Roman" w:cs="Times New Roman"/>
                <w:bCs/>
              </w:rPr>
            </w:pPr>
            <w:r>
              <w:rPr>
                <w:rFonts w:ascii="Times New Roman" w:hAnsi="Times New Roman" w:cs="Times New Roman"/>
                <w:bCs/>
              </w:rPr>
              <w:t>4</w:t>
            </w:r>
            <w:r w:rsidR="00D05AE0">
              <w:rPr>
                <w:rFonts w:ascii="Times New Roman" w:hAnsi="Times New Roman" w:cs="Times New Roman"/>
                <w:bCs/>
              </w:rPr>
              <w:t>.</w:t>
            </w:r>
          </w:p>
        </w:tc>
        <w:tc>
          <w:tcPr>
            <w:tcW w:w="1915" w:type="pct"/>
          </w:tcPr>
          <w:p w:rsidR="009A646D" w:rsidRPr="009D61B7" w:rsidP="00010D65" w14:paraId="449943C9" w14:textId="77777777">
            <w:pPr>
              <w:pStyle w:val="Default"/>
              <w:spacing w:before="0"/>
              <w:jc w:val="both"/>
              <w:rPr>
                <w:sz w:val="22"/>
                <w:szCs w:val="22"/>
              </w:rPr>
            </w:pPr>
            <w:r>
              <w:rPr>
                <w:sz w:val="22"/>
                <w:szCs w:val="22"/>
              </w:rPr>
              <w:t xml:space="preserve">LVDC pieejami pakalpojumi </w:t>
            </w:r>
          </w:p>
        </w:tc>
        <w:tc>
          <w:tcPr>
            <w:tcW w:w="709" w:type="pct"/>
          </w:tcPr>
          <w:p w:rsidR="009A646D" w:rsidP="00010D65" w14:paraId="46CA4B10" w14:textId="77777777">
            <w:pPr>
              <w:tabs>
                <w:tab w:val="left" w:pos="0"/>
              </w:tabs>
              <w:spacing w:before="0" w:after="0"/>
              <w:jc w:val="both"/>
              <w:rPr>
                <w:rFonts w:ascii="Times New Roman" w:hAnsi="Times New Roman" w:cs="Times New Roman"/>
                <w:bCs/>
              </w:rPr>
            </w:pPr>
            <w:r>
              <w:rPr>
                <w:rFonts w:ascii="Times New Roman" w:hAnsi="Times New Roman" w:cs="Times New Roman"/>
                <w:bCs/>
              </w:rPr>
              <w:t>skaits</w:t>
            </w:r>
          </w:p>
        </w:tc>
        <w:tc>
          <w:tcPr>
            <w:tcW w:w="1019" w:type="pct"/>
          </w:tcPr>
          <w:p w:rsidR="009A646D" w:rsidRPr="009D61B7" w:rsidP="00010D65" w14:paraId="59AE84DF" w14:textId="77777777">
            <w:pPr>
              <w:tabs>
                <w:tab w:val="left" w:pos="0"/>
              </w:tabs>
              <w:spacing w:before="0" w:after="0"/>
              <w:jc w:val="both"/>
              <w:rPr>
                <w:rFonts w:ascii="Times New Roman" w:hAnsi="Times New Roman" w:cs="Times New Roman"/>
                <w:bCs/>
              </w:rPr>
            </w:pPr>
            <w:r>
              <w:rPr>
                <w:rFonts w:ascii="Times New Roman" w:hAnsi="Times New Roman" w:cs="Times New Roman"/>
                <w:bCs/>
              </w:rPr>
              <w:t>3</w:t>
            </w:r>
          </w:p>
        </w:tc>
        <w:tc>
          <w:tcPr>
            <w:tcW w:w="949" w:type="pct"/>
          </w:tcPr>
          <w:p w:rsidR="009A646D" w:rsidRPr="009D61B7" w:rsidP="00010D65" w14:paraId="172C339C" w14:textId="77777777">
            <w:pPr>
              <w:tabs>
                <w:tab w:val="left" w:pos="0"/>
              </w:tabs>
              <w:spacing w:before="0" w:after="0"/>
              <w:jc w:val="both"/>
              <w:rPr>
                <w:rFonts w:ascii="Times New Roman" w:hAnsi="Times New Roman" w:cs="Times New Roman"/>
                <w:bCs/>
              </w:rPr>
            </w:pPr>
            <w:r>
              <w:rPr>
                <w:rFonts w:ascii="Times New Roman" w:hAnsi="Times New Roman" w:cs="Times New Roman"/>
                <w:bCs/>
              </w:rPr>
              <w:t>12</w:t>
            </w:r>
          </w:p>
        </w:tc>
      </w:tr>
      <w:tr w14:paraId="3A482CEA" w14:textId="77777777" w:rsidTr="001D3205">
        <w:tblPrEx>
          <w:tblW w:w="5000" w:type="pct"/>
          <w:tblLook w:val="04A0"/>
        </w:tblPrEx>
        <w:tc>
          <w:tcPr>
            <w:tcW w:w="409" w:type="pct"/>
          </w:tcPr>
          <w:p w:rsidR="009A646D" w:rsidRPr="009D61B7" w:rsidP="001D3205" w14:paraId="32EB2DB1" w14:textId="307E03D7">
            <w:pPr>
              <w:tabs>
                <w:tab w:val="left" w:pos="0"/>
              </w:tabs>
              <w:spacing w:before="0" w:after="0"/>
              <w:jc w:val="center"/>
              <w:rPr>
                <w:rFonts w:ascii="Times New Roman" w:hAnsi="Times New Roman" w:cs="Times New Roman"/>
                <w:bCs/>
              </w:rPr>
            </w:pPr>
            <w:r>
              <w:rPr>
                <w:rFonts w:ascii="Times New Roman" w:hAnsi="Times New Roman" w:cs="Times New Roman"/>
                <w:bCs/>
              </w:rPr>
              <w:t>5</w:t>
            </w:r>
            <w:r w:rsidR="00D05AE0">
              <w:rPr>
                <w:rFonts w:ascii="Times New Roman" w:hAnsi="Times New Roman" w:cs="Times New Roman"/>
                <w:bCs/>
              </w:rPr>
              <w:t>.</w:t>
            </w:r>
          </w:p>
        </w:tc>
        <w:tc>
          <w:tcPr>
            <w:tcW w:w="1915" w:type="pct"/>
          </w:tcPr>
          <w:p w:rsidR="009A646D" w:rsidRPr="009D61B7" w:rsidP="00010D65" w14:paraId="0344B9AB" w14:textId="77777777">
            <w:pPr>
              <w:pStyle w:val="Default"/>
              <w:spacing w:before="0"/>
              <w:jc w:val="both"/>
              <w:rPr>
                <w:sz w:val="22"/>
                <w:szCs w:val="22"/>
              </w:rPr>
            </w:pPr>
            <w:r w:rsidRPr="009D61B7">
              <w:rPr>
                <w:sz w:val="22"/>
                <w:szCs w:val="22"/>
              </w:rPr>
              <w:t>Izveidots Loģiski vienotais datu centrs</w:t>
            </w:r>
          </w:p>
        </w:tc>
        <w:tc>
          <w:tcPr>
            <w:tcW w:w="709" w:type="pct"/>
          </w:tcPr>
          <w:p w:rsidR="009A646D" w:rsidRPr="009D61B7" w:rsidP="00010D65" w14:paraId="7E938AD7" w14:textId="77777777">
            <w:pPr>
              <w:tabs>
                <w:tab w:val="left" w:pos="0"/>
              </w:tabs>
              <w:spacing w:before="0" w:after="0"/>
              <w:jc w:val="both"/>
              <w:rPr>
                <w:rFonts w:ascii="Times New Roman" w:hAnsi="Times New Roman" w:cs="Times New Roman"/>
                <w:bCs/>
              </w:rPr>
            </w:pPr>
            <w:r>
              <w:rPr>
                <w:rFonts w:ascii="Times New Roman" w:hAnsi="Times New Roman" w:cs="Times New Roman"/>
                <w:bCs/>
              </w:rPr>
              <w:t>s</w:t>
            </w:r>
            <w:r w:rsidRPr="009D61B7">
              <w:rPr>
                <w:rFonts w:ascii="Times New Roman" w:hAnsi="Times New Roman" w:cs="Times New Roman"/>
                <w:bCs/>
              </w:rPr>
              <w:t xml:space="preserve">kaits </w:t>
            </w:r>
          </w:p>
        </w:tc>
        <w:tc>
          <w:tcPr>
            <w:tcW w:w="1019" w:type="pct"/>
          </w:tcPr>
          <w:p w:rsidR="009A646D" w:rsidRPr="009D61B7" w:rsidP="00010D65" w14:paraId="7D42635F" w14:textId="77777777">
            <w:pPr>
              <w:tabs>
                <w:tab w:val="left" w:pos="0"/>
              </w:tabs>
              <w:spacing w:before="0" w:after="0"/>
              <w:jc w:val="both"/>
              <w:rPr>
                <w:rFonts w:ascii="Times New Roman" w:hAnsi="Times New Roman" w:cs="Times New Roman"/>
                <w:bCs/>
              </w:rPr>
            </w:pPr>
            <w:r w:rsidRPr="009D61B7">
              <w:rPr>
                <w:rFonts w:ascii="Times New Roman" w:hAnsi="Times New Roman" w:cs="Times New Roman"/>
                <w:bCs/>
              </w:rPr>
              <w:t xml:space="preserve">0 </w:t>
            </w:r>
          </w:p>
        </w:tc>
        <w:tc>
          <w:tcPr>
            <w:tcW w:w="949" w:type="pct"/>
          </w:tcPr>
          <w:p w:rsidR="009A646D" w:rsidRPr="009D61B7" w:rsidP="00010D65" w14:paraId="76EB41CC" w14:textId="77777777">
            <w:pPr>
              <w:tabs>
                <w:tab w:val="left" w:pos="0"/>
              </w:tabs>
              <w:spacing w:before="0" w:after="0"/>
              <w:jc w:val="both"/>
              <w:rPr>
                <w:rFonts w:ascii="Times New Roman" w:hAnsi="Times New Roman" w:cs="Times New Roman"/>
                <w:bCs/>
              </w:rPr>
            </w:pPr>
            <w:r w:rsidRPr="009D61B7">
              <w:rPr>
                <w:rFonts w:ascii="Times New Roman" w:hAnsi="Times New Roman" w:cs="Times New Roman"/>
                <w:bCs/>
              </w:rPr>
              <w:t>1</w:t>
            </w:r>
          </w:p>
        </w:tc>
      </w:tr>
    </w:tbl>
    <w:p w:rsidR="00BE4F7F" w:rsidP="00FF0C61" w14:paraId="7DEFE5F2" w14:textId="77777777">
      <w:pPr>
        <w:overflowPunct w:val="0"/>
        <w:autoSpaceDE w:val="0"/>
        <w:autoSpaceDN w:val="0"/>
        <w:adjustRightInd w:val="0"/>
        <w:spacing w:before="0" w:after="60"/>
        <w:jc w:val="both"/>
        <w:textAlignment w:val="baseline"/>
        <w:rPr>
          <w:rFonts w:ascii="Times New Roman" w:eastAsia="MS Mincho" w:hAnsi="Times New Roman" w:cs="Times New Roman"/>
          <w:b/>
          <w:bCs/>
          <w:sz w:val="24"/>
          <w:szCs w:val="24"/>
        </w:rPr>
      </w:pPr>
    </w:p>
    <w:p w:rsidR="000B527B" w:rsidRPr="00943C9B" w:rsidP="00FF0C61" w14:paraId="7755660E" w14:textId="77777777">
      <w:pPr>
        <w:overflowPunct w:val="0"/>
        <w:autoSpaceDE w:val="0"/>
        <w:autoSpaceDN w:val="0"/>
        <w:adjustRightInd w:val="0"/>
        <w:spacing w:before="0" w:after="60"/>
        <w:jc w:val="both"/>
        <w:textAlignment w:val="baseline"/>
        <w:rPr>
          <w:rFonts w:ascii="Times New Roman" w:eastAsia="MS Mincho" w:hAnsi="Times New Roman" w:cs="Times New Roman"/>
          <w:bCs/>
          <w:i/>
          <w:sz w:val="24"/>
          <w:szCs w:val="24"/>
        </w:rPr>
      </w:pPr>
      <w:r w:rsidRPr="00B0112C">
        <w:rPr>
          <w:rFonts w:ascii="Times New Roman" w:eastAsia="MS Mincho" w:hAnsi="Times New Roman" w:cs="Times New Roman"/>
          <w:b/>
          <w:bCs/>
          <w:sz w:val="24"/>
          <w:szCs w:val="24"/>
        </w:rPr>
        <w:t xml:space="preserve">Projekta finansējuma kopējais apjoms:  </w:t>
      </w:r>
      <w:r w:rsidRPr="00B0112C">
        <w:rPr>
          <w:rFonts w:ascii="Times New Roman" w:eastAsia="MS Mincho" w:hAnsi="Times New Roman" w:cs="Times New Roman"/>
          <w:b/>
          <w:bCs/>
          <w:sz w:val="24"/>
          <w:szCs w:val="24"/>
        </w:rPr>
        <w:tab/>
      </w:r>
      <w:r w:rsidRPr="00B0112C">
        <w:rPr>
          <w:rFonts w:ascii="Times New Roman" w:eastAsia="MS Mincho" w:hAnsi="Times New Roman" w:cs="Times New Roman"/>
          <w:b/>
          <w:bCs/>
          <w:sz w:val="24"/>
          <w:szCs w:val="24"/>
        </w:rPr>
        <w:tab/>
      </w:r>
      <w:r w:rsidRPr="00B0112C">
        <w:rPr>
          <w:rFonts w:ascii="Times New Roman" w:eastAsia="MS Mincho" w:hAnsi="Times New Roman" w:cs="Times New Roman"/>
          <w:b/>
          <w:bCs/>
          <w:sz w:val="24"/>
          <w:szCs w:val="24"/>
        </w:rPr>
        <w:tab/>
      </w:r>
      <w:r w:rsidRPr="00B0112C" w:rsidR="009B6EE2">
        <w:rPr>
          <w:rFonts w:ascii="Times New Roman" w:eastAsia="MS Mincho" w:hAnsi="Times New Roman" w:cs="Times New Roman"/>
          <w:bCs/>
          <w:sz w:val="24"/>
          <w:szCs w:val="24"/>
        </w:rPr>
        <w:t>4</w:t>
      </w:r>
      <w:r w:rsidRPr="00943C9B" w:rsidR="009B6EE2">
        <w:rPr>
          <w:rFonts w:ascii="Times New Roman" w:eastAsia="MS Mincho" w:hAnsi="Times New Roman" w:cs="Times New Roman"/>
          <w:bCs/>
          <w:sz w:val="24"/>
          <w:szCs w:val="24"/>
        </w:rPr>
        <w:t xml:space="preserve"> 500 000</w:t>
      </w:r>
      <w:r w:rsidRPr="00943C9B" w:rsidR="009B6EE2">
        <w:rPr>
          <w:rFonts w:ascii="Times New Roman" w:hAnsi="Times New Roman" w:cs="Times New Roman"/>
          <w:sz w:val="24"/>
          <w:szCs w:val="24"/>
        </w:rPr>
        <w:t xml:space="preserve"> </w:t>
      </w:r>
      <w:r w:rsidRPr="00943C9B">
        <w:rPr>
          <w:rFonts w:ascii="Times New Roman" w:eastAsia="MS Mincho" w:hAnsi="Times New Roman" w:cs="Times New Roman"/>
          <w:bCs/>
          <w:i/>
          <w:sz w:val="24"/>
          <w:szCs w:val="24"/>
        </w:rPr>
        <w:t>euro</w:t>
      </w:r>
    </w:p>
    <w:p w:rsidR="000B527B" w:rsidP="00FF0C61" w14:paraId="0183433A" w14:textId="77777777">
      <w:pPr>
        <w:overflowPunct w:val="0"/>
        <w:autoSpaceDE w:val="0"/>
        <w:autoSpaceDN w:val="0"/>
        <w:adjustRightInd w:val="0"/>
        <w:spacing w:before="0" w:after="60"/>
        <w:jc w:val="both"/>
        <w:textAlignment w:val="baseline"/>
        <w:rPr>
          <w:rFonts w:ascii="Times New Roman" w:eastAsia="MS Mincho" w:hAnsi="Times New Roman" w:cs="Times New Roman"/>
          <w:bCs/>
          <w:sz w:val="24"/>
          <w:szCs w:val="24"/>
        </w:rPr>
      </w:pPr>
      <w:r w:rsidRPr="00943C9B">
        <w:rPr>
          <w:rFonts w:ascii="Times New Roman" w:eastAsia="MS Mincho" w:hAnsi="Times New Roman" w:cs="Times New Roman"/>
          <w:b/>
          <w:bCs/>
          <w:sz w:val="24"/>
          <w:szCs w:val="24"/>
        </w:rPr>
        <w:t xml:space="preserve">Projekta īstenošanas laiks (mēnešos): </w:t>
      </w:r>
      <w:r w:rsidRPr="00943C9B">
        <w:rPr>
          <w:rFonts w:ascii="Times New Roman" w:eastAsia="MS Mincho" w:hAnsi="Times New Roman" w:cs="Times New Roman"/>
          <w:b/>
          <w:bCs/>
          <w:sz w:val="24"/>
          <w:szCs w:val="24"/>
        </w:rPr>
        <w:tab/>
      </w:r>
      <w:r w:rsidRPr="00943C9B">
        <w:rPr>
          <w:rFonts w:ascii="Times New Roman" w:eastAsia="MS Mincho" w:hAnsi="Times New Roman" w:cs="Times New Roman"/>
          <w:b/>
          <w:bCs/>
          <w:sz w:val="24"/>
          <w:szCs w:val="24"/>
        </w:rPr>
        <w:tab/>
      </w:r>
      <w:r w:rsidRPr="00943C9B">
        <w:rPr>
          <w:rFonts w:ascii="Times New Roman" w:eastAsia="MS Mincho" w:hAnsi="Times New Roman" w:cs="Times New Roman"/>
          <w:b/>
          <w:bCs/>
          <w:sz w:val="24"/>
          <w:szCs w:val="24"/>
        </w:rPr>
        <w:tab/>
      </w:r>
      <w:r w:rsidRPr="00943C9B">
        <w:rPr>
          <w:rFonts w:ascii="Times New Roman" w:eastAsia="MS Mincho" w:hAnsi="Times New Roman" w:cs="Times New Roman"/>
          <w:bCs/>
          <w:sz w:val="24"/>
          <w:szCs w:val="24"/>
        </w:rPr>
        <w:t>3</w:t>
      </w:r>
      <w:r w:rsidRPr="00943C9B" w:rsidR="00C073A9">
        <w:rPr>
          <w:rFonts w:ascii="Times New Roman" w:eastAsia="MS Mincho" w:hAnsi="Times New Roman" w:cs="Times New Roman"/>
          <w:bCs/>
          <w:sz w:val="24"/>
          <w:szCs w:val="24"/>
        </w:rPr>
        <w:t>6</w:t>
      </w:r>
      <w:r w:rsidRPr="00FF0C61">
        <w:rPr>
          <w:rFonts w:ascii="Times New Roman" w:eastAsia="MS Mincho" w:hAnsi="Times New Roman" w:cs="Times New Roman"/>
          <w:bCs/>
          <w:sz w:val="24"/>
          <w:szCs w:val="24"/>
        </w:rPr>
        <w:t xml:space="preserve"> mēneši</w:t>
      </w:r>
    </w:p>
    <w:p w:rsidR="007611B5" w:rsidRPr="00FF0C61" w:rsidP="00FF0C61" w14:paraId="23B6B016" w14:textId="77777777">
      <w:pPr>
        <w:overflowPunct w:val="0"/>
        <w:autoSpaceDE w:val="0"/>
        <w:autoSpaceDN w:val="0"/>
        <w:adjustRightInd w:val="0"/>
        <w:spacing w:before="0" w:after="60"/>
        <w:jc w:val="both"/>
        <w:textAlignment w:val="baseline"/>
        <w:rPr>
          <w:rFonts w:ascii="Times New Roman" w:eastAsia="MS Mincho" w:hAnsi="Times New Roman" w:cs="Times New Roman"/>
          <w:b/>
          <w:bCs/>
          <w:sz w:val="24"/>
          <w:szCs w:val="24"/>
        </w:rPr>
      </w:pPr>
    </w:p>
    <w:p w:rsidR="005331FE" w:rsidRPr="001D3205" w:rsidP="001D3205" w14:paraId="0A22EC08" w14:textId="77777777">
      <w:pPr>
        <w:overflowPunct w:val="0"/>
        <w:autoSpaceDE w:val="0"/>
        <w:autoSpaceDN w:val="0"/>
        <w:spacing w:before="120" w:after="120"/>
        <w:textAlignment w:val="baseline"/>
        <w:rPr>
          <w:rFonts w:ascii="Times New Roman" w:eastAsia="Times New Roman" w:hAnsi="Times New Roman" w:cs="Times New Roman"/>
          <w:b/>
          <w:sz w:val="24"/>
          <w:szCs w:val="24"/>
          <w:lang w:eastAsia="lv-LV"/>
        </w:rPr>
      </w:pPr>
      <w:r w:rsidRPr="001D3205">
        <w:rPr>
          <w:rFonts w:ascii="Times New Roman" w:eastAsia="Times New Roman" w:hAnsi="Times New Roman" w:cs="Times New Roman"/>
          <w:b/>
          <w:sz w:val="24"/>
          <w:szCs w:val="24"/>
          <w:lang w:eastAsia="lv-LV"/>
        </w:rPr>
        <w:t>Saistība ar iepriekšējā plānošanas perioda projektiem, projekta lietderība un ieguldījums specifiskā atbalsta mērķa rezultāta rādītājos</w:t>
      </w:r>
    </w:p>
    <w:p w:rsidR="00AB1679" w:rsidRPr="00161FF0" w:rsidP="003C033A" w14:paraId="24D8CE4D" w14:textId="4C3B0765">
      <w:pPr>
        <w:pStyle w:val="VPBody"/>
        <w:spacing w:before="0"/>
      </w:pPr>
      <w:r w:rsidRPr="00161FF0">
        <w:t>Projektam nav saistības ar iepriekšējos Eiropas Savienības fondu plānošanas periodos īstenotajiem projektiem.</w:t>
      </w:r>
    </w:p>
    <w:p w:rsidR="003C033A" w:rsidRPr="009D61B7" w:rsidP="003C033A" w14:paraId="198E8018" w14:textId="77777777">
      <w:pPr>
        <w:pStyle w:val="VPBody"/>
      </w:pPr>
      <w:r w:rsidRPr="00161FF0">
        <w:t xml:space="preserve">LVDC tiek būvēts uz esošo </w:t>
      </w:r>
      <w:r w:rsidRPr="00161FF0" w:rsidR="001342C4">
        <w:t>Iekšlietu</w:t>
      </w:r>
      <w:r w:rsidRPr="00161FF0" w:rsidR="001342C4">
        <w:t xml:space="preserve"> ministrijas Informācijas centra (turpmāk – IeM IC) </w:t>
      </w:r>
      <w:r w:rsidRPr="00161FF0">
        <w:t>datu</w:t>
      </w:r>
      <w:r>
        <w:t xml:space="preserve"> centru infrastruktūras bāzes.</w:t>
      </w:r>
      <w:r w:rsidRPr="00786145">
        <w:t xml:space="preserve"> Uz </w:t>
      </w:r>
      <w:r>
        <w:t xml:space="preserve">detalizētā apraksta iesniegšanas </w:t>
      </w:r>
      <w:r w:rsidRPr="00786145">
        <w:t>brīdi Ie</w:t>
      </w:r>
      <w:r>
        <w:t>M</w:t>
      </w:r>
      <w:r w:rsidRPr="00786145">
        <w:t xml:space="preserve"> IC jau ir 2 savstarpēji saslēgti datu centri, kas nodrošina daļēju LVDC funkci</w:t>
      </w:r>
      <w:r>
        <w:t>o</w:t>
      </w:r>
      <w:r w:rsidRPr="00786145">
        <w:t>nalitāti. LVDC projekta ietvaros paredzēts modernizēt datu centru savienojumus</w:t>
      </w:r>
      <w:r>
        <w:t xml:space="preserve"> un kapacitāti</w:t>
      </w:r>
      <w:r w:rsidRPr="00786145">
        <w:t>, lai to kapacitāte būtu pietiekoša datu centros izvietotajai papildu slodzei.</w:t>
      </w:r>
    </w:p>
    <w:p w:rsidR="005331FE" w:rsidRPr="001D3205" w:rsidP="001D3205" w14:paraId="21E3BDBE" w14:textId="77777777">
      <w:pPr>
        <w:overflowPunct w:val="0"/>
        <w:autoSpaceDE w:val="0"/>
        <w:autoSpaceDN w:val="0"/>
        <w:spacing w:before="120" w:after="120"/>
        <w:textAlignment w:val="baseline"/>
        <w:rPr>
          <w:rFonts w:ascii="Times New Roman" w:eastAsia="Times New Roman" w:hAnsi="Times New Roman" w:cs="Times New Roman"/>
          <w:b/>
          <w:sz w:val="24"/>
          <w:szCs w:val="24"/>
          <w:lang w:eastAsia="lv-LV"/>
        </w:rPr>
      </w:pPr>
      <w:r w:rsidRPr="001D3205">
        <w:rPr>
          <w:rFonts w:ascii="Times New Roman" w:eastAsia="Times New Roman" w:hAnsi="Times New Roman" w:cs="Times New Roman"/>
          <w:b/>
          <w:sz w:val="24"/>
          <w:szCs w:val="24"/>
          <w:lang w:eastAsia="lv-LV"/>
        </w:rPr>
        <w:t>Indikatīvi sociālekonomisko ieguvumu aprēķini</w:t>
      </w:r>
    </w:p>
    <w:p w:rsidR="0027191E" w:rsidRPr="009D61B7" w:rsidP="0027191E" w14:paraId="38F2E037" w14:textId="77777777">
      <w:pPr>
        <w:pStyle w:val="VPBody"/>
      </w:pPr>
      <w:r w:rsidRPr="009D61B7">
        <w:t xml:space="preserve">Projekts paaugstinās publiskās pārvaldes procesa efektivitāti sekojošu faktoru rezultātā: </w:t>
      </w:r>
    </w:p>
    <w:p w:rsidR="0027191E" w:rsidRPr="009D61B7" w:rsidP="00D05AE0" w14:paraId="58906EAD" w14:textId="77777777">
      <w:pPr>
        <w:pStyle w:val="VPBody"/>
        <w:numPr>
          <w:ilvl w:val="0"/>
          <w:numId w:val="34"/>
        </w:numPr>
      </w:pPr>
      <w:r w:rsidRPr="009D61B7">
        <w:t>iestāžu resursi tiks ietaupīti centralizēti nodrošinot iestādēm nepieciešamos standarta infrastruktūras pakalpojumus;</w:t>
      </w:r>
    </w:p>
    <w:p w:rsidR="0027191E" w:rsidRPr="009D61B7" w:rsidP="00D05AE0" w14:paraId="37F2D4BD" w14:textId="77777777">
      <w:pPr>
        <w:pStyle w:val="VPBody"/>
        <w:numPr>
          <w:ilvl w:val="0"/>
          <w:numId w:val="34"/>
        </w:numPr>
      </w:pPr>
      <w:r w:rsidRPr="009D61B7">
        <w:t xml:space="preserve">iestādēm tiks nodrošināta iespēja izmantot standartizētas </w:t>
      </w:r>
      <w:r w:rsidRPr="009D61B7">
        <w:t>virtualizētu</w:t>
      </w:r>
      <w:r w:rsidRPr="009D61B7">
        <w:t xml:space="preserve"> serveru vides dažādu sev specifisku programmatūru darbināšanai. </w:t>
      </w:r>
    </w:p>
    <w:p w:rsidR="0027191E" w:rsidRPr="009D61B7" w:rsidP="0027191E" w14:paraId="79D83418" w14:textId="77777777">
      <w:pPr>
        <w:pStyle w:val="VPBody"/>
      </w:pPr>
      <w:r w:rsidRPr="009D61B7">
        <w:t>Būtiskākie ieguvumi šādā scenārijā būs laika un finanšu resursu ietaupījums, kas saistīts ar sistēmu uzturēšanu katrai iestādei atsevišķi un to efektīva izmantošana, savukārt valstiskā līmenī finanšu ietaupījums tiks iegūts no mēroga efekta gan aparatūras līmenī – iespēja efektīvāk izmantot serveru aparatūru, gan datu centra telpu aprīkojuma līmenī – iespēja efektīvāk izmantot klimatu nodrošinošās, kontroles un monitoringa, elektro</w:t>
      </w:r>
      <w:r>
        <w:t>apgādes</w:t>
      </w:r>
      <w:r w:rsidRPr="009D61B7">
        <w:t>, ugunsdzēsības u.c.</w:t>
      </w:r>
      <w:r>
        <w:t xml:space="preserve"> sistē</w:t>
      </w:r>
      <w:r w:rsidRPr="009D61B7">
        <w:t xml:space="preserve">mas, </w:t>
      </w:r>
      <w:r>
        <w:t>kā</w:t>
      </w:r>
      <w:r w:rsidRPr="009D61B7">
        <w:t xml:space="preserve"> arī vienkāršojot un centralizējot datu centru uzturēšanas administratīvos procesus.</w:t>
      </w:r>
    </w:p>
    <w:p w:rsidR="0027191E" w:rsidRPr="009D61B7" w:rsidP="0027191E" w14:paraId="765369F6" w14:textId="77777777">
      <w:pPr>
        <w:pStyle w:val="VPBody"/>
      </w:pPr>
      <w:r w:rsidRPr="009D61B7">
        <w:t xml:space="preserve">Centralizētu </w:t>
      </w:r>
      <w:r w:rsidRPr="009D61B7">
        <w:t>mākoņdatošanas</w:t>
      </w:r>
      <w:r w:rsidRPr="009D61B7">
        <w:t xml:space="preserve"> pa</w:t>
      </w:r>
      <w:r>
        <w:t>kalpojumu izmantošanas gadījumā</w:t>
      </w:r>
      <w:r w:rsidRPr="009D61B7">
        <w:t xml:space="preserve"> laiks, kas nepieciešams, lai izveidotu jaunu virtuālo serveri, vai kāda esošā virtuālā servera kop</w:t>
      </w:r>
      <w:r>
        <w:t>i</w:t>
      </w:r>
      <w:r w:rsidRPr="009D61B7">
        <w:t>ju, vai virtuālo serveru segment</w:t>
      </w:r>
      <w:r>
        <w:t>u</w:t>
      </w:r>
      <w:r w:rsidRPr="009D61B7">
        <w:t xml:space="preserve"> (lietotnes konteiners ar standartizētu tīkla konfigurāciju, standartizētiem vairākiem virtuālo serveru šabloniem)</w:t>
      </w:r>
      <w:r>
        <w:t>,</w:t>
      </w:r>
      <w:r w:rsidRPr="009D61B7">
        <w:t xml:space="preserve"> piemēram, testa vidi IS testam, būtiski samazinās</w:t>
      </w:r>
      <w:r>
        <w:t>.</w:t>
      </w:r>
      <w:r w:rsidRPr="009D61B7">
        <w:t xml:space="preserve"> </w:t>
      </w:r>
      <w:r>
        <w:t>T</w:t>
      </w:r>
      <w:r w:rsidRPr="009D61B7">
        <w:t>iek panākta iespēja daudz efektīvāk un dinamiskāk strādāt gan ar sistēmu testēšanu, gan jaunu produktu izmēģināšanu.</w:t>
      </w:r>
    </w:p>
    <w:p w:rsidR="0027191E" w:rsidP="0027191E" w14:paraId="7914FC46" w14:textId="77777777">
      <w:pPr>
        <w:pStyle w:val="VPBody"/>
      </w:pPr>
      <w:r w:rsidRPr="009D61B7">
        <w:t>Nodrošinot valstiskā līmenī pieejamu, kvalitatīvu un drošu datu centru, kura izmantošana iestādēm ir izdevīgāka, samazināsies nepieciešamība pēc lokāliem datu centriem vai serveru telpām pašās iestādēs.</w:t>
      </w:r>
    </w:p>
    <w:p w:rsidR="0027191E" w:rsidRPr="001D3205" w:rsidP="001D3205" w14:paraId="000F7CA4" w14:textId="7E1CBBFB">
      <w:pPr>
        <w:overflowPunct w:val="0"/>
        <w:autoSpaceDE w:val="0"/>
        <w:autoSpaceDN w:val="0"/>
        <w:spacing w:before="120" w:after="120"/>
        <w:textAlignment w:val="baseline"/>
        <w:rPr>
          <w:rFonts w:ascii="Times New Roman" w:eastAsia="Times New Roman" w:hAnsi="Times New Roman" w:cs="Times New Roman"/>
          <w:b/>
          <w:sz w:val="24"/>
          <w:szCs w:val="24"/>
          <w:lang w:eastAsia="lv-LV"/>
        </w:rPr>
      </w:pPr>
      <w:r w:rsidRPr="001D3205">
        <w:rPr>
          <w:rFonts w:ascii="Times New Roman" w:eastAsia="Times New Roman" w:hAnsi="Times New Roman" w:cs="Times New Roman"/>
          <w:b/>
          <w:sz w:val="24"/>
          <w:szCs w:val="24"/>
          <w:lang w:eastAsia="lv-LV"/>
        </w:rPr>
        <w:t>Ieguvumu kopsavilkums</w:t>
      </w:r>
    </w:p>
    <w:p w:rsidR="0027191E" w:rsidP="0027191E" w14:paraId="6D2D512E" w14:textId="24ECCE39">
      <w:pPr>
        <w:pStyle w:val="VPBody"/>
      </w:pPr>
      <w:r>
        <w:t>K</w:t>
      </w:r>
      <w:r>
        <w:t xml:space="preserve">opējā sociālekonomiskā ieguvuma ekvivalents naudas izteiksmē ir 6 370 040,00 </w:t>
      </w:r>
      <w:r>
        <w:rPr>
          <w:i/>
        </w:rPr>
        <w:t>euro</w:t>
      </w:r>
      <w:r>
        <w:t xml:space="preserve">. Sociālekonomiskie ieguvumi saistīti ar mazāku darba slodzi </w:t>
      </w:r>
      <w:r w:rsidR="00F46D50">
        <w:t>informācijas tehnoloģiju</w:t>
      </w:r>
      <w:r>
        <w:t xml:space="preserve"> administratoriem, kā arī ar to, ka iestādēm nav nepieciešams ieguldīt resursus datu centru izveidē un uzturēšanā.</w:t>
      </w:r>
    </w:p>
    <w:p w:rsidR="00161FF0" w:rsidRPr="00B04918" w:rsidP="0027191E" w14:paraId="52AB5F0F" w14:textId="77777777">
      <w:pPr>
        <w:pStyle w:val="VPBody"/>
      </w:pPr>
    </w:p>
    <w:tbl>
      <w:tblPr>
        <w:tblStyle w:val="TableGrid"/>
        <w:tblW w:w="5000" w:type="pct"/>
        <w:tblLook w:val="04A0"/>
      </w:tblPr>
      <w:tblGrid>
        <w:gridCol w:w="1072"/>
        <w:gridCol w:w="2611"/>
        <w:gridCol w:w="2459"/>
        <w:gridCol w:w="2919"/>
      </w:tblGrid>
      <w:tr w14:paraId="72AE372B" w14:textId="77777777" w:rsidTr="001D3205">
        <w:tblPrEx>
          <w:tblW w:w="5000" w:type="pct"/>
          <w:tblLook w:val="04A0"/>
        </w:tblPrEx>
        <w:tc>
          <w:tcPr>
            <w:tcW w:w="591" w:type="pct"/>
          </w:tcPr>
          <w:p w:rsidR="0027191E" w:rsidRPr="001F633A" w:rsidP="001D3205" w14:paraId="7E9034FD" w14:textId="4AFEBEF6">
            <w:pPr>
              <w:jc w:val="center"/>
              <w:rPr>
                <w:rFonts w:ascii="Times New Roman" w:hAnsi="Times New Roman" w:cs="Times New Roman"/>
                <w:b/>
                <w:bCs/>
              </w:rPr>
            </w:pPr>
            <w:r w:rsidRPr="001F633A">
              <w:rPr>
                <w:rFonts w:ascii="Times New Roman" w:hAnsi="Times New Roman" w:cs="Times New Roman"/>
                <w:b/>
                <w:bCs/>
              </w:rPr>
              <w:t>N.</w:t>
            </w:r>
            <w:r w:rsidRPr="001F633A">
              <w:rPr>
                <w:rFonts w:ascii="Times New Roman" w:hAnsi="Times New Roman" w:cs="Times New Roman"/>
                <w:b/>
                <w:bCs/>
              </w:rPr>
              <w:t>p.k</w:t>
            </w:r>
            <w:r w:rsidRPr="001F633A">
              <w:rPr>
                <w:rFonts w:ascii="Times New Roman" w:hAnsi="Times New Roman" w:cs="Times New Roman"/>
                <w:b/>
                <w:bCs/>
              </w:rPr>
              <w:t>.</w:t>
            </w:r>
          </w:p>
        </w:tc>
        <w:tc>
          <w:tcPr>
            <w:tcW w:w="1441" w:type="pct"/>
          </w:tcPr>
          <w:p w:rsidR="0027191E" w:rsidRPr="001F633A" w:rsidP="00337441" w14:paraId="7D4DCF4F" w14:textId="77777777">
            <w:pPr>
              <w:jc w:val="center"/>
              <w:rPr>
                <w:rFonts w:ascii="Times New Roman" w:hAnsi="Times New Roman" w:cs="Times New Roman"/>
                <w:b/>
                <w:bCs/>
              </w:rPr>
            </w:pPr>
            <w:r w:rsidRPr="001F633A">
              <w:rPr>
                <w:rFonts w:ascii="Times New Roman" w:hAnsi="Times New Roman" w:cs="Times New Roman"/>
                <w:b/>
                <w:bCs/>
              </w:rPr>
              <w:t>Sociālekonomiskais ieguvums</w:t>
            </w:r>
          </w:p>
        </w:tc>
        <w:tc>
          <w:tcPr>
            <w:tcW w:w="1357" w:type="pct"/>
          </w:tcPr>
          <w:p w:rsidR="0027191E" w:rsidRPr="001F633A" w:rsidP="00337441" w14:paraId="2D16FE37" w14:textId="77777777">
            <w:pPr>
              <w:jc w:val="center"/>
              <w:rPr>
                <w:rFonts w:ascii="Times New Roman" w:hAnsi="Times New Roman" w:cs="Times New Roman"/>
                <w:b/>
                <w:bCs/>
              </w:rPr>
            </w:pPr>
            <w:r w:rsidRPr="001F633A">
              <w:rPr>
                <w:rFonts w:ascii="Times New Roman" w:hAnsi="Times New Roman" w:cs="Times New Roman"/>
                <w:b/>
                <w:bCs/>
              </w:rPr>
              <w:t>Ekvivalents naudas izteiksmē</w:t>
            </w:r>
          </w:p>
        </w:tc>
        <w:tc>
          <w:tcPr>
            <w:tcW w:w="1611" w:type="pct"/>
          </w:tcPr>
          <w:p w:rsidR="0027191E" w:rsidRPr="001F633A" w:rsidP="00337441" w14:paraId="662348D6" w14:textId="77777777">
            <w:pPr>
              <w:jc w:val="center"/>
              <w:rPr>
                <w:rFonts w:ascii="Times New Roman" w:hAnsi="Times New Roman" w:cs="Times New Roman"/>
                <w:b/>
                <w:bCs/>
              </w:rPr>
            </w:pPr>
            <w:r w:rsidRPr="001F633A">
              <w:rPr>
                <w:rFonts w:ascii="Times New Roman" w:hAnsi="Times New Roman" w:cs="Times New Roman"/>
                <w:b/>
                <w:bCs/>
              </w:rPr>
              <w:t>Aprēķins</w:t>
            </w:r>
          </w:p>
        </w:tc>
      </w:tr>
      <w:tr w14:paraId="774AEF40" w14:textId="77777777" w:rsidTr="001D3205">
        <w:tblPrEx>
          <w:tblW w:w="5000" w:type="pct"/>
          <w:tblLook w:val="04A0"/>
        </w:tblPrEx>
        <w:tc>
          <w:tcPr>
            <w:tcW w:w="591" w:type="pct"/>
          </w:tcPr>
          <w:p w:rsidR="0027191E" w:rsidRPr="001F633A" w:rsidP="001D3205" w14:paraId="20876F60" w14:textId="77777777">
            <w:pPr>
              <w:spacing w:before="0" w:after="0"/>
              <w:jc w:val="center"/>
              <w:rPr>
                <w:rFonts w:ascii="Times New Roman" w:hAnsi="Times New Roman" w:cs="Times New Roman"/>
                <w:bCs/>
              </w:rPr>
            </w:pPr>
            <w:r w:rsidRPr="001F633A">
              <w:rPr>
                <w:rFonts w:ascii="Times New Roman" w:hAnsi="Times New Roman" w:cs="Times New Roman"/>
                <w:bCs/>
              </w:rPr>
              <w:t>1.</w:t>
            </w:r>
          </w:p>
        </w:tc>
        <w:tc>
          <w:tcPr>
            <w:tcW w:w="1441" w:type="pct"/>
          </w:tcPr>
          <w:p w:rsidR="0027191E" w:rsidRPr="001F633A" w:rsidP="00974D36" w14:paraId="06C86801" w14:textId="77777777">
            <w:pPr>
              <w:spacing w:before="0" w:after="0"/>
              <w:rPr>
                <w:rFonts w:ascii="Times New Roman" w:hAnsi="Times New Roman" w:cs="Times New Roman"/>
                <w:bCs/>
              </w:rPr>
            </w:pPr>
            <w:r w:rsidRPr="001F633A">
              <w:rPr>
                <w:rFonts w:ascii="Times New Roman" w:hAnsi="Times New Roman" w:cs="Times New Roman"/>
                <w:bCs/>
              </w:rPr>
              <w:t>Darba laika ietaupījums iestādēm, izmantojot LVDC</w:t>
            </w:r>
          </w:p>
        </w:tc>
        <w:tc>
          <w:tcPr>
            <w:tcW w:w="1357" w:type="pct"/>
          </w:tcPr>
          <w:p w:rsidR="0027191E" w:rsidRPr="001F633A" w:rsidP="00974D36" w14:paraId="514AB5B2" w14:textId="77777777">
            <w:pPr>
              <w:spacing w:before="0" w:after="0"/>
              <w:rPr>
                <w:rFonts w:ascii="Times New Roman" w:hAnsi="Times New Roman" w:cs="Times New Roman"/>
                <w:bCs/>
              </w:rPr>
            </w:pPr>
            <w:r w:rsidRPr="001F633A">
              <w:rPr>
                <w:rFonts w:ascii="Times New Roman" w:hAnsi="Times New Roman" w:cs="Times New Roman"/>
                <w:bCs/>
              </w:rPr>
              <w:t>161 040 EUR</w:t>
            </w:r>
          </w:p>
        </w:tc>
        <w:tc>
          <w:tcPr>
            <w:tcW w:w="1611" w:type="pct"/>
          </w:tcPr>
          <w:p w:rsidR="0027191E" w:rsidRPr="001F633A" w:rsidP="00974D36" w14:paraId="3A294482" w14:textId="77777777">
            <w:pPr>
              <w:spacing w:before="0" w:after="0"/>
              <w:rPr>
                <w:rFonts w:ascii="Times New Roman" w:hAnsi="Times New Roman" w:cs="Times New Roman"/>
                <w:bCs/>
              </w:rPr>
            </w:pPr>
            <w:r w:rsidRPr="001F633A">
              <w:rPr>
                <w:rFonts w:ascii="Times New Roman" w:hAnsi="Times New Roman" w:cs="Times New Roman"/>
                <w:bCs/>
              </w:rPr>
              <w:t xml:space="preserve">Ietaupītais darba laiks (L) –2400 stundas gadā  </w:t>
            </w:r>
          </w:p>
          <w:p w:rsidR="0027191E" w:rsidRPr="001F633A" w:rsidP="00974D36" w14:paraId="5C35F6B5" w14:textId="77777777">
            <w:pPr>
              <w:spacing w:before="0" w:after="0"/>
              <w:rPr>
                <w:rFonts w:ascii="Times New Roman" w:hAnsi="Times New Roman" w:cs="Times New Roman"/>
                <w:bCs/>
              </w:rPr>
            </w:pPr>
            <w:r w:rsidRPr="001F633A">
              <w:rPr>
                <w:rFonts w:ascii="Times New Roman" w:hAnsi="Times New Roman" w:cs="Times New Roman"/>
                <w:bCs/>
              </w:rPr>
              <w:t>IT administratora vidējā alga stundā (A) – 6.71/h</w:t>
            </w:r>
          </w:p>
          <w:p w:rsidR="0027191E" w:rsidRPr="001F633A" w:rsidP="00974D36" w14:paraId="1D466289" w14:textId="77777777">
            <w:pPr>
              <w:spacing w:before="0" w:after="0"/>
              <w:rPr>
                <w:rFonts w:ascii="Times New Roman" w:hAnsi="Times New Roman" w:cs="Times New Roman"/>
                <w:bCs/>
              </w:rPr>
            </w:pPr>
            <w:r w:rsidRPr="001F633A">
              <w:rPr>
                <w:rFonts w:ascii="Times New Roman" w:hAnsi="Times New Roman" w:cs="Times New Roman"/>
                <w:bCs/>
              </w:rPr>
              <w:t>Projekta dzīves cikls (P) – 10 gadi</w:t>
            </w:r>
          </w:p>
          <w:p w:rsidR="0027191E" w:rsidRPr="001F633A" w:rsidP="001D3205" w14:paraId="303EE103" w14:textId="7B0CD15E">
            <w:pPr>
              <w:spacing w:before="0" w:after="0"/>
              <w:rPr>
                <w:rFonts w:ascii="Times New Roman" w:hAnsi="Times New Roman" w:cs="Times New Roman"/>
                <w:bCs/>
              </w:rPr>
            </w:pPr>
            <w:r w:rsidRPr="001F633A">
              <w:rPr>
                <w:rFonts w:ascii="Times New Roman" w:hAnsi="Times New Roman" w:cs="Times New Roman"/>
                <w:bCs/>
              </w:rPr>
              <w:t xml:space="preserve">L x A x P = 161 040 </w:t>
            </w:r>
            <w:r w:rsidRPr="001F633A" w:rsidR="001D3205">
              <w:rPr>
                <w:rFonts w:ascii="Times New Roman" w:hAnsi="Times New Roman" w:cs="Times New Roman"/>
                <w:bCs/>
                <w:i/>
              </w:rPr>
              <w:t>euro</w:t>
            </w:r>
          </w:p>
        </w:tc>
      </w:tr>
      <w:tr w14:paraId="0021C841" w14:textId="77777777" w:rsidTr="001D3205">
        <w:tblPrEx>
          <w:tblW w:w="5000" w:type="pct"/>
          <w:tblLook w:val="04A0"/>
        </w:tblPrEx>
        <w:tc>
          <w:tcPr>
            <w:tcW w:w="591" w:type="pct"/>
          </w:tcPr>
          <w:p w:rsidR="0027191E" w:rsidRPr="001F633A" w:rsidP="001D3205" w14:paraId="10C96F2D" w14:textId="77777777">
            <w:pPr>
              <w:spacing w:before="0" w:after="0"/>
              <w:jc w:val="center"/>
              <w:rPr>
                <w:rFonts w:ascii="Times New Roman" w:hAnsi="Times New Roman" w:cs="Times New Roman"/>
                <w:bCs/>
              </w:rPr>
            </w:pPr>
            <w:r w:rsidRPr="001F633A">
              <w:rPr>
                <w:rFonts w:ascii="Times New Roman" w:hAnsi="Times New Roman" w:cs="Times New Roman"/>
                <w:bCs/>
              </w:rPr>
              <w:t>2.</w:t>
            </w:r>
          </w:p>
        </w:tc>
        <w:tc>
          <w:tcPr>
            <w:tcW w:w="1441" w:type="pct"/>
          </w:tcPr>
          <w:p w:rsidR="0027191E" w:rsidRPr="001F633A" w:rsidP="00974D36" w14:paraId="1ABACDD1" w14:textId="77777777">
            <w:pPr>
              <w:spacing w:before="0" w:after="0"/>
              <w:rPr>
                <w:rFonts w:ascii="Times New Roman" w:hAnsi="Times New Roman" w:cs="Times New Roman"/>
                <w:bCs/>
              </w:rPr>
            </w:pPr>
            <w:r w:rsidRPr="001F633A">
              <w:rPr>
                <w:rFonts w:ascii="Times New Roman" w:hAnsi="Times New Roman" w:cs="Times New Roman"/>
                <w:bCs/>
              </w:rPr>
              <w:t>Datu centru izbūves un to tīklu izbūves risinājumu izmaksu ietaupījums</w:t>
            </w:r>
          </w:p>
        </w:tc>
        <w:tc>
          <w:tcPr>
            <w:tcW w:w="1357" w:type="pct"/>
          </w:tcPr>
          <w:p w:rsidR="0027191E" w:rsidRPr="001F633A" w:rsidP="00974D36" w14:paraId="0B7694CF" w14:textId="77777777">
            <w:pPr>
              <w:spacing w:before="0" w:after="0"/>
              <w:rPr>
                <w:rFonts w:ascii="Times New Roman" w:hAnsi="Times New Roman" w:cs="Times New Roman"/>
                <w:bCs/>
              </w:rPr>
            </w:pPr>
          </w:p>
          <w:p w:rsidR="0027191E" w:rsidRPr="001F633A" w:rsidP="00974D36" w14:paraId="5F37806B" w14:textId="77777777">
            <w:pPr>
              <w:spacing w:before="0" w:after="0"/>
              <w:rPr>
                <w:rFonts w:ascii="Times New Roman" w:hAnsi="Times New Roman" w:cs="Times New Roman"/>
                <w:bCs/>
              </w:rPr>
            </w:pPr>
            <w:r w:rsidRPr="001F633A">
              <w:rPr>
                <w:rFonts w:ascii="Times New Roman" w:hAnsi="Times New Roman" w:cs="Times New Roman"/>
                <w:bCs/>
              </w:rPr>
              <w:t>5 649 000 EUR</w:t>
            </w:r>
          </w:p>
        </w:tc>
        <w:tc>
          <w:tcPr>
            <w:tcW w:w="1611" w:type="pct"/>
          </w:tcPr>
          <w:p w:rsidR="0027191E" w:rsidRPr="001F633A" w:rsidP="00974D36" w14:paraId="6F46840D" w14:textId="53D7A175">
            <w:pPr>
              <w:spacing w:before="0" w:after="0"/>
              <w:rPr>
                <w:rFonts w:ascii="Times New Roman" w:hAnsi="Times New Roman" w:cs="Times New Roman"/>
                <w:bCs/>
              </w:rPr>
            </w:pPr>
            <w:r w:rsidRPr="001F633A">
              <w:rPr>
                <w:rFonts w:ascii="Times New Roman" w:hAnsi="Times New Roman" w:cs="Times New Roman"/>
                <w:bCs/>
              </w:rPr>
              <w:t xml:space="preserve">Būtu nepieciešami vismaz 7 datu centri (6 IeM un 1 – LR prokuratūrai) - Ugunsdrošība </w:t>
            </w:r>
            <w:r w:rsidRPr="001F633A">
              <w:rPr>
                <w:rFonts w:ascii="Times New Roman" w:hAnsi="Times New Roman" w:cs="Times New Roman"/>
                <w:bCs/>
              </w:rPr>
              <w:t xml:space="preserve">un ventilācija - 100 000 </w:t>
            </w:r>
            <w:r w:rsidRPr="001F633A" w:rsidR="001D3205">
              <w:rPr>
                <w:rFonts w:ascii="Times New Roman" w:hAnsi="Times New Roman" w:cs="Times New Roman"/>
                <w:bCs/>
                <w:i/>
              </w:rPr>
              <w:t>euro</w:t>
            </w:r>
            <w:r w:rsidRPr="001F633A">
              <w:rPr>
                <w:rFonts w:ascii="Times New Roman" w:hAnsi="Times New Roman" w:cs="Times New Roman"/>
                <w:bCs/>
              </w:rPr>
              <w:t xml:space="preserve"> x 7 = 700 000 </w:t>
            </w:r>
            <w:r w:rsidRPr="001F633A" w:rsidR="001D3205">
              <w:rPr>
                <w:rFonts w:ascii="Times New Roman" w:hAnsi="Times New Roman" w:cs="Times New Roman"/>
                <w:bCs/>
                <w:i/>
              </w:rPr>
              <w:t>euro</w:t>
            </w:r>
            <w:r w:rsidRPr="001F633A">
              <w:rPr>
                <w:rFonts w:ascii="Times New Roman" w:hAnsi="Times New Roman" w:cs="Times New Roman"/>
                <w:bCs/>
              </w:rPr>
              <w:t xml:space="preserve"> </w:t>
            </w:r>
          </w:p>
          <w:p w:rsidR="0027191E" w:rsidRPr="001F633A" w:rsidP="00974D36" w14:paraId="7F44D83C" w14:textId="7CE30624">
            <w:pPr>
              <w:spacing w:before="0" w:after="0"/>
              <w:rPr>
                <w:rFonts w:ascii="Times New Roman" w:hAnsi="Times New Roman" w:cs="Times New Roman"/>
                <w:bCs/>
              </w:rPr>
            </w:pPr>
            <w:r w:rsidRPr="001F633A">
              <w:rPr>
                <w:rFonts w:ascii="Times New Roman" w:hAnsi="Times New Roman" w:cs="Times New Roman"/>
                <w:bCs/>
              </w:rPr>
              <w:t xml:space="preserve">DC </w:t>
            </w:r>
            <w:r w:rsidRPr="001F633A">
              <w:rPr>
                <w:rFonts w:ascii="Times New Roman" w:hAnsi="Times New Roman" w:cs="Times New Roman"/>
                <w:bCs/>
              </w:rPr>
              <w:t>starpsavienojumu</w:t>
            </w:r>
            <w:r w:rsidRPr="001F633A">
              <w:rPr>
                <w:rFonts w:ascii="Times New Roman" w:hAnsi="Times New Roman" w:cs="Times New Roman"/>
                <w:bCs/>
              </w:rPr>
              <w:t xml:space="preserve"> optikas noma - 7000 gadā x 7 = 49 000 </w:t>
            </w:r>
            <w:r w:rsidRPr="001F633A" w:rsidR="00974D36">
              <w:rPr>
                <w:rFonts w:ascii="Times New Roman" w:hAnsi="Times New Roman" w:cs="Times New Roman"/>
                <w:bCs/>
                <w:i/>
              </w:rPr>
              <w:t>euro</w:t>
            </w:r>
          </w:p>
          <w:p w:rsidR="0027191E" w:rsidRPr="001F633A" w:rsidP="00974D36" w14:paraId="0F287D32" w14:textId="4EA30C37">
            <w:pPr>
              <w:spacing w:before="0" w:after="0"/>
              <w:rPr>
                <w:rFonts w:ascii="Times New Roman" w:hAnsi="Times New Roman" w:cs="Times New Roman"/>
                <w:bCs/>
              </w:rPr>
            </w:pPr>
            <w:r w:rsidRPr="001F633A">
              <w:rPr>
                <w:rFonts w:ascii="Times New Roman" w:hAnsi="Times New Roman" w:cs="Times New Roman"/>
                <w:bCs/>
              </w:rPr>
              <w:t xml:space="preserve">Būtu nepieciešams izbūvēt datu centru tīklu 7 datu centros (6 IeM un 1 – </w:t>
            </w:r>
            <w:r w:rsidRPr="001F633A" w:rsidR="00974D36">
              <w:rPr>
                <w:rFonts w:ascii="Times New Roman" w:hAnsi="Times New Roman" w:cs="Times New Roman"/>
                <w:bCs/>
              </w:rPr>
              <w:t>Latvijas Republikas</w:t>
            </w:r>
            <w:r w:rsidRPr="001F633A">
              <w:rPr>
                <w:rFonts w:ascii="Times New Roman" w:hAnsi="Times New Roman" w:cs="Times New Roman"/>
                <w:bCs/>
              </w:rPr>
              <w:t xml:space="preserve"> prokuratūrai) - 550 000 </w:t>
            </w:r>
            <w:r w:rsidRPr="001F633A" w:rsidR="00974D36">
              <w:rPr>
                <w:rFonts w:ascii="Times New Roman" w:hAnsi="Times New Roman" w:cs="Times New Roman"/>
                <w:bCs/>
                <w:i/>
              </w:rPr>
              <w:t>euro</w:t>
            </w:r>
            <w:r w:rsidRPr="001F633A">
              <w:rPr>
                <w:rFonts w:ascii="Times New Roman" w:hAnsi="Times New Roman" w:cs="Times New Roman"/>
                <w:bCs/>
              </w:rPr>
              <w:t xml:space="preserve"> x 7 = 3 850 000 </w:t>
            </w:r>
            <w:r w:rsidRPr="001F633A" w:rsidR="00974D36">
              <w:rPr>
                <w:rFonts w:ascii="Times New Roman" w:hAnsi="Times New Roman" w:cs="Times New Roman"/>
                <w:bCs/>
                <w:i/>
              </w:rPr>
              <w:t>euro</w:t>
            </w:r>
            <w:r w:rsidRPr="001F633A">
              <w:rPr>
                <w:rFonts w:ascii="Times New Roman" w:hAnsi="Times New Roman" w:cs="Times New Roman"/>
                <w:bCs/>
              </w:rPr>
              <w:t xml:space="preserve"> </w:t>
            </w:r>
          </w:p>
          <w:p w:rsidR="0027191E" w:rsidRPr="001F633A" w:rsidP="001D3205" w14:paraId="1F57A355" w14:textId="1DDF98E0">
            <w:pPr>
              <w:spacing w:before="0" w:after="0"/>
              <w:rPr>
                <w:rFonts w:ascii="Times New Roman" w:hAnsi="Times New Roman" w:cs="Times New Roman"/>
                <w:bCs/>
              </w:rPr>
            </w:pPr>
            <w:r w:rsidRPr="001F633A">
              <w:rPr>
                <w:rFonts w:ascii="Times New Roman" w:hAnsi="Times New Roman" w:cs="Times New Roman"/>
                <w:bCs/>
              </w:rPr>
              <w:t xml:space="preserve">Būtu nepieciešams nodrošināt datu centra  </w:t>
            </w:r>
            <w:r w:rsidRPr="001F633A">
              <w:rPr>
                <w:rFonts w:ascii="Times New Roman" w:hAnsi="Times New Roman" w:cs="Times New Roman"/>
                <w:bCs/>
              </w:rPr>
              <w:t>starpsavienojumu</w:t>
            </w:r>
            <w:r w:rsidRPr="001F633A">
              <w:rPr>
                <w:rFonts w:ascii="Times New Roman" w:hAnsi="Times New Roman" w:cs="Times New Roman"/>
                <w:bCs/>
              </w:rPr>
              <w:t xml:space="preserve"> DWDM risinājumu – 150 000 </w:t>
            </w:r>
            <w:r w:rsidRPr="001F633A" w:rsidR="001D3205">
              <w:rPr>
                <w:rFonts w:ascii="Times New Roman" w:hAnsi="Times New Roman" w:cs="Times New Roman"/>
                <w:bCs/>
                <w:i/>
              </w:rPr>
              <w:t>euro</w:t>
            </w:r>
            <w:r w:rsidRPr="001F633A">
              <w:rPr>
                <w:rFonts w:ascii="Times New Roman" w:hAnsi="Times New Roman" w:cs="Times New Roman"/>
                <w:bCs/>
              </w:rPr>
              <w:t xml:space="preserve"> x 7 = 1 050 000 </w:t>
            </w:r>
            <w:r w:rsidRPr="001F633A" w:rsidR="00974D36">
              <w:rPr>
                <w:rFonts w:ascii="Times New Roman" w:hAnsi="Times New Roman" w:cs="Times New Roman"/>
                <w:bCs/>
                <w:i/>
              </w:rPr>
              <w:t>euro</w:t>
            </w:r>
          </w:p>
        </w:tc>
      </w:tr>
      <w:tr w14:paraId="0734BA9E" w14:textId="77777777" w:rsidTr="001D3205">
        <w:tblPrEx>
          <w:tblW w:w="5000" w:type="pct"/>
          <w:tblLook w:val="04A0"/>
        </w:tblPrEx>
        <w:tc>
          <w:tcPr>
            <w:tcW w:w="591" w:type="pct"/>
          </w:tcPr>
          <w:p w:rsidR="0027191E" w:rsidRPr="001F633A" w:rsidP="001D3205" w14:paraId="2B0C06F5" w14:textId="77777777">
            <w:pPr>
              <w:spacing w:before="0" w:after="0"/>
              <w:jc w:val="center"/>
              <w:rPr>
                <w:rFonts w:ascii="Times New Roman" w:hAnsi="Times New Roman" w:cs="Times New Roman"/>
                <w:bCs/>
              </w:rPr>
            </w:pPr>
            <w:r w:rsidRPr="001F633A">
              <w:rPr>
                <w:rFonts w:ascii="Times New Roman" w:hAnsi="Times New Roman" w:cs="Times New Roman"/>
                <w:bCs/>
              </w:rPr>
              <w:t>3.</w:t>
            </w:r>
          </w:p>
        </w:tc>
        <w:tc>
          <w:tcPr>
            <w:tcW w:w="1441" w:type="pct"/>
          </w:tcPr>
          <w:p w:rsidR="0027191E" w:rsidRPr="001F633A" w:rsidP="00974D36" w14:paraId="0773B854" w14:textId="77777777">
            <w:pPr>
              <w:spacing w:before="0" w:after="0"/>
              <w:rPr>
                <w:rFonts w:ascii="Times New Roman" w:hAnsi="Times New Roman" w:cs="Times New Roman"/>
                <w:bCs/>
              </w:rPr>
            </w:pPr>
            <w:r w:rsidRPr="001F633A">
              <w:rPr>
                <w:rFonts w:ascii="Times New Roman" w:hAnsi="Times New Roman" w:cs="Times New Roman"/>
                <w:bCs/>
              </w:rPr>
              <w:t>Datu centru un serveru konsolidācijas ietaupījums</w:t>
            </w:r>
          </w:p>
        </w:tc>
        <w:tc>
          <w:tcPr>
            <w:tcW w:w="1357" w:type="pct"/>
          </w:tcPr>
          <w:p w:rsidR="0027191E" w:rsidRPr="001F633A" w:rsidP="00974D36" w14:paraId="7D732FC6" w14:textId="77777777">
            <w:pPr>
              <w:spacing w:before="0" w:after="0"/>
              <w:rPr>
                <w:rFonts w:ascii="Times New Roman" w:hAnsi="Times New Roman" w:cs="Times New Roman"/>
                <w:bCs/>
              </w:rPr>
            </w:pPr>
            <w:r w:rsidRPr="001F633A">
              <w:rPr>
                <w:rFonts w:ascii="Times New Roman" w:hAnsi="Times New Roman" w:cs="Times New Roman"/>
                <w:bCs/>
              </w:rPr>
              <w:t>560 000 EUR</w:t>
            </w:r>
          </w:p>
        </w:tc>
        <w:tc>
          <w:tcPr>
            <w:tcW w:w="1611" w:type="pct"/>
          </w:tcPr>
          <w:p w:rsidR="0027191E" w:rsidRPr="001F633A" w:rsidP="00974D36" w14:paraId="46FCC726" w14:textId="77777777">
            <w:pPr>
              <w:spacing w:before="0" w:after="0"/>
              <w:rPr>
                <w:rFonts w:ascii="Times New Roman" w:hAnsi="Times New Roman" w:cs="Times New Roman"/>
                <w:bCs/>
              </w:rPr>
            </w:pPr>
            <w:r w:rsidRPr="001F633A">
              <w:rPr>
                <w:rFonts w:ascii="Times New Roman" w:hAnsi="Times New Roman" w:cs="Times New Roman"/>
                <w:bCs/>
              </w:rPr>
              <w:t xml:space="preserve">Sagaidāms datu centru un serveru konsolidācijas ietaupījums ir vismaz 40% (avoti: </w:t>
            </w:r>
            <w:r>
              <w:fldChar w:fldCharType="begin"/>
            </w:r>
            <w:r>
              <w:instrText xml:space="preserve"> HYPERLINK "http://www.computerweekly.com/feature/The-ROI-of-server-consolidation" </w:instrText>
            </w:r>
            <w:r>
              <w:fldChar w:fldCharType="separate"/>
            </w:r>
            <w:r w:rsidRPr="001F633A">
              <w:rPr>
                <w:rFonts w:ascii="Times New Roman" w:hAnsi="Times New Roman" w:cs="Times New Roman"/>
                <w:bCs/>
              </w:rPr>
              <w:t>The</w:t>
            </w:r>
            <w:r w:rsidRPr="001F633A">
              <w:rPr>
                <w:rFonts w:ascii="Times New Roman" w:hAnsi="Times New Roman" w:cs="Times New Roman"/>
                <w:bCs/>
              </w:rPr>
              <w:t xml:space="preserve"> ROI </w:t>
            </w:r>
            <w:r w:rsidRPr="001F633A">
              <w:rPr>
                <w:rFonts w:ascii="Times New Roman" w:hAnsi="Times New Roman" w:cs="Times New Roman"/>
                <w:bCs/>
              </w:rPr>
              <w:t>of</w:t>
            </w:r>
            <w:r w:rsidRPr="001F633A">
              <w:rPr>
                <w:rFonts w:ascii="Times New Roman" w:hAnsi="Times New Roman" w:cs="Times New Roman"/>
                <w:bCs/>
              </w:rPr>
              <w:t xml:space="preserve"> </w:t>
            </w:r>
            <w:r w:rsidRPr="001F633A">
              <w:rPr>
                <w:rFonts w:ascii="Times New Roman" w:hAnsi="Times New Roman" w:cs="Times New Roman"/>
                <w:bCs/>
              </w:rPr>
              <w:t>server</w:t>
            </w:r>
            <w:r w:rsidRPr="001F633A">
              <w:rPr>
                <w:rFonts w:ascii="Times New Roman" w:hAnsi="Times New Roman" w:cs="Times New Roman"/>
                <w:bCs/>
              </w:rPr>
              <w:t xml:space="preserve"> </w:t>
            </w:r>
            <w:r w:rsidRPr="001F633A">
              <w:rPr>
                <w:rFonts w:ascii="Times New Roman" w:hAnsi="Times New Roman" w:cs="Times New Roman"/>
                <w:bCs/>
              </w:rPr>
              <w:t>consolidation</w:t>
            </w:r>
            <w:r>
              <w:fldChar w:fldCharType="end"/>
            </w:r>
            <w:r w:rsidRPr="001F633A">
              <w:rPr>
                <w:rFonts w:ascii="Times New Roman" w:hAnsi="Times New Roman" w:cs="Times New Roman"/>
                <w:bCs/>
              </w:rPr>
              <w:t xml:space="preserve">, </w:t>
            </w:r>
            <w:r>
              <w:fldChar w:fldCharType="begin"/>
            </w:r>
            <w:r>
              <w:instrText xml:space="preserve"> HYPERLINK "http://www.gao.gov/products/GAO-16-323" </w:instrText>
            </w:r>
            <w:r>
              <w:fldChar w:fldCharType="separate"/>
            </w:r>
            <w:r w:rsidRPr="001F633A">
              <w:rPr>
                <w:rFonts w:ascii="Times New Roman" w:hAnsi="Times New Roman" w:cs="Times New Roman"/>
                <w:bCs/>
              </w:rPr>
              <w:t>DATA CENTER CONSOLIDATION</w:t>
            </w:r>
            <w:r>
              <w:fldChar w:fldCharType="end"/>
            </w:r>
            <w:r w:rsidRPr="001F633A">
              <w:rPr>
                <w:rFonts w:ascii="Times New Roman" w:hAnsi="Times New Roman" w:cs="Times New Roman"/>
                <w:bCs/>
              </w:rPr>
              <w:t>)</w:t>
            </w:r>
          </w:p>
          <w:p w:rsidR="0027191E" w:rsidRPr="001F633A" w:rsidP="001D3205" w14:paraId="6A70DF55" w14:textId="4A13DAC5">
            <w:pPr>
              <w:pStyle w:val="ListParagraph"/>
              <w:numPr>
                <w:ilvl w:val="0"/>
                <w:numId w:val="30"/>
              </w:numPr>
              <w:rPr>
                <w:rFonts w:eastAsiaTheme="minorHAnsi"/>
                <w:bCs/>
                <w:sz w:val="22"/>
              </w:rPr>
            </w:pPr>
            <w:r w:rsidRPr="001F633A">
              <w:rPr>
                <w:rFonts w:eastAsiaTheme="minorHAnsi"/>
                <w:bCs/>
                <w:sz w:val="22"/>
              </w:rPr>
              <w:t xml:space="preserve">1 400 000 </w:t>
            </w:r>
            <w:r w:rsidRPr="001F633A" w:rsidR="001D3205">
              <w:rPr>
                <w:rFonts w:eastAsiaTheme="minorHAnsi"/>
                <w:bCs/>
                <w:i/>
                <w:sz w:val="22"/>
              </w:rPr>
              <w:t>euro</w:t>
            </w:r>
            <w:r w:rsidRPr="001F633A">
              <w:rPr>
                <w:rFonts w:eastAsiaTheme="minorHAnsi"/>
                <w:bCs/>
                <w:sz w:val="22"/>
              </w:rPr>
              <w:t xml:space="preserve"> x 40% = 560 000 </w:t>
            </w:r>
            <w:r w:rsidRPr="001F633A" w:rsidR="00974D36">
              <w:rPr>
                <w:rFonts w:eastAsiaTheme="minorHAnsi"/>
                <w:bCs/>
                <w:i/>
                <w:sz w:val="22"/>
              </w:rPr>
              <w:t>euro</w:t>
            </w:r>
          </w:p>
        </w:tc>
      </w:tr>
    </w:tbl>
    <w:p w:rsidR="00ED1F9C" w:rsidP="00EB257E" w14:paraId="0CE7E0BF" w14:textId="77777777">
      <w:pPr>
        <w:pStyle w:val="VPBody"/>
        <w:spacing w:before="0" w:after="0"/>
        <w:rPr>
          <w:rFonts w:eastAsia="Times New Roman"/>
          <w:szCs w:val="24"/>
          <w:lang w:eastAsia="lv-LV"/>
        </w:rPr>
      </w:pPr>
    </w:p>
    <w:p w:rsidR="001F633A" w:rsidP="00EB257E" w14:paraId="3908EB2D" w14:textId="77777777">
      <w:pPr>
        <w:pStyle w:val="VPBody"/>
        <w:spacing w:before="0" w:after="0"/>
        <w:rPr>
          <w:rFonts w:eastAsia="Times New Roman"/>
          <w:szCs w:val="24"/>
          <w:lang w:eastAsia="lv-LV"/>
        </w:rPr>
      </w:pPr>
    </w:p>
    <w:p w:rsidR="001F633A" w:rsidRPr="005B6906" w:rsidP="00EB257E" w14:paraId="2632E62E" w14:textId="77777777">
      <w:pPr>
        <w:pStyle w:val="VPBody"/>
        <w:spacing w:before="0" w:after="0"/>
        <w:rPr>
          <w:rFonts w:eastAsia="Times New Roman"/>
          <w:szCs w:val="24"/>
          <w:lang w:eastAsia="lv-LV"/>
        </w:rPr>
      </w:pPr>
    </w:p>
    <w:p w:rsidR="00606402" w:rsidRPr="005B6906" w:rsidP="00606402" w14:paraId="36A5AC58" w14:textId="77777777">
      <w:pPr>
        <w:tabs>
          <w:tab w:val="left" w:pos="6379"/>
          <w:tab w:val="left" w:pos="6804"/>
        </w:tabs>
        <w:spacing w:before="0" w:after="0"/>
        <w:jc w:val="both"/>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Vides aizsardzības un </w:t>
      </w:r>
    </w:p>
    <w:p w:rsidR="00606402" w:rsidRPr="005B6906" w:rsidP="00606402" w14:paraId="0CD18536" w14:textId="77777777">
      <w:pPr>
        <w:tabs>
          <w:tab w:val="left" w:pos="6663"/>
          <w:tab w:val="left" w:pos="6804"/>
        </w:tabs>
        <w:spacing w:before="0" w:after="0"/>
        <w:jc w:val="both"/>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reģionālās attīstības ministrs</w:t>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t>Kaspars Gerhards</w:t>
      </w:r>
    </w:p>
    <w:p w:rsidR="00606402" w:rsidP="00606402" w14:paraId="5CF028E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161FF0" w:rsidRPr="005B6906" w:rsidP="00606402" w14:paraId="136AAA8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606402" w:rsidRPr="005B6906" w:rsidP="00606402" w14:paraId="045E2048"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Vīza:</w:t>
      </w:r>
    </w:p>
    <w:p w:rsidR="00606402" w:rsidP="00606402" w14:paraId="2A090F06"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5B6906">
        <w:rPr>
          <w:rFonts w:ascii="Times New Roman" w:eastAsia="Times New Roman" w:hAnsi="Times New Roman" w:cs="Times New Roman"/>
          <w:sz w:val="24"/>
          <w:szCs w:val="24"/>
          <w:lang w:eastAsia="lv-LV"/>
        </w:rPr>
        <w:t>alsts sekretārs</w:t>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t xml:space="preserve">Rinalds </w:t>
      </w:r>
      <w:r w:rsidRPr="005B6906">
        <w:rPr>
          <w:rFonts w:ascii="Times New Roman" w:eastAsia="Times New Roman" w:hAnsi="Times New Roman" w:cs="Times New Roman"/>
          <w:sz w:val="24"/>
          <w:szCs w:val="24"/>
          <w:lang w:eastAsia="lv-LV"/>
        </w:rPr>
        <w:t>Muciņš</w:t>
      </w:r>
    </w:p>
    <w:p w:rsidR="007C035E" w:rsidRPr="005B6906" w:rsidP="00606402" w14:paraId="38921ABE"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E36A85" w:rsidP="00606402" w14:paraId="5818C264" w14:textId="77777777">
      <w:pPr>
        <w:spacing w:before="0" w:after="0"/>
        <w:jc w:val="both"/>
        <w:rPr>
          <w:rFonts w:ascii="Times New Roman" w:eastAsia="Times New Roman" w:hAnsi="Times New Roman" w:cs="Times New Roman"/>
          <w:sz w:val="20"/>
          <w:szCs w:val="20"/>
        </w:rPr>
      </w:pPr>
    </w:p>
    <w:p w:rsidR="00D43E51" w:rsidP="00606402" w14:paraId="5BE88834" w14:textId="77777777">
      <w:pPr>
        <w:spacing w:before="0" w:after="0"/>
        <w:jc w:val="both"/>
        <w:rPr>
          <w:rFonts w:ascii="Times New Roman" w:eastAsia="Times New Roman" w:hAnsi="Times New Roman" w:cs="Times New Roman"/>
          <w:sz w:val="20"/>
          <w:szCs w:val="20"/>
        </w:rPr>
      </w:pPr>
    </w:p>
    <w:p w:rsidR="00D43E51" w:rsidP="00606402" w14:paraId="02BE2CBA" w14:textId="77777777">
      <w:pPr>
        <w:spacing w:before="0" w:after="0"/>
        <w:jc w:val="both"/>
        <w:rPr>
          <w:rFonts w:ascii="Times New Roman" w:eastAsia="Times New Roman" w:hAnsi="Times New Roman" w:cs="Times New Roman"/>
          <w:sz w:val="20"/>
          <w:szCs w:val="20"/>
        </w:rPr>
      </w:pPr>
    </w:p>
    <w:p w:rsidR="00D43E51" w:rsidP="00606402" w14:paraId="54C69C62" w14:textId="77777777">
      <w:pPr>
        <w:spacing w:before="0" w:after="0"/>
        <w:jc w:val="both"/>
        <w:rPr>
          <w:rFonts w:ascii="Times New Roman" w:eastAsia="Times New Roman" w:hAnsi="Times New Roman" w:cs="Times New Roman"/>
          <w:sz w:val="20"/>
          <w:szCs w:val="20"/>
        </w:rPr>
      </w:pPr>
    </w:p>
    <w:p w:rsidR="00D43E51" w:rsidRPr="007C035E" w:rsidP="00606402" w14:paraId="626A3A03" w14:textId="77777777">
      <w:pPr>
        <w:spacing w:before="0" w:after="0"/>
        <w:jc w:val="both"/>
        <w:rPr>
          <w:rFonts w:ascii="Times New Roman" w:eastAsia="Times New Roman" w:hAnsi="Times New Roman" w:cs="Times New Roman"/>
          <w:sz w:val="20"/>
          <w:szCs w:val="20"/>
        </w:rPr>
      </w:pPr>
    </w:p>
    <w:p w:rsidR="00606402" w:rsidRPr="001F633A" w:rsidP="00606402" w14:paraId="48E64839" w14:textId="668F37BF">
      <w:pPr>
        <w:spacing w:before="0" w:after="0"/>
        <w:jc w:val="both"/>
        <w:rPr>
          <w:rFonts w:ascii="Times New Roman" w:eastAsia="Times New Roman" w:hAnsi="Times New Roman" w:cs="Times New Roman"/>
          <w:sz w:val="16"/>
          <w:szCs w:val="16"/>
        </w:rPr>
      </w:pPr>
      <w:r w:rsidRPr="001F633A">
        <w:rPr>
          <w:rFonts w:ascii="Times New Roman" w:eastAsia="Times New Roman" w:hAnsi="Times New Roman" w:cs="Times New Roman"/>
          <w:sz w:val="16"/>
          <w:szCs w:val="16"/>
        </w:rPr>
        <w:fldChar w:fldCharType="begin"/>
      </w:r>
      <w:r w:rsidRPr="001F633A">
        <w:rPr>
          <w:rFonts w:ascii="Times New Roman" w:eastAsia="Times New Roman" w:hAnsi="Times New Roman" w:cs="Times New Roman"/>
          <w:sz w:val="16"/>
          <w:szCs w:val="16"/>
        </w:rPr>
        <w:instrText xml:space="preserve"> DATE  \@ "dd.MM.yyyy. H:mm"  \* MERGEFORMAT </w:instrText>
      </w:r>
      <w:r w:rsidRPr="001F633A">
        <w:rPr>
          <w:rFonts w:ascii="Times New Roman" w:eastAsia="Times New Roman" w:hAnsi="Times New Roman" w:cs="Times New Roman"/>
          <w:sz w:val="16"/>
          <w:szCs w:val="16"/>
        </w:rPr>
        <w:fldChar w:fldCharType="separate"/>
      </w:r>
      <w:r w:rsidR="007203B5">
        <w:rPr>
          <w:rFonts w:ascii="Times New Roman" w:eastAsia="Times New Roman" w:hAnsi="Times New Roman" w:cs="Times New Roman"/>
          <w:noProof/>
          <w:sz w:val="16"/>
          <w:szCs w:val="16"/>
        </w:rPr>
        <w:t>20.07.2017. 15:28</w:t>
      </w:r>
      <w:r w:rsidRPr="001F633A">
        <w:rPr>
          <w:rFonts w:ascii="Times New Roman" w:eastAsia="Times New Roman" w:hAnsi="Times New Roman" w:cs="Times New Roman"/>
          <w:sz w:val="16"/>
          <w:szCs w:val="16"/>
        </w:rPr>
        <w:fldChar w:fldCharType="end"/>
      </w:r>
    </w:p>
    <w:p w:rsidR="007611B5" w:rsidP="007611B5" w14:paraId="456DA100" w14:textId="7303BF77">
      <w:pPr>
        <w:tabs>
          <w:tab w:val="left" w:pos="3750"/>
          <w:tab w:val="center" w:pos="4535"/>
        </w:tabs>
        <w:spacing w:before="0" w:after="0"/>
        <w:jc w:val="both"/>
        <w:rPr>
          <w:rFonts w:ascii="Times New Roman" w:eastAsia="Times New Roman" w:hAnsi="Times New Roman" w:cs="Times New Roman"/>
          <w:sz w:val="16"/>
          <w:szCs w:val="16"/>
        </w:rPr>
      </w:pPr>
      <w:r w:rsidRPr="001F633A">
        <w:rPr>
          <w:rFonts w:ascii="Times New Roman" w:eastAsia="Times New Roman" w:hAnsi="Times New Roman" w:cs="Times New Roman"/>
          <w:sz w:val="16"/>
          <w:szCs w:val="16"/>
        </w:rPr>
        <w:t>10</w:t>
      </w:r>
      <w:r w:rsidRPr="001F633A" w:rsidR="001D3205">
        <w:rPr>
          <w:rFonts w:ascii="Times New Roman" w:eastAsia="Times New Roman" w:hAnsi="Times New Roman" w:cs="Times New Roman"/>
          <w:sz w:val="16"/>
          <w:szCs w:val="16"/>
        </w:rPr>
        <w:t>19</w:t>
      </w:r>
    </w:p>
    <w:p w:rsidR="005C54DE" w:rsidRPr="001F633A" w:rsidP="007611B5" w14:paraId="42B71653" w14:textId="77777777">
      <w:pPr>
        <w:tabs>
          <w:tab w:val="left" w:pos="3750"/>
          <w:tab w:val="center" w:pos="4535"/>
        </w:tabs>
        <w:spacing w:before="0" w:after="0"/>
        <w:jc w:val="both"/>
        <w:rPr>
          <w:rFonts w:ascii="Times New Roman" w:hAnsi="Times New Roman"/>
          <w:sz w:val="16"/>
          <w:szCs w:val="16"/>
          <w:highlight w:val="yellow"/>
        </w:rPr>
      </w:pPr>
    </w:p>
    <w:p w:rsidR="005C54DE" w:rsidP="00C04020" w14:paraId="232A83E7" w14:textId="77777777">
      <w:pPr>
        <w:spacing w:before="0" w:after="0"/>
        <w:rPr>
          <w:rFonts w:ascii="Times New Roman" w:hAnsi="Times New Roman"/>
          <w:sz w:val="16"/>
          <w:szCs w:val="16"/>
        </w:rPr>
      </w:pPr>
      <w:r w:rsidRPr="001F633A">
        <w:rPr>
          <w:rFonts w:ascii="Times New Roman" w:hAnsi="Times New Roman"/>
          <w:sz w:val="16"/>
          <w:szCs w:val="16"/>
        </w:rPr>
        <w:t>Kalniņa</w:t>
      </w:r>
      <w:r>
        <w:rPr>
          <w:rFonts w:ascii="Times New Roman" w:hAnsi="Times New Roman"/>
          <w:sz w:val="16"/>
          <w:szCs w:val="16"/>
        </w:rPr>
        <w:t>, 67026576</w:t>
      </w:r>
    </w:p>
    <w:p w:rsidR="000716C7" w:rsidP="00C04020" w14:paraId="012E3390" w14:textId="31130BC3">
      <w:pPr>
        <w:spacing w:before="0" w:after="0"/>
        <w:rPr>
          <w:rStyle w:val="Hyperlink"/>
          <w:rFonts w:ascii="Times New Roman" w:hAnsi="Times New Roman"/>
          <w:sz w:val="16"/>
          <w:szCs w:val="16"/>
        </w:rPr>
      </w:pPr>
      <w:r>
        <w:fldChar w:fldCharType="begin"/>
      </w:r>
      <w:r>
        <w:instrText xml:space="preserve"> HYPERLINK "mailto:lelda.kalnina@varam.gov.lv" </w:instrText>
      </w:r>
      <w:r>
        <w:fldChar w:fldCharType="separate"/>
      </w:r>
      <w:r w:rsidRPr="001F633A" w:rsidR="007611B5">
        <w:rPr>
          <w:rStyle w:val="Hyperlink"/>
          <w:rFonts w:ascii="Times New Roman" w:hAnsi="Times New Roman"/>
          <w:sz w:val="16"/>
          <w:szCs w:val="16"/>
        </w:rPr>
        <w:t>lelda.kalnina@varam.gov.lv</w:t>
      </w:r>
      <w:r>
        <w:fldChar w:fldCharType="end"/>
      </w:r>
      <w:r w:rsidR="001F633A">
        <w:rPr>
          <w:rStyle w:val="Hyperlink"/>
          <w:rFonts w:ascii="Times New Roman" w:hAnsi="Times New Roman"/>
          <w:sz w:val="16"/>
          <w:szCs w:val="16"/>
        </w:rPr>
        <w:t xml:space="preserve"> </w:t>
      </w:r>
    </w:p>
    <w:p w:rsidR="005C54DE" w:rsidP="00C04020" w14:paraId="04E049DE" w14:textId="77777777">
      <w:pPr>
        <w:spacing w:before="0" w:after="0"/>
        <w:rPr>
          <w:rStyle w:val="Hyperlink"/>
          <w:rFonts w:ascii="Times New Roman" w:hAnsi="Times New Roman"/>
          <w:sz w:val="16"/>
          <w:szCs w:val="16"/>
        </w:rPr>
      </w:pPr>
    </w:p>
    <w:p w:rsidR="005C54DE" w:rsidP="00C04020" w14:paraId="2B7E89B7" w14:textId="48480EEE">
      <w:pPr>
        <w:spacing w:before="0" w:after="0"/>
        <w:rPr>
          <w:rStyle w:val="Hyperlink"/>
          <w:rFonts w:ascii="Times New Roman" w:hAnsi="Times New Roman"/>
          <w:color w:val="auto"/>
          <w:sz w:val="16"/>
          <w:szCs w:val="16"/>
          <w:u w:val="none"/>
        </w:rPr>
      </w:pPr>
      <w:r w:rsidRPr="005C54DE">
        <w:rPr>
          <w:rStyle w:val="Hyperlink"/>
          <w:rFonts w:ascii="Times New Roman" w:hAnsi="Times New Roman"/>
          <w:color w:val="auto"/>
          <w:sz w:val="16"/>
          <w:szCs w:val="16"/>
          <w:u w:val="none"/>
        </w:rPr>
        <w:t>Jurkevičs</w:t>
      </w:r>
      <w:r>
        <w:rPr>
          <w:rStyle w:val="Hyperlink"/>
          <w:rFonts w:ascii="Times New Roman" w:hAnsi="Times New Roman"/>
          <w:color w:val="auto"/>
          <w:sz w:val="16"/>
          <w:szCs w:val="16"/>
          <w:u w:val="none"/>
        </w:rPr>
        <w:t>,</w:t>
      </w:r>
      <w:r w:rsidRPr="005C54DE">
        <w:t xml:space="preserve"> </w:t>
      </w:r>
      <w:r w:rsidRPr="005C54DE">
        <w:rPr>
          <w:rStyle w:val="Hyperlink"/>
          <w:rFonts w:ascii="Times New Roman" w:hAnsi="Times New Roman"/>
          <w:color w:val="auto"/>
          <w:sz w:val="16"/>
          <w:szCs w:val="16"/>
          <w:u w:val="none"/>
        </w:rPr>
        <w:t>67219045</w:t>
      </w:r>
    </w:p>
    <w:p w:rsidR="005C54DE" w:rsidRPr="005C54DE" w:rsidP="00C04020" w14:paraId="0F71AE4F" w14:textId="352CD7E3">
      <w:pPr>
        <w:spacing w:before="0" w:after="0"/>
        <w:rPr>
          <w:rFonts w:ascii="Times New Roman" w:hAnsi="Times New Roman" w:cs="Times New Roman"/>
          <w:sz w:val="16"/>
          <w:szCs w:val="16"/>
        </w:rPr>
      </w:pPr>
      <w:r>
        <w:fldChar w:fldCharType="begin"/>
      </w:r>
      <w:r>
        <w:instrText xml:space="preserve"> HYPERLINK "mailto:Artis.Jurkevics@ic.iem.gov.lv" </w:instrText>
      </w:r>
      <w:r>
        <w:fldChar w:fldCharType="separate"/>
      </w:r>
      <w:r w:rsidRPr="005C54DE">
        <w:rPr>
          <w:rStyle w:val="Hyperlink"/>
          <w:rFonts w:ascii="Times New Roman" w:hAnsi="Times New Roman" w:cs="Times New Roman"/>
          <w:sz w:val="16"/>
          <w:szCs w:val="16"/>
        </w:rPr>
        <w:t>Artis.Jurkevics@ic.iem.gov.lv</w:t>
      </w:r>
      <w:r>
        <w:fldChar w:fldCharType="end"/>
      </w:r>
    </w:p>
    <w:sectPr w:rsidSect="001F633A">
      <w:headerReference w:type="default" r:id="rId5"/>
      <w:footerReference w:type="default" r:id="rId6"/>
      <w:footerReference w:type="first" r:id="rId7"/>
      <w:pgSz w:w="11906" w:h="16838"/>
      <w:pgMar w:top="1418" w:right="1134" w:bottom="1134" w:left="1701" w:header="709" w:footer="33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A85" w14:paraId="2FB569BB" w14:textId="77777777">
    <w:pPr>
      <w:pStyle w:val="Footer"/>
      <w:jc w:val="center"/>
    </w:pPr>
  </w:p>
  <w:p w:rsidR="00E36A85" w:rsidRPr="00F765AE" w:rsidP="00E36A85" w14:paraId="5DA5F051" w14:textId="665D4465">
    <w:pPr>
      <w:jc w:val="both"/>
      <w:rPr>
        <w:rFonts w:ascii="Times New Roman" w:hAnsi="Times New Roman" w:cs="Times New Roman"/>
        <w:sz w:val="20"/>
        <w:szCs w:val="20"/>
      </w:rPr>
    </w:pPr>
    <w:r w:rsidRPr="00F765AE">
      <w:rPr>
        <w:rFonts w:ascii="Times New Roman" w:hAnsi="Times New Roman" w:cs="Times New Roman"/>
        <w:sz w:val="20"/>
        <w:szCs w:val="20"/>
      </w:rPr>
      <w:t>VARAMRik</w:t>
    </w:r>
    <w:r>
      <w:rPr>
        <w:rFonts w:ascii="Times New Roman" w:hAnsi="Times New Roman" w:cs="Times New Roman"/>
        <w:sz w:val="20"/>
        <w:szCs w:val="20"/>
      </w:rPr>
      <w:t>P</w:t>
    </w:r>
    <w:r w:rsidRPr="00F765AE">
      <w:rPr>
        <w:rFonts w:ascii="Times New Roman" w:hAnsi="Times New Roman" w:cs="Times New Roman"/>
        <w:sz w:val="20"/>
        <w:szCs w:val="20"/>
      </w:rPr>
      <w:t>_</w:t>
    </w:r>
    <w:r w:rsidR="005C54DE">
      <w:rPr>
        <w:rFonts w:ascii="Times New Roman" w:hAnsi="Times New Roman"/>
        <w:sz w:val="20"/>
        <w:szCs w:val="20"/>
      </w:rPr>
      <w:t>1307</w:t>
    </w:r>
    <w:r w:rsidR="001F1A97">
      <w:rPr>
        <w:rFonts w:ascii="Times New Roman" w:hAnsi="Times New Roman"/>
        <w:sz w:val="20"/>
        <w:szCs w:val="20"/>
      </w:rPr>
      <w:t>2017_MA_12.0</w:t>
    </w:r>
    <w:r w:rsidRPr="00F765AE">
      <w:rPr>
        <w:rFonts w:ascii="Times New Roman" w:hAnsi="Times New Roman" w:cs="Times New Roman"/>
        <w:sz w:val="20"/>
        <w:szCs w:val="20"/>
      </w:rPr>
      <w:t xml:space="preserve"> </w:t>
    </w:r>
  </w:p>
  <w:p w:rsidR="00B44C2C" w:rsidP="00E36A85" w14:paraId="420134E8" w14:textId="7777777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1B5" w:rsidRPr="00F765AE" w:rsidP="007611B5" w14:paraId="10F67C1E" w14:textId="3BDE9DEC">
    <w:pPr>
      <w:jc w:val="both"/>
      <w:rPr>
        <w:rFonts w:ascii="Times New Roman" w:hAnsi="Times New Roman" w:cs="Times New Roman"/>
        <w:sz w:val="20"/>
        <w:szCs w:val="20"/>
      </w:rPr>
    </w:pPr>
    <w:r w:rsidRPr="001F1A97">
      <w:rPr>
        <w:rFonts w:ascii="Times New Roman" w:hAnsi="Times New Roman" w:cs="Times New Roman"/>
        <w:sz w:val="20"/>
        <w:szCs w:val="20"/>
      </w:rPr>
      <w:t>VARAMRikP_</w:t>
    </w:r>
    <w:r w:rsidR="005C54DE">
      <w:rPr>
        <w:rFonts w:ascii="Times New Roman" w:hAnsi="Times New Roman" w:cs="Times New Roman"/>
        <w:sz w:val="20"/>
        <w:szCs w:val="20"/>
      </w:rPr>
      <w:t>1307</w:t>
    </w:r>
    <w:r w:rsidRPr="001F1A97">
      <w:rPr>
        <w:rFonts w:ascii="Times New Roman" w:hAnsi="Times New Roman" w:cs="Times New Roman"/>
        <w:sz w:val="20"/>
        <w:szCs w:val="20"/>
      </w:rPr>
      <w:t>2017_MA_12.0</w:t>
    </w:r>
    <w:r w:rsidRPr="00F765AE">
      <w:rPr>
        <w:rFonts w:ascii="Times New Roman" w:hAnsi="Times New Roman" w:cs="Times New Roman"/>
        <w:sz w:val="20"/>
        <w:szCs w:val="20"/>
      </w:rPr>
      <w:t xml:space="preserve"> </w:t>
    </w:r>
  </w:p>
  <w:p w:rsidR="00E36A85" w14:paraId="5B04329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6722309"/>
      <w:docPartObj>
        <w:docPartGallery w:val="Page Numbers (Top of Page)"/>
        <w:docPartUnique/>
      </w:docPartObj>
    </w:sdtPr>
    <w:sdtEndPr>
      <w:rPr>
        <w:noProof/>
      </w:rPr>
    </w:sdtEndPr>
    <w:sdtContent>
      <w:p w:rsidR="00E36A85" w14:paraId="37AE4941" w14:textId="77777777">
        <w:pPr>
          <w:pStyle w:val="Header"/>
          <w:jc w:val="center"/>
        </w:pPr>
        <w:r>
          <w:fldChar w:fldCharType="begin"/>
        </w:r>
        <w:r>
          <w:instrText xml:space="preserve"> PAGE   \* MERGEFORMAT </w:instrText>
        </w:r>
        <w:r>
          <w:fldChar w:fldCharType="separate"/>
        </w:r>
        <w:r w:rsidR="007203B5">
          <w:rPr>
            <w:noProof/>
          </w:rPr>
          <w:t>4</w:t>
        </w:r>
        <w:r>
          <w:rPr>
            <w:noProof/>
          </w:rPr>
          <w:fldChar w:fldCharType="end"/>
        </w:r>
      </w:p>
    </w:sdtContent>
  </w:sdt>
  <w:p w:rsidR="00E36A85" w14:paraId="343D13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C097C"/>
    <w:multiLevelType w:val="hybridMultilevel"/>
    <w:tmpl w:val="C0CCD58C"/>
    <w:lvl w:ilvl="0">
      <w:start w:val="1"/>
      <w:numFmt w:val="decimal"/>
      <w:lvlText w:val="%1."/>
      <w:lvlJc w:val="left"/>
      <w:pPr>
        <w:ind w:left="360" w:hanging="360"/>
      </w:pPr>
      <w:rPr>
        <w:rFont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5AB1D4D"/>
    <w:multiLevelType w:val="hybridMultilevel"/>
    <w:tmpl w:val="7E448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31080C"/>
    <w:multiLevelType w:val="hybridMultilevel"/>
    <w:tmpl w:val="AF8AB1D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F91E05"/>
    <w:multiLevelType w:val="hybridMultilevel"/>
    <w:tmpl w:val="D11A7E8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9B384A"/>
    <w:multiLevelType w:val="hybridMultilevel"/>
    <w:tmpl w:val="37A4E19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350134"/>
    <w:multiLevelType w:val="hybridMultilevel"/>
    <w:tmpl w:val="E954C2C4"/>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81338AE"/>
    <w:multiLevelType w:val="hybridMultilevel"/>
    <w:tmpl w:val="787802C4"/>
    <w:lvl w:ilvl="0">
      <w:start w:val="201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FF21A8"/>
    <w:multiLevelType w:val="hybridMultilevel"/>
    <w:tmpl w:val="E8A0C6B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E07392F"/>
    <w:multiLevelType w:val="hybridMultilevel"/>
    <w:tmpl w:val="05DE5A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BE5D64"/>
    <w:multiLevelType w:val="hybridMultilevel"/>
    <w:tmpl w:val="A992C3EA"/>
    <w:lvl w:ilvl="0">
      <w:start w:val="6"/>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BD64B9"/>
    <w:multiLevelType w:val="hybridMultilevel"/>
    <w:tmpl w:val="87A89F66"/>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2B453EB"/>
    <w:multiLevelType w:val="hybridMultilevel"/>
    <w:tmpl w:val="62667F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42700E7"/>
    <w:multiLevelType w:val="hybridMultilevel"/>
    <w:tmpl w:val="D72E8A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9569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7D0F64"/>
    <w:multiLevelType w:val="hybridMultilevel"/>
    <w:tmpl w:val="C4F21650"/>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7647ECF"/>
    <w:multiLevelType w:val="hybridMultilevel"/>
    <w:tmpl w:val="3834A752"/>
    <w:lvl w:ilvl="0">
      <w:start w:val="0"/>
      <w:numFmt w:val="bullet"/>
      <w:lvlText w:val="-"/>
      <w:lvlJc w:val="left"/>
      <w:pPr>
        <w:ind w:left="720" w:hanging="360"/>
      </w:pPr>
      <w:rPr>
        <w:rFonts w:ascii="Times New Roman" w:eastAsia="MS Mincho"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A864706"/>
    <w:multiLevelType w:val="hybridMultilevel"/>
    <w:tmpl w:val="4C70BC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EBE1630"/>
    <w:multiLevelType w:val="hybridMultilevel"/>
    <w:tmpl w:val="CC64A0FC"/>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F111780"/>
    <w:multiLevelType w:val="hybridMultilevel"/>
    <w:tmpl w:val="524465F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02D2312"/>
    <w:multiLevelType w:val="hybridMultilevel"/>
    <w:tmpl w:val="51CEA900"/>
    <w:lvl w:ilvl="0">
      <w:start w:val="1"/>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552B18F2"/>
    <w:multiLevelType w:val="hybridMultilevel"/>
    <w:tmpl w:val="64FCB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EA246ED"/>
    <w:multiLevelType w:val="hybridMultilevel"/>
    <w:tmpl w:val="5FD00862"/>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65D56FC3"/>
    <w:multiLevelType w:val="hybridMultilevel"/>
    <w:tmpl w:val="B8BCA4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684F7736"/>
    <w:multiLevelType w:val="hybridMultilevel"/>
    <w:tmpl w:val="69E27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B2A0904"/>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DB634FE"/>
    <w:multiLevelType w:val="hybridMultilevel"/>
    <w:tmpl w:val="8620E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F6D659B"/>
    <w:multiLevelType w:val="hybridMultilevel"/>
    <w:tmpl w:val="864200C8"/>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76C81AE1"/>
    <w:multiLevelType w:val="hybridMultilevel"/>
    <w:tmpl w:val="D82475B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1">
    <w:nsid w:val="79797C41"/>
    <w:multiLevelType w:val="hybridMultilevel"/>
    <w:tmpl w:val="18FA87B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7D4E71EC"/>
    <w:multiLevelType w:val="hybridMultilevel"/>
    <w:tmpl w:val="7AAA62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EE84F6D"/>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4"/>
  </w:num>
  <w:num w:numId="3">
    <w:abstractNumId w:val="21"/>
  </w:num>
  <w:num w:numId="4">
    <w:abstractNumId w:val="9"/>
  </w:num>
  <w:num w:numId="5">
    <w:abstractNumId w:val="30"/>
  </w:num>
  <w:num w:numId="6">
    <w:abstractNumId w:val="1"/>
  </w:num>
  <w:num w:numId="7">
    <w:abstractNumId w:val="18"/>
  </w:num>
  <w:num w:numId="8">
    <w:abstractNumId w:val="28"/>
  </w:num>
  <w:num w:numId="9">
    <w:abstractNumId w:val="0"/>
  </w:num>
  <w:num w:numId="10">
    <w:abstractNumId w:val="32"/>
  </w:num>
  <w:num w:numId="11">
    <w:abstractNumId w:val="22"/>
  </w:num>
  <w:num w:numId="12">
    <w:abstractNumId w:val="16"/>
  </w:num>
  <w:num w:numId="13">
    <w:abstractNumId w:val="2"/>
  </w:num>
  <w:num w:numId="14">
    <w:abstractNumId w:val="27"/>
  </w:num>
  <w:num w:numId="15">
    <w:abstractNumId w:val="33"/>
  </w:num>
  <w:num w:numId="16">
    <w:abstractNumId w:val="12"/>
  </w:num>
  <w:num w:numId="17">
    <w:abstractNumId w:val="14"/>
  </w:num>
  <w:num w:numId="18">
    <w:abstractNumId w:val="25"/>
  </w:num>
  <w:num w:numId="19">
    <w:abstractNumId w:val="17"/>
  </w:num>
  <w:num w:numId="20">
    <w:abstractNumId w:val="11"/>
  </w:num>
  <w:num w:numId="21">
    <w:abstractNumId w:val="4"/>
  </w:num>
  <w:num w:numId="22">
    <w:abstractNumId w:val="8"/>
  </w:num>
  <w:num w:numId="23">
    <w:abstractNumId w:val="23"/>
  </w:num>
  <w:num w:numId="24">
    <w:abstractNumId w:val="5"/>
  </w:num>
  <w:num w:numId="25">
    <w:abstractNumId w:val="20"/>
  </w:num>
  <w:num w:numId="26">
    <w:abstractNumId w:val="7"/>
  </w:num>
  <w:num w:numId="27">
    <w:abstractNumId w:val="6"/>
  </w:num>
  <w:num w:numId="28">
    <w:abstractNumId w:val="19"/>
  </w:num>
  <w:num w:numId="29">
    <w:abstractNumId w:val="13"/>
  </w:num>
  <w:num w:numId="30">
    <w:abstractNumId w:val="10"/>
  </w:num>
  <w:num w:numId="31">
    <w:abstractNumId w:val="26"/>
  </w:num>
  <w:num w:numId="32">
    <w:abstractNumId w:val="15"/>
  </w:num>
  <w:num w:numId="33">
    <w:abstractNumId w:val="29"/>
  </w:num>
  <w:num w:numId="3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256E"/>
    <w:rsid w:val="000036C0"/>
    <w:rsid w:val="00007399"/>
    <w:rsid w:val="000108E6"/>
    <w:rsid w:val="00010D65"/>
    <w:rsid w:val="0001102B"/>
    <w:rsid w:val="000112D0"/>
    <w:rsid w:val="00012979"/>
    <w:rsid w:val="00012A21"/>
    <w:rsid w:val="00014143"/>
    <w:rsid w:val="000160EA"/>
    <w:rsid w:val="0002280B"/>
    <w:rsid w:val="00022BFB"/>
    <w:rsid w:val="00023082"/>
    <w:rsid w:val="00024E33"/>
    <w:rsid w:val="00030B3D"/>
    <w:rsid w:val="0003526D"/>
    <w:rsid w:val="00035AA4"/>
    <w:rsid w:val="00037307"/>
    <w:rsid w:val="0004337F"/>
    <w:rsid w:val="00044678"/>
    <w:rsid w:val="00045D20"/>
    <w:rsid w:val="00045D8F"/>
    <w:rsid w:val="00050AB6"/>
    <w:rsid w:val="00054D66"/>
    <w:rsid w:val="0006094A"/>
    <w:rsid w:val="00070FC2"/>
    <w:rsid w:val="000716C7"/>
    <w:rsid w:val="00072DBF"/>
    <w:rsid w:val="000730E5"/>
    <w:rsid w:val="00075382"/>
    <w:rsid w:val="00080F6C"/>
    <w:rsid w:val="00082C0D"/>
    <w:rsid w:val="00083DB0"/>
    <w:rsid w:val="00085831"/>
    <w:rsid w:val="000877AA"/>
    <w:rsid w:val="0008780E"/>
    <w:rsid w:val="0009115B"/>
    <w:rsid w:val="000934FD"/>
    <w:rsid w:val="00094359"/>
    <w:rsid w:val="00095328"/>
    <w:rsid w:val="00095CD9"/>
    <w:rsid w:val="00097681"/>
    <w:rsid w:val="000A2A69"/>
    <w:rsid w:val="000A3613"/>
    <w:rsid w:val="000A470F"/>
    <w:rsid w:val="000B288E"/>
    <w:rsid w:val="000B486B"/>
    <w:rsid w:val="000B49EB"/>
    <w:rsid w:val="000B527B"/>
    <w:rsid w:val="000C1BB0"/>
    <w:rsid w:val="000C7608"/>
    <w:rsid w:val="000C7BB8"/>
    <w:rsid w:val="000D14D4"/>
    <w:rsid w:val="000D17AF"/>
    <w:rsid w:val="000D41D9"/>
    <w:rsid w:val="000D6E8A"/>
    <w:rsid w:val="000D707F"/>
    <w:rsid w:val="000D7FDF"/>
    <w:rsid w:val="000E082D"/>
    <w:rsid w:val="000E11B1"/>
    <w:rsid w:val="000E38FF"/>
    <w:rsid w:val="000E450D"/>
    <w:rsid w:val="000E486C"/>
    <w:rsid w:val="000E5079"/>
    <w:rsid w:val="000E69AC"/>
    <w:rsid w:val="000E69B2"/>
    <w:rsid w:val="000F030C"/>
    <w:rsid w:val="000F0C6C"/>
    <w:rsid w:val="000F2E02"/>
    <w:rsid w:val="000F344D"/>
    <w:rsid w:val="000F375B"/>
    <w:rsid w:val="000F657F"/>
    <w:rsid w:val="000F6B87"/>
    <w:rsid w:val="000F7B80"/>
    <w:rsid w:val="001008D3"/>
    <w:rsid w:val="00104B6F"/>
    <w:rsid w:val="001055BB"/>
    <w:rsid w:val="00106FFF"/>
    <w:rsid w:val="00107C17"/>
    <w:rsid w:val="001134A9"/>
    <w:rsid w:val="0011519A"/>
    <w:rsid w:val="00116DD0"/>
    <w:rsid w:val="001201A2"/>
    <w:rsid w:val="00120F02"/>
    <w:rsid w:val="00123E23"/>
    <w:rsid w:val="00126967"/>
    <w:rsid w:val="00127F10"/>
    <w:rsid w:val="001342C4"/>
    <w:rsid w:val="00134D02"/>
    <w:rsid w:val="00144AD0"/>
    <w:rsid w:val="00144CFA"/>
    <w:rsid w:val="001461B5"/>
    <w:rsid w:val="00150CC0"/>
    <w:rsid w:val="0015181B"/>
    <w:rsid w:val="001541D0"/>
    <w:rsid w:val="00160646"/>
    <w:rsid w:val="00161FF0"/>
    <w:rsid w:val="00162D69"/>
    <w:rsid w:val="00174500"/>
    <w:rsid w:val="00176228"/>
    <w:rsid w:val="00180A79"/>
    <w:rsid w:val="00181405"/>
    <w:rsid w:val="001838A2"/>
    <w:rsid w:val="001846A2"/>
    <w:rsid w:val="001910C4"/>
    <w:rsid w:val="00193142"/>
    <w:rsid w:val="001A14D0"/>
    <w:rsid w:val="001A15E4"/>
    <w:rsid w:val="001A33F6"/>
    <w:rsid w:val="001B07B8"/>
    <w:rsid w:val="001B0ABE"/>
    <w:rsid w:val="001B54D7"/>
    <w:rsid w:val="001D3205"/>
    <w:rsid w:val="001D6FC9"/>
    <w:rsid w:val="001E1923"/>
    <w:rsid w:val="001E30F1"/>
    <w:rsid w:val="001F1A97"/>
    <w:rsid w:val="001F56B0"/>
    <w:rsid w:val="001F633A"/>
    <w:rsid w:val="001F64FC"/>
    <w:rsid w:val="001F651C"/>
    <w:rsid w:val="001F68B9"/>
    <w:rsid w:val="001F72F4"/>
    <w:rsid w:val="00200CA5"/>
    <w:rsid w:val="00204B0B"/>
    <w:rsid w:val="002059E5"/>
    <w:rsid w:val="00205EA6"/>
    <w:rsid w:val="00206E50"/>
    <w:rsid w:val="00210A16"/>
    <w:rsid w:val="00216835"/>
    <w:rsid w:val="00223B41"/>
    <w:rsid w:val="00225299"/>
    <w:rsid w:val="002257E7"/>
    <w:rsid w:val="00230C2E"/>
    <w:rsid w:val="00233F95"/>
    <w:rsid w:val="002356EB"/>
    <w:rsid w:val="0024037D"/>
    <w:rsid w:val="00241635"/>
    <w:rsid w:val="00242933"/>
    <w:rsid w:val="002452B8"/>
    <w:rsid w:val="00247F2F"/>
    <w:rsid w:val="00251F63"/>
    <w:rsid w:val="0026154B"/>
    <w:rsid w:val="0027191E"/>
    <w:rsid w:val="002721BA"/>
    <w:rsid w:val="00273151"/>
    <w:rsid w:val="002739F1"/>
    <w:rsid w:val="002763F5"/>
    <w:rsid w:val="002765B2"/>
    <w:rsid w:val="002769CD"/>
    <w:rsid w:val="002802CE"/>
    <w:rsid w:val="00284F13"/>
    <w:rsid w:val="00287550"/>
    <w:rsid w:val="00290783"/>
    <w:rsid w:val="00290E5D"/>
    <w:rsid w:val="00290ED3"/>
    <w:rsid w:val="00293450"/>
    <w:rsid w:val="00296C7A"/>
    <w:rsid w:val="002A05C6"/>
    <w:rsid w:val="002A1F1C"/>
    <w:rsid w:val="002A75BB"/>
    <w:rsid w:val="002A7842"/>
    <w:rsid w:val="002B1D81"/>
    <w:rsid w:val="002B3EE4"/>
    <w:rsid w:val="002C393D"/>
    <w:rsid w:val="002C404B"/>
    <w:rsid w:val="002C4189"/>
    <w:rsid w:val="002C6ACD"/>
    <w:rsid w:val="002D1E99"/>
    <w:rsid w:val="002D2971"/>
    <w:rsid w:val="002D4C56"/>
    <w:rsid w:val="002D50CA"/>
    <w:rsid w:val="002D5123"/>
    <w:rsid w:val="002E04BB"/>
    <w:rsid w:val="002E61BD"/>
    <w:rsid w:val="002E7587"/>
    <w:rsid w:val="002F08DB"/>
    <w:rsid w:val="002F31E7"/>
    <w:rsid w:val="002F4780"/>
    <w:rsid w:val="002F5A74"/>
    <w:rsid w:val="002F5E91"/>
    <w:rsid w:val="00300061"/>
    <w:rsid w:val="003050E2"/>
    <w:rsid w:val="00306E00"/>
    <w:rsid w:val="00307637"/>
    <w:rsid w:val="00311493"/>
    <w:rsid w:val="003118D9"/>
    <w:rsid w:val="003128D2"/>
    <w:rsid w:val="00320C86"/>
    <w:rsid w:val="0032399B"/>
    <w:rsid w:val="00324BF2"/>
    <w:rsid w:val="00335CF7"/>
    <w:rsid w:val="00336DED"/>
    <w:rsid w:val="00337441"/>
    <w:rsid w:val="00345405"/>
    <w:rsid w:val="0034544F"/>
    <w:rsid w:val="00345695"/>
    <w:rsid w:val="00350AC1"/>
    <w:rsid w:val="00351F2B"/>
    <w:rsid w:val="00356650"/>
    <w:rsid w:val="00357294"/>
    <w:rsid w:val="003618D4"/>
    <w:rsid w:val="003621B8"/>
    <w:rsid w:val="0037098D"/>
    <w:rsid w:val="0037292E"/>
    <w:rsid w:val="003729D1"/>
    <w:rsid w:val="00376128"/>
    <w:rsid w:val="00376E24"/>
    <w:rsid w:val="0037777F"/>
    <w:rsid w:val="003808B2"/>
    <w:rsid w:val="003813A7"/>
    <w:rsid w:val="003819BA"/>
    <w:rsid w:val="00381B4C"/>
    <w:rsid w:val="00381E3F"/>
    <w:rsid w:val="003825E8"/>
    <w:rsid w:val="003862F8"/>
    <w:rsid w:val="00386836"/>
    <w:rsid w:val="0038731B"/>
    <w:rsid w:val="00390FC0"/>
    <w:rsid w:val="00394A0A"/>
    <w:rsid w:val="003972BA"/>
    <w:rsid w:val="00397FD9"/>
    <w:rsid w:val="003A05B7"/>
    <w:rsid w:val="003A1574"/>
    <w:rsid w:val="003A1EAB"/>
    <w:rsid w:val="003A2AA0"/>
    <w:rsid w:val="003A2E6D"/>
    <w:rsid w:val="003A3977"/>
    <w:rsid w:val="003A54E1"/>
    <w:rsid w:val="003A68CE"/>
    <w:rsid w:val="003B0778"/>
    <w:rsid w:val="003B07CA"/>
    <w:rsid w:val="003B2BDD"/>
    <w:rsid w:val="003B4660"/>
    <w:rsid w:val="003C033A"/>
    <w:rsid w:val="003C2921"/>
    <w:rsid w:val="003C2D51"/>
    <w:rsid w:val="003C7EBE"/>
    <w:rsid w:val="003D08D9"/>
    <w:rsid w:val="003D2194"/>
    <w:rsid w:val="003D45B6"/>
    <w:rsid w:val="003E257D"/>
    <w:rsid w:val="003E29D9"/>
    <w:rsid w:val="003E4D32"/>
    <w:rsid w:val="003E73C1"/>
    <w:rsid w:val="003F0AE8"/>
    <w:rsid w:val="003F0F05"/>
    <w:rsid w:val="003F1449"/>
    <w:rsid w:val="003F4462"/>
    <w:rsid w:val="003F5023"/>
    <w:rsid w:val="003F5830"/>
    <w:rsid w:val="003F5D75"/>
    <w:rsid w:val="004025B9"/>
    <w:rsid w:val="004035FD"/>
    <w:rsid w:val="00405D9F"/>
    <w:rsid w:val="00410349"/>
    <w:rsid w:val="0041043F"/>
    <w:rsid w:val="004109A9"/>
    <w:rsid w:val="0041452A"/>
    <w:rsid w:val="00414FA3"/>
    <w:rsid w:val="0042455A"/>
    <w:rsid w:val="00425165"/>
    <w:rsid w:val="00427855"/>
    <w:rsid w:val="004327CC"/>
    <w:rsid w:val="00433A9E"/>
    <w:rsid w:val="004420DA"/>
    <w:rsid w:val="00454795"/>
    <w:rsid w:val="00455BE2"/>
    <w:rsid w:val="00456D5D"/>
    <w:rsid w:val="00457FD5"/>
    <w:rsid w:val="0046344E"/>
    <w:rsid w:val="00467C09"/>
    <w:rsid w:val="004702C1"/>
    <w:rsid w:val="00470E27"/>
    <w:rsid w:val="0047323A"/>
    <w:rsid w:val="00476987"/>
    <w:rsid w:val="0047735E"/>
    <w:rsid w:val="00480C92"/>
    <w:rsid w:val="00481AFE"/>
    <w:rsid w:val="004873AA"/>
    <w:rsid w:val="004904B6"/>
    <w:rsid w:val="004904E3"/>
    <w:rsid w:val="0049120E"/>
    <w:rsid w:val="0049694A"/>
    <w:rsid w:val="004971A7"/>
    <w:rsid w:val="004A2894"/>
    <w:rsid w:val="004A2E28"/>
    <w:rsid w:val="004A6034"/>
    <w:rsid w:val="004A7BD7"/>
    <w:rsid w:val="004B34FC"/>
    <w:rsid w:val="004B398A"/>
    <w:rsid w:val="004B6857"/>
    <w:rsid w:val="004B6C1D"/>
    <w:rsid w:val="004B72C7"/>
    <w:rsid w:val="004C19F3"/>
    <w:rsid w:val="004C5462"/>
    <w:rsid w:val="004D49FA"/>
    <w:rsid w:val="004E1EDC"/>
    <w:rsid w:val="004E56ED"/>
    <w:rsid w:val="004E601A"/>
    <w:rsid w:val="004E78B0"/>
    <w:rsid w:val="004E7ADC"/>
    <w:rsid w:val="004F2A2F"/>
    <w:rsid w:val="00502083"/>
    <w:rsid w:val="00503EC7"/>
    <w:rsid w:val="0050663D"/>
    <w:rsid w:val="00510918"/>
    <w:rsid w:val="00511A27"/>
    <w:rsid w:val="00516B21"/>
    <w:rsid w:val="005204C5"/>
    <w:rsid w:val="00521D34"/>
    <w:rsid w:val="005240C7"/>
    <w:rsid w:val="00531FA8"/>
    <w:rsid w:val="00532F78"/>
    <w:rsid w:val="005331FE"/>
    <w:rsid w:val="00533287"/>
    <w:rsid w:val="00535F3B"/>
    <w:rsid w:val="00536C7F"/>
    <w:rsid w:val="00537852"/>
    <w:rsid w:val="00540942"/>
    <w:rsid w:val="005467B6"/>
    <w:rsid w:val="0055797F"/>
    <w:rsid w:val="00561319"/>
    <w:rsid w:val="00562E57"/>
    <w:rsid w:val="00565560"/>
    <w:rsid w:val="00565584"/>
    <w:rsid w:val="00571E72"/>
    <w:rsid w:val="00575D35"/>
    <w:rsid w:val="005773EA"/>
    <w:rsid w:val="005776DE"/>
    <w:rsid w:val="00581FCB"/>
    <w:rsid w:val="00587060"/>
    <w:rsid w:val="00591043"/>
    <w:rsid w:val="00592F62"/>
    <w:rsid w:val="00593866"/>
    <w:rsid w:val="00597DF5"/>
    <w:rsid w:val="005A08A5"/>
    <w:rsid w:val="005A23F4"/>
    <w:rsid w:val="005A4D85"/>
    <w:rsid w:val="005B124E"/>
    <w:rsid w:val="005B21ED"/>
    <w:rsid w:val="005B28D4"/>
    <w:rsid w:val="005B29FF"/>
    <w:rsid w:val="005B33D1"/>
    <w:rsid w:val="005B6906"/>
    <w:rsid w:val="005C3410"/>
    <w:rsid w:val="005C54DE"/>
    <w:rsid w:val="005C74EC"/>
    <w:rsid w:val="005D04C5"/>
    <w:rsid w:val="005D23D2"/>
    <w:rsid w:val="005D270E"/>
    <w:rsid w:val="005E01B5"/>
    <w:rsid w:val="005E042E"/>
    <w:rsid w:val="005E1232"/>
    <w:rsid w:val="005E5475"/>
    <w:rsid w:val="005E5834"/>
    <w:rsid w:val="005F135E"/>
    <w:rsid w:val="005F259D"/>
    <w:rsid w:val="00603098"/>
    <w:rsid w:val="00606402"/>
    <w:rsid w:val="0061496D"/>
    <w:rsid w:val="00622860"/>
    <w:rsid w:val="006240CE"/>
    <w:rsid w:val="00627B13"/>
    <w:rsid w:val="00631729"/>
    <w:rsid w:val="00634695"/>
    <w:rsid w:val="00635A8C"/>
    <w:rsid w:val="0064028E"/>
    <w:rsid w:val="006429ED"/>
    <w:rsid w:val="00645C1C"/>
    <w:rsid w:val="006476E9"/>
    <w:rsid w:val="006537A4"/>
    <w:rsid w:val="00654B24"/>
    <w:rsid w:val="00664220"/>
    <w:rsid w:val="00664DE7"/>
    <w:rsid w:val="00665296"/>
    <w:rsid w:val="006656F2"/>
    <w:rsid w:val="00667996"/>
    <w:rsid w:val="00670DB3"/>
    <w:rsid w:val="00674431"/>
    <w:rsid w:val="006779A9"/>
    <w:rsid w:val="006809C0"/>
    <w:rsid w:val="00684DA1"/>
    <w:rsid w:val="00685C8A"/>
    <w:rsid w:val="00687130"/>
    <w:rsid w:val="0069162E"/>
    <w:rsid w:val="006919CE"/>
    <w:rsid w:val="006929E4"/>
    <w:rsid w:val="00694BEA"/>
    <w:rsid w:val="006A002C"/>
    <w:rsid w:val="006A0089"/>
    <w:rsid w:val="006A3CD0"/>
    <w:rsid w:val="006A58F6"/>
    <w:rsid w:val="006A5E15"/>
    <w:rsid w:val="006A614D"/>
    <w:rsid w:val="006B0F87"/>
    <w:rsid w:val="006B1C9D"/>
    <w:rsid w:val="006B2517"/>
    <w:rsid w:val="006B28A7"/>
    <w:rsid w:val="006B3785"/>
    <w:rsid w:val="006B6E77"/>
    <w:rsid w:val="006C2553"/>
    <w:rsid w:val="006C41FB"/>
    <w:rsid w:val="006C4F9F"/>
    <w:rsid w:val="006C54D3"/>
    <w:rsid w:val="006D142A"/>
    <w:rsid w:val="006D3A51"/>
    <w:rsid w:val="006D655B"/>
    <w:rsid w:val="006D7B1F"/>
    <w:rsid w:val="006D7FD2"/>
    <w:rsid w:val="006E5DE1"/>
    <w:rsid w:val="006F2DDD"/>
    <w:rsid w:val="006F39B7"/>
    <w:rsid w:val="006F5E34"/>
    <w:rsid w:val="006F61C6"/>
    <w:rsid w:val="006F652B"/>
    <w:rsid w:val="006F741A"/>
    <w:rsid w:val="006F78E7"/>
    <w:rsid w:val="0071501F"/>
    <w:rsid w:val="0071603B"/>
    <w:rsid w:val="007178B1"/>
    <w:rsid w:val="007203B5"/>
    <w:rsid w:val="0072052D"/>
    <w:rsid w:val="00721C0B"/>
    <w:rsid w:val="007225D8"/>
    <w:rsid w:val="007225F4"/>
    <w:rsid w:val="00725F09"/>
    <w:rsid w:val="00726965"/>
    <w:rsid w:val="00726D2E"/>
    <w:rsid w:val="007305D9"/>
    <w:rsid w:val="0073106B"/>
    <w:rsid w:val="00733CD1"/>
    <w:rsid w:val="00735083"/>
    <w:rsid w:val="00735D6A"/>
    <w:rsid w:val="00736EF0"/>
    <w:rsid w:val="00740BA5"/>
    <w:rsid w:val="00741B30"/>
    <w:rsid w:val="007451C9"/>
    <w:rsid w:val="00753334"/>
    <w:rsid w:val="0075396B"/>
    <w:rsid w:val="00754A4E"/>
    <w:rsid w:val="00754A6F"/>
    <w:rsid w:val="00754ABB"/>
    <w:rsid w:val="007611B5"/>
    <w:rsid w:val="00761B7B"/>
    <w:rsid w:val="00763D62"/>
    <w:rsid w:val="00763F36"/>
    <w:rsid w:val="00763F68"/>
    <w:rsid w:val="007643BD"/>
    <w:rsid w:val="0077116A"/>
    <w:rsid w:val="0077257A"/>
    <w:rsid w:val="00775D02"/>
    <w:rsid w:val="00776FDE"/>
    <w:rsid w:val="00780E19"/>
    <w:rsid w:val="007820FF"/>
    <w:rsid w:val="0078518F"/>
    <w:rsid w:val="00786145"/>
    <w:rsid w:val="00786946"/>
    <w:rsid w:val="007932DD"/>
    <w:rsid w:val="007A1F3A"/>
    <w:rsid w:val="007A243C"/>
    <w:rsid w:val="007A5B18"/>
    <w:rsid w:val="007A5B54"/>
    <w:rsid w:val="007A5B69"/>
    <w:rsid w:val="007A61C5"/>
    <w:rsid w:val="007A6440"/>
    <w:rsid w:val="007B086D"/>
    <w:rsid w:val="007B0DF2"/>
    <w:rsid w:val="007B6C01"/>
    <w:rsid w:val="007C035E"/>
    <w:rsid w:val="007C3FE3"/>
    <w:rsid w:val="007D08F6"/>
    <w:rsid w:val="007D38FD"/>
    <w:rsid w:val="007D54C2"/>
    <w:rsid w:val="007D5E7B"/>
    <w:rsid w:val="007D614E"/>
    <w:rsid w:val="007D75BF"/>
    <w:rsid w:val="007E1FB4"/>
    <w:rsid w:val="007E3621"/>
    <w:rsid w:val="007E3B95"/>
    <w:rsid w:val="007E60A2"/>
    <w:rsid w:val="007F0ACF"/>
    <w:rsid w:val="007F26C8"/>
    <w:rsid w:val="00800298"/>
    <w:rsid w:val="00800DA2"/>
    <w:rsid w:val="00803F2A"/>
    <w:rsid w:val="0081005C"/>
    <w:rsid w:val="00816582"/>
    <w:rsid w:val="008222DF"/>
    <w:rsid w:val="0082293A"/>
    <w:rsid w:val="008237F6"/>
    <w:rsid w:val="00827C10"/>
    <w:rsid w:val="00830B33"/>
    <w:rsid w:val="00832426"/>
    <w:rsid w:val="0083377A"/>
    <w:rsid w:val="008341E1"/>
    <w:rsid w:val="00834AEC"/>
    <w:rsid w:val="00835149"/>
    <w:rsid w:val="00836E73"/>
    <w:rsid w:val="008375FF"/>
    <w:rsid w:val="00852FB7"/>
    <w:rsid w:val="00854935"/>
    <w:rsid w:val="0085547C"/>
    <w:rsid w:val="008601FF"/>
    <w:rsid w:val="00861E73"/>
    <w:rsid w:val="0086383F"/>
    <w:rsid w:val="00871518"/>
    <w:rsid w:val="0087464D"/>
    <w:rsid w:val="008766A6"/>
    <w:rsid w:val="00880D80"/>
    <w:rsid w:val="00883FD9"/>
    <w:rsid w:val="00884E02"/>
    <w:rsid w:val="008870A8"/>
    <w:rsid w:val="00892BBB"/>
    <w:rsid w:val="00894B6F"/>
    <w:rsid w:val="00894D70"/>
    <w:rsid w:val="0089742D"/>
    <w:rsid w:val="00897FD7"/>
    <w:rsid w:val="008A616E"/>
    <w:rsid w:val="008B04CC"/>
    <w:rsid w:val="008B0B6C"/>
    <w:rsid w:val="008B2722"/>
    <w:rsid w:val="008B32DD"/>
    <w:rsid w:val="008B5AED"/>
    <w:rsid w:val="008B6296"/>
    <w:rsid w:val="008C62B4"/>
    <w:rsid w:val="008D5DC5"/>
    <w:rsid w:val="008E03D2"/>
    <w:rsid w:val="008E0871"/>
    <w:rsid w:val="008E09B5"/>
    <w:rsid w:val="008E3778"/>
    <w:rsid w:val="008E5ABC"/>
    <w:rsid w:val="008E5E12"/>
    <w:rsid w:val="008E7F89"/>
    <w:rsid w:val="008F0C1B"/>
    <w:rsid w:val="008F2BF4"/>
    <w:rsid w:val="008F3EE1"/>
    <w:rsid w:val="008F5EA1"/>
    <w:rsid w:val="008F6F28"/>
    <w:rsid w:val="00900BD5"/>
    <w:rsid w:val="00911AE6"/>
    <w:rsid w:val="009153B1"/>
    <w:rsid w:val="009164FD"/>
    <w:rsid w:val="009171BA"/>
    <w:rsid w:val="00920404"/>
    <w:rsid w:val="00920414"/>
    <w:rsid w:val="009231BD"/>
    <w:rsid w:val="0092745B"/>
    <w:rsid w:val="00930909"/>
    <w:rsid w:val="00935D3B"/>
    <w:rsid w:val="009360F4"/>
    <w:rsid w:val="00943C9B"/>
    <w:rsid w:val="00943D6C"/>
    <w:rsid w:val="00944C9D"/>
    <w:rsid w:val="00945912"/>
    <w:rsid w:val="00947D71"/>
    <w:rsid w:val="009503CB"/>
    <w:rsid w:val="00950AEC"/>
    <w:rsid w:val="00953B2E"/>
    <w:rsid w:val="00956207"/>
    <w:rsid w:val="009616BC"/>
    <w:rsid w:val="00962C5A"/>
    <w:rsid w:val="0096568C"/>
    <w:rsid w:val="00970217"/>
    <w:rsid w:val="0097098E"/>
    <w:rsid w:val="0097177B"/>
    <w:rsid w:val="00973FA8"/>
    <w:rsid w:val="00974952"/>
    <w:rsid w:val="00974D36"/>
    <w:rsid w:val="0098009D"/>
    <w:rsid w:val="00984B14"/>
    <w:rsid w:val="00991397"/>
    <w:rsid w:val="009914EE"/>
    <w:rsid w:val="0099220E"/>
    <w:rsid w:val="00992568"/>
    <w:rsid w:val="009949D8"/>
    <w:rsid w:val="009A152F"/>
    <w:rsid w:val="009A2B0B"/>
    <w:rsid w:val="009A35FE"/>
    <w:rsid w:val="009A457C"/>
    <w:rsid w:val="009A646D"/>
    <w:rsid w:val="009B2100"/>
    <w:rsid w:val="009B3DB9"/>
    <w:rsid w:val="009B4345"/>
    <w:rsid w:val="009B5A61"/>
    <w:rsid w:val="009B5F99"/>
    <w:rsid w:val="009B6EE2"/>
    <w:rsid w:val="009C361B"/>
    <w:rsid w:val="009C5BD6"/>
    <w:rsid w:val="009C6ACB"/>
    <w:rsid w:val="009C7BD7"/>
    <w:rsid w:val="009D0A0F"/>
    <w:rsid w:val="009D0BDE"/>
    <w:rsid w:val="009D2B87"/>
    <w:rsid w:val="009D383B"/>
    <w:rsid w:val="009D38D5"/>
    <w:rsid w:val="009D5C55"/>
    <w:rsid w:val="009D61B7"/>
    <w:rsid w:val="009E4A7A"/>
    <w:rsid w:val="009E668F"/>
    <w:rsid w:val="009F304C"/>
    <w:rsid w:val="009F4406"/>
    <w:rsid w:val="009F6E76"/>
    <w:rsid w:val="009F7D24"/>
    <w:rsid w:val="00A015FE"/>
    <w:rsid w:val="00A019E8"/>
    <w:rsid w:val="00A055FF"/>
    <w:rsid w:val="00A12C85"/>
    <w:rsid w:val="00A13767"/>
    <w:rsid w:val="00A15307"/>
    <w:rsid w:val="00A15DE7"/>
    <w:rsid w:val="00A1715E"/>
    <w:rsid w:val="00A177A0"/>
    <w:rsid w:val="00A223ED"/>
    <w:rsid w:val="00A2468A"/>
    <w:rsid w:val="00A25D4D"/>
    <w:rsid w:val="00A2698D"/>
    <w:rsid w:val="00A27092"/>
    <w:rsid w:val="00A30D66"/>
    <w:rsid w:val="00A46107"/>
    <w:rsid w:val="00A46B31"/>
    <w:rsid w:val="00A46FCD"/>
    <w:rsid w:val="00A51042"/>
    <w:rsid w:val="00A528F7"/>
    <w:rsid w:val="00A62B6D"/>
    <w:rsid w:val="00A62E9A"/>
    <w:rsid w:val="00A7130E"/>
    <w:rsid w:val="00A73DCE"/>
    <w:rsid w:val="00A741D2"/>
    <w:rsid w:val="00A744B4"/>
    <w:rsid w:val="00A80E22"/>
    <w:rsid w:val="00A8373A"/>
    <w:rsid w:val="00A84D8E"/>
    <w:rsid w:val="00A85284"/>
    <w:rsid w:val="00A91C96"/>
    <w:rsid w:val="00AA0330"/>
    <w:rsid w:val="00AA3963"/>
    <w:rsid w:val="00AA4E1A"/>
    <w:rsid w:val="00AA54CB"/>
    <w:rsid w:val="00AA64C0"/>
    <w:rsid w:val="00AA66F1"/>
    <w:rsid w:val="00AA6B43"/>
    <w:rsid w:val="00AA6C87"/>
    <w:rsid w:val="00AA75BD"/>
    <w:rsid w:val="00AB0F7A"/>
    <w:rsid w:val="00AB1679"/>
    <w:rsid w:val="00AB1B33"/>
    <w:rsid w:val="00AB3EB7"/>
    <w:rsid w:val="00AC10D8"/>
    <w:rsid w:val="00AC1659"/>
    <w:rsid w:val="00AC21FA"/>
    <w:rsid w:val="00AC31AC"/>
    <w:rsid w:val="00AD1682"/>
    <w:rsid w:val="00AD17FF"/>
    <w:rsid w:val="00AD2A37"/>
    <w:rsid w:val="00AD6882"/>
    <w:rsid w:val="00AE2F8D"/>
    <w:rsid w:val="00AE4282"/>
    <w:rsid w:val="00AE555B"/>
    <w:rsid w:val="00AE6366"/>
    <w:rsid w:val="00AF0149"/>
    <w:rsid w:val="00AF14E3"/>
    <w:rsid w:val="00AF38E6"/>
    <w:rsid w:val="00B00662"/>
    <w:rsid w:val="00B0112C"/>
    <w:rsid w:val="00B02864"/>
    <w:rsid w:val="00B04918"/>
    <w:rsid w:val="00B0493E"/>
    <w:rsid w:val="00B04B8B"/>
    <w:rsid w:val="00B06233"/>
    <w:rsid w:val="00B108B7"/>
    <w:rsid w:val="00B109D5"/>
    <w:rsid w:val="00B11D3C"/>
    <w:rsid w:val="00B15576"/>
    <w:rsid w:val="00B23332"/>
    <w:rsid w:val="00B238F0"/>
    <w:rsid w:val="00B31854"/>
    <w:rsid w:val="00B32B7D"/>
    <w:rsid w:val="00B33F34"/>
    <w:rsid w:val="00B34A22"/>
    <w:rsid w:val="00B35DC2"/>
    <w:rsid w:val="00B35E93"/>
    <w:rsid w:val="00B379F2"/>
    <w:rsid w:val="00B42667"/>
    <w:rsid w:val="00B44BE9"/>
    <w:rsid w:val="00B44C2C"/>
    <w:rsid w:val="00B46E4E"/>
    <w:rsid w:val="00B4740A"/>
    <w:rsid w:val="00B47C51"/>
    <w:rsid w:val="00B515E2"/>
    <w:rsid w:val="00B52D6A"/>
    <w:rsid w:val="00B60037"/>
    <w:rsid w:val="00B61FD2"/>
    <w:rsid w:val="00B6210D"/>
    <w:rsid w:val="00B67E20"/>
    <w:rsid w:val="00B73B33"/>
    <w:rsid w:val="00B74D74"/>
    <w:rsid w:val="00B74FBC"/>
    <w:rsid w:val="00B759D0"/>
    <w:rsid w:val="00B75B30"/>
    <w:rsid w:val="00B75C71"/>
    <w:rsid w:val="00B7711F"/>
    <w:rsid w:val="00B77A01"/>
    <w:rsid w:val="00B77AB2"/>
    <w:rsid w:val="00B81F09"/>
    <w:rsid w:val="00B83E24"/>
    <w:rsid w:val="00B84C5E"/>
    <w:rsid w:val="00B92999"/>
    <w:rsid w:val="00B92CF7"/>
    <w:rsid w:val="00B94EB6"/>
    <w:rsid w:val="00B96275"/>
    <w:rsid w:val="00B96827"/>
    <w:rsid w:val="00B97B6D"/>
    <w:rsid w:val="00BA1047"/>
    <w:rsid w:val="00BA2041"/>
    <w:rsid w:val="00BA3763"/>
    <w:rsid w:val="00BA5886"/>
    <w:rsid w:val="00BA593C"/>
    <w:rsid w:val="00BA687E"/>
    <w:rsid w:val="00BA7BC8"/>
    <w:rsid w:val="00BB140A"/>
    <w:rsid w:val="00BB1F17"/>
    <w:rsid w:val="00BB49EC"/>
    <w:rsid w:val="00BB4FF1"/>
    <w:rsid w:val="00BC2A84"/>
    <w:rsid w:val="00BC32B0"/>
    <w:rsid w:val="00BC374C"/>
    <w:rsid w:val="00BC5B7E"/>
    <w:rsid w:val="00BC7DD2"/>
    <w:rsid w:val="00BD2CCF"/>
    <w:rsid w:val="00BD2EEE"/>
    <w:rsid w:val="00BD4569"/>
    <w:rsid w:val="00BD7E1E"/>
    <w:rsid w:val="00BE306A"/>
    <w:rsid w:val="00BE4F7F"/>
    <w:rsid w:val="00BE6D99"/>
    <w:rsid w:val="00BE7F2C"/>
    <w:rsid w:val="00BF28EB"/>
    <w:rsid w:val="00BF4C73"/>
    <w:rsid w:val="00BF7A59"/>
    <w:rsid w:val="00C04020"/>
    <w:rsid w:val="00C048E6"/>
    <w:rsid w:val="00C073A9"/>
    <w:rsid w:val="00C1223E"/>
    <w:rsid w:val="00C13868"/>
    <w:rsid w:val="00C157AD"/>
    <w:rsid w:val="00C204AF"/>
    <w:rsid w:val="00C22AA7"/>
    <w:rsid w:val="00C23BB9"/>
    <w:rsid w:val="00C269E5"/>
    <w:rsid w:val="00C3042A"/>
    <w:rsid w:val="00C32D32"/>
    <w:rsid w:val="00C3439F"/>
    <w:rsid w:val="00C34BAB"/>
    <w:rsid w:val="00C419CD"/>
    <w:rsid w:val="00C44024"/>
    <w:rsid w:val="00C44249"/>
    <w:rsid w:val="00C444B7"/>
    <w:rsid w:val="00C446D2"/>
    <w:rsid w:val="00C44DFE"/>
    <w:rsid w:val="00C46E34"/>
    <w:rsid w:val="00C5023A"/>
    <w:rsid w:val="00C50CBD"/>
    <w:rsid w:val="00C50ED5"/>
    <w:rsid w:val="00C52760"/>
    <w:rsid w:val="00C5532C"/>
    <w:rsid w:val="00C601A5"/>
    <w:rsid w:val="00C6487F"/>
    <w:rsid w:val="00C717D6"/>
    <w:rsid w:val="00C71D31"/>
    <w:rsid w:val="00C71FDA"/>
    <w:rsid w:val="00C7761C"/>
    <w:rsid w:val="00C7790A"/>
    <w:rsid w:val="00C86B07"/>
    <w:rsid w:val="00C87404"/>
    <w:rsid w:val="00C9029C"/>
    <w:rsid w:val="00C912D3"/>
    <w:rsid w:val="00C91582"/>
    <w:rsid w:val="00C91D6F"/>
    <w:rsid w:val="00C9210C"/>
    <w:rsid w:val="00C928A7"/>
    <w:rsid w:val="00C931BC"/>
    <w:rsid w:val="00C94D2C"/>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C7331"/>
    <w:rsid w:val="00CD4B7E"/>
    <w:rsid w:val="00CE2573"/>
    <w:rsid w:val="00CF4B12"/>
    <w:rsid w:val="00CF5FC4"/>
    <w:rsid w:val="00CF6005"/>
    <w:rsid w:val="00CF61BD"/>
    <w:rsid w:val="00CF6A09"/>
    <w:rsid w:val="00D000CE"/>
    <w:rsid w:val="00D05AE0"/>
    <w:rsid w:val="00D108C6"/>
    <w:rsid w:val="00D11BBB"/>
    <w:rsid w:val="00D11FCE"/>
    <w:rsid w:val="00D1309C"/>
    <w:rsid w:val="00D144DA"/>
    <w:rsid w:val="00D24287"/>
    <w:rsid w:val="00D26644"/>
    <w:rsid w:val="00D267FC"/>
    <w:rsid w:val="00D2763E"/>
    <w:rsid w:val="00D31874"/>
    <w:rsid w:val="00D349B7"/>
    <w:rsid w:val="00D423E1"/>
    <w:rsid w:val="00D42812"/>
    <w:rsid w:val="00D42A3C"/>
    <w:rsid w:val="00D43688"/>
    <w:rsid w:val="00D43E51"/>
    <w:rsid w:val="00D44BD6"/>
    <w:rsid w:val="00D46A91"/>
    <w:rsid w:val="00D46EEE"/>
    <w:rsid w:val="00D52299"/>
    <w:rsid w:val="00D55AD1"/>
    <w:rsid w:val="00D56CD6"/>
    <w:rsid w:val="00D6209E"/>
    <w:rsid w:val="00D660E3"/>
    <w:rsid w:val="00D66B5D"/>
    <w:rsid w:val="00D66D58"/>
    <w:rsid w:val="00D67165"/>
    <w:rsid w:val="00D74EED"/>
    <w:rsid w:val="00D81DE7"/>
    <w:rsid w:val="00D8217A"/>
    <w:rsid w:val="00D845AA"/>
    <w:rsid w:val="00D85EBE"/>
    <w:rsid w:val="00D85F70"/>
    <w:rsid w:val="00D90C77"/>
    <w:rsid w:val="00D9673B"/>
    <w:rsid w:val="00D96768"/>
    <w:rsid w:val="00DA283B"/>
    <w:rsid w:val="00DA3E7D"/>
    <w:rsid w:val="00DA792E"/>
    <w:rsid w:val="00DB3E46"/>
    <w:rsid w:val="00DB4613"/>
    <w:rsid w:val="00DB5111"/>
    <w:rsid w:val="00DB518B"/>
    <w:rsid w:val="00DB6B38"/>
    <w:rsid w:val="00DB6E0F"/>
    <w:rsid w:val="00DC06C5"/>
    <w:rsid w:val="00DC39E4"/>
    <w:rsid w:val="00DC581E"/>
    <w:rsid w:val="00DC62DF"/>
    <w:rsid w:val="00DC63E7"/>
    <w:rsid w:val="00DD18A7"/>
    <w:rsid w:val="00DD2797"/>
    <w:rsid w:val="00DD5844"/>
    <w:rsid w:val="00DD6037"/>
    <w:rsid w:val="00DE1126"/>
    <w:rsid w:val="00DE25D1"/>
    <w:rsid w:val="00DE5E6C"/>
    <w:rsid w:val="00DF0545"/>
    <w:rsid w:val="00DF4B82"/>
    <w:rsid w:val="00DF7DF0"/>
    <w:rsid w:val="00E01F48"/>
    <w:rsid w:val="00E033E3"/>
    <w:rsid w:val="00E03A1D"/>
    <w:rsid w:val="00E05C99"/>
    <w:rsid w:val="00E10DA4"/>
    <w:rsid w:val="00E110E8"/>
    <w:rsid w:val="00E157DB"/>
    <w:rsid w:val="00E15D44"/>
    <w:rsid w:val="00E17242"/>
    <w:rsid w:val="00E17500"/>
    <w:rsid w:val="00E26DBB"/>
    <w:rsid w:val="00E26E35"/>
    <w:rsid w:val="00E33104"/>
    <w:rsid w:val="00E36160"/>
    <w:rsid w:val="00E36A85"/>
    <w:rsid w:val="00E401A9"/>
    <w:rsid w:val="00E41185"/>
    <w:rsid w:val="00E41DB6"/>
    <w:rsid w:val="00E42534"/>
    <w:rsid w:val="00E43306"/>
    <w:rsid w:val="00E503FE"/>
    <w:rsid w:val="00E5103D"/>
    <w:rsid w:val="00E53054"/>
    <w:rsid w:val="00E57D04"/>
    <w:rsid w:val="00E6468B"/>
    <w:rsid w:val="00E64D95"/>
    <w:rsid w:val="00E66E72"/>
    <w:rsid w:val="00E6714A"/>
    <w:rsid w:val="00E67F3E"/>
    <w:rsid w:val="00E73DCE"/>
    <w:rsid w:val="00E744E0"/>
    <w:rsid w:val="00E75DFD"/>
    <w:rsid w:val="00E83759"/>
    <w:rsid w:val="00E84437"/>
    <w:rsid w:val="00E85297"/>
    <w:rsid w:val="00E90E8D"/>
    <w:rsid w:val="00EA3AC2"/>
    <w:rsid w:val="00EA67DB"/>
    <w:rsid w:val="00EB257E"/>
    <w:rsid w:val="00EB25CF"/>
    <w:rsid w:val="00EB2A93"/>
    <w:rsid w:val="00EB40E8"/>
    <w:rsid w:val="00EB5E5C"/>
    <w:rsid w:val="00EB69C4"/>
    <w:rsid w:val="00EC3634"/>
    <w:rsid w:val="00EC4608"/>
    <w:rsid w:val="00ED1F9C"/>
    <w:rsid w:val="00ED2374"/>
    <w:rsid w:val="00ED2EB8"/>
    <w:rsid w:val="00ED31C8"/>
    <w:rsid w:val="00ED4D0D"/>
    <w:rsid w:val="00ED5F57"/>
    <w:rsid w:val="00EE0928"/>
    <w:rsid w:val="00EE23D6"/>
    <w:rsid w:val="00EE3102"/>
    <w:rsid w:val="00EE3848"/>
    <w:rsid w:val="00EE6E85"/>
    <w:rsid w:val="00EF44AF"/>
    <w:rsid w:val="00EF6A1D"/>
    <w:rsid w:val="00EF7DA9"/>
    <w:rsid w:val="00F04752"/>
    <w:rsid w:val="00F04BC4"/>
    <w:rsid w:val="00F052D4"/>
    <w:rsid w:val="00F078C1"/>
    <w:rsid w:val="00F07DEF"/>
    <w:rsid w:val="00F104FB"/>
    <w:rsid w:val="00F11C5E"/>
    <w:rsid w:val="00F27CD1"/>
    <w:rsid w:val="00F32729"/>
    <w:rsid w:val="00F32C22"/>
    <w:rsid w:val="00F33C11"/>
    <w:rsid w:val="00F361E0"/>
    <w:rsid w:val="00F46D50"/>
    <w:rsid w:val="00F471EE"/>
    <w:rsid w:val="00F61FF7"/>
    <w:rsid w:val="00F6250E"/>
    <w:rsid w:val="00F625E8"/>
    <w:rsid w:val="00F63D80"/>
    <w:rsid w:val="00F65EE3"/>
    <w:rsid w:val="00F66AF3"/>
    <w:rsid w:val="00F67415"/>
    <w:rsid w:val="00F67489"/>
    <w:rsid w:val="00F76324"/>
    <w:rsid w:val="00F765AE"/>
    <w:rsid w:val="00F77583"/>
    <w:rsid w:val="00F80E2B"/>
    <w:rsid w:val="00F90B3E"/>
    <w:rsid w:val="00F932A8"/>
    <w:rsid w:val="00FA0E1E"/>
    <w:rsid w:val="00FA20F0"/>
    <w:rsid w:val="00FA5418"/>
    <w:rsid w:val="00FA58CB"/>
    <w:rsid w:val="00FA6B1C"/>
    <w:rsid w:val="00FA6FFE"/>
    <w:rsid w:val="00FB5B7E"/>
    <w:rsid w:val="00FC73A9"/>
    <w:rsid w:val="00FD07E7"/>
    <w:rsid w:val="00FD0D82"/>
    <w:rsid w:val="00FD3A5E"/>
    <w:rsid w:val="00FD3EE3"/>
    <w:rsid w:val="00FD60B7"/>
    <w:rsid w:val="00FD78BA"/>
    <w:rsid w:val="00FE477F"/>
    <w:rsid w:val="00FE4D89"/>
    <w:rsid w:val="00FF0C61"/>
    <w:rsid w:val="00FF12F0"/>
    <w:rsid w:val="00FF37A6"/>
    <w:rsid w:val="00FF3F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545986A-EEE9-46C1-B6E7-AB11BBCE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 Char Char,Fußnotentext Char Char Char Char Char Char Char Char1,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A0BC-C57C-42BC-9CA2-B81FC308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5112</Words>
  <Characters>2914</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Loģiski vienotais datu centrs, projekta apraksts (kopsavilkums)</vt:lpstr>
      <vt:lpstr/>
    </vt:vector>
  </TitlesOfParts>
  <Company>Vides aizsardzības un reģionālās attīstības ministrija</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12.0.versija - Loģiski vienotais datu centrs)</dc:title>
  <dc:subject>Rīkojuma projekts</dc:subject>
  <dc:creator>Lelda Kalniņa</dc:creator>
  <dc:description>67026576, lelda.kalnina@varam.gov.lv</dc:description>
  <cp:lastModifiedBy>Lelda Kalniņa</cp:lastModifiedBy>
  <cp:revision>4</cp:revision>
  <cp:lastPrinted>2016-12-09T10:00:00Z</cp:lastPrinted>
  <dcterms:created xsi:type="dcterms:W3CDTF">2017-07-17T11:11:00Z</dcterms:created>
  <dcterms:modified xsi:type="dcterms:W3CDTF">2017-07-17T12:13:00Z</dcterms:modified>
</cp:coreProperties>
</file>