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44C2C" w:rsidRPr="005B6906"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rsidR="00B44C2C" w:rsidRPr="005B6906"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rsidR="00B44C2C" w:rsidRPr="005B6906"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Pr="005B6906" w:rsidR="009B5A61">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Pr="005B6906" w:rsidR="009B5A61">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rsidR="00AD2A37" w:rsidRPr="005B6906" w:rsidP="00AD2A37">
      <w:pPr>
        <w:pStyle w:val="VPBody"/>
        <w:jc w:val="right"/>
        <w:rPr>
          <w:szCs w:val="24"/>
        </w:rPr>
      </w:pPr>
    </w:p>
    <w:p w:rsidR="005331FE" w:rsidRPr="00233F95" w:rsidP="00FF0C61">
      <w:pPr>
        <w:pStyle w:val="VPBody"/>
        <w:spacing w:before="0" w:after="60"/>
        <w:jc w:val="center"/>
        <w:rPr>
          <w:b/>
          <w:szCs w:val="24"/>
        </w:rPr>
      </w:pPr>
      <w:r w:rsidRPr="002C2A33">
        <w:rPr>
          <w:b/>
          <w:szCs w:val="24"/>
        </w:rPr>
        <w:t>Tiesu informatīvās sistēmas attīstība</w:t>
      </w:r>
    </w:p>
    <w:p w:rsidR="00B44C2C" w:rsidRPr="00943C9B" w:rsidP="00FF0C61">
      <w:pPr>
        <w:pStyle w:val="VPBody"/>
        <w:spacing w:before="0" w:after="60"/>
        <w:jc w:val="center"/>
        <w:rPr>
          <w:b/>
          <w:szCs w:val="24"/>
        </w:rPr>
      </w:pPr>
      <w:r w:rsidRPr="00943C9B">
        <w:rPr>
          <w:b/>
          <w:szCs w:val="24"/>
        </w:rPr>
        <w:t>p</w:t>
      </w:r>
      <w:r w:rsidRPr="00943C9B">
        <w:rPr>
          <w:b/>
          <w:szCs w:val="24"/>
        </w:rPr>
        <w:t>rojekta apraksts (kopsavilkums)</w:t>
      </w:r>
    </w:p>
    <w:p w:rsidR="00AD2A37" w:rsidRPr="00943C9B" w:rsidP="00C30D36">
      <w:pPr>
        <w:pStyle w:val="VPBody"/>
        <w:spacing w:before="0" w:after="60"/>
        <w:rPr>
          <w:szCs w:val="24"/>
        </w:rPr>
      </w:pPr>
    </w:p>
    <w:p w:rsidR="007544F0" w:rsidRPr="007544F0" w:rsidP="00C30D36">
      <w:pPr>
        <w:pStyle w:val="VPBody"/>
      </w:pPr>
      <w:bookmarkStart w:id="0" w:name="_Toc435687094"/>
      <w:bookmarkStart w:id="1" w:name="_Toc435687095"/>
      <w:bookmarkStart w:id="2" w:name="_Toc435687096"/>
      <w:bookmarkEnd w:id="0"/>
      <w:bookmarkEnd w:id="1"/>
      <w:bookmarkEnd w:id="2"/>
      <w:r w:rsidRPr="00B638D0">
        <w:rPr>
          <w:lang w:eastAsia="lv-LV"/>
        </w:rPr>
        <w:t>Tiesu</w:t>
      </w:r>
      <w:r w:rsidRPr="00B638D0">
        <w:t xml:space="preserve"> </w:t>
      </w:r>
      <w:r w:rsidRPr="00B638D0">
        <w:rPr>
          <w:lang w:eastAsia="lv-LV"/>
        </w:rPr>
        <w:t xml:space="preserve">administrācija ir tieslietu ministra padotībā esoša tiešās pārvaldes iestāde, kas organizē un nodrošina rajonu (pilsētu) tiesu, apgabaltiesu un zemesgrāmatu nodaļu administratīvo darbu.  </w:t>
      </w:r>
      <w:r w:rsidRPr="00B638D0">
        <w:rPr>
          <w:rStyle w:val="StBodyText"/>
          <w:szCs w:val="24"/>
        </w:rPr>
        <w:t>Tiesu</w:t>
      </w:r>
      <w:r w:rsidRPr="00B638D0">
        <w:rPr>
          <w:szCs w:val="24"/>
        </w:rPr>
        <w:t xml:space="preserve"> administrācijā </w:t>
      </w:r>
      <w:r w:rsidRPr="00B638D0">
        <w:rPr>
          <w:rStyle w:val="StBodyText"/>
          <w:szCs w:val="24"/>
        </w:rPr>
        <w:t>E-lietas programmas</w:t>
      </w:r>
      <w:r w:rsidRPr="00B638D0">
        <w:rPr>
          <w:szCs w:val="24"/>
        </w:rPr>
        <w:t xml:space="preserve"> 1.posma</w:t>
      </w:r>
      <w:r w:rsidRPr="00B638D0">
        <w:t xml:space="preserve"> ietvaros līdz 2020.gadam tiek plānots īstenot E-lietas programmas vadošo projektu „Tiesu </w:t>
      </w:r>
      <w:r w:rsidR="00BD1765">
        <w:t>informatīvās sistēmas</w:t>
      </w:r>
      <w:r w:rsidRPr="00B638D0">
        <w:t xml:space="preserve"> attīstība”</w:t>
      </w:r>
      <w:r w:rsidR="00D547C2">
        <w:t xml:space="preserve"> (turpmāk – projekts)</w:t>
      </w:r>
      <w:r w:rsidRPr="00B638D0">
        <w:t>.</w:t>
      </w:r>
    </w:p>
    <w:p w:rsidR="003972BA" w:rsidRPr="00D619D1" w:rsidP="00C30D36">
      <w:pPr>
        <w:spacing w:before="0" w:after="0"/>
        <w:jc w:val="both"/>
        <w:rPr>
          <w:rFonts w:ascii="Times New Roman" w:eastAsia="Times New Roman" w:hAnsi="Times New Roman" w:cs="Times New Roman"/>
          <w:sz w:val="24"/>
          <w:szCs w:val="24"/>
          <w:lang w:eastAsia="lv-LV"/>
        </w:rPr>
      </w:pPr>
      <w:r w:rsidRPr="00D619D1">
        <w:rPr>
          <w:rFonts w:ascii="Times New Roman" w:hAnsi="Times New Roman" w:cs="Times New Roman"/>
          <w:bCs/>
          <w:sz w:val="24"/>
          <w:szCs w:val="24"/>
        </w:rPr>
        <w:t xml:space="preserve">Projekta </w:t>
      </w:r>
      <w:r w:rsidRPr="00D619D1">
        <w:rPr>
          <w:rFonts w:ascii="Times New Roman" w:hAnsi="Times New Roman" w:cs="Times New Roman"/>
          <w:bCs/>
          <w:sz w:val="24"/>
          <w:szCs w:val="24"/>
        </w:rPr>
        <w:t>virsmērķis</w:t>
      </w:r>
      <w:r w:rsidRPr="00D619D1">
        <w:rPr>
          <w:rFonts w:ascii="Times New Roman" w:hAnsi="Times New Roman" w:cs="Times New Roman"/>
          <w:bCs/>
          <w:sz w:val="24"/>
          <w:szCs w:val="24"/>
        </w:rPr>
        <w:t xml:space="preserve"> ir izveidot vienotu un efektīvu tiesvedības elektronisko procesu, samazinot tiesvedības termiņus un nodrošinot informācijas pieejamību un atklātību</w:t>
      </w:r>
      <w:r w:rsidRPr="00D619D1">
        <w:rPr>
          <w:rFonts w:ascii="Times New Roman" w:eastAsia="Times New Roman" w:hAnsi="Times New Roman" w:cs="Times New Roman"/>
          <w:sz w:val="24"/>
          <w:szCs w:val="24"/>
          <w:lang w:eastAsia="lv-LV"/>
        </w:rPr>
        <w:t>.</w:t>
      </w:r>
    </w:p>
    <w:p w:rsidR="007544F0" w:rsidRPr="00D619D1" w:rsidP="00C30D36">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Projekta mērķi</w:t>
      </w:r>
    </w:p>
    <w:p w:rsidR="00E871E3" w:rsidP="00C30D36">
      <w:pPr>
        <w:pStyle w:val="VPNumbered"/>
        <w:numPr>
          <w:ilvl w:val="0"/>
          <w:numId w:val="27"/>
        </w:numPr>
      </w:pPr>
      <w:r w:rsidRPr="00E871E3">
        <w:t>Efektīva un vienota elektroniskā tiesvedības procesa izveide.</w:t>
      </w:r>
    </w:p>
    <w:p w:rsidR="007544F0" w:rsidRPr="00D619D1" w:rsidP="00C30D36">
      <w:pPr>
        <w:pStyle w:val="VPNumbered"/>
        <w:numPr>
          <w:ilvl w:val="0"/>
          <w:numId w:val="0"/>
        </w:numPr>
      </w:pPr>
      <w:r w:rsidRPr="00D619D1">
        <w:t>Optimizēt tiesvedības un tiesvedības atbalsta procesus, tai skaitā civilprocesu, kriminālprocesu, administratīvo procesu tiesā un administratīvā pārkāpuma procesu, nodrošinot papīra formāta dokumentu nomaiņu uz elektronisku dokumentu saņemšanas, apstrādes un glabāšanas formu, vienlaicīgi nodrošinot nepieciešamo datu pieejamību, aktualitāti un drošību.</w:t>
      </w:r>
    </w:p>
    <w:p w:rsidR="00E871E3" w:rsidP="00C30D36">
      <w:pPr>
        <w:pStyle w:val="VPNumbered"/>
        <w:numPr>
          <w:ilvl w:val="0"/>
          <w:numId w:val="27"/>
        </w:numPr>
      </w:pPr>
      <w:r w:rsidRPr="00E871E3">
        <w:t xml:space="preserve">Efektīva informācijas apmaiņa starp tiesām, lietas dalībniekiem un citām ar tiesvedību saistītajām </w:t>
      </w:r>
      <w:r w:rsidRPr="00B4516F" w:rsidR="00B4516F">
        <w:rPr>
          <w:rFonts w:eastAsia="Times New Roman"/>
          <w:lang w:eastAsia="lv-LV"/>
        </w:rPr>
        <w:t>iestādēm un</w:t>
      </w:r>
      <w:r w:rsidR="00B4516F">
        <w:rPr>
          <w:rFonts w:eastAsia="Times New Roman"/>
          <w:b/>
          <w:lang w:eastAsia="lv-LV"/>
        </w:rPr>
        <w:t xml:space="preserve"> </w:t>
      </w:r>
      <w:r w:rsidRPr="00E871E3">
        <w:t>informācijas sistēmām</w:t>
      </w:r>
      <w:r w:rsidRPr="007E0461">
        <w:t xml:space="preserve">. </w:t>
      </w:r>
    </w:p>
    <w:p w:rsidR="00D619D1" w:rsidRPr="00E871E3" w:rsidP="00C30D36">
      <w:pPr>
        <w:pStyle w:val="VPNumbered"/>
        <w:numPr>
          <w:ilvl w:val="0"/>
          <w:numId w:val="0"/>
        </w:numPr>
      </w:pPr>
      <w:r w:rsidRPr="007E0461">
        <w:t xml:space="preserve">Nodrošināt iespēju lietas dalībniekiem iesniegt dokumentus elektroniskā formā, nodrošināt iespēju lietas dalībniekiem piekļūt elektroniskajiem lietas materiāliem, nodrošināt lietas dalībnieku apziņošanu izmantojot </w:t>
      </w:r>
      <w:r w:rsidRPr="00230C4A" w:rsidR="00B4516F">
        <w:rPr>
          <w:rFonts w:eastAsia="Times New Roman"/>
          <w:lang w:eastAsia="lv-LV"/>
        </w:rPr>
        <w:t>e-adres</w:t>
      </w:r>
      <w:r w:rsidR="00B4516F">
        <w:rPr>
          <w:rFonts w:eastAsia="Times New Roman"/>
          <w:lang w:eastAsia="lv-LV"/>
        </w:rPr>
        <w:t>es kontu</w:t>
      </w:r>
      <w:r w:rsidRPr="00230C4A" w:rsidR="00B4516F">
        <w:rPr>
          <w:rFonts w:eastAsia="Times New Roman"/>
          <w:lang w:eastAsia="lv-LV"/>
        </w:rPr>
        <w:t xml:space="preserve"> </w:t>
      </w:r>
      <w:r w:rsidRPr="007E0461">
        <w:t>un nodrošināt tieslietu nozares klasifikatoru, reģistru un statistikas datu pieejamību atvērto datu formā.</w:t>
      </w:r>
      <w:r w:rsidRPr="00E871E3">
        <w:rPr>
          <w:bCs w:val="0"/>
        </w:rPr>
        <w:t xml:space="preserve"> </w:t>
      </w:r>
      <w:r w:rsidRPr="00E871E3">
        <w:t xml:space="preserve">Pārskatīt tieslietu institūciju sadarbības modeli, paredzot pāreju uz datu apmaiņu elektroniskā formā un automatizējot datu pieprasījumu apstrādes, pieteikumu reģistrācijas un citus palīgprocesus. </w:t>
      </w:r>
      <w:r w:rsidRPr="007E0461">
        <w:t>Nodrošināt elektronisko datu semantisko savietojamību, definējot skaidrus datu objektu identifikācijas mehānismus, saskaņojot informācijas resursu datu struktūras un pārejot uz vienotu klasifikatoru un reģistru izmantošanu</w:t>
      </w:r>
      <w:r w:rsidRPr="00E871E3">
        <w:t>.</w:t>
      </w:r>
    </w:p>
    <w:p w:rsidR="00E871E3" w:rsidP="00C30D36">
      <w:pPr>
        <w:pStyle w:val="VPNumbered"/>
        <w:numPr>
          <w:ilvl w:val="0"/>
          <w:numId w:val="27"/>
        </w:numPr>
      </w:pPr>
      <w:r w:rsidRPr="00E871E3">
        <w:t>Racionāla Tiesu informatīvās sistēmas</w:t>
      </w:r>
      <w:r w:rsidR="00D547C2">
        <w:t xml:space="preserve"> (turpmāk – TIS)</w:t>
      </w:r>
      <w:r w:rsidRPr="00E871E3">
        <w:t xml:space="preserve"> pilnveide, radot jaunus un izmantojot esošos koplietošanas risinājumus.</w:t>
      </w:r>
    </w:p>
    <w:p w:rsidR="007544F0" w:rsidP="00C30D36">
      <w:pPr>
        <w:pStyle w:val="VPNumbered"/>
        <w:numPr>
          <w:ilvl w:val="0"/>
          <w:numId w:val="0"/>
        </w:numPr>
      </w:pPr>
      <w:r w:rsidRPr="007E0461">
        <w:t xml:space="preserve">Samazināt informācijas sistēmu uzturēšanas un ekspluatācijas izmaksas, pārejot uz mūsdienīgām tehnoloģijām un izmantojot koplietojamus </w:t>
      </w:r>
      <w:r w:rsidR="00BD1765">
        <w:t>informācijas un komunikācijas tehnoloģiju</w:t>
      </w:r>
      <w:r w:rsidRPr="007E0461">
        <w:t xml:space="preserve"> risinājumus.</w:t>
      </w:r>
    </w:p>
    <w:p w:rsidR="007544F0" w:rsidRPr="00D619D1" w:rsidP="00C30D36">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Darbības</w:t>
      </w:r>
      <w:r w:rsidRPr="00D619D1">
        <w:rPr>
          <w:rFonts w:ascii="Times New Roman" w:hAnsi="Times New Roman" w:cs="Times New Roman"/>
          <w:b/>
          <w:sz w:val="24"/>
          <w:szCs w:val="24"/>
        </w:rPr>
        <w:t xml:space="preserve"> pr</w:t>
      </w:r>
      <w:r w:rsidRPr="00D619D1">
        <w:rPr>
          <w:rFonts w:ascii="Times New Roman" w:eastAsia="Times New Roman" w:hAnsi="Times New Roman" w:cs="Times New Roman"/>
          <w:b/>
          <w:sz w:val="24"/>
          <w:szCs w:val="24"/>
          <w:lang w:eastAsia="lv-LV"/>
        </w:rPr>
        <w:t xml:space="preserve">ojekta mērķu sasniegšanai </w:t>
      </w:r>
    </w:p>
    <w:p w:rsidR="007544F0" w:rsidRPr="007E0461" w:rsidP="00C30D36">
      <w:pPr>
        <w:pStyle w:val="VPBody"/>
        <w:keepNext/>
      </w:pPr>
      <w:r w:rsidRPr="007E0461">
        <w:t>Projekta ietvaros tā mērķu sasniegšanai plānota šādu darbību īstenošana:</w:t>
      </w:r>
    </w:p>
    <w:p w:rsidR="00B4516F" w:rsidP="00B4516F">
      <w:pPr>
        <w:pStyle w:val="VPNumbered"/>
        <w:numPr>
          <w:ilvl w:val="0"/>
          <w:numId w:val="40"/>
        </w:numPr>
      </w:pPr>
      <w:r>
        <w:t>esošo tiesvedības procesu pārskatīšana, nodrošinot tiesvedības procesu darbību elektroniskā formā Tiesu informatīvajā sistēmā</w:t>
      </w:r>
      <w:r w:rsidR="00804308">
        <w:t>;</w:t>
      </w:r>
    </w:p>
    <w:p w:rsidR="00B4516F" w:rsidP="00B4516F">
      <w:pPr>
        <w:pStyle w:val="VPNumbered"/>
        <w:numPr>
          <w:ilvl w:val="0"/>
          <w:numId w:val="40"/>
        </w:numPr>
      </w:pPr>
      <w:r>
        <w:t xml:space="preserve">E-lietas platformas izstrāde, kas saturēs tieslietu nozares koplietošanas funkcionalitāti un datu apmaiņas </w:t>
      </w:r>
      <w:r>
        <w:t>saskarnes</w:t>
      </w:r>
      <w:r>
        <w:t xml:space="preserve"> saistīto informācijas sistēmu savstarpējai integrācijai;</w:t>
      </w:r>
    </w:p>
    <w:p w:rsidR="00B4516F" w:rsidP="00B4516F">
      <w:pPr>
        <w:pStyle w:val="VPNumbered"/>
        <w:numPr>
          <w:ilvl w:val="0"/>
          <w:numId w:val="40"/>
        </w:numPr>
      </w:pPr>
      <w:r>
        <w:t>procesuālo termiņu kontroles funkcionalitāte, kas nodrošinās procesuālo termiņu aprēķināšanu no ievadītajiem datiem un iespēju lietotājiem iepazīties ar aktuālākajiem procesuālajiem termiņiem;</w:t>
      </w:r>
    </w:p>
    <w:p w:rsidR="00B4516F" w:rsidP="00B4516F">
      <w:pPr>
        <w:pStyle w:val="VPNumbered"/>
        <w:numPr>
          <w:ilvl w:val="0"/>
          <w:numId w:val="40"/>
        </w:numPr>
      </w:pPr>
      <w:r>
        <w:t>vienotu ar tiesvedību saistīto notikumu kalendāru ieviešana, kas būs integrēti ar citām saistītajām nozares iestāžu pamatdarbības informācijas sistēmām caur E-lietas platformas vienoto kalendāru komponenti;</w:t>
      </w:r>
    </w:p>
    <w:p w:rsidR="00B4516F" w:rsidP="00B4516F">
      <w:pPr>
        <w:pStyle w:val="VPNumbered"/>
        <w:numPr>
          <w:ilvl w:val="0"/>
          <w:numId w:val="40"/>
        </w:numPr>
      </w:pPr>
      <w:r>
        <w:t>vienotu tieslietu nozares līmeņa klasifikatoru un reģistru ieviešana un izmantošana;</w:t>
      </w:r>
    </w:p>
    <w:p w:rsidR="00B4516F" w:rsidP="00B4516F">
      <w:pPr>
        <w:pStyle w:val="VPNumbered"/>
        <w:numPr>
          <w:ilvl w:val="0"/>
          <w:numId w:val="40"/>
        </w:numPr>
      </w:pPr>
      <w:r>
        <w:t>audio protokolus un video liecības apskate tiešsaistes režīmā;</w:t>
      </w:r>
    </w:p>
    <w:p w:rsidR="00B4516F" w:rsidP="00B4516F">
      <w:pPr>
        <w:pStyle w:val="VPNumbered"/>
        <w:numPr>
          <w:ilvl w:val="0"/>
          <w:numId w:val="40"/>
        </w:numPr>
      </w:pPr>
      <w:r>
        <w:t>TIS</w:t>
      </w:r>
      <w:r>
        <w:t xml:space="preserve"> integrācija ar oficiālo elektroniskās adreses kontu;</w:t>
      </w:r>
    </w:p>
    <w:p w:rsidR="00B108B7" w:rsidRPr="007544F0" w:rsidP="00B4516F">
      <w:pPr>
        <w:pStyle w:val="VPNumbered"/>
        <w:numPr>
          <w:ilvl w:val="0"/>
          <w:numId w:val="40"/>
        </w:numPr>
      </w:pPr>
      <w:r>
        <w:t xml:space="preserve">jaunas </w:t>
      </w:r>
      <w:r w:rsidR="00D04716">
        <w:t>TIS</w:t>
      </w:r>
      <w:r>
        <w:t xml:space="preserve"> tehnoloģiskās platformas izstrāde.</w:t>
      </w:r>
    </w:p>
    <w:p w:rsidR="007544F0" w:rsidRPr="007544F0" w:rsidP="00C30D36">
      <w:pPr>
        <w:pStyle w:val="VPNumbered"/>
        <w:numPr>
          <w:ilvl w:val="0"/>
          <w:numId w:val="0"/>
        </w:numPr>
      </w:pPr>
      <w:r>
        <w:t xml:space="preserve">Projekta mērķu sasniegšanu veicinās arī paralēli projektam veikta </w:t>
      </w:r>
      <w:r w:rsidRPr="007D2B91">
        <w:t>Izpild</w:t>
      </w:r>
      <w:r>
        <w:t xml:space="preserve">u </w:t>
      </w:r>
      <w:r w:rsidRPr="007D2B91">
        <w:t>lietu reģistra un Valsts vienotās datorizētās zemesgrāmatas</w:t>
      </w:r>
      <w:r>
        <w:t xml:space="preserve"> integrācija ar oficiālo elektronisko adresi.</w:t>
      </w:r>
    </w:p>
    <w:p w:rsidR="007544F0" w:rsidRPr="00E871E3" w:rsidP="007544F0">
      <w:pPr>
        <w:tabs>
          <w:tab w:val="left" w:pos="3932"/>
        </w:tabs>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rezultāta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7"/>
        <w:gridCol w:w="3177"/>
        <w:gridCol w:w="922"/>
        <w:gridCol w:w="1163"/>
        <w:gridCol w:w="1671"/>
        <w:gridCol w:w="1671"/>
      </w:tblGrid>
      <w:tr w:rsidTr="00F857D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252" w:type="pct"/>
            <w:shd w:val="clear" w:color="auto" w:fill="D9D9D9" w:themeFill="background1" w:themeFillShade="D9"/>
            <w:vAlign w:val="center"/>
          </w:tcPr>
          <w:p w:rsidR="007544F0" w:rsidRPr="00535C48" w:rsidP="00F857D5">
            <w:pPr>
              <w:pStyle w:val="VPBodyTable"/>
              <w:rPr>
                <w:b/>
              </w:rPr>
            </w:pPr>
          </w:p>
        </w:tc>
        <w:tc>
          <w:tcPr>
            <w:tcW w:w="1753" w:type="pct"/>
            <w:shd w:val="clear" w:color="auto" w:fill="D9D9D9" w:themeFill="background1" w:themeFillShade="D9"/>
            <w:vAlign w:val="center"/>
          </w:tcPr>
          <w:p w:rsidR="007544F0" w:rsidRPr="00535C48" w:rsidP="00F857D5">
            <w:pPr>
              <w:pStyle w:val="VPBodyTable"/>
              <w:rPr>
                <w:b/>
              </w:rPr>
            </w:pPr>
            <w:r w:rsidRPr="00535C48">
              <w:rPr>
                <w:b/>
              </w:rPr>
              <w:t>Rezultāta rādītājs</w:t>
            </w:r>
          </w:p>
        </w:tc>
        <w:tc>
          <w:tcPr>
            <w:tcW w:w="509" w:type="pct"/>
            <w:shd w:val="clear" w:color="auto" w:fill="D9D9D9" w:themeFill="background1" w:themeFillShade="D9"/>
            <w:vAlign w:val="center"/>
          </w:tcPr>
          <w:p w:rsidR="007544F0" w:rsidRPr="00535C48" w:rsidP="00F857D5">
            <w:pPr>
              <w:pStyle w:val="VPBodyTable"/>
              <w:rPr>
                <w:b/>
              </w:rPr>
            </w:pPr>
            <w:r w:rsidRPr="00535C48">
              <w:rPr>
                <w:b/>
              </w:rPr>
              <w:t>Mēr-vienība</w:t>
            </w:r>
          </w:p>
        </w:tc>
        <w:tc>
          <w:tcPr>
            <w:tcW w:w="642" w:type="pct"/>
            <w:shd w:val="clear" w:color="auto" w:fill="D9D9D9" w:themeFill="background1" w:themeFillShade="D9"/>
            <w:vAlign w:val="center"/>
          </w:tcPr>
          <w:p w:rsidR="007544F0" w:rsidRPr="00535C48" w:rsidP="00F857D5">
            <w:pPr>
              <w:pStyle w:val="VPBodyTable"/>
              <w:rPr>
                <w:b/>
              </w:rPr>
            </w:pPr>
            <w:r w:rsidRPr="00535C48">
              <w:rPr>
                <w:b/>
              </w:rPr>
              <w:t>Sākotnējā vērtība</w:t>
            </w:r>
          </w:p>
        </w:tc>
        <w:tc>
          <w:tcPr>
            <w:tcW w:w="922" w:type="pct"/>
            <w:shd w:val="clear" w:color="auto" w:fill="D9D9D9" w:themeFill="background1" w:themeFillShade="D9"/>
            <w:vAlign w:val="center"/>
          </w:tcPr>
          <w:p w:rsidR="007544F0" w:rsidRPr="00535C48" w:rsidP="00F857D5">
            <w:pPr>
              <w:pStyle w:val="VPBodyTable"/>
              <w:rPr>
                <w:b/>
              </w:rPr>
            </w:pPr>
            <w:r w:rsidRPr="00535C48">
              <w:rPr>
                <w:b/>
              </w:rPr>
              <w:t>Sasniedzamā vērtība 2 gadus pēc projekta beigām</w:t>
            </w:r>
          </w:p>
        </w:tc>
        <w:tc>
          <w:tcPr>
            <w:tcW w:w="922" w:type="pct"/>
            <w:shd w:val="clear" w:color="auto" w:fill="D9D9D9" w:themeFill="background1" w:themeFillShade="D9"/>
          </w:tcPr>
          <w:p w:rsidR="007544F0" w:rsidRPr="00535C48" w:rsidP="00F857D5">
            <w:pPr>
              <w:pStyle w:val="VPBodyTable"/>
              <w:rPr>
                <w:b/>
              </w:rPr>
            </w:pPr>
            <w:r w:rsidRPr="00535C48">
              <w:rPr>
                <w:b/>
              </w:rPr>
              <w:t>Sasniedzamā vērtība 3 gadus pēc projekta beigām</w:t>
            </w:r>
          </w:p>
        </w:tc>
      </w:tr>
      <w:tr w:rsidTr="00F857D5">
        <w:tblPrEx>
          <w:tblW w:w="5000" w:type="pct"/>
          <w:tblLook w:val="04A0"/>
        </w:tblPrEx>
        <w:tc>
          <w:tcPr>
            <w:tcW w:w="252" w:type="pct"/>
          </w:tcPr>
          <w:p w:rsidR="007544F0" w:rsidRPr="007E0461" w:rsidP="00F857D5">
            <w:pPr>
              <w:pStyle w:val="VPBodyTable"/>
            </w:pPr>
            <w:r w:rsidRPr="007E0461">
              <w:t>1</w:t>
            </w:r>
          </w:p>
        </w:tc>
        <w:tc>
          <w:tcPr>
            <w:tcW w:w="1753" w:type="pct"/>
          </w:tcPr>
          <w:p w:rsidR="007544F0" w:rsidRPr="00334C37" w:rsidP="00F857D5">
            <w:pPr>
              <w:pStyle w:val="VPBodyTable"/>
            </w:pPr>
            <w:r w:rsidRPr="00D20B2A">
              <w:t xml:space="preserve">Elektronisko lietu </w:t>
            </w:r>
            <w:r w:rsidRPr="00B048B9">
              <w:t>īpatsvars</w:t>
            </w:r>
          </w:p>
        </w:tc>
        <w:tc>
          <w:tcPr>
            <w:tcW w:w="509" w:type="pct"/>
          </w:tcPr>
          <w:p w:rsidR="007544F0" w:rsidRPr="007E0461" w:rsidP="00F857D5">
            <w:pPr>
              <w:pStyle w:val="VPBodyTable"/>
            </w:pPr>
            <w:r w:rsidRPr="007E0461">
              <w:t>%</w:t>
            </w:r>
          </w:p>
        </w:tc>
        <w:tc>
          <w:tcPr>
            <w:tcW w:w="642" w:type="pct"/>
            <w:shd w:val="clear" w:color="auto" w:fill="auto"/>
          </w:tcPr>
          <w:p w:rsidR="007544F0" w:rsidRPr="009A0947" w:rsidP="00F857D5">
            <w:pPr>
              <w:pStyle w:val="VPBodyTable"/>
              <w:jc w:val="center"/>
            </w:pPr>
            <w:r w:rsidRPr="009A0947">
              <w:t>0</w:t>
            </w:r>
          </w:p>
        </w:tc>
        <w:tc>
          <w:tcPr>
            <w:tcW w:w="922" w:type="pct"/>
            <w:shd w:val="clear" w:color="auto" w:fill="auto"/>
          </w:tcPr>
          <w:p w:rsidR="007544F0" w:rsidRPr="009A0947" w:rsidP="00F857D5">
            <w:pPr>
              <w:pStyle w:val="VPBodyTable"/>
              <w:jc w:val="center"/>
            </w:pPr>
            <w:r>
              <w:t>30</w:t>
            </w:r>
          </w:p>
        </w:tc>
        <w:tc>
          <w:tcPr>
            <w:tcW w:w="922" w:type="pct"/>
          </w:tcPr>
          <w:p w:rsidR="007544F0" w:rsidRPr="009A0947" w:rsidP="00F857D5">
            <w:pPr>
              <w:pStyle w:val="VPBodyTable"/>
              <w:jc w:val="center"/>
            </w:pPr>
            <w:r>
              <w:t>50</w:t>
            </w:r>
          </w:p>
        </w:tc>
      </w:tr>
      <w:tr w:rsidTr="00F857D5">
        <w:tblPrEx>
          <w:tblW w:w="5000" w:type="pct"/>
          <w:tblLook w:val="04A0"/>
        </w:tblPrEx>
        <w:tc>
          <w:tcPr>
            <w:tcW w:w="252" w:type="pct"/>
          </w:tcPr>
          <w:p w:rsidR="007544F0" w:rsidRPr="007E0461" w:rsidP="00F857D5">
            <w:pPr>
              <w:pStyle w:val="VPBodyTable"/>
            </w:pPr>
            <w:r w:rsidRPr="007E0461">
              <w:t>2</w:t>
            </w:r>
          </w:p>
        </w:tc>
        <w:tc>
          <w:tcPr>
            <w:tcW w:w="1753" w:type="pct"/>
          </w:tcPr>
          <w:p w:rsidR="007544F0" w:rsidRPr="007E0461" w:rsidP="00F857D5">
            <w:pPr>
              <w:pStyle w:val="VPBodyTable"/>
            </w:pPr>
            <w:r w:rsidRPr="007E0461">
              <w:t>E-lietas publiskā portāla lietotāju skaits</w:t>
            </w:r>
          </w:p>
        </w:tc>
        <w:tc>
          <w:tcPr>
            <w:tcW w:w="509" w:type="pct"/>
          </w:tcPr>
          <w:p w:rsidR="007544F0" w:rsidRPr="007E0461" w:rsidP="00F857D5">
            <w:pPr>
              <w:pStyle w:val="VPBodyTable"/>
            </w:pPr>
            <w:r w:rsidRPr="007E0461">
              <w:t>gab.</w:t>
            </w:r>
          </w:p>
        </w:tc>
        <w:tc>
          <w:tcPr>
            <w:tcW w:w="642" w:type="pct"/>
            <w:shd w:val="clear" w:color="auto" w:fill="auto"/>
          </w:tcPr>
          <w:p w:rsidR="007544F0" w:rsidRPr="009A0947" w:rsidP="00F857D5">
            <w:pPr>
              <w:pStyle w:val="VPBodyTable"/>
              <w:jc w:val="center"/>
            </w:pPr>
            <w:r w:rsidRPr="009A0947">
              <w:t>615</w:t>
            </w:r>
          </w:p>
        </w:tc>
        <w:tc>
          <w:tcPr>
            <w:tcW w:w="922" w:type="pct"/>
            <w:shd w:val="clear" w:color="auto" w:fill="auto"/>
          </w:tcPr>
          <w:p w:rsidR="007544F0" w:rsidRPr="009A0947" w:rsidP="00F857D5">
            <w:pPr>
              <w:pStyle w:val="VPBodyTable"/>
              <w:jc w:val="center"/>
            </w:pPr>
            <w:r w:rsidRPr="009A0947">
              <w:t>1 500</w:t>
            </w:r>
          </w:p>
        </w:tc>
        <w:tc>
          <w:tcPr>
            <w:tcW w:w="922" w:type="pct"/>
          </w:tcPr>
          <w:p w:rsidR="007544F0" w:rsidRPr="009A0947" w:rsidP="00F857D5">
            <w:pPr>
              <w:pStyle w:val="VPBodyTable"/>
              <w:jc w:val="center"/>
            </w:pPr>
            <w:r w:rsidRPr="009A0947">
              <w:t>2 000</w:t>
            </w:r>
          </w:p>
        </w:tc>
      </w:tr>
      <w:tr w:rsidTr="00F857D5">
        <w:tblPrEx>
          <w:tblW w:w="5000" w:type="pct"/>
          <w:tblLook w:val="04A0"/>
        </w:tblPrEx>
        <w:tc>
          <w:tcPr>
            <w:tcW w:w="252" w:type="pct"/>
          </w:tcPr>
          <w:p w:rsidR="007544F0" w:rsidRPr="007E0461" w:rsidP="00F857D5">
            <w:pPr>
              <w:pStyle w:val="VPBodyTable"/>
            </w:pPr>
            <w:r w:rsidRPr="007E0461">
              <w:t>3</w:t>
            </w:r>
          </w:p>
        </w:tc>
        <w:tc>
          <w:tcPr>
            <w:tcW w:w="1753" w:type="pct"/>
          </w:tcPr>
          <w:p w:rsidR="007544F0" w:rsidRPr="007E0461" w:rsidP="00F857D5">
            <w:pPr>
              <w:pStyle w:val="VPBodyTable"/>
            </w:pPr>
            <w:r w:rsidRPr="007E0461">
              <w:t>Elektroniskā formā reģistrēto tiesvedības lietu materiālu skaits</w:t>
            </w:r>
          </w:p>
        </w:tc>
        <w:tc>
          <w:tcPr>
            <w:tcW w:w="509" w:type="pct"/>
          </w:tcPr>
          <w:p w:rsidR="007544F0" w:rsidRPr="007E0461" w:rsidP="00F857D5">
            <w:pPr>
              <w:pStyle w:val="VPBodyTable"/>
            </w:pPr>
            <w:r w:rsidRPr="007E0461">
              <w:t>skaits gadā</w:t>
            </w:r>
          </w:p>
        </w:tc>
        <w:tc>
          <w:tcPr>
            <w:tcW w:w="642" w:type="pct"/>
            <w:shd w:val="clear" w:color="auto" w:fill="auto"/>
          </w:tcPr>
          <w:p w:rsidR="007544F0" w:rsidRPr="009A0947" w:rsidP="00F857D5">
            <w:pPr>
              <w:pStyle w:val="VPBodyTable"/>
              <w:jc w:val="center"/>
            </w:pPr>
            <w:r w:rsidRPr="009A0947">
              <w:t>0</w:t>
            </w:r>
          </w:p>
        </w:tc>
        <w:tc>
          <w:tcPr>
            <w:tcW w:w="922" w:type="pct"/>
            <w:shd w:val="clear" w:color="auto" w:fill="auto"/>
          </w:tcPr>
          <w:p w:rsidR="007544F0" w:rsidRPr="009A0947" w:rsidP="00F857D5">
            <w:pPr>
              <w:pStyle w:val="VPBodyTable"/>
              <w:jc w:val="center"/>
            </w:pPr>
            <w:r>
              <w:t>3</w:t>
            </w:r>
            <w:r w:rsidRPr="009A0947">
              <w:t>00 000</w:t>
            </w:r>
          </w:p>
        </w:tc>
        <w:tc>
          <w:tcPr>
            <w:tcW w:w="922" w:type="pct"/>
          </w:tcPr>
          <w:p w:rsidR="007544F0" w:rsidRPr="009A0947" w:rsidP="00F857D5">
            <w:pPr>
              <w:pStyle w:val="VPBodyTable"/>
              <w:jc w:val="center"/>
            </w:pPr>
            <w:r w:rsidRPr="009A0947">
              <w:t>500 000</w:t>
            </w:r>
          </w:p>
        </w:tc>
      </w:tr>
      <w:tr w:rsidTr="00F857D5">
        <w:tblPrEx>
          <w:tblW w:w="5000" w:type="pct"/>
          <w:tblLook w:val="04A0"/>
        </w:tblPrEx>
        <w:tc>
          <w:tcPr>
            <w:tcW w:w="252" w:type="pct"/>
          </w:tcPr>
          <w:p w:rsidR="007544F0" w:rsidRPr="007E0461" w:rsidP="00F857D5">
            <w:pPr>
              <w:pStyle w:val="VPBodyTable"/>
            </w:pPr>
            <w:r w:rsidRPr="007E0461">
              <w:t>4</w:t>
            </w:r>
          </w:p>
        </w:tc>
        <w:tc>
          <w:tcPr>
            <w:tcW w:w="1753" w:type="pct"/>
          </w:tcPr>
          <w:p w:rsidR="007544F0" w:rsidRPr="007E0461" w:rsidP="00F857D5">
            <w:pPr>
              <w:pStyle w:val="VPBodyTable"/>
            </w:pPr>
            <w:r w:rsidRPr="007E0461">
              <w:t>Projekta ietvaros ieviesto elektronisko pakalpojumu izmantošanas gadījumu skaits gadā</w:t>
            </w:r>
          </w:p>
        </w:tc>
        <w:tc>
          <w:tcPr>
            <w:tcW w:w="509" w:type="pct"/>
          </w:tcPr>
          <w:p w:rsidR="007544F0" w:rsidRPr="007E0461" w:rsidP="00F857D5">
            <w:pPr>
              <w:pStyle w:val="VPBodyTable"/>
            </w:pPr>
            <w:r w:rsidRPr="007E0461">
              <w:t>skaits gadā</w:t>
            </w:r>
          </w:p>
        </w:tc>
        <w:tc>
          <w:tcPr>
            <w:tcW w:w="642" w:type="pct"/>
            <w:shd w:val="clear" w:color="auto" w:fill="auto"/>
          </w:tcPr>
          <w:p w:rsidR="007544F0" w:rsidRPr="009A0947" w:rsidP="00F857D5">
            <w:pPr>
              <w:pStyle w:val="VPBodyTable"/>
              <w:jc w:val="center"/>
            </w:pPr>
            <w:r w:rsidRPr="009A0947">
              <w:t>0</w:t>
            </w:r>
          </w:p>
        </w:tc>
        <w:tc>
          <w:tcPr>
            <w:tcW w:w="922" w:type="pct"/>
            <w:shd w:val="clear" w:color="auto" w:fill="auto"/>
          </w:tcPr>
          <w:p w:rsidR="007544F0" w:rsidRPr="009A0947" w:rsidP="00F857D5">
            <w:pPr>
              <w:pStyle w:val="VPBodyTable"/>
              <w:jc w:val="center"/>
            </w:pPr>
            <w:r w:rsidRPr="009A0947">
              <w:t>30 000</w:t>
            </w:r>
          </w:p>
        </w:tc>
        <w:tc>
          <w:tcPr>
            <w:tcW w:w="922" w:type="pct"/>
          </w:tcPr>
          <w:p w:rsidR="007544F0" w:rsidRPr="009A0947" w:rsidP="00F857D5">
            <w:pPr>
              <w:pStyle w:val="VPBodyTable"/>
              <w:jc w:val="center"/>
            </w:pPr>
            <w:r w:rsidRPr="009A0947">
              <w:t>50 000</w:t>
            </w:r>
          </w:p>
        </w:tc>
      </w:tr>
    </w:tbl>
    <w:p w:rsidR="0088184C" w:rsidRPr="00EF208A" w:rsidP="00EF208A">
      <w:pPr>
        <w:pStyle w:val="VPNumbered"/>
        <w:numPr>
          <w:ilvl w:val="0"/>
          <w:numId w:val="0"/>
        </w:numPr>
        <w:rPr>
          <w:bCs w:val="0"/>
        </w:rPr>
      </w:pPr>
      <w:r w:rsidRPr="00EF208A">
        <w:t>Projekta rezultātu rādītāji dos tiešu ieguldījumu</w:t>
      </w:r>
      <w:r>
        <w:t xml:space="preserve"> </w:t>
      </w:r>
      <w:r w:rsidRPr="0088184C">
        <w:t>darbības programm</w:t>
      </w:r>
      <w:r>
        <w:t>as</w:t>
      </w:r>
      <w:r w:rsidRPr="0088184C">
        <w:t xml:space="preserve"> “Izaugsme un nodarbinātība” 2.2.1.specifisk</w:t>
      </w:r>
      <w:r>
        <w:t>ā</w:t>
      </w:r>
      <w:r w:rsidRPr="0088184C">
        <w:t xml:space="preserve"> atbalsta mērķ</w:t>
      </w:r>
      <w:r>
        <w:t>a</w:t>
      </w:r>
      <w:r w:rsidRPr="0088184C">
        <w:t xml:space="preserve"> “Nodrošināt publisko datu </w:t>
      </w:r>
      <w:r w:rsidRPr="0088184C">
        <w:t>atkalizmantošanas</w:t>
      </w:r>
      <w:r w:rsidRPr="0088184C">
        <w:t xml:space="preserve"> pieaugumu un efektīvu publiskās pārvaldes un privāt</w:t>
      </w:r>
      <w:r>
        <w:t>ā sektora mijiedarbību” rezultāta rādītāju “palielināt iedzīvotāju īpatsvaru</w:t>
      </w:r>
      <w:r w:rsidRPr="0088184C">
        <w:t>, kas izmanto e-pakalpojumus sadarbībai ar valsts un pašvaldību institūcijām un iesnied</w:t>
      </w:r>
      <w:r>
        <w:t>z veidlapas elektroniski līdz 35 %”, “palielināt komersantu īpatsvaru</w:t>
      </w:r>
      <w:r w:rsidRPr="0088184C">
        <w:t>, kas izmanto e-pakalpojumus sadarbībai ar valsts un pašvaldību institūcijām un i</w:t>
      </w:r>
      <w:r>
        <w:t>esniedz veidlapas elektroniski līdz</w:t>
      </w:r>
      <w:r w:rsidRPr="0088184C">
        <w:t xml:space="preserve"> 92 %</w:t>
      </w:r>
      <w:r>
        <w:t xml:space="preserve">” un “palielināt </w:t>
      </w:r>
      <w:r w:rsidRPr="0088184C">
        <w:t>Latvijas reiting</w:t>
      </w:r>
      <w:r w:rsidR="004971CE">
        <w:t>u</w:t>
      </w:r>
      <w:r w:rsidRPr="0088184C">
        <w:t xml:space="preserve"> Eiropas Komisijas Komunikācijas tīklu, satura un tehnoloģiju ģenerāldirektorāta atbalstītās iniciatīvas </w:t>
      </w:r>
      <w:r w:rsidRPr="0088184C">
        <w:t>ePSIplatform</w:t>
      </w:r>
      <w:r w:rsidRPr="0088184C">
        <w:t xml:space="preserve"> ietvaros veidotajā </w:t>
      </w:r>
      <w:r w:rsidRPr="0088184C">
        <w:t>atkalizmantošanas</w:t>
      </w:r>
      <w:r w:rsidRPr="0088184C">
        <w:t xml:space="preserve"> indeksā PSI </w:t>
      </w:r>
      <w:r w:rsidRPr="0088184C">
        <w:t>Scoreboard</w:t>
      </w:r>
      <w:r w:rsidRPr="0088184C">
        <w:t xml:space="preserve"> līdz 475 punktiem</w:t>
      </w:r>
      <w:r>
        <w:t>” sasniegšanā.</w:t>
      </w:r>
    </w:p>
    <w:p w:rsidR="007544F0" w:rsidRPr="00E871E3" w:rsidP="007544F0">
      <w:pPr>
        <w:overflowPunct w:val="0"/>
        <w:autoSpaceDE w:val="0"/>
        <w:autoSpaceDN w:val="0"/>
        <w:adjustRightInd w:val="0"/>
        <w:spacing w:before="120" w:after="120"/>
        <w:jc w:val="both"/>
        <w:textAlignment w:val="baseline"/>
        <w:rPr>
          <w:rFonts w:ascii="Times New Roman" w:hAnsi="Times New Roman" w:cs="Times New Roman"/>
          <w:i/>
          <w:color w:val="2F5496" w:themeColor="accent5" w:themeShade="BF"/>
          <w:sz w:val="24"/>
          <w:szCs w:val="24"/>
        </w:rPr>
      </w:pPr>
      <w:r>
        <w:rPr>
          <w:rFonts w:ascii="Times New Roman" w:eastAsia="MS Mincho" w:hAnsi="Times New Roman" w:cs="Times New Roman"/>
          <w:b/>
          <w:bCs/>
          <w:sz w:val="24"/>
          <w:szCs w:val="24"/>
        </w:rPr>
        <w:t>Projekta iznākuma rādītāji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
        <w:gridCol w:w="3744"/>
        <w:gridCol w:w="1323"/>
        <w:gridCol w:w="1863"/>
        <w:gridCol w:w="1736"/>
      </w:tblGrid>
      <w:tr w:rsidTr="00F857D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18" w:type="pct"/>
            <w:shd w:val="clear" w:color="auto" w:fill="D9D9D9" w:themeFill="background1" w:themeFillShade="D9"/>
          </w:tcPr>
          <w:p w:rsidR="007544F0" w:rsidRPr="00535C48" w:rsidP="00F857D5">
            <w:pPr>
              <w:pStyle w:val="VPBodyTable"/>
              <w:rPr>
                <w:b/>
              </w:rPr>
            </w:pPr>
          </w:p>
        </w:tc>
        <w:tc>
          <w:tcPr>
            <w:tcW w:w="2066" w:type="pct"/>
            <w:shd w:val="clear" w:color="auto" w:fill="D9D9D9" w:themeFill="background1" w:themeFillShade="D9"/>
            <w:vAlign w:val="center"/>
          </w:tcPr>
          <w:p w:rsidR="007544F0" w:rsidRPr="00535C48" w:rsidP="00F857D5">
            <w:pPr>
              <w:pStyle w:val="VPBodyTable"/>
              <w:rPr>
                <w:b/>
              </w:rPr>
            </w:pPr>
            <w:r w:rsidRPr="00535C48">
              <w:rPr>
                <w:b/>
              </w:rPr>
              <w:t>Iznākuma rādītājs</w:t>
            </w:r>
          </w:p>
        </w:tc>
        <w:tc>
          <w:tcPr>
            <w:tcW w:w="730" w:type="pct"/>
            <w:shd w:val="clear" w:color="auto" w:fill="D9D9D9" w:themeFill="background1" w:themeFillShade="D9"/>
            <w:vAlign w:val="center"/>
          </w:tcPr>
          <w:p w:rsidR="007544F0" w:rsidRPr="00535C48" w:rsidP="00F857D5">
            <w:pPr>
              <w:pStyle w:val="VPBodyTable"/>
              <w:rPr>
                <w:b/>
              </w:rPr>
            </w:pPr>
            <w:r w:rsidRPr="00535C48">
              <w:rPr>
                <w:b/>
              </w:rPr>
              <w:t>Mērvienība</w:t>
            </w:r>
          </w:p>
        </w:tc>
        <w:tc>
          <w:tcPr>
            <w:tcW w:w="1028" w:type="pct"/>
            <w:shd w:val="clear" w:color="auto" w:fill="D9D9D9" w:themeFill="background1" w:themeFillShade="D9"/>
            <w:vAlign w:val="center"/>
          </w:tcPr>
          <w:p w:rsidR="007544F0" w:rsidRPr="00535C48" w:rsidP="00F857D5">
            <w:pPr>
              <w:pStyle w:val="VPBodyTable"/>
              <w:rPr>
                <w:b/>
              </w:rPr>
            </w:pPr>
            <w:r w:rsidRPr="00535C48">
              <w:rPr>
                <w:b/>
              </w:rPr>
              <w:t>Starpvērtība</w:t>
            </w:r>
            <w:r w:rsidRPr="00535C48">
              <w:rPr>
                <w:b/>
              </w:rPr>
              <w:t xml:space="preserve"> (2 gadi pēc projekta sākuma)</w:t>
            </w:r>
          </w:p>
        </w:tc>
        <w:tc>
          <w:tcPr>
            <w:tcW w:w="958" w:type="pct"/>
            <w:shd w:val="clear" w:color="auto" w:fill="D9D9D9" w:themeFill="background1" w:themeFillShade="D9"/>
            <w:vAlign w:val="center"/>
          </w:tcPr>
          <w:p w:rsidR="007544F0" w:rsidRPr="00535C48" w:rsidP="00F857D5">
            <w:pPr>
              <w:pStyle w:val="VPBodyTable"/>
              <w:rPr>
                <w:b/>
              </w:rPr>
            </w:pPr>
            <w:r w:rsidRPr="00535C48">
              <w:rPr>
                <w:b/>
              </w:rPr>
              <w:t>Sasniedzamā vērtība projekta beigās</w:t>
            </w:r>
          </w:p>
        </w:tc>
      </w:tr>
      <w:tr w:rsidTr="00F857D5">
        <w:tblPrEx>
          <w:tblW w:w="5000" w:type="pct"/>
          <w:tblLook w:val="04A0"/>
        </w:tblPrEx>
        <w:tc>
          <w:tcPr>
            <w:tcW w:w="218" w:type="pct"/>
          </w:tcPr>
          <w:p w:rsidR="007544F0" w:rsidRPr="007E0461" w:rsidP="00F857D5">
            <w:pPr>
              <w:pStyle w:val="VPBodyTable"/>
            </w:pPr>
            <w:r>
              <w:t>1</w:t>
            </w:r>
          </w:p>
        </w:tc>
        <w:tc>
          <w:tcPr>
            <w:tcW w:w="2066" w:type="pct"/>
          </w:tcPr>
          <w:p w:rsidR="007544F0" w:rsidRPr="007E0461" w:rsidP="00F857D5">
            <w:pPr>
              <w:pStyle w:val="VPBodyTable"/>
            </w:pPr>
            <w:r w:rsidRPr="007E0461">
              <w:t xml:space="preserve">Pilnveidoti pamatdarbības procesi </w:t>
            </w:r>
          </w:p>
        </w:tc>
        <w:tc>
          <w:tcPr>
            <w:tcW w:w="730" w:type="pct"/>
          </w:tcPr>
          <w:p w:rsidR="007544F0" w:rsidRPr="007E0461" w:rsidP="00F857D5">
            <w:pPr>
              <w:pStyle w:val="VPBodyTable"/>
            </w:pPr>
            <w:r w:rsidRPr="007E0461">
              <w:t xml:space="preserve">skaits </w:t>
            </w:r>
          </w:p>
        </w:tc>
        <w:tc>
          <w:tcPr>
            <w:tcW w:w="1028" w:type="pct"/>
          </w:tcPr>
          <w:p w:rsidR="007544F0" w:rsidRPr="007E0461" w:rsidP="00F857D5">
            <w:pPr>
              <w:pStyle w:val="VPBodyTable"/>
              <w:jc w:val="center"/>
            </w:pPr>
            <w:r w:rsidRPr="007E0461">
              <w:t>0</w:t>
            </w:r>
          </w:p>
        </w:tc>
        <w:tc>
          <w:tcPr>
            <w:tcW w:w="958" w:type="pct"/>
          </w:tcPr>
          <w:p w:rsidR="007544F0" w:rsidRPr="007E0461" w:rsidP="00F857D5">
            <w:pPr>
              <w:pStyle w:val="VPBodyTable"/>
              <w:jc w:val="center"/>
            </w:pPr>
            <w:r w:rsidRPr="007E0461">
              <w:t>11</w:t>
            </w:r>
          </w:p>
        </w:tc>
      </w:tr>
      <w:tr w:rsidTr="00F857D5">
        <w:tblPrEx>
          <w:tblW w:w="5000" w:type="pct"/>
          <w:tblLook w:val="04A0"/>
        </w:tblPrEx>
        <w:tc>
          <w:tcPr>
            <w:tcW w:w="218" w:type="pct"/>
          </w:tcPr>
          <w:p w:rsidR="007544F0" w:rsidRPr="007E0461" w:rsidP="00F857D5">
            <w:pPr>
              <w:pStyle w:val="VPBodyTable"/>
            </w:pPr>
            <w:r>
              <w:t>2</w:t>
            </w:r>
          </w:p>
        </w:tc>
        <w:tc>
          <w:tcPr>
            <w:tcW w:w="2066" w:type="pct"/>
          </w:tcPr>
          <w:p w:rsidR="007544F0" w:rsidRPr="007E0461" w:rsidP="00F857D5">
            <w:pPr>
              <w:pStyle w:val="VPBodyTable"/>
            </w:pPr>
            <w:r w:rsidRPr="007E0461">
              <w:t>Ieviesta E-lietas platforma</w:t>
            </w:r>
          </w:p>
        </w:tc>
        <w:tc>
          <w:tcPr>
            <w:tcW w:w="730" w:type="pct"/>
          </w:tcPr>
          <w:p w:rsidR="007544F0" w:rsidRPr="007E0461" w:rsidP="00F857D5">
            <w:pPr>
              <w:pStyle w:val="VPBodyTable"/>
            </w:pPr>
            <w:r w:rsidRPr="007E0461">
              <w:t>skaits</w:t>
            </w:r>
          </w:p>
        </w:tc>
        <w:tc>
          <w:tcPr>
            <w:tcW w:w="1028" w:type="pct"/>
          </w:tcPr>
          <w:p w:rsidR="007544F0" w:rsidRPr="007E0461" w:rsidP="00F857D5">
            <w:pPr>
              <w:pStyle w:val="VPBodyTable"/>
              <w:jc w:val="center"/>
            </w:pPr>
            <w:r w:rsidRPr="007E0461">
              <w:t>0</w:t>
            </w:r>
          </w:p>
        </w:tc>
        <w:tc>
          <w:tcPr>
            <w:tcW w:w="958" w:type="pct"/>
          </w:tcPr>
          <w:p w:rsidR="007544F0" w:rsidRPr="007E0461" w:rsidP="00F857D5">
            <w:pPr>
              <w:pStyle w:val="VPBodyTable"/>
              <w:jc w:val="center"/>
            </w:pPr>
            <w:r w:rsidRPr="007E0461">
              <w:t>1</w:t>
            </w:r>
          </w:p>
        </w:tc>
      </w:tr>
      <w:tr w:rsidTr="00F857D5">
        <w:tblPrEx>
          <w:tblW w:w="5000" w:type="pct"/>
          <w:tblLook w:val="04A0"/>
        </w:tblPrEx>
        <w:tc>
          <w:tcPr>
            <w:tcW w:w="218" w:type="pct"/>
          </w:tcPr>
          <w:p w:rsidR="007544F0" w:rsidRPr="007E0461" w:rsidP="00F857D5">
            <w:pPr>
              <w:pStyle w:val="VPBodyTable"/>
            </w:pPr>
            <w:r>
              <w:t>3</w:t>
            </w:r>
          </w:p>
        </w:tc>
        <w:tc>
          <w:tcPr>
            <w:tcW w:w="2066" w:type="pct"/>
          </w:tcPr>
          <w:p w:rsidR="007544F0" w:rsidRPr="007E0461" w:rsidP="00F857D5">
            <w:pPr>
              <w:pStyle w:val="VPBodyTable"/>
            </w:pPr>
            <w:r w:rsidRPr="007E0461">
              <w:t>Ieviesti e-pakalpojumi</w:t>
            </w:r>
          </w:p>
        </w:tc>
        <w:tc>
          <w:tcPr>
            <w:tcW w:w="730" w:type="pct"/>
          </w:tcPr>
          <w:p w:rsidR="007544F0" w:rsidRPr="007E0461" w:rsidP="00F857D5">
            <w:pPr>
              <w:pStyle w:val="VPBodyTable"/>
            </w:pPr>
            <w:r w:rsidRPr="007E0461">
              <w:t>skaits</w:t>
            </w:r>
          </w:p>
        </w:tc>
        <w:tc>
          <w:tcPr>
            <w:tcW w:w="1028" w:type="pct"/>
          </w:tcPr>
          <w:p w:rsidR="007544F0" w:rsidRPr="007E0461" w:rsidP="00F857D5">
            <w:pPr>
              <w:pStyle w:val="VPBodyTable"/>
              <w:jc w:val="center"/>
            </w:pPr>
            <w:r w:rsidRPr="007E0461">
              <w:t>0</w:t>
            </w:r>
          </w:p>
        </w:tc>
        <w:tc>
          <w:tcPr>
            <w:tcW w:w="958" w:type="pct"/>
          </w:tcPr>
          <w:p w:rsidR="007544F0" w:rsidRPr="007E0461" w:rsidP="00F857D5">
            <w:pPr>
              <w:pStyle w:val="VPBodyTable"/>
              <w:jc w:val="center"/>
            </w:pPr>
            <w:r w:rsidRPr="007E0461">
              <w:t>7</w:t>
            </w:r>
          </w:p>
        </w:tc>
      </w:tr>
    </w:tbl>
    <w:p w:rsidR="00252A21" w:rsidP="00B5512A">
      <w:pPr>
        <w:pStyle w:val="VPBody"/>
        <w:spacing w:before="0"/>
        <w:rPr>
          <w:highlight w:val="yellow"/>
        </w:rPr>
      </w:pPr>
    </w:p>
    <w:p w:rsidR="0088184C" w:rsidP="00B5512A">
      <w:pPr>
        <w:pStyle w:val="VPBody"/>
        <w:spacing w:before="0"/>
        <w:rPr>
          <w:highlight w:val="yellow"/>
        </w:rPr>
      </w:pPr>
      <w:r>
        <w:rPr>
          <w:szCs w:val="24"/>
        </w:rPr>
        <w:t>Projekta iznākuma</w:t>
      </w:r>
      <w:r w:rsidRPr="00F96218">
        <w:rPr>
          <w:szCs w:val="24"/>
        </w:rPr>
        <w:t xml:space="preserve"> rādītāji dos tiešu ieguldījumu</w:t>
      </w:r>
      <w:r>
        <w:t xml:space="preserve"> </w:t>
      </w:r>
      <w:r w:rsidRPr="0088184C">
        <w:t>darbības programm</w:t>
      </w:r>
      <w:r>
        <w:t>as</w:t>
      </w:r>
      <w:r w:rsidRPr="0088184C">
        <w:t xml:space="preserve"> “Izaugsme un nodarbinātība” 2.2.1.specifisk</w:t>
      </w:r>
      <w:r>
        <w:t>ā</w:t>
      </w:r>
      <w:r w:rsidRPr="0088184C">
        <w:t xml:space="preserve"> atbalsta mērķ</w:t>
      </w:r>
      <w:r>
        <w:t>a</w:t>
      </w:r>
      <w:r w:rsidRPr="0088184C">
        <w:t xml:space="preserve"> “Nodrošināt publisko datu </w:t>
      </w:r>
      <w:r w:rsidRPr="0088184C">
        <w:t>atkalizmantošanas</w:t>
      </w:r>
      <w:r w:rsidRPr="0088184C">
        <w:t xml:space="preserve"> pieaugumu un efektīvu publiskās pārvaldes un privāt</w:t>
      </w:r>
      <w:r>
        <w:t xml:space="preserve">ā sektora mijiedarbību” iznākuma rādītāju “pilnveidot 190 darbības procesus” un </w:t>
      </w:r>
      <w:r w:rsidR="00AF221F">
        <w:t xml:space="preserve">“izveidot 17 </w:t>
      </w:r>
      <w:r w:rsidRPr="00AF221F" w:rsidR="00AF221F">
        <w:t xml:space="preserve">centralizētas atvērtas </w:t>
      </w:r>
      <w:r w:rsidR="00AF221F">
        <w:t>informācijas sistēmu platformas” sasniegšanā.</w:t>
      </w:r>
    </w:p>
    <w:p w:rsidR="00DB2C50" w:rsidP="00B5512A">
      <w:pPr>
        <w:pStyle w:val="VPBody"/>
        <w:spacing w:before="0"/>
      </w:pPr>
      <w:r>
        <w:t>Projekta ietvaros paredzēts ieviest šādus e-pakalpojumus:</w:t>
      </w:r>
    </w:p>
    <w:p w:rsidR="00DB2C50" w:rsidP="00EF208A">
      <w:pPr>
        <w:pStyle w:val="VPBody"/>
        <w:numPr>
          <w:ilvl w:val="0"/>
          <w:numId w:val="41"/>
        </w:numPr>
        <w:spacing w:before="0"/>
      </w:pPr>
      <w:r w:rsidRPr="00DB2C50">
        <w:t>“Informācijas iesniegšana izmantojo</w:t>
      </w:r>
      <w:r>
        <w:t>t elektroniskās veidlapas”, kas</w:t>
      </w:r>
      <w:r w:rsidRPr="00DB2C50">
        <w:t xml:space="preserve"> ļaus tiesvedības dokumentus iesniegt aizpildot E-lietas publiskajā portālā izvietotas elektroniskās veidlapas</w:t>
      </w:r>
      <w:r>
        <w:t>;</w:t>
      </w:r>
    </w:p>
    <w:p w:rsidR="00DB2C50" w:rsidP="00EF208A">
      <w:pPr>
        <w:pStyle w:val="VPBody"/>
        <w:numPr>
          <w:ilvl w:val="0"/>
          <w:numId w:val="41"/>
        </w:numPr>
        <w:spacing w:before="0"/>
      </w:pPr>
      <w:r w:rsidRPr="00DB2C50">
        <w:t xml:space="preserve">“Tiesvedības datu monitorings”, </w:t>
      </w:r>
      <w:r>
        <w:t>kas</w:t>
      </w:r>
      <w:r w:rsidRPr="00DB2C50">
        <w:t xml:space="preserve"> nodrošinās paziņojumu par izmaiņām lietas datos nosūtīšanu uz lietotāja norādīto e-pasta adresi</w:t>
      </w:r>
      <w:r>
        <w:t>;</w:t>
      </w:r>
    </w:p>
    <w:p w:rsidR="00DB2C50" w:rsidP="00EF208A">
      <w:pPr>
        <w:pStyle w:val="VPBody"/>
        <w:numPr>
          <w:ilvl w:val="0"/>
          <w:numId w:val="41"/>
        </w:numPr>
        <w:spacing w:before="0"/>
      </w:pPr>
      <w:r w:rsidRPr="00DB2C50">
        <w:t>“Elektroniska lietas datu un materiālu izsniegšana”, kas ļaus lietas dalībniekiem iepazīties ar lietas materiāliem elektroniskā formā</w:t>
      </w:r>
      <w:r>
        <w:t>;</w:t>
      </w:r>
    </w:p>
    <w:p w:rsidR="00DB2C50" w:rsidP="00EF208A">
      <w:pPr>
        <w:pStyle w:val="VPBody"/>
        <w:numPr>
          <w:ilvl w:val="0"/>
          <w:numId w:val="41"/>
        </w:numPr>
        <w:spacing w:before="0"/>
      </w:pPr>
      <w:r w:rsidRPr="00DB2C50">
        <w:t>“Elektronisku nolēmumu saņemšana”, kas ļaus lietas dalībniekiem lejupielādēt ar drošu elektronisko parakstu parakstītos tiesas nolēmumus priekš iesniegšanas trešajām pusēm</w:t>
      </w:r>
      <w:r>
        <w:t>;</w:t>
      </w:r>
    </w:p>
    <w:p w:rsidR="00DB2C50" w:rsidP="00EF208A">
      <w:pPr>
        <w:pStyle w:val="VPBody"/>
        <w:numPr>
          <w:ilvl w:val="0"/>
          <w:numId w:val="41"/>
        </w:numPr>
        <w:spacing w:before="0"/>
      </w:pPr>
      <w:r w:rsidRPr="00DB2C50">
        <w:t>“Advokātu kalendārs”, kas ļaus advokātiem norādīt savu pieejamību, kuru tiesneši varēs izmantot savā darbā plānojot tiesas sēdes</w:t>
      </w:r>
      <w:r>
        <w:t>;</w:t>
      </w:r>
    </w:p>
    <w:p w:rsidR="00DB2C50" w:rsidP="00EF208A">
      <w:pPr>
        <w:pStyle w:val="VPBody"/>
        <w:numPr>
          <w:ilvl w:val="0"/>
          <w:numId w:val="41"/>
        </w:numPr>
        <w:spacing w:before="0"/>
      </w:pPr>
      <w:r w:rsidRPr="00DB2C50">
        <w:t>“Tiesas sēžu monitorings”, kas nodrošinās paziņojumus par ieplānotajām tiesas sēdēm un atgādinājumus par tuvākajām tiesas sēdēm uz lietotāja norādīto e-pasta adresi</w:t>
      </w:r>
      <w:r>
        <w:t>;</w:t>
      </w:r>
    </w:p>
    <w:p w:rsidR="00DB2C50" w:rsidP="00EF208A">
      <w:pPr>
        <w:pStyle w:val="VPBody"/>
        <w:numPr>
          <w:ilvl w:val="0"/>
          <w:numId w:val="41"/>
        </w:numPr>
        <w:spacing w:before="0"/>
      </w:pPr>
      <w:r w:rsidRPr="00DB2C50">
        <w:t>“E-pavēste no tiesas” lietas dalībnieku apziņošanai elektroniskā formā</w:t>
      </w:r>
      <w:r>
        <w:t>.</w:t>
      </w:r>
    </w:p>
    <w:p w:rsidR="00B5512A" w:rsidP="00B5512A">
      <w:pPr>
        <w:pStyle w:val="VPBody"/>
        <w:spacing w:before="0"/>
        <w:rPr>
          <w:rFonts w:eastAsia="Times New Roman"/>
          <w:b/>
          <w:szCs w:val="24"/>
          <w:lang w:eastAsia="lv-LV"/>
        </w:rPr>
      </w:pPr>
      <w:r w:rsidRPr="007E0461">
        <w:t xml:space="preserve">Projekta kopējais plānotais finansējuma apjoms ir </w:t>
      </w:r>
      <w:r w:rsidRPr="004E2C78">
        <w:t>3 173</w:t>
      </w:r>
      <w:r>
        <w:t> </w:t>
      </w:r>
      <w:r w:rsidRPr="004E2C78">
        <w:t>000</w:t>
      </w:r>
      <w:r>
        <w:t xml:space="preserve"> </w:t>
      </w:r>
      <w:r w:rsidR="00F8481A">
        <w:rPr>
          <w:i/>
        </w:rPr>
        <w:t>euro</w:t>
      </w:r>
      <w:r w:rsidRPr="007E0461">
        <w:t xml:space="preserve">, no </w:t>
      </w:r>
      <w:r w:rsidR="004971CE">
        <w:t xml:space="preserve">tiem </w:t>
      </w:r>
      <w:r w:rsidRPr="004E2C78">
        <w:t>2 697 050</w:t>
      </w:r>
      <w:r w:rsidRPr="00B5512A">
        <w:t xml:space="preserve"> </w:t>
      </w:r>
      <w:r w:rsidR="00F8481A">
        <w:rPr>
          <w:i/>
        </w:rPr>
        <w:t>euro</w:t>
      </w:r>
      <w:r w:rsidRPr="007E0461">
        <w:t xml:space="preserve"> ir </w:t>
      </w:r>
      <w:r w:rsidR="00D547C2">
        <w:t>Eiropas reģionālās attīstības fonda (turpmāk – ERAF)</w:t>
      </w:r>
      <w:r w:rsidRPr="007E0461">
        <w:t xml:space="preserve"> finansējums (85%) un </w:t>
      </w:r>
      <w:r w:rsidRPr="004E2C78">
        <w:t>475</w:t>
      </w:r>
      <w:r>
        <w:t> </w:t>
      </w:r>
      <w:r w:rsidRPr="004E2C78">
        <w:t>950</w:t>
      </w:r>
      <w:r>
        <w:t xml:space="preserve"> </w:t>
      </w:r>
      <w:r w:rsidR="00F8481A">
        <w:rPr>
          <w:i/>
        </w:rPr>
        <w:t>euro</w:t>
      </w:r>
      <w:r w:rsidRPr="007E0461">
        <w:t xml:space="preserve"> ir valsts budžeta līdzfinansējums (15%). Projektu plānots īstenot 36 mēnešu laikā no līguma vai vienošanās par projekta īstenošanu noslēgšanas.</w:t>
      </w:r>
      <w:r w:rsidRPr="007E0461">
        <w:cr/>
      </w:r>
    </w:p>
    <w:p w:rsidR="00B5512A" w:rsidRPr="00012875" w:rsidP="00B5512A">
      <w:pPr>
        <w:pStyle w:val="VPBullet"/>
        <w:numPr>
          <w:ilvl w:val="0"/>
          <w:numId w:val="0"/>
        </w:numPr>
        <w:rPr>
          <w:rFonts w:eastAsia="MS Mincho"/>
          <w:b/>
          <w:szCs w:val="24"/>
        </w:rPr>
      </w:pPr>
      <w:r w:rsidRPr="00012875">
        <w:rPr>
          <w:rFonts w:eastAsia="MS Mincho"/>
          <w:b/>
          <w:szCs w:val="24"/>
        </w:rPr>
        <w:t xml:space="preserve">Saistība ar iepriekšējā plānošanas perioda projektiem, projekta lietderība un ieguldījums </w:t>
      </w:r>
      <w:r w:rsidR="00D547C2">
        <w:rPr>
          <w:rFonts w:eastAsia="MS Mincho"/>
          <w:b/>
          <w:szCs w:val="24"/>
        </w:rPr>
        <w:t>specifiskā atbalsta mērķa (turpmāk – SAM)</w:t>
      </w:r>
      <w:r w:rsidRPr="00012875">
        <w:rPr>
          <w:rFonts w:eastAsia="MS Mincho"/>
          <w:b/>
          <w:szCs w:val="24"/>
        </w:rPr>
        <w:t xml:space="preserve"> rezultāta rādītā</w:t>
      </w:r>
      <w:r w:rsidR="00012875">
        <w:rPr>
          <w:rFonts w:eastAsia="MS Mincho"/>
          <w:b/>
          <w:szCs w:val="24"/>
        </w:rPr>
        <w:t>jos</w:t>
      </w:r>
    </w:p>
    <w:p w:rsidR="00B5512A" w:rsidRPr="007E0461" w:rsidP="00B5512A">
      <w:pPr>
        <w:pStyle w:val="VPBody"/>
      </w:pPr>
      <w:r w:rsidRPr="007E0461">
        <w:t xml:space="preserve">Iepriekšējā ERAF plānošanas periodā no ERAF līdzekļiem ieguldījumi </w:t>
      </w:r>
      <w:r w:rsidR="00D04716">
        <w:t>TIS</w:t>
      </w:r>
      <w:r w:rsidRPr="007E0461">
        <w:t xml:space="preserve"> attīstībā nav veikti. </w:t>
      </w:r>
      <w:r w:rsidRPr="00D20B2A">
        <w:t xml:space="preserve">Šajā </w:t>
      </w:r>
      <w:r w:rsidR="00D547C2">
        <w:t>p</w:t>
      </w:r>
      <w:r w:rsidRPr="00D20B2A">
        <w:t>rojektā paredzētie uzlabojumi funkcionāli papildinās esošos risinājumus, būtiski paplašinot to izmantošanas iespējas. Funkcionālo papildinājumu izstrādes, ieviešanas</w:t>
      </w:r>
      <w:r w:rsidRPr="00B048B9">
        <w:t>, darbināšanas un uzturēšanas izmaksas tiek ņemtas vērā, aprēķinot projekta lietderību, jeb</w:t>
      </w:r>
      <w:r w:rsidRPr="007E0461">
        <w:t xml:space="preserve"> ekonomisko efektivitāti.</w:t>
      </w:r>
    </w:p>
    <w:p w:rsidR="00B5512A" w:rsidP="00B5512A">
      <w:pPr>
        <w:pStyle w:val="VPBody"/>
      </w:pPr>
      <w:r w:rsidRPr="007E0461">
        <w:t>Projekta iznākumi un rezultāti ir vērsti uz šādu SAM sasniegšanu:</w:t>
      </w:r>
    </w:p>
    <w:p w:rsidR="00B5512A" w:rsidRPr="007E0461" w:rsidP="00B5512A">
      <w:pPr>
        <w:pStyle w:val="VPBullet"/>
        <w:rPr>
          <w:lang w:eastAsia="lv-LV"/>
        </w:rPr>
      </w:pPr>
      <w:r>
        <w:rPr>
          <w:lang w:eastAsia="lv-LV"/>
        </w:rPr>
        <w:t>n</w:t>
      </w:r>
      <w:r w:rsidRPr="007E0461">
        <w:rPr>
          <w:lang w:eastAsia="lv-LV"/>
        </w:rPr>
        <w:t>odrošināt lietotājiem draudzīgus publiskos pakalpojumus;</w:t>
      </w:r>
    </w:p>
    <w:p w:rsidR="00B5512A" w:rsidRPr="007E0461" w:rsidP="00B5512A">
      <w:pPr>
        <w:pStyle w:val="VPBullet"/>
        <w:rPr>
          <w:lang w:eastAsia="lv-LV"/>
        </w:rPr>
      </w:pPr>
      <w:r>
        <w:rPr>
          <w:lang w:eastAsia="lv-LV"/>
        </w:rPr>
        <w:t>n</w:t>
      </w:r>
      <w:r w:rsidRPr="007E0461">
        <w:rPr>
          <w:lang w:eastAsia="lv-LV"/>
        </w:rPr>
        <w:t>odrošināt publiskā sektora darbības efektivitāti;</w:t>
      </w:r>
    </w:p>
    <w:p w:rsidR="00B5512A" w:rsidRPr="007E0461" w:rsidP="00B5512A">
      <w:pPr>
        <w:pStyle w:val="VPBullet"/>
        <w:rPr>
          <w:lang w:eastAsia="lv-LV"/>
        </w:rPr>
      </w:pPr>
      <w:r>
        <w:rPr>
          <w:lang w:eastAsia="lv-LV"/>
        </w:rPr>
        <w:t>n</w:t>
      </w:r>
      <w:r w:rsidRPr="007E0461">
        <w:rPr>
          <w:lang w:eastAsia="lv-LV"/>
        </w:rPr>
        <w:t xml:space="preserve">odrošināt valsts informāciju sistēmās esošo datu izmantošanu citās valsts un pašvaldību iestādēs, nepieprasot datu subjektiem iesniegt tos atkārtoti; </w:t>
      </w:r>
    </w:p>
    <w:p w:rsidR="00B5512A" w:rsidRPr="007E0461" w:rsidP="00B5512A">
      <w:pPr>
        <w:pStyle w:val="VPBullet"/>
        <w:rPr>
          <w:lang w:eastAsia="lv-LV"/>
        </w:rPr>
      </w:pPr>
      <w:r>
        <w:rPr>
          <w:lang w:eastAsia="lv-LV"/>
        </w:rPr>
        <w:t>r</w:t>
      </w:r>
      <w:r w:rsidRPr="007E0461">
        <w:rPr>
          <w:lang w:eastAsia="lv-LV"/>
        </w:rPr>
        <w:t>adīt priekšnosacījumus publiskās pārvaldes rīcībā esošās informācijas izmantošanai ārpus publiskā sektora, t.sk. lai nodrošinātu tās izmantošanu uzņēmējdarbības, analīzes, u.c. mērķiem.</w:t>
      </w:r>
    </w:p>
    <w:p w:rsidR="00B5512A" w:rsidRPr="007E0461" w:rsidP="00B5512A">
      <w:pPr>
        <w:pStyle w:val="VPBody"/>
      </w:pPr>
      <w:r w:rsidRPr="007E0461">
        <w:t xml:space="preserve">Sagatavojot un publicējot atvērtos datus Datu publicēšanas platformā, </w:t>
      </w:r>
      <w:r w:rsidR="00D547C2">
        <w:t>p</w:t>
      </w:r>
      <w:r w:rsidRPr="007E0461">
        <w:t xml:space="preserve">rojekts sniegs ieguldījumu Latvijas reitingā </w:t>
      </w:r>
      <w:r w:rsidRPr="007E0461">
        <w:rPr>
          <w:i/>
        </w:rPr>
        <w:t xml:space="preserve">PSI </w:t>
      </w:r>
      <w:r w:rsidRPr="007E0461">
        <w:rPr>
          <w:i/>
        </w:rPr>
        <w:t>Scoreboard</w:t>
      </w:r>
      <w:r w:rsidRPr="007E0461">
        <w:t xml:space="preserve"> datu </w:t>
      </w:r>
      <w:r w:rsidRPr="007E0461">
        <w:t>atkalizmantošanas</w:t>
      </w:r>
      <w:r w:rsidRPr="007E0461">
        <w:t xml:space="preserve"> indeksā.</w:t>
      </w:r>
    </w:p>
    <w:p w:rsidR="00B5512A" w:rsidRPr="007E0461" w:rsidP="00B5512A">
      <w:pPr>
        <w:pStyle w:val="VPBody"/>
        <w:rPr>
          <w:bCs w:val="0"/>
        </w:rPr>
      </w:pPr>
      <w:r w:rsidRPr="007E0461">
        <w:t>Projekts sniegs ieguldījumu SAM iznākuma rādītājos, izstrādājot centralizētu un atvērtu E</w:t>
      </w:r>
      <w:r w:rsidRPr="007E0461">
        <w:noBreakHyphen/>
        <w:t>lietas informācijas sistēmu platformu un pilnveidojot tiesu pamatdarbības procesus.</w:t>
      </w:r>
    </w:p>
    <w:p w:rsidR="00B5512A" w:rsidP="00B5512A">
      <w:pPr>
        <w:pStyle w:val="VPBody"/>
      </w:pPr>
      <w:r w:rsidRPr="007E0461">
        <w:t xml:space="preserve">Projekta ietvaros attīstāmās TIS un izstrādājamās E-lietas informācijas sistēmu platformas risinājumi ir vērsti uz sabiedrībai un komersantiem paredzētu e-pakalpojumu izstrādi un </w:t>
      </w:r>
      <w:r w:rsidRPr="007E0461">
        <w:t>elektroniski iesniedzamu veidlapu izstrādi, tādējādi sniedzot ieguldījumu arī SAM rezultāta rādītājos.</w:t>
      </w:r>
    </w:p>
    <w:p w:rsidR="00B5512A" w:rsidRPr="00334C37" w:rsidP="00B5512A">
      <w:pPr>
        <w:pStyle w:val="VPBody"/>
      </w:pPr>
      <w:r w:rsidRPr="00334C37">
        <w:t>Projektam tika noteikti šādi sociālekonomiskie ieguvumi:</w:t>
      </w:r>
    </w:p>
    <w:p w:rsidR="007B009C" w:rsidRPr="007B009C" w:rsidP="00EF208A">
      <w:pPr>
        <w:pStyle w:val="VPBody"/>
        <w:numPr>
          <w:ilvl w:val="0"/>
          <w:numId w:val="45"/>
        </w:numPr>
      </w:pPr>
      <w:r w:rsidRPr="007B009C">
        <w:t xml:space="preserve">Elektronizējot tiesvedības lietas, t.i. uzturot visus lietas materiālus elektroniski, sākot ar pieteikumu un beidzot ar nolēmumu, visu instanču tiesām samazināsies tiesu darbinieku un kancelejas preču resursu patēriņš lietu materiālu pievienošanai un lietu uzturēšanai kopumā. Īstenojot projektu, tiek sagaidīts, ka elektronizēto lietu īpatsvars pakāpeniski palielināsies līdz 50%, projekta pārskata periodā, t.i. līdz 2029. gadam, ietaupot tiesām apmēram </w:t>
      </w:r>
      <w:r w:rsidRPr="007B009C">
        <w:rPr>
          <w:b/>
        </w:rPr>
        <w:t>6,5 milj.</w:t>
      </w:r>
      <w:r w:rsidRPr="007B009C">
        <w:t xml:space="preserve"> </w:t>
      </w:r>
      <w:r w:rsidRPr="00EF208A" w:rsidR="009B1A94">
        <w:rPr>
          <w:i/>
        </w:rPr>
        <w:t>euro</w:t>
      </w:r>
      <w:r w:rsidRPr="007B009C">
        <w:t xml:space="preserve"> (diskontētā vērtība);</w:t>
      </w:r>
    </w:p>
    <w:p w:rsidR="007B009C" w:rsidRPr="007B009C" w:rsidP="00EF208A">
      <w:pPr>
        <w:pStyle w:val="VPBody"/>
        <w:numPr>
          <w:ilvl w:val="0"/>
          <w:numId w:val="45"/>
        </w:numPr>
      </w:pPr>
      <w:r w:rsidRPr="007B009C">
        <w:t xml:space="preserve">Lietu elektronizēšana radīs iespēju lietu dalībniekiem iepazīties ar lietu materiāliem elektroniski, neapmeklējot tiesu iestādes un tādējādi atslogojot tiesu darbiniekus no lietu meklēšanas, izsniegšanas un kopēšanas (gadā aptuveni 100 000 lietas). Prognozējot, ka līdz 2029. gadam lietu elektroniskas apskatīšanas gadījumu īpatsvars palielināsies līdz 40%, Projekta pārskata perioda kopējais ieguvums tiesām sasniegs </w:t>
      </w:r>
      <w:r w:rsidRPr="007B009C">
        <w:rPr>
          <w:b/>
        </w:rPr>
        <w:t>5,3 milj.</w:t>
      </w:r>
      <w:r w:rsidRPr="007B009C">
        <w:t xml:space="preserve"> </w:t>
      </w:r>
      <w:r w:rsidRPr="00EF208A" w:rsidR="009B1A94">
        <w:rPr>
          <w:i/>
        </w:rPr>
        <w:t>euro</w:t>
      </w:r>
      <w:r w:rsidRPr="007B009C">
        <w:t xml:space="preserve"> (diskontētā vērtība).</w:t>
      </w:r>
    </w:p>
    <w:p w:rsidR="007B009C" w:rsidRPr="007B009C" w:rsidP="00EF208A">
      <w:pPr>
        <w:pStyle w:val="VPBody"/>
        <w:numPr>
          <w:ilvl w:val="0"/>
          <w:numId w:val="45"/>
        </w:numPr>
      </w:pPr>
      <w:r w:rsidRPr="007B009C">
        <w:t xml:space="preserve">Krimināllietu tiesvedības ietvaros tiesas </w:t>
      </w:r>
      <w:r w:rsidRPr="007B009C">
        <w:t>sūta</w:t>
      </w:r>
      <w:r w:rsidRPr="007B009C">
        <w:t xml:space="preserve"> nolēmumus izpildei Ieslodzījuma vietu pārvaldei un Valsts probācijas dienestam (15 000 nolēmumi gadā). Attīstot nolēmumu strukturētu nodošanu Ieslodzīto informācijas sistēmai un Probācijas klientu uzskaites sistēmai, gada ietaupījumi tiesām sasniegs 99 000 </w:t>
      </w:r>
      <w:r w:rsidRPr="00EF208A" w:rsidR="009B1A94">
        <w:rPr>
          <w:i/>
        </w:rPr>
        <w:t>euro</w:t>
      </w:r>
      <w:r w:rsidRPr="007B009C">
        <w:t xml:space="preserve">. Resursu ekonomija projekta pārskata periodā – </w:t>
      </w:r>
      <w:r w:rsidRPr="007B009C">
        <w:rPr>
          <w:b/>
        </w:rPr>
        <w:t xml:space="preserve">660 000 </w:t>
      </w:r>
      <w:r w:rsidR="009B1A94">
        <w:rPr>
          <w:b/>
          <w:i/>
        </w:rPr>
        <w:t>euro</w:t>
      </w:r>
      <w:r w:rsidRPr="007B009C">
        <w:t xml:space="preserve"> (diskontētā vērtība);</w:t>
      </w:r>
    </w:p>
    <w:p w:rsidR="007B009C" w:rsidP="00EF208A">
      <w:pPr>
        <w:pStyle w:val="VPBullet"/>
        <w:numPr>
          <w:ilvl w:val="0"/>
          <w:numId w:val="45"/>
        </w:numPr>
      </w:pPr>
      <w:r w:rsidRPr="007B009C">
        <w:t xml:space="preserve">Lietas elektronizācija pozitīvi ietekmēs ne tikai lietas dalībniekus, bet arī trešās personas, kuru rīcību (lēmumus) pret lietas dalībnieku nosaka tiesvedības saturs un rezultāti, piemēram, kredītiestādes, darba devēji, pašvaldības u.c. Līdz šim manuāli sagatavotie un pa pastu sūtītie noraksti pēc projekta īstenošanas tiks sūtīti elektroniski, kas par 80% samazinās norakstu (t.sk. pavadrakstu) sagatavošanas un nosūtīšanas izmaksas. Gada ietvaros tas samazinās tiesu resursu patēriņu vidēji par 594 000 </w:t>
      </w:r>
      <w:r w:rsidR="00611978">
        <w:rPr>
          <w:i/>
        </w:rPr>
        <w:t>euro</w:t>
      </w:r>
      <w:r w:rsidRPr="007B009C">
        <w:t xml:space="preserve">, projekta pārskata periodā sasniedzot </w:t>
      </w:r>
      <w:r w:rsidRPr="007B009C">
        <w:rPr>
          <w:b/>
        </w:rPr>
        <w:t xml:space="preserve">3,96 milj. </w:t>
      </w:r>
      <w:r w:rsidRPr="00EF208A" w:rsidR="009B1A94">
        <w:rPr>
          <w:i/>
        </w:rPr>
        <w:t>euro</w:t>
      </w:r>
      <w:r w:rsidRPr="007B009C">
        <w:rPr>
          <w:b/>
        </w:rPr>
        <w:t xml:space="preserve"> </w:t>
      </w:r>
      <w:r w:rsidRPr="007B009C">
        <w:t>(diskontētā vērtība);</w:t>
      </w:r>
    </w:p>
    <w:p w:rsidR="00011091" w:rsidRPr="00EF208A">
      <w:pPr>
        <w:spacing w:before="0" w:after="160" w:line="259" w:lineRule="auto"/>
        <w:jc w:val="both"/>
        <w:rPr>
          <w:rFonts w:ascii="Times New Roman" w:hAnsi="Times New Roman" w:cs="Times New Roman"/>
          <w:sz w:val="24"/>
          <w:lang w:eastAsia="lv-LV"/>
        </w:rPr>
      </w:pPr>
      <w:r w:rsidRPr="00EF208A">
        <w:rPr>
          <w:rFonts w:ascii="Times New Roman" w:hAnsi="Times New Roman" w:cs="Times New Roman"/>
          <w:sz w:val="24"/>
          <w:lang w:eastAsia="lv-LV"/>
        </w:rPr>
        <w:t xml:space="preserve">Projekta īstenošanas rezultātā iegūto tiesu darbinieku darba laika ietaupījumu ir paredzēts izmantot fiziskā formā saņemto lietas dokumentu </w:t>
      </w:r>
      <w:r w:rsidRPr="00EF208A">
        <w:rPr>
          <w:rFonts w:ascii="Times New Roman" w:hAnsi="Times New Roman" w:cs="Times New Roman"/>
          <w:sz w:val="24"/>
          <w:lang w:eastAsia="lv-LV"/>
        </w:rPr>
        <w:t>digitalizēšanai</w:t>
      </w:r>
      <w:r w:rsidRPr="00EF208A">
        <w:rPr>
          <w:rFonts w:ascii="Times New Roman" w:hAnsi="Times New Roman" w:cs="Times New Roman"/>
          <w:sz w:val="24"/>
          <w:lang w:eastAsia="lv-LV"/>
        </w:rPr>
        <w:t>, tāpēc projekta rezultātā nav paredzēts samazināt tiesu darba vietas.</w:t>
      </w:r>
    </w:p>
    <w:p w:rsidR="0027191E" w:rsidRPr="00060A03" w:rsidP="00C30D36">
      <w:pPr>
        <w:spacing w:before="0" w:after="160" w:line="259" w:lineRule="auto"/>
        <w:jc w:val="both"/>
        <w:rPr>
          <w:rFonts w:ascii="Times New Roman" w:hAnsi="Times New Roman" w:cs="Times New Roman"/>
          <w:sz w:val="24"/>
          <w:lang w:eastAsia="lv-LV"/>
        </w:rPr>
      </w:pPr>
      <w:r w:rsidRPr="0019571B">
        <w:rPr>
          <w:rFonts w:ascii="Times New Roman" w:hAnsi="Times New Roman" w:cs="Times New Roman"/>
          <w:sz w:val="24"/>
          <w:lang w:eastAsia="lv-LV"/>
        </w:rPr>
        <w:t xml:space="preserve">Kopumā paredzēts, ka pēc </w:t>
      </w:r>
      <w:r w:rsidR="00D547C2">
        <w:rPr>
          <w:rFonts w:ascii="Times New Roman" w:hAnsi="Times New Roman" w:cs="Times New Roman"/>
          <w:sz w:val="24"/>
          <w:lang w:eastAsia="lv-LV"/>
        </w:rPr>
        <w:t>p</w:t>
      </w:r>
      <w:r w:rsidRPr="0019571B">
        <w:rPr>
          <w:rFonts w:ascii="Times New Roman" w:hAnsi="Times New Roman" w:cs="Times New Roman"/>
          <w:bCs/>
          <w:sz w:val="24"/>
          <w:lang w:eastAsia="lv-LV"/>
        </w:rPr>
        <w:t xml:space="preserve">rojekta </w:t>
      </w:r>
      <w:r w:rsidRPr="0019571B">
        <w:rPr>
          <w:rFonts w:ascii="Times New Roman" w:hAnsi="Times New Roman" w:cs="Times New Roman"/>
          <w:sz w:val="24"/>
          <w:lang w:eastAsia="lv-LV"/>
        </w:rPr>
        <w:t>pilnīgas ieviešanas</w:t>
      </w:r>
      <w:r w:rsidRPr="0019571B">
        <w:rPr>
          <w:rFonts w:ascii="Times New Roman" w:hAnsi="Times New Roman" w:cs="Times New Roman"/>
          <w:bCs/>
          <w:sz w:val="24"/>
          <w:lang w:eastAsia="lv-LV"/>
        </w:rPr>
        <w:t xml:space="preserve"> </w:t>
      </w:r>
      <w:r w:rsidR="00D547C2">
        <w:rPr>
          <w:rFonts w:ascii="Times New Roman" w:hAnsi="Times New Roman" w:cs="Times New Roman"/>
          <w:bCs/>
          <w:sz w:val="24"/>
          <w:lang w:eastAsia="lv-LV"/>
        </w:rPr>
        <w:t>p</w:t>
      </w:r>
      <w:r w:rsidRPr="0019571B">
        <w:rPr>
          <w:rFonts w:ascii="Times New Roman" w:hAnsi="Times New Roman" w:cs="Times New Roman"/>
          <w:bCs/>
          <w:sz w:val="24"/>
          <w:lang w:eastAsia="lv-LV"/>
        </w:rPr>
        <w:t>rojekta</w:t>
      </w:r>
      <w:r w:rsidR="00D547C2">
        <w:rPr>
          <w:rFonts w:ascii="Times New Roman" w:hAnsi="Times New Roman" w:cs="Times New Roman"/>
          <w:sz w:val="24"/>
          <w:lang w:eastAsia="lv-LV"/>
        </w:rPr>
        <w:t xml:space="preserve"> sociālekonomiskie ieguvumi </w:t>
      </w:r>
      <w:r w:rsidR="00D547C2">
        <w:rPr>
          <w:rFonts w:ascii="Times New Roman" w:hAnsi="Times New Roman" w:cs="Times New Roman"/>
          <w:sz w:val="24"/>
          <w:lang w:eastAsia="lv-LV"/>
        </w:rPr>
        <w:t>p</w:t>
      </w:r>
      <w:r w:rsidRPr="0019571B">
        <w:rPr>
          <w:rFonts w:ascii="Times New Roman" w:hAnsi="Times New Roman" w:cs="Times New Roman"/>
          <w:sz w:val="24"/>
          <w:lang w:eastAsia="lv-LV"/>
        </w:rPr>
        <w:t>ojekta</w:t>
      </w:r>
      <w:r w:rsidRPr="0019571B">
        <w:rPr>
          <w:rFonts w:ascii="Times New Roman" w:hAnsi="Times New Roman" w:cs="Times New Roman"/>
          <w:sz w:val="24"/>
          <w:lang w:eastAsia="lv-LV"/>
        </w:rPr>
        <w:t xml:space="preserve"> pārskata perioda ietvaros, t.i. 10 gadu laikā pēc projekta īstenošanas, </w:t>
      </w:r>
      <w:r w:rsidRPr="0019571B">
        <w:rPr>
          <w:rFonts w:ascii="Times New Roman" w:hAnsi="Times New Roman" w:cs="Times New Roman"/>
          <w:bCs/>
          <w:sz w:val="24"/>
          <w:lang w:eastAsia="lv-LV"/>
        </w:rPr>
        <w:t xml:space="preserve">sasniegs </w:t>
      </w:r>
      <w:r w:rsidRPr="00FB1385" w:rsidR="00611978">
        <w:rPr>
          <w:rFonts w:ascii="Times New Roman" w:hAnsi="Times New Roman" w:cs="Times New Roman"/>
          <w:b/>
          <w:bCs/>
          <w:sz w:val="24"/>
          <w:lang w:eastAsia="lv-LV"/>
        </w:rPr>
        <w:t>1</w:t>
      </w:r>
      <w:r w:rsidR="00611978">
        <w:rPr>
          <w:rFonts w:ascii="Times New Roman" w:hAnsi="Times New Roman" w:cs="Times New Roman"/>
          <w:b/>
          <w:bCs/>
          <w:sz w:val="24"/>
          <w:lang w:eastAsia="lv-LV"/>
        </w:rPr>
        <w:t>2,</w:t>
      </w:r>
      <w:r w:rsidR="0076194F">
        <w:rPr>
          <w:rFonts w:ascii="Times New Roman" w:hAnsi="Times New Roman" w:cs="Times New Roman"/>
          <w:b/>
          <w:bCs/>
          <w:sz w:val="24"/>
          <w:lang w:eastAsia="lv-LV"/>
        </w:rPr>
        <w:t xml:space="preserve">90 </w:t>
      </w:r>
      <w:r w:rsidRPr="0019571B" w:rsidR="0076194F">
        <w:rPr>
          <w:rFonts w:ascii="Times New Roman" w:hAnsi="Times New Roman" w:cs="Times New Roman"/>
          <w:b/>
          <w:bCs/>
          <w:sz w:val="24"/>
          <w:lang w:eastAsia="lv-LV"/>
        </w:rPr>
        <w:t xml:space="preserve"> </w:t>
      </w:r>
      <w:r w:rsidRPr="0019571B">
        <w:rPr>
          <w:rFonts w:ascii="Times New Roman" w:hAnsi="Times New Roman" w:cs="Times New Roman"/>
          <w:b/>
          <w:bCs/>
          <w:sz w:val="24"/>
          <w:lang w:eastAsia="lv-LV"/>
        </w:rPr>
        <w:t xml:space="preserve">milj. </w:t>
      </w:r>
      <w:r w:rsidR="00F8481A">
        <w:rPr>
          <w:rFonts w:ascii="Times New Roman" w:hAnsi="Times New Roman" w:cs="Times New Roman"/>
          <w:b/>
          <w:bCs/>
          <w:i/>
          <w:sz w:val="24"/>
          <w:lang w:eastAsia="lv-LV"/>
        </w:rPr>
        <w:t>euro</w:t>
      </w:r>
      <w:r w:rsidRPr="0019571B">
        <w:rPr>
          <w:rFonts w:ascii="Times New Roman" w:hAnsi="Times New Roman" w:cs="Times New Roman"/>
          <w:bCs/>
          <w:sz w:val="24"/>
          <w:lang w:eastAsia="lv-LV"/>
        </w:rPr>
        <w:t>.</w:t>
      </w:r>
      <w:r>
        <w:rPr>
          <w:rFonts w:ascii="Times New Roman" w:hAnsi="Times New Roman" w:cs="Times New Roman"/>
          <w:bCs/>
          <w:sz w:val="24"/>
          <w:lang w:eastAsia="lv-LV"/>
        </w:rPr>
        <w:t xml:space="preserve"> </w:t>
      </w:r>
      <w:r w:rsidRPr="0019571B">
        <w:rPr>
          <w:rFonts w:ascii="Times New Roman" w:hAnsi="Times New Roman" w:cs="Times New Roman"/>
          <w:bCs/>
          <w:sz w:val="24"/>
          <w:lang w:eastAsia="lv-LV"/>
        </w:rPr>
        <w:t xml:space="preserve">Indikatīvais </w:t>
      </w:r>
      <w:r w:rsidRPr="0019571B">
        <w:rPr>
          <w:rFonts w:ascii="Times New Roman" w:hAnsi="Times New Roman" w:cs="Times New Roman"/>
          <w:sz w:val="24"/>
          <w:lang w:eastAsia="lv-LV"/>
        </w:rPr>
        <w:t xml:space="preserve">projekta ieguvumu un izmaksu attiecības koeficients ir </w:t>
      </w:r>
      <w:r>
        <w:rPr>
          <w:rFonts w:ascii="Times New Roman" w:hAnsi="Times New Roman" w:cs="Times New Roman"/>
          <w:b/>
          <w:sz w:val="24"/>
          <w:lang w:eastAsia="lv-LV"/>
        </w:rPr>
        <w:t>3,</w:t>
      </w:r>
      <w:r w:rsidR="00162CE0">
        <w:rPr>
          <w:rFonts w:ascii="Times New Roman" w:hAnsi="Times New Roman" w:cs="Times New Roman"/>
          <w:b/>
          <w:sz w:val="24"/>
          <w:lang w:eastAsia="lv-LV"/>
        </w:rPr>
        <w:t>9</w:t>
      </w:r>
      <w:r w:rsidR="00611978">
        <w:rPr>
          <w:rFonts w:ascii="Times New Roman" w:hAnsi="Times New Roman" w:cs="Times New Roman"/>
          <w:b/>
          <w:sz w:val="24"/>
          <w:lang w:eastAsia="lv-LV"/>
        </w:rPr>
        <w:t>8</w:t>
      </w:r>
      <w:r w:rsidRPr="0019571B">
        <w:rPr>
          <w:rFonts w:ascii="Times New Roman" w:hAnsi="Times New Roman" w:cs="Times New Roman"/>
          <w:bCs/>
          <w:sz w:val="24"/>
          <w:lang w:eastAsia="lv-LV"/>
        </w:rPr>
        <w:t>,</w:t>
      </w:r>
      <w:r w:rsidRPr="0019571B">
        <w:rPr>
          <w:rFonts w:ascii="Times New Roman" w:hAnsi="Times New Roman" w:cs="Times New Roman"/>
          <w:sz w:val="24"/>
          <w:lang w:eastAsia="lv-LV"/>
        </w:rPr>
        <w:t xml:space="preserve"> ekonomiskā ienesīguma </w:t>
      </w:r>
      <w:r w:rsidRPr="0019571B">
        <w:rPr>
          <w:rFonts w:ascii="Times New Roman" w:hAnsi="Times New Roman" w:cs="Times New Roman"/>
          <w:bCs/>
          <w:sz w:val="24"/>
          <w:lang w:eastAsia="lv-LV"/>
        </w:rPr>
        <w:t xml:space="preserve">norma - </w:t>
      </w:r>
      <w:r w:rsidR="00611978">
        <w:rPr>
          <w:rFonts w:ascii="Times New Roman" w:hAnsi="Times New Roman" w:cs="Times New Roman"/>
          <w:b/>
          <w:bCs/>
          <w:sz w:val="24"/>
          <w:lang w:eastAsia="lv-LV"/>
        </w:rPr>
        <w:t>45</w:t>
      </w:r>
      <w:r w:rsidRPr="0019571B">
        <w:rPr>
          <w:rFonts w:ascii="Times New Roman" w:hAnsi="Times New Roman" w:cs="Times New Roman"/>
          <w:b/>
          <w:sz w:val="24"/>
          <w:lang w:eastAsia="lv-LV"/>
        </w:rPr>
        <w:t>%</w:t>
      </w:r>
      <w:r w:rsidRPr="0019571B">
        <w:rPr>
          <w:rFonts w:ascii="Times New Roman" w:hAnsi="Times New Roman" w:cs="Times New Roman"/>
          <w:sz w:val="24"/>
          <w:lang w:eastAsia="lv-LV"/>
        </w:rPr>
        <w:t xml:space="preserve">, kas apliecina </w:t>
      </w:r>
      <w:r w:rsidR="0083542B">
        <w:rPr>
          <w:rFonts w:ascii="Times New Roman" w:hAnsi="Times New Roman" w:cs="Times New Roman"/>
          <w:bCs/>
          <w:sz w:val="24"/>
          <w:lang w:eastAsia="lv-LV"/>
        </w:rPr>
        <w:t>p</w:t>
      </w:r>
      <w:r w:rsidRPr="0019571B">
        <w:rPr>
          <w:rFonts w:ascii="Times New Roman" w:hAnsi="Times New Roman" w:cs="Times New Roman"/>
          <w:bCs/>
          <w:sz w:val="24"/>
          <w:lang w:eastAsia="lv-LV"/>
        </w:rPr>
        <w:t>rojekta</w:t>
      </w:r>
      <w:r w:rsidRPr="0019571B">
        <w:rPr>
          <w:rFonts w:ascii="Times New Roman" w:hAnsi="Times New Roman" w:cs="Times New Roman"/>
          <w:sz w:val="24"/>
          <w:lang w:eastAsia="lv-LV"/>
        </w:rPr>
        <w:t xml:space="preserve"> īstenošanas lietderību.</w:t>
      </w:r>
    </w:p>
    <w:p w:rsidR="00161FF0" w:rsidRPr="00B04918" w:rsidP="0027191E">
      <w:pPr>
        <w:pStyle w:val="VPBody"/>
      </w:pPr>
    </w:p>
    <w:p w:rsidR="00ED1F9C" w:rsidP="00EB257E">
      <w:pPr>
        <w:pStyle w:val="VPBody"/>
        <w:spacing w:before="0" w:after="0"/>
        <w:rPr>
          <w:rFonts w:eastAsia="Times New Roman"/>
          <w:szCs w:val="24"/>
          <w:lang w:eastAsia="lv-LV"/>
        </w:rPr>
      </w:pPr>
    </w:p>
    <w:p w:rsidR="001F633A" w:rsidP="00EB257E">
      <w:pPr>
        <w:pStyle w:val="VPBody"/>
        <w:spacing w:before="0" w:after="0"/>
        <w:rPr>
          <w:rFonts w:eastAsia="Times New Roman"/>
          <w:szCs w:val="24"/>
          <w:lang w:eastAsia="lv-LV"/>
        </w:rPr>
      </w:pPr>
    </w:p>
    <w:p w:rsidR="001F633A" w:rsidRPr="005B6906" w:rsidP="00EB257E">
      <w:pPr>
        <w:pStyle w:val="VPBody"/>
        <w:spacing w:before="0" w:after="0"/>
        <w:rPr>
          <w:rFonts w:eastAsia="Times New Roman"/>
          <w:szCs w:val="24"/>
          <w:lang w:eastAsia="lv-LV"/>
        </w:rPr>
      </w:pPr>
    </w:p>
    <w:p w:rsidR="00606402" w:rsidRPr="005B6906" w:rsidP="00606402">
      <w:pPr>
        <w:tabs>
          <w:tab w:val="left" w:pos="6379"/>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Vides aizsardzības un </w:t>
      </w:r>
    </w:p>
    <w:p w:rsidR="00606402" w:rsidRPr="005B6906" w:rsidP="00606402">
      <w:pPr>
        <w:tabs>
          <w:tab w:val="left" w:pos="6663"/>
          <w:tab w:val="left" w:pos="6804"/>
        </w:tabs>
        <w:spacing w:before="0" w:after="0"/>
        <w:jc w:val="both"/>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reģionālās attīstības ministrs</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t>Kaspars Gerhards</w:t>
      </w:r>
    </w:p>
    <w:p w:rsidR="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161FF0" w:rsidRPr="005B6906"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606402" w:rsidRPr="005B6906"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Vīza:</w:t>
      </w:r>
    </w:p>
    <w:p w:rsidR="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5B6906">
        <w:rPr>
          <w:rFonts w:ascii="Times New Roman" w:eastAsia="Times New Roman" w:hAnsi="Times New Roman" w:cs="Times New Roman"/>
          <w:sz w:val="24"/>
          <w:szCs w:val="24"/>
          <w:lang w:eastAsia="lv-LV"/>
        </w:rPr>
        <w:t>alsts sekretār</w:t>
      </w:r>
      <w:r w:rsidR="000D1365">
        <w:rPr>
          <w:rFonts w:ascii="Times New Roman" w:eastAsia="Times New Roman" w:hAnsi="Times New Roman" w:cs="Times New Roman"/>
          <w:sz w:val="24"/>
          <w:szCs w:val="24"/>
          <w:lang w:eastAsia="lv-LV"/>
        </w:rPr>
        <w:t xml:space="preserve">a </w:t>
      </w:r>
      <w:r w:rsidR="000D1365">
        <w:rPr>
          <w:rFonts w:ascii="Times New Roman" w:eastAsia="Times New Roman" w:hAnsi="Times New Roman" w:cs="Times New Roman"/>
          <w:sz w:val="24"/>
          <w:szCs w:val="24"/>
          <w:lang w:eastAsia="lv-LV"/>
        </w:rPr>
        <w:t>p.i</w:t>
      </w:r>
      <w:r w:rsidR="000D1365">
        <w:rPr>
          <w:rFonts w:ascii="Times New Roman" w:eastAsia="Times New Roman" w:hAnsi="Times New Roman" w:cs="Times New Roman"/>
          <w:sz w:val="24"/>
          <w:szCs w:val="24"/>
          <w:lang w:eastAsia="lv-LV"/>
        </w:rPr>
        <w:t>.</w:t>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Pr="005B6906">
        <w:rPr>
          <w:rFonts w:ascii="Times New Roman" w:eastAsia="Times New Roman" w:hAnsi="Times New Roman" w:cs="Times New Roman"/>
          <w:sz w:val="24"/>
          <w:szCs w:val="24"/>
          <w:lang w:eastAsia="lv-LV"/>
        </w:rPr>
        <w:tab/>
      </w:r>
      <w:r w:rsidR="000D1365">
        <w:rPr>
          <w:rFonts w:ascii="Times New Roman" w:eastAsia="Times New Roman" w:hAnsi="Times New Roman" w:cs="Times New Roman"/>
          <w:sz w:val="24"/>
          <w:szCs w:val="24"/>
          <w:lang w:eastAsia="lv-LV"/>
        </w:rPr>
        <w:t>Elita Turka</w:t>
      </w:r>
    </w:p>
    <w:p w:rsidR="007C035E" w:rsidRPr="005B6906" w:rsidP="00606402">
      <w:pPr>
        <w:overflowPunct w:val="0"/>
        <w:autoSpaceDE w:val="0"/>
        <w:autoSpaceDN w:val="0"/>
        <w:adjustRightInd w:val="0"/>
        <w:spacing w:before="0" w:after="0"/>
        <w:jc w:val="both"/>
        <w:textAlignment w:val="baseline"/>
        <w:rPr>
          <w:rFonts w:ascii="Times New Roman" w:eastAsia="Times New Roman" w:hAnsi="Times New Roman" w:cs="Times New Roman"/>
          <w:sz w:val="24"/>
          <w:szCs w:val="24"/>
          <w:lang w:eastAsia="lv-LV"/>
        </w:rPr>
      </w:pPr>
    </w:p>
    <w:p w:rsidR="00E36A85" w:rsidP="00606402">
      <w:pPr>
        <w:spacing w:before="0" w:after="0"/>
        <w:jc w:val="both"/>
        <w:rPr>
          <w:rFonts w:ascii="Times New Roman" w:eastAsia="Times New Roman" w:hAnsi="Times New Roman" w:cs="Times New Roman"/>
          <w:sz w:val="20"/>
          <w:szCs w:val="20"/>
        </w:rPr>
      </w:pPr>
    </w:p>
    <w:p w:rsidR="00D43E51" w:rsidP="00606402">
      <w:pPr>
        <w:spacing w:before="0" w:after="0"/>
        <w:jc w:val="both"/>
        <w:rPr>
          <w:rFonts w:ascii="Times New Roman" w:eastAsia="Times New Roman" w:hAnsi="Times New Roman" w:cs="Times New Roman"/>
          <w:sz w:val="20"/>
          <w:szCs w:val="20"/>
        </w:rPr>
      </w:pPr>
    </w:p>
    <w:p w:rsidR="00AD01E2" w:rsidP="00606402">
      <w:pPr>
        <w:spacing w:before="0" w:after="0"/>
        <w:jc w:val="both"/>
        <w:rPr>
          <w:rFonts w:ascii="Times New Roman" w:eastAsia="Times New Roman" w:hAnsi="Times New Roman" w:cs="Times New Roman"/>
          <w:sz w:val="20"/>
          <w:szCs w:val="20"/>
        </w:rPr>
      </w:pPr>
    </w:p>
    <w:p w:rsidR="00D43E51" w:rsidP="00606402">
      <w:pPr>
        <w:spacing w:before="0" w:after="0"/>
        <w:jc w:val="both"/>
        <w:rPr>
          <w:rFonts w:ascii="Times New Roman" w:eastAsia="Times New Roman" w:hAnsi="Times New Roman" w:cs="Times New Roman"/>
          <w:sz w:val="20"/>
          <w:szCs w:val="20"/>
        </w:rPr>
      </w:pPr>
    </w:p>
    <w:p w:rsidR="00D43E51" w:rsidRPr="007C035E" w:rsidP="00606402">
      <w:pPr>
        <w:spacing w:before="0" w:after="0"/>
        <w:jc w:val="both"/>
        <w:rPr>
          <w:rFonts w:ascii="Times New Roman" w:eastAsia="Times New Roman" w:hAnsi="Times New Roman" w:cs="Times New Roman"/>
          <w:sz w:val="20"/>
          <w:szCs w:val="20"/>
        </w:rPr>
      </w:pPr>
    </w:p>
    <w:p w:rsidR="00606402" w:rsidRPr="00C362A9" w:rsidP="00606402">
      <w:pPr>
        <w:spacing w:before="0" w:after="0"/>
        <w:jc w:val="both"/>
        <w:rPr>
          <w:rFonts w:ascii="Times New Roman" w:eastAsia="Times New Roman" w:hAnsi="Times New Roman" w:cs="Times New Roman"/>
          <w:sz w:val="16"/>
          <w:szCs w:val="16"/>
        </w:rPr>
      </w:pPr>
      <w:r w:rsidRPr="00C362A9">
        <w:rPr>
          <w:rFonts w:ascii="Times New Roman" w:eastAsia="Times New Roman" w:hAnsi="Times New Roman" w:cs="Times New Roman"/>
          <w:sz w:val="16"/>
          <w:szCs w:val="16"/>
        </w:rPr>
        <w:fldChar w:fldCharType="begin"/>
      </w:r>
      <w:r w:rsidRPr="00C362A9">
        <w:rPr>
          <w:rFonts w:ascii="Times New Roman" w:eastAsia="Times New Roman" w:hAnsi="Times New Roman" w:cs="Times New Roman"/>
          <w:sz w:val="16"/>
          <w:szCs w:val="16"/>
        </w:rPr>
        <w:instrText xml:space="preserve"> DATE  \@ "dd.MM.yyyy. H:mm"  \* MERGEFORMAT </w:instrText>
      </w:r>
      <w:r w:rsidRPr="00C362A9">
        <w:rPr>
          <w:rFonts w:ascii="Times New Roman" w:eastAsia="Times New Roman" w:hAnsi="Times New Roman" w:cs="Times New Roman"/>
          <w:sz w:val="16"/>
          <w:szCs w:val="16"/>
        </w:rPr>
        <w:fldChar w:fldCharType="separate"/>
      </w:r>
      <w:r w:rsidR="000D1365">
        <w:rPr>
          <w:rFonts w:ascii="Times New Roman" w:eastAsia="Times New Roman" w:hAnsi="Times New Roman" w:cs="Times New Roman"/>
          <w:noProof/>
          <w:sz w:val="16"/>
          <w:szCs w:val="16"/>
        </w:rPr>
        <w:t>08.08.2017. 8:56</w:t>
      </w:r>
      <w:r w:rsidRPr="00C362A9">
        <w:rPr>
          <w:rFonts w:ascii="Times New Roman" w:eastAsia="Times New Roman" w:hAnsi="Times New Roman" w:cs="Times New Roman"/>
          <w:sz w:val="16"/>
          <w:szCs w:val="16"/>
        </w:rPr>
        <w:fldChar w:fldCharType="end"/>
      </w:r>
    </w:p>
    <w:p w:rsidR="00C362A9" w:rsidRPr="00C362A9" w:rsidP="007611B5">
      <w:pPr>
        <w:tabs>
          <w:tab w:val="left" w:pos="3750"/>
          <w:tab w:val="center" w:pos="4535"/>
        </w:tabs>
        <w:spacing w:before="0" w:after="0"/>
        <w:jc w:val="both"/>
        <w:rPr>
          <w:rFonts w:ascii="Times New Roman" w:hAnsi="Times New Roman"/>
          <w:sz w:val="16"/>
          <w:szCs w:val="16"/>
        </w:rPr>
      </w:pPr>
      <w:bookmarkStart w:id="3" w:name="_GoBack"/>
      <w:bookmarkEnd w:id="3"/>
      <w:r>
        <w:rPr>
          <w:rFonts w:ascii="Times New Roman" w:hAnsi="Times New Roman"/>
          <w:sz w:val="16"/>
          <w:szCs w:val="16"/>
        </w:rPr>
        <w:fldChar w:fldCharType="begin"/>
      </w:r>
      <w:r>
        <w:rPr>
          <w:rFonts w:ascii="Times New Roman" w:hAnsi="Times New Roman"/>
          <w:sz w:val="16"/>
          <w:szCs w:val="16"/>
        </w:rPr>
        <w:instrText xml:space="preserve"> NUMWORDS   \* MERGEFORMAT </w:instrText>
      </w:r>
      <w:r>
        <w:rPr>
          <w:rFonts w:ascii="Times New Roman" w:hAnsi="Times New Roman"/>
          <w:sz w:val="16"/>
          <w:szCs w:val="16"/>
        </w:rPr>
        <w:fldChar w:fldCharType="separate"/>
      </w:r>
      <w:r w:rsidR="00E57302">
        <w:rPr>
          <w:rFonts w:ascii="Times New Roman" w:hAnsi="Times New Roman"/>
          <w:noProof/>
          <w:sz w:val="16"/>
          <w:szCs w:val="16"/>
        </w:rPr>
        <w:t>1377</w:t>
      </w:r>
      <w:r>
        <w:rPr>
          <w:rFonts w:ascii="Times New Roman" w:hAnsi="Times New Roman"/>
          <w:sz w:val="16"/>
          <w:szCs w:val="16"/>
        </w:rPr>
        <w:fldChar w:fldCharType="end"/>
      </w:r>
    </w:p>
    <w:p w:rsidR="00AD01E2" w:rsidP="00C04020">
      <w:pPr>
        <w:spacing w:before="0" w:after="0"/>
        <w:rPr>
          <w:rFonts w:ascii="Times New Roman" w:hAnsi="Times New Roman"/>
          <w:sz w:val="16"/>
          <w:szCs w:val="16"/>
        </w:rPr>
      </w:pPr>
      <w:r w:rsidRPr="00C362A9">
        <w:rPr>
          <w:rFonts w:ascii="Times New Roman" w:hAnsi="Times New Roman"/>
          <w:sz w:val="16"/>
          <w:szCs w:val="16"/>
        </w:rPr>
        <w:t>Kalniņa</w:t>
      </w:r>
      <w:r>
        <w:rPr>
          <w:rFonts w:ascii="Times New Roman" w:hAnsi="Times New Roman"/>
          <w:sz w:val="16"/>
          <w:szCs w:val="16"/>
        </w:rPr>
        <w:t>, 67026576</w:t>
      </w:r>
    </w:p>
    <w:p w:rsidR="000716C7" w:rsidP="00C04020">
      <w:pPr>
        <w:spacing w:before="0" w:after="0"/>
        <w:rPr>
          <w:rStyle w:val="Hyperlink"/>
          <w:rFonts w:ascii="Times New Roman" w:hAnsi="Times New Roman"/>
          <w:sz w:val="16"/>
          <w:szCs w:val="16"/>
        </w:rPr>
      </w:pPr>
      <w:r>
        <w:fldChar w:fldCharType="begin"/>
      </w:r>
      <w:r>
        <w:instrText xml:space="preserve"> HYPERLINK "mailto:lelda.kalnina@varam.gov.lv" </w:instrText>
      </w:r>
      <w:r>
        <w:fldChar w:fldCharType="separate"/>
      </w:r>
      <w:r w:rsidRPr="00C362A9" w:rsidR="007611B5">
        <w:rPr>
          <w:rStyle w:val="Hyperlink"/>
          <w:rFonts w:ascii="Times New Roman" w:hAnsi="Times New Roman"/>
          <w:sz w:val="16"/>
          <w:szCs w:val="16"/>
        </w:rPr>
        <w:t>lelda.kalnina@varam.gov.lv</w:t>
      </w:r>
      <w:r>
        <w:fldChar w:fldCharType="end"/>
      </w:r>
      <w:r w:rsidR="001F633A">
        <w:rPr>
          <w:rStyle w:val="Hyperlink"/>
          <w:rFonts w:ascii="Times New Roman" w:hAnsi="Times New Roman"/>
          <w:sz w:val="16"/>
          <w:szCs w:val="16"/>
        </w:rPr>
        <w:t xml:space="preserve"> </w:t>
      </w:r>
    </w:p>
    <w:p w:rsidR="00C362A9" w:rsidP="00C04020">
      <w:pPr>
        <w:spacing w:before="0" w:after="0"/>
        <w:rPr>
          <w:rStyle w:val="Hyperlink"/>
          <w:rFonts w:ascii="Times New Roman" w:hAnsi="Times New Roman"/>
          <w:sz w:val="16"/>
          <w:szCs w:val="16"/>
        </w:rPr>
      </w:pPr>
    </w:p>
    <w:p w:rsidR="00C362A9" w:rsidRPr="00C362A9" w:rsidP="00C362A9">
      <w:pPr>
        <w:spacing w:before="0" w:after="0"/>
        <w:rPr>
          <w:rFonts w:ascii="Times New Roman" w:eastAsia="Times New Roman" w:hAnsi="Times New Roman" w:cs="Times New Roman"/>
          <w:sz w:val="20"/>
          <w:szCs w:val="20"/>
          <w:lang w:eastAsia="lv-LV"/>
        </w:rPr>
      </w:pPr>
      <w:r w:rsidRPr="00C362A9">
        <w:rPr>
          <w:rFonts w:ascii="Times New Roman" w:eastAsia="Times New Roman" w:hAnsi="Times New Roman" w:cs="Times New Roman"/>
          <w:sz w:val="20"/>
          <w:szCs w:val="20"/>
          <w:lang w:eastAsia="lv-LV"/>
        </w:rPr>
        <w:t>Liopa</w:t>
      </w:r>
      <w:r w:rsidR="00AD01E2">
        <w:rPr>
          <w:rFonts w:ascii="Times New Roman" w:eastAsia="Times New Roman" w:hAnsi="Times New Roman" w:cs="Times New Roman"/>
          <w:sz w:val="20"/>
          <w:szCs w:val="20"/>
          <w:lang w:eastAsia="lv-LV"/>
        </w:rPr>
        <w:t xml:space="preserve">, </w:t>
      </w:r>
      <w:r w:rsidRPr="00C362A9">
        <w:rPr>
          <w:rFonts w:ascii="Times New Roman" w:eastAsia="Times New Roman" w:hAnsi="Times New Roman" w:cs="Times New Roman"/>
          <w:sz w:val="20"/>
          <w:szCs w:val="20"/>
          <w:lang w:eastAsia="lv-LV"/>
        </w:rPr>
        <w:t>67063807</w:t>
      </w:r>
    </w:p>
    <w:p w:rsidR="00C362A9" w:rsidRPr="00C362A9" w:rsidP="00C362A9">
      <w:pPr>
        <w:spacing w:before="0" w:after="0"/>
        <w:rPr>
          <w:rFonts w:ascii="Times New Roman" w:eastAsia="Times New Roman" w:hAnsi="Times New Roman" w:cs="Times New Roman"/>
          <w:sz w:val="20"/>
          <w:szCs w:val="20"/>
          <w:lang w:eastAsia="lv-LV"/>
        </w:rPr>
      </w:pPr>
      <w:r>
        <w:fldChar w:fldCharType="begin"/>
      </w:r>
      <w:r>
        <w:instrText xml:space="preserve"> HYPERLINK "mailto:jorens.liopa@ta.gov.lv" </w:instrText>
      </w:r>
      <w:r>
        <w:fldChar w:fldCharType="separate"/>
      </w:r>
      <w:r w:rsidRPr="00C362A9">
        <w:rPr>
          <w:rFonts w:ascii="Times New Roman" w:eastAsia="Times New Roman" w:hAnsi="Times New Roman" w:cs="Times New Roman"/>
          <w:color w:val="0000FF"/>
          <w:sz w:val="20"/>
          <w:szCs w:val="20"/>
          <w:u w:val="single"/>
          <w:lang w:eastAsia="lv-LV"/>
        </w:rPr>
        <w:t>jorens.liopa@ta.gov.lv</w:t>
      </w:r>
      <w:r>
        <w:fldChar w:fldCharType="end"/>
      </w:r>
    </w:p>
    <w:p w:rsidR="00C362A9" w:rsidRPr="00FF0C61" w:rsidP="00C04020">
      <w:pPr>
        <w:spacing w:before="0" w:after="0"/>
        <w:rPr>
          <w:rFonts w:ascii="Times New Roman" w:hAnsi="Times New Roman" w:cs="Times New Roman"/>
        </w:rPr>
      </w:pPr>
    </w:p>
    <w:sectPr w:rsidSect="001F633A">
      <w:headerReference w:type="default" r:id="rId5"/>
      <w:footerReference w:type="default" r:id="rId6"/>
      <w:footerReference w:type="first" r:id="rId7"/>
      <w:pgSz w:w="11906" w:h="16838"/>
      <w:pgMar w:top="1418" w:right="1134" w:bottom="1134" w:left="1701" w:header="709" w:footer="33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pPr>
      <w:pStyle w:val="Footer"/>
      <w:jc w:val="center"/>
    </w:pPr>
  </w:p>
  <w:p w:rsidR="00B44C2C" w:rsidP="00994D20">
    <w:pPr>
      <w:pStyle w:val="Footer"/>
    </w:pPr>
    <w:r w:rsidRPr="00EF6875">
      <w:rPr>
        <w:rFonts w:ascii="Times New Roman" w:hAnsi="Times New Roman" w:cs="Times New Roman"/>
        <w:sz w:val="20"/>
        <w:szCs w:val="20"/>
      </w:rPr>
      <w:t>V</w:t>
    </w:r>
    <w:r w:rsidR="00E0151E">
      <w:rPr>
        <w:rFonts w:ascii="Times New Roman" w:hAnsi="Times New Roman" w:cs="Times New Roman"/>
        <w:sz w:val="20"/>
        <w:szCs w:val="20"/>
      </w:rPr>
      <w:t>ARAMRikP_20072017_MA_16.0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6A85" w:rsidRPr="00EF6875" w:rsidP="00EF6875">
    <w:pPr>
      <w:pStyle w:val="Footer"/>
    </w:pPr>
    <w:r w:rsidRPr="00EF6875">
      <w:rPr>
        <w:rFonts w:ascii="Times New Roman" w:hAnsi="Times New Roman" w:cs="Times New Roman"/>
        <w:sz w:val="20"/>
        <w:szCs w:val="20"/>
      </w:rPr>
      <w:t>V</w:t>
    </w:r>
    <w:r w:rsidR="00E0151E">
      <w:rPr>
        <w:rFonts w:ascii="Times New Roman" w:hAnsi="Times New Roman" w:cs="Times New Roman"/>
        <w:sz w:val="20"/>
        <w:szCs w:val="20"/>
      </w:rPr>
      <w:t>ARAMRikP_20072017_MA_16.0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40698944"/>
      <w:docPartObj>
        <w:docPartGallery w:val="Page Numbers (Top of Page)"/>
        <w:docPartUnique/>
      </w:docPartObj>
    </w:sdtPr>
    <w:sdtEndPr>
      <w:rPr>
        <w:noProof/>
      </w:rPr>
    </w:sdtEndPr>
    <w:sdtContent>
      <w:p w:rsidR="00E36A85">
        <w:pPr>
          <w:pStyle w:val="Header"/>
          <w:jc w:val="center"/>
        </w:pPr>
        <w:r>
          <w:fldChar w:fldCharType="begin"/>
        </w:r>
        <w:r>
          <w:instrText xml:space="preserve"> PAGE   \* MERGEFORMAT </w:instrText>
        </w:r>
        <w:r>
          <w:fldChar w:fldCharType="separate"/>
        </w:r>
        <w:r w:rsidR="00E57302">
          <w:rPr>
            <w:noProof/>
          </w:rPr>
          <w:t>5</w:t>
        </w:r>
        <w:r>
          <w:rPr>
            <w:noProof/>
          </w:rPr>
          <w:fldChar w:fldCharType="end"/>
        </w:r>
      </w:p>
    </w:sdtContent>
  </w:sdt>
  <w:p w:rsidR="00E3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E6430F"/>
    <w:multiLevelType w:val="hybridMultilevel"/>
    <w:tmpl w:val="909EA08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58C097C"/>
    <w:multiLevelType w:val="hybridMultilevel"/>
    <w:tmpl w:val="C0CCD58C"/>
    <w:lvl w:ilvl="0">
      <w:start w:val="1"/>
      <w:numFmt w:val="decimal"/>
      <w:lvlText w:val="%1."/>
      <w:lvlJc w:val="left"/>
      <w:pPr>
        <w:ind w:left="360" w:hanging="360"/>
      </w:pPr>
      <w:rPr>
        <w:rFonts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5AB1D4D"/>
    <w:multiLevelType w:val="hybridMultilevel"/>
    <w:tmpl w:val="7E4481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731080C"/>
    <w:multiLevelType w:val="hybridMultilevel"/>
    <w:tmpl w:val="AF8AB1D6"/>
    <w:lvl w:ilvl="0">
      <w:start w:val="1"/>
      <w:numFmt w:val="bullet"/>
      <w:lvlText w:val=""/>
      <w:lvlJc w:val="left"/>
      <w:pPr>
        <w:ind w:left="1080" w:hanging="360"/>
      </w:pPr>
      <w:rPr>
        <w:rFonts w:ascii="Wingdings" w:hAnsi="Wingdings"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09E416F2"/>
    <w:multiLevelType w:val="hybridMultilevel"/>
    <w:tmpl w:val="4ACE5996"/>
    <w:lvl w:ilvl="0">
      <w:start w:val="1"/>
      <w:numFmt w:val="bullet"/>
      <w:pStyle w:val="VPBullet1"/>
      <w:lvlText w:val=""/>
      <w:lvlJc w:val="left"/>
      <w:pPr>
        <w:ind w:left="720" w:hanging="360"/>
      </w:pPr>
      <w:rPr>
        <w:rFonts w:ascii="Wingdings" w:hAnsi="Wingdings" w:hint="default"/>
        <w:color w:val="808080" w:themeColor="background1" w:themeShade="8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EF91E05"/>
    <w:multiLevelType w:val="hybridMultilevel"/>
    <w:tmpl w:val="D11A7E80"/>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149B384A"/>
    <w:multiLevelType w:val="hybridMultilevel"/>
    <w:tmpl w:val="37A4E19C"/>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350134"/>
    <w:multiLevelType w:val="hybridMultilevel"/>
    <w:tmpl w:val="E954C2C4"/>
    <w:lvl w:ilvl="0">
      <w:start w:val="1"/>
      <w:numFmt w:val="decimal"/>
      <w:lvlText w:val="%1."/>
      <w:lvlJc w:val="left"/>
      <w:pPr>
        <w:ind w:left="360" w:hanging="360"/>
      </w:pPr>
      <w:rPr>
        <w:rFonts w:hint="default"/>
        <w:b w:val="0"/>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181338AE"/>
    <w:multiLevelType w:val="hybridMultilevel"/>
    <w:tmpl w:val="787802C4"/>
    <w:lvl w:ilvl="0">
      <w:start w:val="201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1CFF21A8"/>
    <w:multiLevelType w:val="hybridMultilevel"/>
    <w:tmpl w:val="E8A0C6B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E07392F"/>
    <w:multiLevelType w:val="hybridMultilevel"/>
    <w:tmpl w:val="05DE5A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23BE5D64"/>
    <w:multiLevelType w:val="hybridMultilevel"/>
    <w:tmpl w:val="A992C3EA"/>
    <w:lvl w:ilvl="0">
      <w:start w:val="6"/>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9BD64B9"/>
    <w:multiLevelType w:val="hybridMultilevel"/>
    <w:tmpl w:val="87A89F66"/>
    <w:lvl w:ilvl="0">
      <w:start w:val="1"/>
      <w:numFmt w:val="bullet"/>
      <w:lvlText w:val="-"/>
      <w:lvlJc w:val="left"/>
      <w:pPr>
        <w:ind w:left="360" w:hanging="360"/>
      </w:pPr>
      <w:rPr>
        <w:rFonts w:ascii="Times New Roman" w:eastAsia="Times New Roman"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32B453EB"/>
    <w:multiLevelType w:val="hybridMultilevel"/>
    <w:tmpl w:val="62667F4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342700E7"/>
    <w:multiLevelType w:val="hybridMultilevel"/>
    <w:tmpl w:val="D72E8AC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49569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E7D0F64"/>
    <w:multiLevelType w:val="hybridMultilevel"/>
    <w:tmpl w:val="C4F21650"/>
    <w:lvl w:ilvl="0">
      <w:start w:val="0"/>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7647ECF"/>
    <w:multiLevelType w:val="hybridMultilevel"/>
    <w:tmpl w:val="3834A752"/>
    <w:lvl w:ilvl="0">
      <w:start w:val="0"/>
      <w:numFmt w:val="bullet"/>
      <w:lvlText w:val="-"/>
      <w:lvlJc w:val="left"/>
      <w:pPr>
        <w:ind w:left="720" w:hanging="360"/>
      </w:pPr>
      <w:rPr>
        <w:rFonts w:ascii="Times New Roman" w:eastAsia="MS Mincho"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A864706"/>
    <w:multiLevelType w:val="hybridMultilevel"/>
    <w:tmpl w:val="4C70BCD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B5660B0"/>
    <w:multiLevelType w:val="multilevel"/>
    <w:tmpl w:val="1534D2F0"/>
    <w:lvl w:ilvl="0">
      <w:start w:val="1"/>
      <w:numFmt w:val="decimal"/>
      <w:pStyle w:val="VPBullet"/>
      <w:lvlText w:val="%1."/>
      <w:lvlJc w:val="left"/>
      <w:pPr>
        <w:ind w:left="1080" w:hanging="360"/>
      </w:pPr>
      <w:rPr>
        <w:rFonts w:ascii="Times New Roman" w:hAnsi="Times New Roman" w:eastAsiaTheme="minorHAnsi"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0">
    <w:nsid w:val="4EBE1630"/>
    <w:multiLevelType w:val="hybridMultilevel"/>
    <w:tmpl w:val="CC64A0FC"/>
    <w:lvl w:ilvl="0">
      <w:start w:val="1"/>
      <w:numFmt w:val="bullet"/>
      <w:lvlText w:val=""/>
      <w:lvlJc w:val="left"/>
      <w:pPr>
        <w:ind w:left="360" w:hanging="360"/>
      </w:pPr>
      <w:rPr>
        <w:rFonts w:ascii="Symbol" w:hAnsi="Symbol"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F111780"/>
    <w:multiLevelType w:val="hybridMultilevel"/>
    <w:tmpl w:val="524465F6"/>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5007631A"/>
    <w:multiLevelType w:val="hybridMultilevel"/>
    <w:tmpl w:val="6EDA3EE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02D2312"/>
    <w:multiLevelType w:val="hybridMultilevel"/>
    <w:tmpl w:val="51CEA900"/>
    <w:lvl w:ilvl="0">
      <w:start w:val="1"/>
      <w:numFmt w:val="bullet"/>
      <w:lvlText w:val="-"/>
      <w:lvlJc w:val="left"/>
      <w:pPr>
        <w:ind w:left="1440" w:hanging="360"/>
      </w:pPr>
      <w:rPr>
        <w:rFonts w:ascii="Times New Roman" w:eastAsia="Times New Roman"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52315F1A"/>
    <w:multiLevelType w:val="hybridMultilevel"/>
    <w:tmpl w:val="6B18F76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552B18F2"/>
    <w:multiLevelType w:val="hybridMultilevel"/>
    <w:tmpl w:val="64FCB4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5835BBD"/>
    <w:multiLevelType w:val="hybridMultilevel"/>
    <w:tmpl w:val="8774D5FE"/>
    <w:lvl w:ilvl="0">
      <w:start w:val="1"/>
      <w:numFmt w:val="decimal"/>
      <w:pStyle w:val="VPNumbered"/>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EA246ED"/>
    <w:multiLevelType w:val="hybridMultilevel"/>
    <w:tmpl w:val="5FD00862"/>
    <w:lvl w:ilvl="0">
      <w:start w:val="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9">
    <w:nsid w:val="60FD0238"/>
    <w:multiLevelType w:val="hybridMultilevel"/>
    <w:tmpl w:val="F4EC9A6C"/>
    <w:lvl w:ilvl="0">
      <w:start w:val="1"/>
      <w:numFmt w:val="decimal"/>
      <w:lvlText w:val="%1."/>
      <w:lvlJc w:val="left"/>
      <w:pPr>
        <w:ind w:left="360" w:firstLine="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nsid w:val="65D56FC3"/>
    <w:multiLevelType w:val="hybridMultilevel"/>
    <w:tmpl w:val="B8BCA424"/>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2">
    <w:nsid w:val="684F7736"/>
    <w:multiLevelType w:val="hybridMultilevel"/>
    <w:tmpl w:val="69E270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6B2A0904"/>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4">
    <w:nsid w:val="6DB634FE"/>
    <w:multiLevelType w:val="hybridMultilevel"/>
    <w:tmpl w:val="8620E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5">
    <w:nsid w:val="6F6D659B"/>
    <w:multiLevelType w:val="hybridMultilevel"/>
    <w:tmpl w:val="864200C8"/>
    <w:lvl w:ilvl="0">
      <w:start w:val="1"/>
      <w:numFmt w:val="decimal"/>
      <w:lvlText w:val="%1."/>
      <w:lvlJc w:val="left"/>
      <w:pPr>
        <w:ind w:left="360" w:hanging="360"/>
      </w:pPr>
      <w:rPr>
        <w:rFonts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6">
    <w:nsid w:val="76C81AE1"/>
    <w:multiLevelType w:val="hybridMultilevel"/>
    <w:tmpl w:val="D82475B0"/>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7">
    <w:nsid w:val="79797C41"/>
    <w:multiLevelType w:val="hybridMultilevel"/>
    <w:tmpl w:val="18FA87B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8">
    <w:nsid w:val="7D4E71EC"/>
    <w:multiLevelType w:val="hybridMultilevel"/>
    <w:tmpl w:val="7AAA628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EE84F6D"/>
    <w:multiLevelType w:val="hybridMultilevel"/>
    <w:tmpl w:val="093A3B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4"/>
  </w:num>
  <w:num w:numId="2">
    <w:abstractNumId w:val="30"/>
  </w:num>
  <w:num w:numId="3">
    <w:abstractNumId w:val="25"/>
  </w:num>
  <w:num w:numId="4">
    <w:abstractNumId w:val="10"/>
  </w:num>
  <w:num w:numId="5">
    <w:abstractNumId w:val="36"/>
  </w:num>
  <w:num w:numId="6">
    <w:abstractNumId w:val="2"/>
  </w:num>
  <w:num w:numId="7">
    <w:abstractNumId w:val="20"/>
  </w:num>
  <w:num w:numId="8">
    <w:abstractNumId w:val="34"/>
  </w:num>
  <w:num w:numId="9">
    <w:abstractNumId w:val="1"/>
  </w:num>
  <w:num w:numId="10">
    <w:abstractNumId w:val="38"/>
  </w:num>
  <w:num w:numId="11">
    <w:abstractNumId w:val="26"/>
  </w:num>
  <w:num w:numId="12">
    <w:abstractNumId w:val="17"/>
  </w:num>
  <w:num w:numId="13">
    <w:abstractNumId w:val="3"/>
  </w:num>
  <w:num w:numId="14">
    <w:abstractNumId w:val="33"/>
  </w:num>
  <w:num w:numId="15">
    <w:abstractNumId w:val="39"/>
  </w:num>
  <w:num w:numId="16">
    <w:abstractNumId w:val="13"/>
  </w:num>
  <w:num w:numId="17">
    <w:abstractNumId w:val="15"/>
  </w:num>
  <w:num w:numId="18">
    <w:abstractNumId w:val="31"/>
  </w:num>
  <w:num w:numId="19">
    <w:abstractNumId w:val="18"/>
  </w:num>
  <w:num w:numId="20">
    <w:abstractNumId w:val="12"/>
  </w:num>
  <w:num w:numId="21">
    <w:abstractNumId w:val="5"/>
  </w:num>
  <w:num w:numId="22">
    <w:abstractNumId w:val="9"/>
  </w:num>
  <w:num w:numId="23">
    <w:abstractNumId w:val="28"/>
  </w:num>
  <w:num w:numId="24">
    <w:abstractNumId w:val="6"/>
  </w:num>
  <w:num w:numId="25">
    <w:abstractNumId w:val="23"/>
  </w:num>
  <w:num w:numId="26">
    <w:abstractNumId w:val="8"/>
  </w:num>
  <w:num w:numId="27">
    <w:abstractNumId w:val="7"/>
  </w:num>
  <w:num w:numId="28">
    <w:abstractNumId w:val="21"/>
  </w:num>
  <w:num w:numId="29">
    <w:abstractNumId w:val="14"/>
  </w:num>
  <w:num w:numId="30">
    <w:abstractNumId w:val="11"/>
  </w:num>
  <w:num w:numId="31">
    <w:abstractNumId w:val="32"/>
  </w:num>
  <w:num w:numId="32">
    <w:abstractNumId w:val="16"/>
  </w:num>
  <w:num w:numId="33">
    <w:abstractNumId w:val="35"/>
  </w:num>
  <w:num w:numId="34">
    <w:abstractNumId w:val="37"/>
  </w:num>
  <w:num w:numId="35">
    <w:abstractNumId w:val="19"/>
  </w:num>
  <w:num w:numId="36">
    <w:abstractNumId w:val="27"/>
  </w:num>
  <w:num w:numId="37">
    <w:abstractNumId w:val="27"/>
    <w:lvlOverride w:ilvl="0">
      <w:startOverride w:val="1"/>
    </w:lvlOverride>
  </w:num>
  <w:num w:numId="38">
    <w:abstractNumId w:val="27"/>
  </w:num>
  <w:num w:numId="39">
    <w:abstractNumId w:val="27"/>
  </w:num>
  <w:num w:numId="40">
    <w:abstractNumId w:val="0"/>
  </w:num>
  <w:num w:numId="41">
    <w:abstractNumId w:val="24"/>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7"/>
  </w:num>
  <w:num w:numId="45">
    <w:abstractNumId w:val="22"/>
  </w:num>
  <w:num w:numId="46">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102B"/>
    <w:rsid w:val="00011091"/>
    <w:rsid w:val="000112D0"/>
    <w:rsid w:val="00012875"/>
    <w:rsid w:val="00012979"/>
    <w:rsid w:val="00012A21"/>
    <w:rsid w:val="000160EA"/>
    <w:rsid w:val="0002280B"/>
    <w:rsid w:val="00022BFB"/>
    <w:rsid w:val="00023082"/>
    <w:rsid w:val="00024E33"/>
    <w:rsid w:val="00030B3D"/>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DB0"/>
    <w:rsid w:val="00085831"/>
    <w:rsid w:val="000877AA"/>
    <w:rsid w:val="0008780E"/>
    <w:rsid w:val="0009115B"/>
    <w:rsid w:val="00091CA3"/>
    <w:rsid w:val="000934FD"/>
    <w:rsid w:val="00094359"/>
    <w:rsid w:val="00095328"/>
    <w:rsid w:val="00095CD9"/>
    <w:rsid w:val="00097681"/>
    <w:rsid w:val="000A0A3F"/>
    <w:rsid w:val="000A2A69"/>
    <w:rsid w:val="000A3613"/>
    <w:rsid w:val="000A470F"/>
    <w:rsid w:val="000B288E"/>
    <w:rsid w:val="000B486B"/>
    <w:rsid w:val="000B49EB"/>
    <w:rsid w:val="000B527B"/>
    <w:rsid w:val="000C1BB0"/>
    <w:rsid w:val="000C7608"/>
    <w:rsid w:val="000C7BB8"/>
    <w:rsid w:val="000D1365"/>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5D6"/>
    <w:rsid w:val="000F2E02"/>
    <w:rsid w:val="000F344D"/>
    <w:rsid w:val="000F375B"/>
    <w:rsid w:val="000F47DD"/>
    <w:rsid w:val="000F657F"/>
    <w:rsid w:val="000F6B87"/>
    <w:rsid w:val="000F7B80"/>
    <w:rsid w:val="001008D3"/>
    <w:rsid w:val="00104B6F"/>
    <w:rsid w:val="001055BB"/>
    <w:rsid w:val="00106FFF"/>
    <w:rsid w:val="00107C17"/>
    <w:rsid w:val="001134A9"/>
    <w:rsid w:val="0011519A"/>
    <w:rsid w:val="00116DD0"/>
    <w:rsid w:val="001201A2"/>
    <w:rsid w:val="00120F02"/>
    <w:rsid w:val="00123E23"/>
    <w:rsid w:val="001263E9"/>
    <w:rsid w:val="00126967"/>
    <w:rsid w:val="00127F10"/>
    <w:rsid w:val="001342C4"/>
    <w:rsid w:val="00134D02"/>
    <w:rsid w:val="00144AD0"/>
    <w:rsid w:val="00144CFA"/>
    <w:rsid w:val="00150CC0"/>
    <w:rsid w:val="0015181B"/>
    <w:rsid w:val="001541D0"/>
    <w:rsid w:val="00160646"/>
    <w:rsid w:val="00161FF0"/>
    <w:rsid w:val="00162CE0"/>
    <w:rsid w:val="00162D69"/>
    <w:rsid w:val="00167180"/>
    <w:rsid w:val="00174500"/>
    <w:rsid w:val="00176228"/>
    <w:rsid w:val="00180A79"/>
    <w:rsid w:val="00181405"/>
    <w:rsid w:val="001838A2"/>
    <w:rsid w:val="001846A2"/>
    <w:rsid w:val="001910C4"/>
    <w:rsid w:val="00193142"/>
    <w:rsid w:val="0019571B"/>
    <w:rsid w:val="001A092F"/>
    <w:rsid w:val="001A14D0"/>
    <w:rsid w:val="001A15E4"/>
    <w:rsid w:val="001A33F6"/>
    <w:rsid w:val="001B07B8"/>
    <w:rsid w:val="001B0ABE"/>
    <w:rsid w:val="001B54D7"/>
    <w:rsid w:val="001D3205"/>
    <w:rsid w:val="001D6FC9"/>
    <w:rsid w:val="001E1923"/>
    <w:rsid w:val="001E30F1"/>
    <w:rsid w:val="001F1A97"/>
    <w:rsid w:val="001F56B0"/>
    <w:rsid w:val="001F5F34"/>
    <w:rsid w:val="001F633A"/>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0C4A"/>
    <w:rsid w:val="00233F95"/>
    <w:rsid w:val="002356EB"/>
    <w:rsid w:val="0024037D"/>
    <w:rsid w:val="00241635"/>
    <w:rsid w:val="00242933"/>
    <w:rsid w:val="002452B8"/>
    <w:rsid w:val="00247F2F"/>
    <w:rsid w:val="00251F63"/>
    <w:rsid w:val="00252A21"/>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2A3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2D4E"/>
    <w:rsid w:val="00320C86"/>
    <w:rsid w:val="0032399B"/>
    <w:rsid w:val="00324BF2"/>
    <w:rsid w:val="00334C37"/>
    <w:rsid w:val="00335CF7"/>
    <w:rsid w:val="00336DED"/>
    <w:rsid w:val="00345405"/>
    <w:rsid w:val="0034544F"/>
    <w:rsid w:val="00345695"/>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649"/>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2BDD"/>
    <w:rsid w:val="003B4660"/>
    <w:rsid w:val="003C033A"/>
    <w:rsid w:val="003C2921"/>
    <w:rsid w:val="003C2D51"/>
    <w:rsid w:val="003C7EBE"/>
    <w:rsid w:val="003D08D9"/>
    <w:rsid w:val="003D1F94"/>
    <w:rsid w:val="003D2194"/>
    <w:rsid w:val="003D45B6"/>
    <w:rsid w:val="003E216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1F0"/>
    <w:rsid w:val="00410349"/>
    <w:rsid w:val="0041043F"/>
    <w:rsid w:val="004109A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971CE"/>
    <w:rsid w:val="004A2894"/>
    <w:rsid w:val="004A2E28"/>
    <w:rsid w:val="004A6034"/>
    <w:rsid w:val="004A7BD7"/>
    <w:rsid w:val="004B34FC"/>
    <w:rsid w:val="004B398A"/>
    <w:rsid w:val="004B6857"/>
    <w:rsid w:val="004B6C1D"/>
    <w:rsid w:val="004B72C7"/>
    <w:rsid w:val="004C1528"/>
    <w:rsid w:val="004C19F3"/>
    <w:rsid w:val="004C5462"/>
    <w:rsid w:val="004C7AEC"/>
    <w:rsid w:val="004D49FA"/>
    <w:rsid w:val="004E1EDC"/>
    <w:rsid w:val="004E2C78"/>
    <w:rsid w:val="004E56ED"/>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C48"/>
    <w:rsid w:val="00535F3B"/>
    <w:rsid w:val="00536C7F"/>
    <w:rsid w:val="00537852"/>
    <w:rsid w:val="00540942"/>
    <w:rsid w:val="005467B6"/>
    <w:rsid w:val="0055797F"/>
    <w:rsid w:val="00561319"/>
    <w:rsid w:val="00562E57"/>
    <w:rsid w:val="00565560"/>
    <w:rsid w:val="00565584"/>
    <w:rsid w:val="00571E72"/>
    <w:rsid w:val="00575D35"/>
    <w:rsid w:val="005773EA"/>
    <w:rsid w:val="005776DE"/>
    <w:rsid w:val="00581FCB"/>
    <w:rsid w:val="00587060"/>
    <w:rsid w:val="00591043"/>
    <w:rsid w:val="00592A2A"/>
    <w:rsid w:val="00592F62"/>
    <w:rsid w:val="00593866"/>
    <w:rsid w:val="00597DF5"/>
    <w:rsid w:val="005A08A5"/>
    <w:rsid w:val="005A23F4"/>
    <w:rsid w:val="005A4D85"/>
    <w:rsid w:val="005B124E"/>
    <w:rsid w:val="005B21ED"/>
    <w:rsid w:val="005B28D4"/>
    <w:rsid w:val="005B29FF"/>
    <w:rsid w:val="005B33D1"/>
    <w:rsid w:val="005B6906"/>
    <w:rsid w:val="005C3410"/>
    <w:rsid w:val="005C74EC"/>
    <w:rsid w:val="005D04C5"/>
    <w:rsid w:val="005D23D2"/>
    <w:rsid w:val="005D270E"/>
    <w:rsid w:val="005E01B5"/>
    <w:rsid w:val="005E042E"/>
    <w:rsid w:val="005E1232"/>
    <w:rsid w:val="005E260F"/>
    <w:rsid w:val="005E5475"/>
    <w:rsid w:val="005E5834"/>
    <w:rsid w:val="005F135E"/>
    <w:rsid w:val="005F259D"/>
    <w:rsid w:val="00603098"/>
    <w:rsid w:val="00606402"/>
    <w:rsid w:val="00611978"/>
    <w:rsid w:val="0061496D"/>
    <w:rsid w:val="00622860"/>
    <w:rsid w:val="006240CE"/>
    <w:rsid w:val="00627B13"/>
    <w:rsid w:val="00631729"/>
    <w:rsid w:val="00634695"/>
    <w:rsid w:val="00635A8C"/>
    <w:rsid w:val="0064028E"/>
    <w:rsid w:val="006429ED"/>
    <w:rsid w:val="00645C1C"/>
    <w:rsid w:val="006476E9"/>
    <w:rsid w:val="006537A4"/>
    <w:rsid w:val="00654B24"/>
    <w:rsid w:val="00664220"/>
    <w:rsid w:val="00664DE7"/>
    <w:rsid w:val="006651AF"/>
    <w:rsid w:val="00665296"/>
    <w:rsid w:val="006656F2"/>
    <w:rsid w:val="00670DB3"/>
    <w:rsid w:val="00674431"/>
    <w:rsid w:val="006779A9"/>
    <w:rsid w:val="006809C0"/>
    <w:rsid w:val="00684DA1"/>
    <w:rsid w:val="00685C8A"/>
    <w:rsid w:val="00687130"/>
    <w:rsid w:val="0069162E"/>
    <w:rsid w:val="006919CE"/>
    <w:rsid w:val="006929E4"/>
    <w:rsid w:val="00694BEA"/>
    <w:rsid w:val="006A002C"/>
    <w:rsid w:val="006A0089"/>
    <w:rsid w:val="006A286C"/>
    <w:rsid w:val="006A3CD0"/>
    <w:rsid w:val="006A58F6"/>
    <w:rsid w:val="006A5E15"/>
    <w:rsid w:val="006A614D"/>
    <w:rsid w:val="006B0F87"/>
    <w:rsid w:val="006B1C9D"/>
    <w:rsid w:val="006B2517"/>
    <w:rsid w:val="006B28A7"/>
    <w:rsid w:val="006B3785"/>
    <w:rsid w:val="006B6E77"/>
    <w:rsid w:val="006C1776"/>
    <w:rsid w:val="006C2553"/>
    <w:rsid w:val="006C41FB"/>
    <w:rsid w:val="006C4F9F"/>
    <w:rsid w:val="006C54D3"/>
    <w:rsid w:val="006D142A"/>
    <w:rsid w:val="006D3A51"/>
    <w:rsid w:val="006D655B"/>
    <w:rsid w:val="006D7B1F"/>
    <w:rsid w:val="006D7FD2"/>
    <w:rsid w:val="006E5DE1"/>
    <w:rsid w:val="006F2DDD"/>
    <w:rsid w:val="006F39B7"/>
    <w:rsid w:val="006F5E34"/>
    <w:rsid w:val="006F61C6"/>
    <w:rsid w:val="006F741A"/>
    <w:rsid w:val="006F78E7"/>
    <w:rsid w:val="0071501F"/>
    <w:rsid w:val="00715DE4"/>
    <w:rsid w:val="0071603B"/>
    <w:rsid w:val="007178B1"/>
    <w:rsid w:val="0072052D"/>
    <w:rsid w:val="00721C0B"/>
    <w:rsid w:val="007225D8"/>
    <w:rsid w:val="007225F4"/>
    <w:rsid w:val="00722E3C"/>
    <w:rsid w:val="00725F09"/>
    <w:rsid w:val="00726965"/>
    <w:rsid w:val="00726D2E"/>
    <w:rsid w:val="007305D9"/>
    <w:rsid w:val="0073106B"/>
    <w:rsid w:val="00732768"/>
    <w:rsid w:val="00733CD1"/>
    <w:rsid w:val="00735083"/>
    <w:rsid w:val="00735D6A"/>
    <w:rsid w:val="00736EF0"/>
    <w:rsid w:val="00740BA5"/>
    <w:rsid w:val="00741B30"/>
    <w:rsid w:val="007451C9"/>
    <w:rsid w:val="00753334"/>
    <w:rsid w:val="0075396B"/>
    <w:rsid w:val="007544F0"/>
    <w:rsid w:val="00754A4E"/>
    <w:rsid w:val="00754A6F"/>
    <w:rsid w:val="00754ABB"/>
    <w:rsid w:val="007611B5"/>
    <w:rsid w:val="0076194F"/>
    <w:rsid w:val="00761B7B"/>
    <w:rsid w:val="00763D62"/>
    <w:rsid w:val="00763F36"/>
    <w:rsid w:val="00763F68"/>
    <w:rsid w:val="007643BD"/>
    <w:rsid w:val="0077116A"/>
    <w:rsid w:val="0077257A"/>
    <w:rsid w:val="00772BE5"/>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09C"/>
    <w:rsid w:val="007B086D"/>
    <w:rsid w:val="007B0DF2"/>
    <w:rsid w:val="007B6C01"/>
    <w:rsid w:val="007C035E"/>
    <w:rsid w:val="007C3FE3"/>
    <w:rsid w:val="007D08F6"/>
    <w:rsid w:val="007D2B91"/>
    <w:rsid w:val="007D38FD"/>
    <w:rsid w:val="007D54C2"/>
    <w:rsid w:val="007D5E7B"/>
    <w:rsid w:val="007D614E"/>
    <w:rsid w:val="007D75BF"/>
    <w:rsid w:val="007E0461"/>
    <w:rsid w:val="007E0CE3"/>
    <w:rsid w:val="007E1FB4"/>
    <w:rsid w:val="007E3621"/>
    <w:rsid w:val="007E3B95"/>
    <w:rsid w:val="007E60A2"/>
    <w:rsid w:val="007F0ACF"/>
    <w:rsid w:val="007F26C8"/>
    <w:rsid w:val="00800298"/>
    <w:rsid w:val="00800DA2"/>
    <w:rsid w:val="00803F2A"/>
    <w:rsid w:val="00804308"/>
    <w:rsid w:val="0081005C"/>
    <w:rsid w:val="00816582"/>
    <w:rsid w:val="008222DF"/>
    <w:rsid w:val="0082293A"/>
    <w:rsid w:val="008237F6"/>
    <w:rsid w:val="00830B33"/>
    <w:rsid w:val="00832426"/>
    <w:rsid w:val="0083377A"/>
    <w:rsid w:val="008341E1"/>
    <w:rsid w:val="00834AEC"/>
    <w:rsid w:val="00835149"/>
    <w:rsid w:val="0083542B"/>
    <w:rsid w:val="00836E73"/>
    <w:rsid w:val="008375FF"/>
    <w:rsid w:val="00852FB7"/>
    <w:rsid w:val="00854935"/>
    <w:rsid w:val="0085547C"/>
    <w:rsid w:val="008601FF"/>
    <w:rsid w:val="00861E73"/>
    <w:rsid w:val="00871518"/>
    <w:rsid w:val="0087464D"/>
    <w:rsid w:val="008766A6"/>
    <w:rsid w:val="00880D80"/>
    <w:rsid w:val="0088184C"/>
    <w:rsid w:val="00883FD9"/>
    <w:rsid w:val="00884E02"/>
    <w:rsid w:val="008870A8"/>
    <w:rsid w:val="00892BBB"/>
    <w:rsid w:val="00894B6F"/>
    <w:rsid w:val="00894D70"/>
    <w:rsid w:val="0089742D"/>
    <w:rsid w:val="00897FD7"/>
    <w:rsid w:val="008A616E"/>
    <w:rsid w:val="008B04CC"/>
    <w:rsid w:val="008B0B6C"/>
    <w:rsid w:val="008B2722"/>
    <w:rsid w:val="008B5AED"/>
    <w:rsid w:val="008B6296"/>
    <w:rsid w:val="008C62B4"/>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53B1"/>
    <w:rsid w:val="009164FD"/>
    <w:rsid w:val="009171BA"/>
    <w:rsid w:val="00920404"/>
    <w:rsid w:val="00920414"/>
    <w:rsid w:val="009231BD"/>
    <w:rsid w:val="0092745B"/>
    <w:rsid w:val="00930909"/>
    <w:rsid w:val="00935D3B"/>
    <w:rsid w:val="009360F4"/>
    <w:rsid w:val="00943C9B"/>
    <w:rsid w:val="00943D6C"/>
    <w:rsid w:val="00944C9D"/>
    <w:rsid w:val="00945912"/>
    <w:rsid w:val="00947D71"/>
    <w:rsid w:val="009503CB"/>
    <w:rsid w:val="00950AEC"/>
    <w:rsid w:val="00953B2E"/>
    <w:rsid w:val="00956207"/>
    <w:rsid w:val="009616BC"/>
    <w:rsid w:val="00962C5A"/>
    <w:rsid w:val="0096568C"/>
    <w:rsid w:val="00970217"/>
    <w:rsid w:val="0097098E"/>
    <w:rsid w:val="0097177B"/>
    <w:rsid w:val="00973FA8"/>
    <w:rsid w:val="00974952"/>
    <w:rsid w:val="00974D36"/>
    <w:rsid w:val="0098009D"/>
    <w:rsid w:val="00984B14"/>
    <w:rsid w:val="00987B63"/>
    <w:rsid w:val="00991397"/>
    <w:rsid w:val="009914EE"/>
    <w:rsid w:val="0099220E"/>
    <w:rsid w:val="00992568"/>
    <w:rsid w:val="009949D8"/>
    <w:rsid w:val="00994D20"/>
    <w:rsid w:val="00994EAD"/>
    <w:rsid w:val="009A0947"/>
    <w:rsid w:val="009A152F"/>
    <w:rsid w:val="009A2B0B"/>
    <w:rsid w:val="009A35FE"/>
    <w:rsid w:val="009A457C"/>
    <w:rsid w:val="009A646D"/>
    <w:rsid w:val="009B1A94"/>
    <w:rsid w:val="009B2100"/>
    <w:rsid w:val="009B3DB9"/>
    <w:rsid w:val="009B4345"/>
    <w:rsid w:val="009B5A61"/>
    <w:rsid w:val="009B5F99"/>
    <w:rsid w:val="009B6EE2"/>
    <w:rsid w:val="009C361B"/>
    <w:rsid w:val="009C5BD6"/>
    <w:rsid w:val="009C6ACB"/>
    <w:rsid w:val="009C7BD7"/>
    <w:rsid w:val="009D0A0F"/>
    <w:rsid w:val="009D0BDE"/>
    <w:rsid w:val="009D2B87"/>
    <w:rsid w:val="009D383B"/>
    <w:rsid w:val="009D38D5"/>
    <w:rsid w:val="009D5C55"/>
    <w:rsid w:val="009E371A"/>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1042"/>
    <w:rsid w:val="00A528F7"/>
    <w:rsid w:val="00A62B6D"/>
    <w:rsid w:val="00A62E9A"/>
    <w:rsid w:val="00A7130E"/>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01E2"/>
    <w:rsid w:val="00AD1682"/>
    <w:rsid w:val="00AD17FF"/>
    <w:rsid w:val="00AD2A37"/>
    <w:rsid w:val="00AD6882"/>
    <w:rsid w:val="00AE2F8D"/>
    <w:rsid w:val="00AE4282"/>
    <w:rsid w:val="00AE555B"/>
    <w:rsid w:val="00AE6366"/>
    <w:rsid w:val="00AF0149"/>
    <w:rsid w:val="00AF14E3"/>
    <w:rsid w:val="00AF221F"/>
    <w:rsid w:val="00AF38E6"/>
    <w:rsid w:val="00B00662"/>
    <w:rsid w:val="00B0112C"/>
    <w:rsid w:val="00B02864"/>
    <w:rsid w:val="00B04491"/>
    <w:rsid w:val="00B048B9"/>
    <w:rsid w:val="00B04918"/>
    <w:rsid w:val="00B0493E"/>
    <w:rsid w:val="00B04B8B"/>
    <w:rsid w:val="00B06233"/>
    <w:rsid w:val="00B108B7"/>
    <w:rsid w:val="00B109D5"/>
    <w:rsid w:val="00B11D3C"/>
    <w:rsid w:val="00B12C18"/>
    <w:rsid w:val="00B15576"/>
    <w:rsid w:val="00B23332"/>
    <w:rsid w:val="00B238F0"/>
    <w:rsid w:val="00B31854"/>
    <w:rsid w:val="00B32B7D"/>
    <w:rsid w:val="00B33F34"/>
    <w:rsid w:val="00B34A22"/>
    <w:rsid w:val="00B35DC2"/>
    <w:rsid w:val="00B35E93"/>
    <w:rsid w:val="00B379F2"/>
    <w:rsid w:val="00B42667"/>
    <w:rsid w:val="00B44BE9"/>
    <w:rsid w:val="00B44C2C"/>
    <w:rsid w:val="00B4516F"/>
    <w:rsid w:val="00B46E4E"/>
    <w:rsid w:val="00B4740A"/>
    <w:rsid w:val="00B47C51"/>
    <w:rsid w:val="00B515E2"/>
    <w:rsid w:val="00B52D6A"/>
    <w:rsid w:val="00B5512A"/>
    <w:rsid w:val="00B60037"/>
    <w:rsid w:val="00B61FD2"/>
    <w:rsid w:val="00B6210D"/>
    <w:rsid w:val="00B638D0"/>
    <w:rsid w:val="00B66447"/>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01C"/>
    <w:rsid w:val="00B97B6D"/>
    <w:rsid w:val="00BA1047"/>
    <w:rsid w:val="00BA2041"/>
    <w:rsid w:val="00BA3763"/>
    <w:rsid w:val="00BA5886"/>
    <w:rsid w:val="00BA593C"/>
    <w:rsid w:val="00BA687E"/>
    <w:rsid w:val="00BA7BC8"/>
    <w:rsid w:val="00BB140A"/>
    <w:rsid w:val="00BB1F17"/>
    <w:rsid w:val="00BB49EC"/>
    <w:rsid w:val="00BB4FF1"/>
    <w:rsid w:val="00BC2A84"/>
    <w:rsid w:val="00BC32B0"/>
    <w:rsid w:val="00BC374C"/>
    <w:rsid w:val="00BC5B7E"/>
    <w:rsid w:val="00BC7DD2"/>
    <w:rsid w:val="00BD1765"/>
    <w:rsid w:val="00BD2CCF"/>
    <w:rsid w:val="00BD2EEE"/>
    <w:rsid w:val="00BD4569"/>
    <w:rsid w:val="00BD7E1E"/>
    <w:rsid w:val="00BE306A"/>
    <w:rsid w:val="00BE4F7F"/>
    <w:rsid w:val="00BE6D99"/>
    <w:rsid w:val="00BE7F2C"/>
    <w:rsid w:val="00BF28EB"/>
    <w:rsid w:val="00BF7A59"/>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362A9"/>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761C"/>
    <w:rsid w:val="00C7790A"/>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4716"/>
    <w:rsid w:val="00D05AE0"/>
    <w:rsid w:val="00D108C6"/>
    <w:rsid w:val="00D11BBB"/>
    <w:rsid w:val="00D11FCE"/>
    <w:rsid w:val="00D1309C"/>
    <w:rsid w:val="00D144DA"/>
    <w:rsid w:val="00D20B2A"/>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47C2"/>
    <w:rsid w:val="00D55AD1"/>
    <w:rsid w:val="00D56CD6"/>
    <w:rsid w:val="00D619D1"/>
    <w:rsid w:val="00D6209E"/>
    <w:rsid w:val="00D660E3"/>
    <w:rsid w:val="00D66B5D"/>
    <w:rsid w:val="00D66D58"/>
    <w:rsid w:val="00D67165"/>
    <w:rsid w:val="00D74EED"/>
    <w:rsid w:val="00D81DE7"/>
    <w:rsid w:val="00D8217A"/>
    <w:rsid w:val="00D845AA"/>
    <w:rsid w:val="00D85EBE"/>
    <w:rsid w:val="00D85F70"/>
    <w:rsid w:val="00D90C77"/>
    <w:rsid w:val="00D9673B"/>
    <w:rsid w:val="00D96768"/>
    <w:rsid w:val="00DA283B"/>
    <w:rsid w:val="00DA3E7D"/>
    <w:rsid w:val="00DA792E"/>
    <w:rsid w:val="00DB2C50"/>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151E"/>
    <w:rsid w:val="00E01F48"/>
    <w:rsid w:val="00E033E3"/>
    <w:rsid w:val="00E03A1D"/>
    <w:rsid w:val="00E05C99"/>
    <w:rsid w:val="00E10DA4"/>
    <w:rsid w:val="00E110E8"/>
    <w:rsid w:val="00E136C6"/>
    <w:rsid w:val="00E157DB"/>
    <w:rsid w:val="00E15D44"/>
    <w:rsid w:val="00E17242"/>
    <w:rsid w:val="00E17500"/>
    <w:rsid w:val="00E17547"/>
    <w:rsid w:val="00E26DBB"/>
    <w:rsid w:val="00E26E35"/>
    <w:rsid w:val="00E33104"/>
    <w:rsid w:val="00E36160"/>
    <w:rsid w:val="00E36A85"/>
    <w:rsid w:val="00E401A9"/>
    <w:rsid w:val="00E41185"/>
    <w:rsid w:val="00E41DB6"/>
    <w:rsid w:val="00E42534"/>
    <w:rsid w:val="00E43306"/>
    <w:rsid w:val="00E503FE"/>
    <w:rsid w:val="00E5103D"/>
    <w:rsid w:val="00E53054"/>
    <w:rsid w:val="00E57302"/>
    <w:rsid w:val="00E57D04"/>
    <w:rsid w:val="00E6468B"/>
    <w:rsid w:val="00E64D95"/>
    <w:rsid w:val="00E66E72"/>
    <w:rsid w:val="00E6714A"/>
    <w:rsid w:val="00E67F3E"/>
    <w:rsid w:val="00E73DCE"/>
    <w:rsid w:val="00E744E0"/>
    <w:rsid w:val="00E75DFD"/>
    <w:rsid w:val="00E83759"/>
    <w:rsid w:val="00E84437"/>
    <w:rsid w:val="00E85297"/>
    <w:rsid w:val="00E871E3"/>
    <w:rsid w:val="00E90E8D"/>
    <w:rsid w:val="00EA31E4"/>
    <w:rsid w:val="00EA3AC2"/>
    <w:rsid w:val="00EA67DB"/>
    <w:rsid w:val="00EA6A80"/>
    <w:rsid w:val="00EB257E"/>
    <w:rsid w:val="00EB2A93"/>
    <w:rsid w:val="00EB31DA"/>
    <w:rsid w:val="00EB40E8"/>
    <w:rsid w:val="00EB5E5C"/>
    <w:rsid w:val="00EB69C4"/>
    <w:rsid w:val="00EC3634"/>
    <w:rsid w:val="00ED1F9C"/>
    <w:rsid w:val="00ED2374"/>
    <w:rsid w:val="00ED2EB8"/>
    <w:rsid w:val="00ED31C8"/>
    <w:rsid w:val="00ED4D0D"/>
    <w:rsid w:val="00ED5F57"/>
    <w:rsid w:val="00EE0928"/>
    <w:rsid w:val="00EE23D6"/>
    <w:rsid w:val="00EE3102"/>
    <w:rsid w:val="00EE3848"/>
    <w:rsid w:val="00EF208A"/>
    <w:rsid w:val="00EF44AF"/>
    <w:rsid w:val="00EF6875"/>
    <w:rsid w:val="00EF6A1D"/>
    <w:rsid w:val="00EF6C2D"/>
    <w:rsid w:val="00EF7DA9"/>
    <w:rsid w:val="00F04752"/>
    <w:rsid w:val="00F04BC4"/>
    <w:rsid w:val="00F04DE9"/>
    <w:rsid w:val="00F078C1"/>
    <w:rsid w:val="00F07DEF"/>
    <w:rsid w:val="00F104FB"/>
    <w:rsid w:val="00F11C5E"/>
    <w:rsid w:val="00F27CD1"/>
    <w:rsid w:val="00F32729"/>
    <w:rsid w:val="00F32C22"/>
    <w:rsid w:val="00F33C11"/>
    <w:rsid w:val="00F361E0"/>
    <w:rsid w:val="00F471EE"/>
    <w:rsid w:val="00F5468B"/>
    <w:rsid w:val="00F6250E"/>
    <w:rsid w:val="00F625E8"/>
    <w:rsid w:val="00F63D80"/>
    <w:rsid w:val="00F65EE3"/>
    <w:rsid w:val="00F66AF3"/>
    <w:rsid w:val="00F67415"/>
    <w:rsid w:val="00F67489"/>
    <w:rsid w:val="00F76324"/>
    <w:rsid w:val="00F77583"/>
    <w:rsid w:val="00F80E2B"/>
    <w:rsid w:val="00F8481A"/>
    <w:rsid w:val="00F857D5"/>
    <w:rsid w:val="00F90B3E"/>
    <w:rsid w:val="00F932A8"/>
    <w:rsid w:val="00F96218"/>
    <w:rsid w:val="00FA0E1E"/>
    <w:rsid w:val="00FA20F0"/>
    <w:rsid w:val="00FA5418"/>
    <w:rsid w:val="00FA58CB"/>
    <w:rsid w:val="00FA6B1C"/>
    <w:rsid w:val="00FA6FFE"/>
    <w:rsid w:val="00FB1385"/>
    <w:rsid w:val="00FB5B7E"/>
    <w:rsid w:val="00FC73A9"/>
    <w:rsid w:val="00FD07E7"/>
    <w:rsid w:val="00FD0D82"/>
    <w:rsid w:val="00FD3A5E"/>
    <w:rsid w:val="00FD3EE3"/>
    <w:rsid w:val="00FD60B7"/>
    <w:rsid w:val="00FD78BA"/>
    <w:rsid w:val="00FE477F"/>
    <w:rsid w:val="00FE4D89"/>
    <w:rsid w:val="00FF0C61"/>
    <w:rsid w:val="00FF12F0"/>
    <w:rsid w:val="00FF37A6"/>
    <w:rsid w:val="00FF3F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26CCB09-7EA3-4FA6-AC4A-B5465524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hAnsi="Times New Roman" w:eastAsiaTheme="majorEastAsia"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Char10,FT,Fußnote Char Char Char,Fußnotentext Char Char Char,Fußnotentext Char Char Char Char Char Char Char,Fußnotentext Char Char Char Char Char Char Char Char,Fußnotentext Char Char Char Char Char Char Char Char Char Char,fn,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 Char,Char10 Char,FT Char,Fußnote Char Char Char Char,Fußnotentext Char Char Char Char,Fußnotentext Char Char Char Char Char Char Char Char Char Char Char,Fußnotentext Char Char Char Char Char Char Char Char1,fn Char,ft Char"/>
    <w:basedOn w:val="DefaultParagraphFont"/>
    <w:link w:val="FootnoteText"/>
    <w:uiPriority w:val="99"/>
    <w:rsid w:val="00AB3EB7"/>
    <w:rPr>
      <w:sz w:val="20"/>
      <w:szCs w:val="20"/>
    </w:rPr>
  </w:style>
  <w:style w:type="character" w:styleId="FootnoteReference">
    <w:name w:val="footnote reference"/>
    <w:aliases w:val="Footnote Reference Number,Footnote symbol,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35"/>
      </w:numPr>
      <w:ind w:left="720"/>
    </w:pPr>
  </w:style>
  <w:style w:type="paragraph" w:customStyle="1" w:styleId="VPNumbered">
    <w:name w:val="VP Numbered"/>
    <w:basedOn w:val="VPBody"/>
    <w:qFormat/>
    <w:rsid w:val="007544F0"/>
    <w:pPr>
      <w:numPr>
        <w:numId w:val="36"/>
      </w:numPr>
      <w:tabs>
        <w:tab w:val="clear" w:pos="0"/>
        <w:tab w:val="left" w:pos="70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6F87C-CB0A-46E3-B303-C5CD3E65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1377</Words>
  <Characters>10194</Characters>
  <Application>Microsoft Office Word</Application>
  <DocSecurity>0</DocSecurity>
  <Lines>242</Lines>
  <Paragraphs>128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informācijas sabiedrības attīstības pamatnostādņu ieviešanu publiskās pārvaldes informācijas sistēmu jomā (mērķarhitektūras 16.0.versija - Tiesu informatīvās sistēmas attīstība)"pielikums</vt:lpstr>
      <vt:lpstr/>
    </vt:vector>
  </TitlesOfParts>
  <Company>Vides aizsardzības un reģionālās attīstības ministrija</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informācijas sabiedrības attīstības pamatnostādņu ieviešanu publiskās pārvaldes informācijas sistēmu jomā (mērķarhitektūras 16.0.versija - Tiesu informatīvās sistēmas attīstība)"pielikums</dc:title>
  <dc:subject>MK rīkojuma projekta pielikums</dc:subject>
  <dc:creator>Lelda Kalniņa</dc:creator>
  <dc:description>67026576, lelda.kalnina@varam.gov.lv</dc:description>
  <cp:lastModifiedBy>Lelda Kalniņa</cp:lastModifiedBy>
  <cp:revision>6</cp:revision>
  <cp:lastPrinted>2016-12-09T10:00:00Z</cp:lastPrinted>
  <dcterms:created xsi:type="dcterms:W3CDTF">2017-07-31T14:03:00Z</dcterms:created>
  <dcterms:modified xsi:type="dcterms:W3CDTF">2017-08-07T12:42:00Z</dcterms:modified>
</cp:coreProperties>
</file>