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4C1465" w:rsidRPr="009B6180" w:rsidP="00025013" w14:paraId="1AF2F707" w14:textId="02B0ABC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9B6180">
        <w:rPr>
          <w:rFonts w:ascii="Times New Roman" w:hAnsi="Times New Roman"/>
          <w:b/>
          <w:noProof/>
          <w:sz w:val="28"/>
          <w:szCs w:val="28"/>
          <w:lang w:val="lv-LV"/>
        </w:rPr>
        <w:t xml:space="preserve">Ministru kabineta </w:t>
      </w:r>
      <w:r w:rsidR="003573C0">
        <w:rPr>
          <w:rFonts w:ascii="Times New Roman" w:hAnsi="Times New Roman"/>
          <w:b/>
          <w:noProof/>
          <w:sz w:val="28"/>
          <w:szCs w:val="28"/>
          <w:lang w:val="lv-LV"/>
        </w:rPr>
        <w:t xml:space="preserve">noteikumu </w:t>
      </w:r>
      <w:r w:rsidRPr="009B6180" w:rsidR="00716274">
        <w:rPr>
          <w:rFonts w:ascii="Times New Roman" w:hAnsi="Times New Roman"/>
          <w:b/>
          <w:noProof/>
          <w:sz w:val="28"/>
          <w:szCs w:val="28"/>
          <w:lang w:val="lv-LV"/>
        </w:rPr>
        <w:t>projekta</w:t>
      </w:r>
    </w:p>
    <w:p w:rsidR="00662B59" w:rsidRPr="00363D81" w:rsidP="00662B59" w14:paraId="4E3B6A56" w14:textId="2C03C3F8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lv-LV"/>
        </w:rPr>
      </w:pPr>
      <w:bookmarkEnd w:id="0"/>
      <w:bookmarkEnd w:id="1"/>
      <w:r w:rsidRPr="00363D81">
        <w:rPr>
          <w:rFonts w:ascii="Times New Roman" w:hAnsi="Times New Roman"/>
          <w:b/>
          <w:bCs/>
          <w:noProof/>
          <w:sz w:val="28"/>
          <w:szCs w:val="28"/>
          <w:lang w:val="lv-LV"/>
        </w:rPr>
        <w:t>”</w:t>
      </w:r>
      <w:r w:rsidR="00624FD8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Par grozījumiem</w:t>
      </w:r>
      <w:r w:rsidRPr="00363D81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Ministru kabineta 2009.gada 27.oktobra noteikumos Nr.1233 “Paula Stradiņa Medicīnas vēstures muzeja nolikums” </w:t>
      </w:r>
      <w:r w:rsidRPr="00363D81">
        <w:rPr>
          <w:rFonts w:ascii="Times New Roman" w:hAnsi="Times New Roman"/>
          <w:b/>
          <w:noProof/>
          <w:sz w:val="28"/>
          <w:szCs w:val="28"/>
          <w:lang w:val="lv-LV"/>
        </w:rPr>
        <w:t>sākotnējās ietekmes novērtējuma ziņojums (anotācija)</w:t>
      </w:r>
    </w:p>
    <w:p w:rsidR="00662B59" w:rsidP="00662B59" w14:paraId="2F9E15C7" w14:textId="77777777">
      <w:pPr>
        <w:pStyle w:val="BodyText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tbl>
      <w:tblPr>
        <w:tblW w:w="95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9"/>
        <w:gridCol w:w="2860"/>
        <w:gridCol w:w="6137"/>
      </w:tblGrid>
      <w:tr w14:paraId="52F767FC" w14:textId="77777777" w:rsidTr="00C53D1A">
        <w:tblPrEx>
          <w:tblW w:w="9536" w:type="dxa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jc w:val="center"/>
        </w:trPr>
        <w:tc>
          <w:tcPr>
            <w:tcW w:w="9536" w:type="dxa"/>
            <w:gridSpan w:val="3"/>
            <w:vAlign w:val="center"/>
            <w:hideMark/>
          </w:tcPr>
          <w:p w:rsidR="00106BE9" w:rsidRPr="00935F3B" w:rsidP="00AC480A" w14:paraId="700D8D6C" w14:textId="77777777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bookmarkEnd w:id="2"/>
            <w:r w:rsidRPr="00935F3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  <w:t> I. Tiesību akta projekta izstrādes nepieciešamība</w:t>
            </w:r>
          </w:p>
        </w:tc>
      </w:tr>
      <w:tr w14:paraId="32F6BCE8" w14:textId="77777777" w:rsidTr="00C1554A">
        <w:tblPrEx>
          <w:tblW w:w="9536" w:type="dxa"/>
          <w:jc w:val="center"/>
          <w:tblLook w:val="04A0"/>
        </w:tblPrEx>
        <w:trPr>
          <w:trHeight w:val="454"/>
          <w:jc w:val="center"/>
        </w:trPr>
        <w:tc>
          <w:tcPr>
            <w:tcW w:w="539" w:type="dxa"/>
            <w:hideMark/>
          </w:tcPr>
          <w:p w:rsidR="00106BE9" w:rsidRPr="00237EF2" w:rsidP="00AC480A" w14:paraId="785D2335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2860" w:type="dxa"/>
            <w:hideMark/>
          </w:tcPr>
          <w:p w:rsidR="00106BE9" w:rsidRPr="00237EF2" w:rsidP="00AC480A" w14:paraId="281CA157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Pamatojums</w:t>
            </w:r>
          </w:p>
        </w:tc>
        <w:tc>
          <w:tcPr>
            <w:tcW w:w="6137" w:type="dxa"/>
            <w:hideMark/>
          </w:tcPr>
          <w:p w:rsidR="00363D81" w:rsidP="007546DE" w14:paraId="73AB7AC9" w14:textId="77777777">
            <w:pPr>
              <w:pStyle w:val="NoSpacing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  <w:t>Valsts pārvaldes iekārtas likuma 16.panta pirmā daļa.</w:t>
            </w:r>
          </w:p>
          <w:p w:rsidR="00D7585B" w:rsidP="007546DE" w14:paraId="2A755A64" w14:textId="11774C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7546D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Ministru kabineta 2017.gada 25.maija rīkojums Nr.</w:t>
            </w:r>
            <w:r w:rsidR="000E3F9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258</w:t>
            </w:r>
            <w:r w:rsidRPr="007546D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“Par Paula Stradiņa Medicīnas vēstures muzeja reorganizāciju</w:t>
            </w:r>
            <w:r w:rsidRPr="007546DE">
              <w:rPr>
                <w:rFonts w:ascii="Times New Roman" w:hAnsi="Times New Roman"/>
                <w:bCs/>
                <w:noProof/>
                <w:sz w:val="24"/>
                <w:szCs w:val="24"/>
                <w:lang w:val="lv-LV"/>
              </w:rPr>
              <w:t xml:space="preserve"> un tā struktūrvienības – filiāles ”Jēkaba Prīmaņa Anatomijas muzejs” </w:t>
            </w:r>
            <w:r w:rsidRPr="007546D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nodošanu Rīgas Stradiņa universitātei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”.</w:t>
            </w:r>
          </w:p>
          <w:p w:rsidR="007546DE" w:rsidP="007546DE" w14:paraId="22E40008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Ministru kabineta 2017.gada 23.maija sēdes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protokollēmums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(prot Nr.27 17 §).</w:t>
            </w:r>
          </w:p>
          <w:p w:rsidR="00E910D0" w:rsidRPr="00237EF2" w:rsidP="00E910D0" w14:paraId="1D752AC6" w14:textId="6C7D312A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Muzeju likuma 10.panta otrās daļas 2.punkts.</w:t>
            </w:r>
          </w:p>
        </w:tc>
      </w:tr>
      <w:tr w14:paraId="2DC27CAD" w14:textId="77777777" w:rsidTr="00C1554A">
        <w:tblPrEx>
          <w:tblW w:w="9536" w:type="dxa"/>
          <w:jc w:val="center"/>
          <w:tblLook w:val="04A0"/>
        </w:tblPrEx>
        <w:trPr>
          <w:trHeight w:val="472"/>
          <w:jc w:val="center"/>
        </w:trPr>
        <w:tc>
          <w:tcPr>
            <w:tcW w:w="539" w:type="dxa"/>
            <w:hideMark/>
          </w:tcPr>
          <w:p w:rsidR="00106BE9" w:rsidRPr="00237EF2" w:rsidP="00AC480A" w14:paraId="3EB9D4FE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2860" w:type="dxa"/>
            <w:hideMark/>
          </w:tcPr>
          <w:p w:rsidR="00106BE9" w:rsidRPr="00237EF2" w:rsidP="00130A35" w14:paraId="7A2CDD66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</w:t>
            </w:r>
            <w:r w:rsidRPr="00237EF2" w:rsidR="00DC558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37" w:type="dxa"/>
            <w:hideMark/>
          </w:tcPr>
          <w:p w:rsidR="00E82A26" w:rsidRPr="00733F85" w:rsidP="00733F85" w14:paraId="344583FD" w14:textId="30AE4F7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Ministru kabineta 2009.gada 27.oktobra noteikumu Nr.1233 “Paula Stradiņa Medicīnas vēstures muzeja nolikums” (turpmāk – </w:t>
            </w:r>
            <w:r w:rsid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N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olikums) nosaka veselība darbības ministra pakļautības iestādes Paula Stradiņa Medicīnas vēstures muzeja (turpmāk - Medicīnas muzejs) darbības struktūru. Nolikuma 9.2.apakšpunkts nosaka, ka Medicīnas muzeja struktūrvienība ir filiāle - Jēkaba 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Prīmaņa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Anatomijas muzejs (turpmāk – </w:t>
            </w:r>
            <w:r w:rsid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filiāle 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Anatomijas muzejs).</w:t>
            </w:r>
          </w:p>
          <w:p w:rsidR="00662B59" w:rsidP="00AD26B8" w14:paraId="21E62ABE" w14:textId="1E45590A">
            <w:pPr>
              <w:pStyle w:val="NoSpacing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</w:pPr>
          </w:p>
          <w:p w:rsidR="00E82A26" w:rsidRPr="00733F85" w:rsidP="00E82A26" w14:paraId="5D9DA501" w14:textId="5E6D3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7546D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Ministru kabineta 2017.gada 25.maija rīkojums Nr.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258</w:t>
            </w:r>
            <w:r w:rsidRPr="007546DE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“Par Paula Stradiņa Medicīnas vēstures muzeja reorganizāciju</w:t>
            </w:r>
            <w:r w:rsidRPr="007546DE">
              <w:rPr>
                <w:rFonts w:ascii="Times New Roman" w:hAnsi="Times New Roman"/>
                <w:bCs/>
                <w:noProof/>
                <w:sz w:val="24"/>
                <w:szCs w:val="24"/>
                <w:lang w:val="lv-LV"/>
              </w:rPr>
              <w:t xml:space="preserve"> un tā struktūrvienības – filiāles ”Jēkaba Prīmaņa Anatomijas muzejs” 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nodošanu Rīgas Stradiņa universitātei” nosaka, ka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saskaņā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16590">
              <w:fldChar w:fldCharType="begin"/>
            </w:r>
            <w:r w:rsidR="00316590">
              <w:instrText xml:space="preserve"> HYPERLINK "https://likumi.lv/ta/id/124955-muzeju-likums" \t "_blank" </w:instrText>
            </w:r>
            <w:r w:rsidR="00316590">
              <w:fldChar w:fldCharType="separate"/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Muzeju</w:t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likuma</w:t>
            </w:r>
            <w:r w:rsidR="00316590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fldChar w:fldCharType="end"/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fldChar w:fldCharType="begin"/>
            </w:r>
            <w:r>
              <w:instrText xml:space="preserve"> HYPERLINK "https://likumi.lv/ta/id/124955-muzeju-likums" \l "p8" \t "_blank" </w:instrText>
            </w:r>
            <w:r>
              <w:fldChar w:fldCharType="separate"/>
            </w:r>
            <w:r w:rsidRPr="00733F85" w:rsid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8.</w:t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panta</w:t>
            </w:r>
            <w:r>
              <w:fldChar w:fldCharType="end"/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pirmo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daļu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 </w:t>
            </w:r>
            <w:r w:rsidR="00B575C4">
              <w:fldChar w:fldCharType="begin"/>
            </w:r>
            <w:r w:rsidR="00B575C4">
              <w:instrText xml:space="preserve"> HYPERLINK "https://likumi.lv/ta/id/63545-valsts-parvaldes-iekartas-likums" \t "_blank" </w:instrText>
            </w:r>
            <w:r w:rsidR="00B575C4">
              <w:fldChar w:fldCharType="separate"/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Valsts</w:t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pārvaldes</w:t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iekārtas</w:t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likuma</w:t>
            </w:r>
            <w:r w:rsidR="00B575C4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fldChar w:fldCharType="end"/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fldChar w:fldCharType="begin"/>
            </w:r>
            <w:r>
              <w:instrText xml:space="preserve"> HYPERLINK "https://likumi.lv/ta/id/63545-valsts-parvaldes-iekartas-likums" \l "p15" \t "_blank" </w:instrText>
            </w:r>
            <w:r>
              <w:fldChar w:fldCharType="separate"/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15. </w:t>
            </w:r>
            <w:r w:rsidRPr="00733F85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panta</w:t>
            </w:r>
            <w:r>
              <w:fldChar w:fldCharType="end"/>
            </w:r>
            <w:r w:rsidRPr="00733F85" w:rsidR="00733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trešās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daļas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3.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punktu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tiek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veikta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Medicīnas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vēstures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muzeja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reorganizācija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atdalot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tās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struktūrvienību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filiāli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Anatomijas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muzejs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.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Filiāle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 w:rsid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Anatomijas</w:t>
            </w:r>
            <w:r w:rsidRPr="00733F85" w:rsid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 w:rsid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muzejs</w:t>
            </w:r>
            <w:r w:rsidRPr="00733F85" w:rsid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ar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2017.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</w:t>
            </w:r>
            <w:r w:rsidR="00E910D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jūliju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tiek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nodota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atvasinātajai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publiskajai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personai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–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Stradiņa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universitātei</w:t>
            </w:r>
            <w:r w:rsidRPr="00733F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:rsidR="00E82A26" w:rsidRPr="00733F85" w:rsidP="00AD26B8" w14:paraId="6575A75A" w14:textId="09148158">
            <w:pPr>
              <w:pStyle w:val="NoSpacing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lv-LV"/>
              </w:rPr>
            </w:pP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Ministru kabineta 2017.gada 23.</w:t>
            </w:r>
            <w:r w:rsidR="00E910D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maija sēdes 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protokollēmum</w:t>
            </w:r>
            <w:r w:rsidR="001B146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a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(prot Nr.27 17 §) </w:t>
            </w:r>
            <w:r w:rsidR="001B146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3.p. 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uzdots veselība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 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ministrei līdz 2017.</w:t>
            </w:r>
            <w:r w:rsidR="00E910D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gada 1.j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ūlija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 iesniegt Ministru kabinetā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noteiktā kārtībā ar Medicīna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 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muzeja reorganizāciju sai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tītos tiesību aktu projektus.</w:t>
            </w:r>
          </w:p>
          <w:p w:rsidR="00363D81" w:rsidP="00E82A26" w14:paraId="34BDB95A" w14:textId="52E9A2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Noteikumu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17353A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projekta</w:t>
            </w:r>
            <w:r w:rsidR="0017353A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1.</w:t>
            </w:r>
            <w:r w:rsidR="00D7481A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 </w:t>
            </w:r>
            <w:r w:rsidR="0017353A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punkts</w:t>
            </w:r>
            <w:r w:rsidR="0017353A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paredz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zdarīt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olikumā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grozījumu </w:t>
            </w:r>
            <w:r w:rsid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un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svītrot 9.2.</w:t>
            </w:r>
            <w:r w:rsidR="00D7481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apakšpunktu.</w:t>
            </w:r>
          </w:p>
          <w:p w:rsidR="0017353A" w:rsidP="00E82A26" w14:paraId="10AA5D50" w14:textId="5EDF62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17353A" w:rsidP="00E82A26" w14:paraId="3AC3CBB3" w14:textId="178FF4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Nolikum</w:t>
            </w:r>
            <w:r w:rsidR="00D7481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13.</w:t>
            </w:r>
            <w:r w:rsidR="00E910D0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punkts nosaka, ka muzejs reizi gadā iesniedz Muzeju valsts pārvaldē pārskatu par muzeja funkciju izpildi.</w:t>
            </w:r>
          </w:p>
          <w:p w:rsidR="00E910D0" w:rsidRPr="00E910D0" w:rsidP="00E910D0" w14:paraId="5A060036" w14:textId="532E7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Muzeju valsts pārvalde ar Ministru kabineta 2009.gada 4.novembra rīkojumu Nr.755 “Par Muzeju valsts pārvaldes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likvidāciju” ir likvidēta, pievienojot Kultūras ministrijai.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Muzeju likuma 10.panta otrās daļas 2.punkts nosaka, ka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Muzeju pienākums ir </w:t>
            </w:r>
            <w:r w:rsidRPr="00E910D0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 xml:space="preserve">[..] </w:t>
            </w:r>
            <w:r w:rsidRPr="00E910D0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2) katru gadu sniegt Kultūras ministrijai darbības pārskatu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E910D0"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  <w:t>[..]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.</w:t>
            </w:r>
          </w:p>
          <w:p w:rsidR="00987F4A" w:rsidRPr="00237EF2" w:rsidP="00E910D0" w14:paraId="2D8A4D41" w14:textId="65F5073C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Noteikumu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projekta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2. 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punkts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paredz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izdarīt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N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>olikumā</w:t>
            </w:r>
            <w:r w:rsidRPr="00733F85">
              <w:rPr>
                <w:rFonts w:ascii="Times New Roman" w:hAnsi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733F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grozījumu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un vārdus </w:t>
            </w:r>
            <w:r w:rsidR="001B146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“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Muzeju valsts pārvaldē” </w:t>
            </w:r>
            <w:r w:rsidR="001B1468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aizstāt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ar vārdiem “Kultūras ministrijā”.</w:t>
            </w:r>
            <w:r w:rsidRPr="00237EF2" w:rsidR="00AD26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14:paraId="1AB17714" w14:textId="77777777" w:rsidTr="00C1554A">
        <w:tblPrEx>
          <w:tblW w:w="9536" w:type="dxa"/>
          <w:jc w:val="center"/>
          <w:tblLook w:val="04A0"/>
        </w:tblPrEx>
        <w:trPr>
          <w:trHeight w:val="476"/>
          <w:jc w:val="center"/>
        </w:trPr>
        <w:tc>
          <w:tcPr>
            <w:tcW w:w="539" w:type="dxa"/>
            <w:hideMark/>
          </w:tcPr>
          <w:p w:rsidR="00106BE9" w:rsidRPr="00237EF2" w:rsidP="00AC480A" w14:paraId="1935BCF6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bookmarkStart w:id="3" w:name="_GoBack"/>
            <w:bookmarkEnd w:id="3"/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3</w:t>
            </w: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860" w:type="dxa"/>
            <w:hideMark/>
          </w:tcPr>
          <w:p w:rsidR="00106BE9" w:rsidRPr="00237EF2" w:rsidP="00AC480A" w14:paraId="3D9EE11D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Projekta izstrādē iesaistītās institūcijas</w:t>
            </w:r>
          </w:p>
        </w:tc>
        <w:tc>
          <w:tcPr>
            <w:tcW w:w="6137" w:type="dxa"/>
            <w:hideMark/>
          </w:tcPr>
          <w:p w:rsidR="0088408F" w:rsidRPr="00480B9F" w:rsidP="00D84757" w14:paraId="08D62761" w14:textId="2836DB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lv-LV" w:eastAsia="lv-LV"/>
              </w:rPr>
            </w:pPr>
            <w:r w:rsidRPr="00480B9F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Paula Stradiņa Medicīnas vēstures muzejs</w:t>
            </w:r>
          </w:p>
        </w:tc>
      </w:tr>
      <w:tr w14:paraId="311BB8C8" w14:textId="77777777" w:rsidTr="002312DD">
        <w:tblPrEx>
          <w:tblW w:w="9536" w:type="dxa"/>
          <w:jc w:val="center"/>
          <w:tblLook w:val="04A0"/>
        </w:tblPrEx>
        <w:trPr>
          <w:jc w:val="center"/>
        </w:trPr>
        <w:tc>
          <w:tcPr>
            <w:tcW w:w="539" w:type="dxa"/>
            <w:hideMark/>
          </w:tcPr>
          <w:p w:rsidR="00106BE9" w:rsidRPr="00237EF2" w:rsidP="00AC480A" w14:paraId="2531EEA4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4</w:t>
            </w: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860" w:type="dxa"/>
            <w:hideMark/>
          </w:tcPr>
          <w:p w:rsidR="00106BE9" w:rsidRPr="00237EF2" w:rsidP="00AC480A" w14:paraId="079CE226" w14:textId="77777777">
            <w:pPr>
              <w:spacing w:before="75" w:after="75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Cita informācija</w:t>
            </w:r>
          </w:p>
        </w:tc>
        <w:tc>
          <w:tcPr>
            <w:tcW w:w="6137" w:type="dxa"/>
          </w:tcPr>
          <w:p w:rsidR="00911C10" w:rsidRPr="00237EF2" w:rsidP="001C6F17" w14:paraId="4B08F13E" w14:textId="140127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062F1B" w:rsidP="000752B8" w14:paraId="136859FA" w14:textId="1BFB1A99">
      <w:pPr>
        <w:pStyle w:val="naisf"/>
        <w:spacing w:before="0" w:after="0"/>
        <w:ind w:firstLine="0"/>
        <w:rPr>
          <w:iCs/>
          <w:noProof/>
        </w:rPr>
      </w:pPr>
    </w:p>
    <w:tbl>
      <w:tblPr>
        <w:tblW w:w="952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388"/>
        <w:gridCol w:w="1330"/>
        <w:gridCol w:w="1354"/>
        <w:gridCol w:w="1485"/>
        <w:gridCol w:w="1486"/>
        <w:gridCol w:w="1486"/>
      </w:tblGrid>
      <w:tr w14:paraId="2699C72B" w14:textId="77777777" w:rsidTr="00062F1B">
        <w:tblPrEx>
          <w:tblW w:w="9529" w:type="dxa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/>
        </w:tblPrEx>
        <w:trPr>
          <w:trHeight w:val="652"/>
          <w:jc w:val="center"/>
        </w:trPr>
        <w:tc>
          <w:tcPr>
            <w:tcW w:w="9529" w:type="dxa"/>
            <w:gridSpan w:val="6"/>
          </w:tcPr>
          <w:p w:rsidR="00062F1B" w:rsidRPr="00062F1B" w:rsidP="00062F1B" w14:paraId="5456F2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  <w:br w:type="page"/>
              <w:t>III. Tiesību akta projekta ietekme uz valsts budžetu un pašvaldību budžetiem</w:t>
            </w:r>
          </w:p>
        </w:tc>
      </w:tr>
      <w:tr w14:paraId="5494BB6D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  <w:vMerge w:val="restart"/>
            <w:vAlign w:val="center"/>
          </w:tcPr>
          <w:p w:rsidR="00062F1B" w:rsidRPr="00062F1B" w:rsidP="00062F1B" w14:paraId="747A7E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Rādītāji</w:t>
            </w:r>
          </w:p>
        </w:tc>
        <w:tc>
          <w:tcPr>
            <w:tcW w:w="2684" w:type="dxa"/>
            <w:gridSpan w:val="2"/>
            <w:vMerge w:val="restart"/>
            <w:vAlign w:val="center"/>
          </w:tcPr>
          <w:p w:rsidR="00062F1B" w:rsidRPr="00062F1B" w:rsidP="00062F1B" w14:paraId="1A58E7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2017. gads</w:t>
            </w:r>
          </w:p>
        </w:tc>
        <w:tc>
          <w:tcPr>
            <w:tcW w:w="4457" w:type="dxa"/>
            <w:gridSpan w:val="3"/>
            <w:vAlign w:val="center"/>
          </w:tcPr>
          <w:p w:rsidR="00062F1B" w:rsidRPr="00062F1B" w:rsidP="00062F1B" w14:paraId="5FBC44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Turpmākie trīs gadi (tūkst. </w:t>
            </w:r>
            <w:r w:rsidRPr="00062F1B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  <w:t>euro</w:t>
            </w: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)</w:t>
            </w:r>
          </w:p>
        </w:tc>
      </w:tr>
      <w:tr w14:paraId="61DF9CDA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  <w:vMerge/>
            <w:vAlign w:val="center"/>
          </w:tcPr>
          <w:p w:rsidR="00062F1B" w:rsidRPr="00062F1B" w:rsidP="00062F1B" w14:paraId="68E717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</w:p>
        </w:tc>
        <w:tc>
          <w:tcPr>
            <w:tcW w:w="2684" w:type="dxa"/>
            <w:gridSpan w:val="2"/>
            <w:vMerge/>
            <w:vAlign w:val="center"/>
          </w:tcPr>
          <w:p w:rsidR="00062F1B" w:rsidRPr="00062F1B" w:rsidP="00062F1B" w14:paraId="0484CC0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</w:p>
        </w:tc>
        <w:tc>
          <w:tcPr>
            <w:tcW w:w="1485" w:type="dxa"/>
            <w:vAlign w:val="center"/>
          </w:tcPr>
          <w:p w:rsidR="00062F1B" w:rsidRPr="00062F1B" w:rsidP="00062F1B" w14:paraId="7592E8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2018. gads</w:t>
            </w:r>
          </w:p>
        </w:tc>
        <w:tc>
          <w:tcPr>
            <w:tcW w:w="1486" w:type="dxa"/>
            <w:vAlign w:val="center"/>
          </w:tcPr>
          <w:p w:rsidR="00062F1B" w:rsidRPr="00062F1B" w:rsidP="00062F1B" w14:paraId="1FF421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2019. gads</w:t>
            </w:r>
          </w:p>
        </w:tc>
        <w:tc>
          <w:tcPr>
            <w:tcW w:w="1486" w:type="dxa"/>
            <w:vAlign w:val="center"/>
          </w:tcPr>
          <w:p w:rsidR="00062F1B" w:rsidRPr="00062F1B" w:rsidP="00062F1B" w14:paraId="73B781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2020. gads</w:t>
            </w:r>
          </w:p>
        </w:tc>
      </w:tr>
      <w:tr w14:paraId="71834FD7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  <w:vMerge/>
            <w:vAlign w:val="center"/>
          </w:tcPr>
          <w:p w:rsidR="00062F1B" w:rsidRPr="00062F1B" w:rsidP="00062F1B" w14:paraId="5A9147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</w:p>
        </w:tc>
        <w:tc>
          <w:tcPr>
            <w:tcW w:w="1330" w:type="dxa"/>
            <w:vAlign w:val="center"/>
          </w:tcPr>
          <w:p w:rsidR="00062F1B" w:rsidRPr="00062F1B" w:rsidP="00062F1B" w14:paraId="1265D1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Saskaņā ar valsts budžetu kārtējam gadam</w:t>
            </w:r>
          </w:p>
        </w:tc>
        <w:tc>
          <w:tcPr>
            <w:tcW w:w="1354" w:type="dxa"/>
            <w:vAlign w:val="center"/>
          </w:tcPr>
          <w:p w:rsidR="00062F1B" w:rsidRPr="00062F1B" w:rsidP="00062F1B" w14:paraId="672921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Izmaiņas kārtējā gadā, salīdzinot ar budžetu kārtējam gadam</w:t>
            </w:r>
          </w:p>
        </w:tc>
        <w:tc>
          <w:tcPr>
            <w:tcW w:w="1485" w:type="dxa"/>
            <w:vAlign w:val="center"/>
          </w:tcPr>
          <w:p w:rsidR="00062F1B" w:rsidRPr="00062F1B" w:rsidP="00062F1B" w14:paraId="2FF9F4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Izmaiņas, salīdzinot ar kārtējo 2017. gadu</w:t>
            </w:r>
          </w:p>
        </w:tc>
        <w:tc>
          <w:tcPr>
            <w:tcW w:w="1486" w:type="dxa"/>
            <w:vAlign w:val="center"/>
          </w:tcPr>
          <w:p w:rsidR="00062F1B" w:rsidRPr="00062F1B" w:rsidP="00062F1B" w14:paraId="2330FB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Izmaiņas, salīdzinot ar kārtējo 2017. gadu</w:t>
            </w:r>
          </w:p>
        </w:tc>
        <w:tc>
          <w:tcPr>
            <w:tcW w:w="1486" w:type="dxa"/>
            <w:vAlign w:val="center"/>
          </w:tcPr>
          <w:p w:rsidR="00062F1B" w:rsidRPr="00062F1B" w:rsidP="00062F1B" w14:paraId="292452A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Izmaiņas, salīdzinot ar kārtējo 2017. gadu</w:t>
            </w:r>
          </w:p>
        </w:tc>
      </w:tr>
      <w:tr w14:paraId="048A5D02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  <w:vAlign w:val="center"/>
          </w:tcPr>
          <w:p w:rsidR="00062F1B" w:rsidRPr="00062F1B" w:rsidP="00062F1B" w14:paraId="559AEB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  <w:t>1</w:t>
            </w:r>
          </w:p>
        </w:tc>
        <w:tc>
          <w:tcPr>
            <w:tcW w:w="1330" w:type="dxa"/>
            <w:vAlign w:val="center"/>
          </w:tcPr>
          <w:p w:rsidR="00062F1B" w:rsidRPr="00062F1B" w:rsidP="00062F1B" w14:paraId="3344E7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  <w:t>2</w:t>
            </w:r>
          </w:p>
        </w:tc>
        <w:tc>
          <w:tcPr>
            <w:tcW w:w="1354" w:type="dxa"/>
            <w:vAlign w:val="center"/>
          </w:tcPr>
          <w:p w:rsidR="00062F1B" w:rsidRPr="00062F1B" w:rsidP="00062F1B" w14:paraId="75680A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  <w:t>3</w:t>
            </w:r>
          </w:p>
        </w:tc>
        <w:tc>
          <w:tcPr>
            <w:tcW w:w="1485" w:type="dxa"/>
            <w:vAlign w:val="center"/>
          </w:tcPr>
          <w:p w:rsidR="00062F1B" w:rsidRPr="00062F1B" w:rsidP="00062F1B" w14:paraId="3372DC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  <w:t>4</w:t>
            </w:r>
          </w:p>
        </w:tc>
        <w:tc>
          <w:tcPr>
            <w:tcW w:w="1486" w:type="dxa"/>
            <w:vAlign w:val="center"/>
          </w:tcPr>
          <w:p w:rsidR="00062F1B" w:rsidRPr="00062F1B" w:rsidP="00062F1B" w14:paraId="587C0A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  <w:t>5</w:t>
            </w:r>
          </w:p>
        </w:tc>
        <w:tc>
          <w:tcPr>
            <w:tcW w:w="1486" w:type="dxa"/>
            <w:vAlign w:val="center"/>
          </w:tcPr>
          <w:p w:rsidR="00062F1B" w:rsidRPr="00062F1B" w:rsidP="00062F1B" w14:paraId="29B0F3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lv-LV" w:eastAsia="lv-LV"/>
              </w:rPr>
              <w:t>6</w:t>
            </w:r>
          </w:p>
        </w:tc>
      </w:tr>
      <w:tr w14:paraId="6F6D4EFD" w14:textId="77777777" w:rsidTr="00072E99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FA2E74" w:rsidRPr="00062F1B" w:rsidP="00FA2E74" w14:paraId="4B1ED903" w14:textId="7777777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1. Budžeta ieņēmumi:</w:t>
            </w:r>
          </w:p>
        </w:tc>
        <w:tc>
          <w:tcPr>
            <w:tcW w:w="1330" w:type="dxa"/>
            <w:vAlign w:val="center"/>
          </w:tcPr>
          <w:p w:rsidR="00FA2E74" w:rsidRPr="00FA2E74" w:rsidP="00FA2E74" w14:paraId="79782646" w14:textId="34BAC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FA2E74">
              <w:rPr>
                <w:rFonts w:ascii="Times New Roman" w:hAnsi="Times New Roman"/>
                <w:b/>
                <w:noProof/>
                <w:sz w:val="24"/>
                <w:szCs w:val="24"/>
              </w:rPr>
              <w:t>738 029</w:t>
            </w:r>
          </w:p>
        </w:tc>
        <w:tc>
          <w:tcPr>
            <w:tcW w:w="1354" w:type="dxa"/>
          </w:tcPr>
          <w:p w:rsidR="00FA2E74" w:rsidRPr="00062F1B" w:rsidP="00FA2E74" w14:paraId="116131A3" w14:textId="30117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FA2E74" w:rsidRPr="00062F1B" w:rsidP="00FA2E74" w14:paraId="58B9E466" w14:textId="06CCF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6E7C0102" w14:textId="35263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263F8F68" w14:textId="10B024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33CD5B99" w14:textId="77777777" w:rsidTr="00072E99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FA2E74" w:rsidRPr="00062F1B" w:rsidP="00FA2E74" w14:paraId="4F7C2151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1.1. valsts pamatbudžets, tai skaitā ieņēmumi no maksas pakalpojumiem un citi pašu ieņēmumi</w:t>
            </w:r>
          </w:p>
        </w:tc>
        <w:tc>
          <w:tcPr>
            <w:tcW w:w="1330" w:type="dxa"/>
            <w:vAlign w:val="center"/>
          </w:tcPr>
          <w:p w:rsidR="00FA2E74" w:rsidP="00FA2E74" w14:paraId="1DE10005" w14:textId="709592E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738 029</w:t>
            </w:r>
          </w:p>
          <w:p w:rsidR="00FA2E74" w:rsidP="00FA2E74" w14:paraId="35D890AF" w14:textId="777777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A2E74" w:rsidP="00FA2E74" w14:paraId="11414DA3" w14:textId="7777777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A2E74" w:rsidRPr="00FA2E74" w:rsidP="00FA2E74" w14:paraId="6816FF5C" w14:textId="2E1FB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FA2E74">
              <w:rPr>
                <w:rFonts w:ascii="Times New Roman" w:hAnsi="Times New Roman"/>
                <w:noProof/>
                <w:sz w:val="24"/>
                <w:szCs w:val="24"/>
              </w:rPr>
              <w:t>64 915</w:t>
            </w:r>
          </w:p>
        </w:tc>
        <w:tc>
          <w:tcPr>
            <w:tcW w:w="1354" w:type="dxa"/>
          </w:tcPr>
          <w:p w:rsidR="00FA2E74" w:rsidRPr="00062F1B" w:rsidP="00FA2E74" w14:paraId="554F4B94" w14:textId="55E9BA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FA2E74" w:rsidRPr="00062F1B" w:rsidP="00FA2E74" w14:paraId="5E1360D4" w14:textId="5B2AA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28768CB8" w14:textId="60DA8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6701314E" w14:textId="14E7FD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015ECBCF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FA2E74" w:rsidRPr="00062F1B" w:rsidP="00FA2E74" w14:paraId="683FC363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1.2. valsts speciālais budžets</w:t>
            </w:r>
          </w:p>
        </w:tc>
        <w:tc>
          <w:tcPr>
            <w:tcW w:w="1330" w:type="dxa"/>
          </w:tcPr>
          <w:p w:rsidR="00FA2E74" w:rsidRPr="00FA2E74" w:rsidP="00FA2E74" w14:paraId="71379FC1" w14:textId="0C9FF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FA2E7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FA2E74" w:rsidRPr="00062F1B" w:rsidP="00FA2E74" w14:paraId="7DF89370" w14:textId="63922D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FA2E74" w:rsidRPr="00062F1B" w:rsidP="00FA2E74" w14:paraId="443D3848" w14:textId="796EE9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7BA50116" w14:textId="38342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0427AE85" w14:textId="3BED5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751ABD9A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FA2E74" w:rsidRPr="00062F1B" w:rsidP="00FA2E74" w14:paraId="2CBD6D1D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1.3. pašvaldību budžets</w:t>
            </w:r>
          </w:p>
        </w:tc>
        <w:tc>
          <w:tcPr>
            <w:tcW w:w="1330" w:type="dxa"/>
          </w:tcPr>
          <w:p w:rsidR="00FA2E74" w:rsidRPr="00FA2E74" w:rsidP="00FA2E74" w14:paraId="7A0FABC1" w14:textId="0BFE1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FA2E74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FA2E74" w:rsidRPr="00062F1B" w:rsidP="00FA2E74" w14:paraId="463CF5A0" w14:textId="37D387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FA2E74" w:rsidRPr="00062F1B" w:rsidP="00FA2E74" w14:paraId="2BA7C994" w14:textId="1AF246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5EECED0F" w14:textId="009D7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424F3E6D" w14:textId="40A231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57A27FB3" w14:textId="77777777" w:rsidTr="00072E99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FA2E74" w:rsidRPr="00062F1B" w:rsidP="00FA2E74" w14:paraId="1DE8AD44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2. Budžeta izdevumi:</w:t>
            </w:r>
          </w:p>
        </w:tc>
        <w:tc>
          <w:tcPr>
            <w:tcW w:w="1330" w:type="dxa"/>
            <w:vAlign w:val="center"/>
          </w:tcPr>
          <w:p w:rsidR="00FA2E74" w:rsidRPr="00FA2E74" w:rsidP="00FA2E74" w14:paraId="024BC7F9" w14:textId="5E76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FA2E74">
              <w:rPr>
                <w:rFonts w:ascii="Times New Roman" w:hAnsi="Times New Roman"/>
                <w:b/>
                <w:noProof/>
                <w:sz w:val="24"/>
                <w:szCs w:val="24"/>
              </w:rPr>
              <w:t>738 029</w:t>
            </w:r>
          </w:p>
        </w:tc>
        <w:tc>
          <w:tcPr>
            <w:tcW w:w="1354" w:type="dxa"/>
          </w:tcPr>
          <w:p w:rsidR="00FA2E74" w:rsidRPr="00062F1B" w:rsidP="00FA2E74" w14:paraId="30434CC3" w14:textId="14EEA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FA2E74" w:rsidRPr="00062F1B" w:rsidP="00FA2E74" w14:paraId="20E49C40" w14:textId="1CC4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7D4B11B2" w14:textId="06190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43F2E0AF" w14:textId="00BD8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70EC227D" w14:textId="77777777" w:rsidTr="00072E99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FA2E74" w:rsidRPr="00062F1B" w:rsidP="00FA2E74" w14:paraId="1009E5F9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2.1. valsts pamatbudžets</w:t>
            </w:r>
          </w:p>
        </w:tc>
        <w:tc>
          <w:tcPr>
            <w:tcW w:w="1330" w:type="dxa"/>
            <w:vAlign w:val="center"/>
          </w:tcPr>
          <w:p w:rsidR="00FA2E74" w:rsidRPr="00FA2E74" w:rsidP="00FA2E74" w14:paraId="66C8432B" w14:textId="1F47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FA2E74">
              <w:rPr>
                <w:rFonts w:ascii="Times New Roman" w:hAnsi="Times New Roman"/>
                <w:noProof/>
                <w:sz w:val="24"/>
                <w:szCs w:val="24"/>
              </w:rPr>
              <w:t>738 029</w:t>
            </w:r>
          </w:p>
        </w:tc>
        <w:tc>
          <w:tcPr>
            <w:tcW w:w="1354" w:type="dxa"/>
          </w:tcPr>
          <w:p w:rsidR="00FA2E74" w:rsidRPr="00062F1B" w:rsidP="00FA2E74" w14:paraId="2BC5ADED" w14:textId="563BD8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FA2E74" w:rsidRPr="00062F1B" w:rsidP="00FA2E74" w14:paraId="59AE26C0" w14:textId="52F7D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091182CC" w14:textId="71C2B7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FA2E74" w:rsidRPr="00062F1B" w:rsidP="00FA2E74" w14:paraId="7FD386ED" w14:textId="10B1B3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551A16B0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2DF400EF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2.2. valsts speciālais budžets</w:t>
            </w:r>
          </w:p>
        </w:tc>
        <w:tc>
          <w:tcPr>
            <w:tcW w:w="1330" w:type="dxa"/>
          </w:tcPr>
          <w:p w:rsidR="00062F1B" w:rsidRPr="00062F1B" w:rsidP="00062F1B" w14:paraId="04D49D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354" w:type="dxa"/>
          </w:tcPr>
          <w:p w:rsidR="00062F1B" w:rsidRPr="00062F1B" w:rsidP="00062F1B" w14:paraId="6BAA24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793B41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71503D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2E4CD8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30E11FF8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64E551A0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2.3. pašvaldību budžets </w:t>
            </w:r>
          </w:p>
        </w:tc>
        <w:tc>
          <w:tcPr>
            <w:tcW w:w="1330" w:type="dxa"/>
          </w:tcPr>
          <w:p w:rsidR="00062F1B" w:rsidRPr="00062F1B" w:rsidP="00062F1B" w14:paraId="4C79525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354" w:type="dxa"/>
          </w:tcPr>
          <w:p w:rsidR="00062F1B" w:rsidRPr="00062F1B" w:rsidP="00062F1B" w14:paraId="6558F7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2117E0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2C0A277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1C98E6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3ED77EF9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47943433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3. Finansiālā ietekme:</w:t>
            </w:r>
          </w:p>
        </w:tc>
        <w:tc>
          <w:tcPr>
            <w:tcW w:w="1330" w:type="dxa"/>
          </w:tcPr>
          <w:p w:rsidR="00062F1B" w:rsidRPr="00062F1B" w:rsidP="00062F1B" w14:paraId="1BA370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354" w:type="dxa"/>
          </w:tcPr>
          <w:p w:rsidR="00062F1B" w:rsidRPr="00062F1B" w:rsidP="00062F1B" w14:paraId="682C48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05F403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7D3A0E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374DCDA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2A7837FE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6C2EE13C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3.1. valsts pamatbudžets</w:t>
            </w:r>
          </w:p>
        </w:tc>
        <w:tc>
          <w:tcPr>
            <w:tcW w:w="1330" w:type="dxa"/>
          </w:tcPr>
          <w:p w:rsidR="00062F1B" w:rsidRPr="00062F1B" w:rsidP="00062F1B" w14:paraId="5D839F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354" w:type="dxa"/>
          </w:tcPr>
          <w:p w:rsidR="00062F1B" w:rsidRPr="00062F1B" w:rsidP="00062F1B" w14:paraId="1D82309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268F343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5ED261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47F203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13C300C3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6108D500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3.2. speciālais budžets</w:t>
            </w:r>
          </w:p>
        </w:tc>
        <w:tc>
          <w:tcPr>
            <w:tcW w:w="1330" w:type="dxa"/>
          </w:tcPr>
          <w:p w:rsidR="00062F1B" w:rsidRPr="00062F1B" w:rsidP="00062F1B" w14:paraId="2AE057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354" w:type="dxa"/>
          </w:tcPr>
          <w:p w:rsidR="00062F1B" w:rsidRPr="00062F1B" w:rsidP="00062F1B" w14:paraId="7B76EB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1C2801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45D126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03B00B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10F7179D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3B010185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3.3. pašvaldību budžets </w:t>
            </w:r>
          </w:p>
        </w:tc>
        <w:tc>
          <w:tcPr>
            <w:tcW w:w="1330" w:type="dxa"/>
          </w:tcPr>
          <w:p w:rsidR="00062F1B" w:rsidRPr="00062F1B" w:rsidP="00062F1B" w14:paraId="30A42C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354" w:type="dxa"/>
          </w:tcPr>
          <w:p w:rsidR="00062F1B" w:rsidRPr="00062F1B" w:rsidP="00062F1B" w14:paraId="254BF4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6DF0CA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4997E9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63DC2E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1C1D7E94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  <w:vMerge w:val="restart"/>
          </w:tcPr>
          <w:p w:rsidR="00062F1B" w:rsidRPr="00062F1B" w:rsidP="00062F1B" w14:paraId="72518C11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b/>
                <w:noProof/>
                <w:spacing w:val="-6"/>
                <w:sz w:val="24"/>
                <w:szCs w:val="24"/>
                <w:lang w:val="lv-LV"/>
              </w:rPr>
              <w:t>4. Finanšu līdzekļi papildu izdevumu finansēšanai</w:t>
            </w: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 (kompensējošu izdevumu samazinājumu norāda ar "+" zīmi)</w:t>
            </w:r>
          </w:p>
        </w:tc>
        <w:tc>
          <w:tcPr>
            <w:tcW w:w="1330" w:type="dxa"/>
            <w:vMerge w:val="restart"/>
          </w:tcPr>
          <w:p w:rsidR="00062F1B" w:rsidRPr="00062F1B" w:rsidP="00062F1B" w14:paraId="3D7764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1354" w:type="dxa"/>
          </w:tcPr>
          <w:p w:rsidR="00062F1B" w:rsidRPr="00062F1B" w:rsidP="00062F1B" w14:paraId="285989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0DFD05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3ECD13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5C64A5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5D2E4F60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  <w:vMerge/>
          </w:tcPr>
          <w:p w:rsidR="00062F1B" w:rsidRPr="00062F1B" w:rsidP="00062F1B" w14:paraId="328DC1D8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  <w:vMerge/>
          </w:tcPr>
          <w:p w:rsidR="00062F1B" w:rsidRPr="00062F1B" w:rsidP="00062F1B" w14:paraId="035239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</w:p>
        </w:tc>
        <w:tc>
          <w:tcPr>
            <w:tcW w:w="1354" w:type="dxa"/>
          </w:tcPr>
          <w:p w:rsidR="00062F1B" w:rsidRPr="00062F1B" w:rsidP="00062F1B" w14:paraId="046C79B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508727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6C0E89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04B635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0CADA313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  <w:vMerge/>
          </w:tcPr>
          <w:p w:rsidR="00062F1B" w:rsidRPr="00062F1B" w:rsidP="00062F1B" w14:paraId="54A80FB5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1330" w:type="dxa"/>
            <w:vMerge/>
          </w:tcPr>
          <w:p w:rsidR="00062F1B" w:rsidRPr="00062F1B" w:rsidP="00062F1B" w14:paraId="4E6F79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</w:p>
        </w:tc>
        <w:tc>
          <w:tcPr>
            <w:tcW w:w="1354" w:type="dxa"/>
          </w:tcPr>
          <w:p w:rsidR="00062F1B" w:rsidRPr="00062F1B" w:rsidP="00062F1B" w14:paraId="25A57D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58DAA8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5788DE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38D2DE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7C7DDAD7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7C55BE94" w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b/>
                <w:noProof/>
                <w:sz w:val="24"/>
                <w:szCs w:val="24"/>
                <w:lang w:val="lv-LV"/>
              </w:rPr>
              <w:t>5. Precizēta finansiālā ietekme:</w:t>
            </w:r>
          </w:p>
        </w:tc>
        <w:tc>
          <w:tcPr>
            <w:tcW w:w="1330" w:type="dxa"/>
            <w:vMerge w:val="restart"/>
          </w:tcPr>
          <w:p w:rsidR="00062F1B" w:rsidRPr="00062F1B" w:rsidP="00062F1B" w14:paraId="007D3A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X</w:t>
            </w:r>
          </w:p>
        </w:tc>
        <w:tc>
          <w:tcPr>
            <w:tcW w:w="1354" w:type="dxa"/>
          </w:tcPr>
          <w:p w:rsidR="00062F1B" w:rsidRPr="00062F1B" w:rsidP="00062F1B" w14:paraId="5F2E18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066287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0CEBDF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4FEAC46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74944035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03415D20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5.1. valsts pamatbudžets</w:t>
            </w:r>
          </w:p>
        </w:tc>
        <w:tc>
          <w:tcPr>
            <w:tcW w:w="1330" w:type="dxa"/>
            <w:vMerge/>
            <w:vAlign w:val="center"/>
          </w:tcPr>
          <w:p w:rsidR="00062F1B" w:rsidRPr="00062F1B" w:rsidP="00062F1B" w14:paraId="7D9E41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</w:p>
        </w:tc>
        <w:tc>
          <w:tcPr>
            <w:tcW w:w="1354" w:type="dxa"/>
          </w:tcPr>
          <w:p w:rsidR="00062F1B" w:rsidRPr="00062F1B" w:rsidP="00062F1B" w14:paraId="3B386B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7E6E64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6C0F79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28B9A2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5A8F6A30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76702218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5.2. speciālais budžets</w:t>
            </w:r>
          </w:p>
        </w:tc>
        <w:tc>
          <w:tcPr>
            <w:tcW w:w="1330" w:type="dxa"/>
            <w:vMerge/>
            <w:vAlign w:val="center"/>
          </w:tcPr>
          <w:p w:rsidR="00062F1B" w:rsidRPr="00062F1B" w:rsidP="00062F1B" w14:paraId="46D8E1D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</w:p>
        </w:tc>
        <w:tc>
          <w:tcPr>
            <w:tcW w:w="1354" w:type="dxa"/>
          </w:tcPr>
          <w:p w:rsidR="00062F1B" w:rsidRPr="00062F1B" w:rsidP="00062F1B" w14:paraId="095CB6F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44E414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7D0555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50BC15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2BA5AC8B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4AE9A0FB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 xml:space="preserve">5.3. pašvaldību budžets </w:t>
            </w:r>
          </w:p>
        </w:tc>
        <w:tc>
          <w:tcPr>
            <w:tcW w:w="1330" w:type="dxa"/>
            <w:vMerge/>
            <w:vAlign w:val="center"/>
          </w:tcPr>
          <w:p w:rsidR="00062F1B" w:rsidRPr="00062F1B" w:rsidP="00062F1B" w14:paraId="7FD1AC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</w:p>
        </w:tc>
        <w:tc>
          <w:tcPr>
            <w:tcW w:w="1354" w:type="dxa"/>
          </w:tcPr>
          <w:p w:rsidR="00062F1B" w:rsidRPr="00062F1B" w:rsidP="00062F1B" w14:paraId="29D1AD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5" w:type="dxa"/>
          </w:tcPr>
          <w:p w:rsidR="00062F1B" w:rsidRPr="00062F1B" w:rsidP="00062F1B" w14:paraId="6C07DB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047578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1486" w:type="dxa"/>
          </w:tcPr>
          <w:p w:rsidR="00062F1B" w:rsidRPr="00062F1B" w:rsidP="00062F1B" w14:paraId="29A4A0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0</w:t>
            </w:r>
          </w:p>
        </w:tc>
      </w:tr>
      <w:tr w14:paraId="295E6BCE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0DD927CA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6. Detalizēts ieņēmumu un izdevumu aprēķins (ja nepieciešams, detalizētu ieņēmumu un izdevumu aprēķinu var pievienot anotācijas pielikumā):</w:t>
            </w:r>
          </w:p>
        </w:tc>
        <w:tc>
          <w:tcPr>
            <w:tcW w:w="7141" w:type="dxa"/>
            <w:gridSpan w:val="5"/>
            <w:vMerge w:val="restart"/>
          </w:tcPr>
          <w:p w:rsidR="00062F1B" w:rsidRPr="00062F1B" w:rsidP="00062F1B" w14:paraId="2868381E" w14:textId="34F1A1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lv-LV" w:eastAsia="lv-LV"/>
              </w:rPr>
              <w:t>Nolikuma izmai</w:t>
            </w:r>
            <w:r w:rsidR="00212F0C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lv-LV" w:eastAsia="lv-LV"/>
              </w:rPr>
              <w:t>ņas papildus fin</w:t>
            </w:r>
            <w:r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val="lv-LV" w:eastAsia="lv-LV"/>
              </w:rPr>
              <w:t>ašu ietekmi uz budžetu nerada.</w:t>
            </w: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  <w:t xml:space="preserve"> </w:t>
            </w:r>
          </w:p>
          <w:p w:rsidR="00062F1B" w:rsidRPr="00062F1B" w:rsidP="00062F1B" w14:paraId="730BDE5C" w14:textId="2CF4A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Paula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Stradiņa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Medicīnas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vēstures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muzeja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filiāles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nodošanas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inanšu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norādīta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62F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2017.gada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25.maija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62F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</w:t>
            </w:r>
            <w:r w:rsidRPr="00062F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kabineta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</w:t>
            </w:r>
            <w:r w:rsidR="004759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</w:t>
            </w:r>
            <w:r w:rsidRPr="00062F1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Nr.258 </w:t>
            </w:r>
            <w:r w:rsidRPr="00062F1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”Par Paula Stradiņa Medicīnas vēstures muzeja reorganizāciju un tā struktūrvienības – filiāles ”Jēkaba </w:t>
            </w:r>
            <w:r w:rsidRPr="00062F1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Prīmaņa</w:t>
            </w:r>
            <w:r w:rsidRPr="00062F1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Anatomijas muzejs” nodošanu Rīgas Stradiņa universitātei</w:t>
            </w:r>
            <w:r w:rsidRPr="00062F1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anotācijas III sadaļā.</w:t>
            </w:r>
          </w:p>
        </w:tc>
      </w:tr>
      <w:tr w14:paraId="44E66F62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265A8565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6.1. detalizēts ieņēmumu aprēķins</w:t>
            </w:r>
          </w:p>
        </w:tc>
        <w:tc>
          <w:tcPr>
            <w:tcW w:w="7141" w:type="dxa"/>
            <w:gridSpan w:val="5"/>
            <w:vMerge/>
          </w:tcPr>
          <w:p w:rsidR="00062F1B" w:rsidRPr="00062F1B" w:rsidP="00062F1B" w14:paraId="79BC3912" w14:textId="7777777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</w:p>
        </w:tc>
      </w:tr>
      <w:tr w14:paraId="580210E2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574BE894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6.2. detalizēts izdevumu aprēķins</w:t>
            </w:r>
          </w:p>
        </w:tc>
        <w:tc>
          <w:tcPr>
            <w:tcW w:w="7141" w:type="dxa"/>
            <w:gridSpan w:val="5"/>
            <w:vMerge/>
          </w:tcPr>
          <w:p w:rsidR="00062F1B" w:rsidRPr="00062F1B" w:rsidP="00062F1B" w14:paraId="162657C6" w14:textId="7777777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i/>
                <w:noProof/>
                <w:sz w:val="24"/>
                <w:szCs w:val="24"/>
                <w:lang w:val="lv-LV" w:eastAsia="lv-LV"/>
              </w:rPr>
            </w:pPr>
          </w:p>
        </w:tc>
      </w:tr>
      <w:tr w14:paraId="4B2DF84D" w14:textId="77777777" w:rsidTr="00062F1B">
        <w:tblPrEx>
          <w:tblW w:w="9529" w:type="dxa"/>
          <w:jc w:val="center"/>
          <w:tblLook w:val="01E0"/>
        </w:tblPrEx>
        <w:trPr>
          <w:jc w:val="center"/>
        </w:trPr>
        <w:tc>
          <w:tcPr>
            <w:tcW w:w="2388" w:type="dxa"/>
          </w:tcPr>
          <w:p w:rsidR="00062F1B" w:rsidRPr="00062F1B" w:rsidP="00062F1B" w14:paraId="624E92A7" w14:textId="7777777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062F1B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7. Cita informācija</w:t>
            </w:r>
          </w:p>
        </w:tc>
        <w:tc>
          <w:tcPr>
            <w:tcW w:w="7141" w:type="dxa"/>
            <w:gridSpan w:val="5"/>
          </w:tcPr>
          <w:p w:rsidR="00062F1B" w:rsidRPr="00062F1B" w:rsidP="00062F1B" w14:paraId="3AFE5C76" w14:textId="55BFCC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</w:pPr>
            <w:r w:rsidRPr="00062F1B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643B1B" w:rsidP="00643B1B" w14:paraId="48FF478E" w14:textId="77777777">
      <w:pPr>
        <w:pStyle w:val="naisf"/>
        <w:spacing w:before="0" w:after="0"/>
        <w:ind w:firstLine="0"/>
        <w:rPr>
          <w:iCs/>
          <w:noProof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2161"/>
        <w:gridCol w:w="6804"/>
      </w:tblGrid>
      <w:tr w14:paraId="46A21606" w14:textId="77777777" w:rsidTr="00643B1B">
        <w:tblPrEx>
          <w:tblW w:w="963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1B" w14:paraId="0468E19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v-LV" w:eastAsia="lv-LV"/>
              </w:rPr>
              <w:t>IV. Tiesību akta projekta ietekme uz spēkā esošo tiesību normu sistēmu</w:t>
            </w:r>
          </w:p>
        </w:tc>
      </w:tr>
      <w:tr w14:paraId="5D48FC7B" w14:textId="77777777" w:rsidTr="00643B1B">
        <w:tblPrEx>
          <w:tblW w:w="9634" w:type="dxa"/>
          <w:jc w:val="center"/>
          <w:tblLook w:val="01E0"/>
        </w:tblPrEx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1B" w14:paraId="5333AD4F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1B" w14:paraId="008C9455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Nepieciešamie saistītie tiesību aktu projekti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84" w:rsidRPr="008B0240" w:rsidP="00336084" w14:paraId="3DF6DCCD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8B024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lv-LV" w:eastAsia="lv-LV"/>
              </w:rPr>
              <w:t xml:space="preserve">Ministru kabineta 2017.gada 23.maija sēdes </w:t>
            </w:r>
            <w:r w:rsidRPr="008B024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lv-LV" w:eastAsia="lv-LV"/>
              </w:rPr>
              <w:t>protokollēmum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lv-LV" w:eastAsia="lv-LV"/>
              </w:rPr>
              <w:t>a</w:t>
            </w:r>
            <w:r w:rsidRPr="008B024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lv-LV" w:eastAsia="lv-LV"/>
              </w:rPr>
              <w:t xml:space="preserve"> (prot Nr.27 17 §) 3.punkts nosaka uzdevumu v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eselības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ministrei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līdz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2017.gada 1.jūlijam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iesniegt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Ministru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kabinetā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noteiktā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kārtībā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ar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Paula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Stradiņa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Medicīnas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vēstures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muzeja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reorganizāciju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saistītos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tiesību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aktu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projektus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="00643B1B" w:rsidP="00336084" w14:paraId="2C23322F" w14:textId="319B21A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 w:eastAsia="lv-LV"/>
              </w:rPr>
            </w:pPr>
            <w:r w:rsidRPr="008B024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lv-LV" w:eastAsia="lv-LV"/>
              </w:rPr>
              <w:t>Minis</w:t>
            </w:r>
            <w:r w:rsidRPr="008B0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tru</w:t>
            </w:r>
            <w:r w:rsidRPr="008B0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0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kabineta</w:t>
            </w:r>
            <w:r w:rsidRPr="008B0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0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noteikumu</w:t>
            </w:r>
            <w:r w:rsidRPr="008B0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0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projekts</w:t>
            </w:r>
            <w:r w:rsidRPr="008B0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  <w:r w:rsidRPr="0053326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"Paula Stradiņa Medicīnas vēstures muzeja maksas pakalpojumu cenrādis</w:t>
            </w:r>
            <w:r w:rsidRPr="008B02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izsludināts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Valsts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sekretāru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saņāksmē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2017.gada 8. </w:t>
            </w:r>
            <w:r>
              <w:rPr>
                <w:rFonts w:ascii="Times New Roman" w:hAnsi="Times New Roman"/>
                <w:sz w:val="24"/>
                <w:szCs w:val="24"/>
              </w:rPr>
              <w:t>jūnijā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(VSS </w:t>
            </w:r>
            <w:r>
              <w:rPr>
                <w:rFonts w:ascii="Times New Roman" w:hAnsi="Times New Roman"/>
                <w:sz w:val="24"/>
                <w:szCs w:val="24"/>
              </w:rPr>
              <w:t>protokols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22  </w:t>
            </w:r>
            <w:r w:rsidRPr="002752B8">
              <w:rPr>
                <w:rFonts w:ascii="Times New Roman" w:hAnsi="Times New Roman"/>
                <w:sz w:val="24"/>
                <w:szCs w:val="24"/>
              </w:rPr>
              <w:t>22</w:t>
            </w:r>
            <w:r w:rsidRPr="002752B8">
              <w:rPr>
                <w:rFonts w:ascii="Times New Roman" w:hAnsi="Times New Roman"/>
                <w:sz w:val="24"/>
                <w:szCs w:val="24"/>
              </w:rPr>
              <w:t>.</w:t>
            </w:r>
            <w:r w:rsidRPr="002752B8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§</w:t>
            </w:r>
            <w:r w:rsidRPr="002752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VSS-609).</w:t>
            </w:r>
          </w:p>
        </w:tc>
      </w:tr>
      <w:tr w14:paraId="14C98F25" w14:textId="77777777" w:rsidTr="00643B1B">
        <w:tblPrEx>
          <w:tblW w:w="9634" w:type="dxa"/>
          <w:jc w:val="center"/>
          <w:tblLook w:val="01E0"/>
        </w:tblPrEx>
        <w:trPr>
          <w:trHeight w:val="28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1B" w14:paraId="540AE3FF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1B" w14:paraId="40D97F9C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B1B" w14:paraId="73015292" w14:textId="77777777">
            <w:pPr>
              <w:tabs>
                <w:tab w:val="left" w:pos="262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643B1B" w:rsidP="00643B1B" w14:paraId="13854BB2" w14:textId="56C3DA2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lv-LV" w:bidi="lo-LA"/>
        </w:rPr>
      </w:pPr>
    </w:p>
    <w:p w:rsidR="00EE16AE" w:rsidP="00643B1B" w14:paraId="3294AD63" w14:textId="0DABBF8A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lv-LV" w:bidi="lo-LA"/>
        </w:rPr>
      </w:pPr>
    </w:p>
    <w:p w:rsidR="00EE16AE" w:rsidP="00643B1B" w14:paraId="10DFC97B" w14:textId="77777777">
      <w:pPr>
        <w:spacing w:after="0" w:line="36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val="lv-LV" w:bidi="lo-LA"/>
        </w:rPr>
      </w:pPr>
    </w:p>
    <w:p w:rsidR="00131D09" w:rsidP="00643B1B" w14:paraId="2E1D3143" w14:textId="18628736">
      <w:pPr>
        <w:spacing w:after="0" w:line="360" w:lineRule="auto"/>
        <w:rPr>
          <w:rFonts w:ascii="Times New Roman" w:eastAsia="Times New Roman" w:hAnsi="Times New Roman"/>
          <w:vanish/>
          <w:color w:val="000000"/>
          <w:sz w:val="24"/>
          <w:szCs w:val="24"/>
          <w:lang w:val="lv-LV" w:bidi="lo-LA"/>
        </w:rPr>
      </w:pPr>
    </w:p>
    <w:tbl>
      <w:tblPr>
        <w:tblW w:w="50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2127"/>
        <w:gridCol w:w="6940"/>
      </w:tblGrid>
      <w:tr w14:paraId="24B4343B" w14:textId="77777777" w:rsidTr="00DA6BE0">
        <w:tblPrEx>
          <w:tblW w:w="5054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8"/>
        </w:trPr>
        <w:tc>
          <w:tcPr>
            <w:tcW w:w="5000" w:type="pct"/>
            <w:gridSpan w:val="3"/>
            <w:shd w:val="clear" w:color="auto" w:fill="auto"/>
          </w:tcPr>
          <w:p w:rsidR="00764D6A" w:rsidRPr="00237EF2" w:rsidP="00DA6BE0" w14:paraId="642CC5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VI. Sabiedrības līdzdalība un komunikācijas aktivitātes</w:t>
            </w:r>
          </w:p>
        </w:tc>
      </w:tr>
      <w:tr w14:paraId="60F9A14D" w14:textId="77777777" w:rsidTr="00DA6BE0">
        <w:tblPrEx>
          <w:tblW w:w="5054" w:type="pct"/>
          <w:tblInd w:w="-5" w:type="dxa"/>
          <w:tblLook w:val="04A0"/>
        </w:tblPrEx>
        <w:tc>
          <w:tcPr>
            <w:tcW w:w="226" w:type="pct"/>
            <w:shd w:val="clear" w:color="auto" w:fill="auto"/>
          </w:tcPr>
          <w:p w:rsidR="00764D6A" w:rsidRPr="00237EF2" w:rsidP="00DA6BE0" w14:paraId="304493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1120" w:type="pct"/>
            <w:shd w:val="clear" w:color="auto" w:fill="auto"/>
          </w:tcPr>
          <w:p w:rsidR="00764D6A" w:rsidRPr="00237EF2" w:rsidP="00DA6BE0" w14:paraId="51DD5313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3654" w:type="pct"/>
            <w:shd w:val="clear" w:color="auto" w:fill="auto"/>
          </w:tcPr>
          <w:p w:rsidR="00764D6A" w:rsidRPr="00237EF2" w:rsidP="00DA6BE0" w14:paraId="32C8EB5A" w14:textId="777777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Sabiedriskā apspriešana projekta izstrādē nav veikta, jo projekts būtiski nemaina esošo regulējumu un neparedz ieviest jaunas politiskās iniciatīvas.</w:t>
            </w:r>
          </w:p>
        </w:tc>
      </w:tr>
      <w:tr w14:paraId="14387CEB" w14:textId="77777777" w:rsidTr="00DA6BE0">
        <w:tblPrEx>
          <w:tblW w:w="5054" w:type="pct"/>
          <w:tblInd w:w="-5" w:type="dxa"/>
          <w:tblLook w:val="04A0"/>
        </w:tblPrEx>
        <w:tc>
          <w:tcPr>
            <w:tcW w:w="226" w:type="pct"/>
            <w:shd w:val="clear" w:color="auto" w:fill="auto"/>
          </w:tcPr>
          <w:p w:rsidR="00764D6A" w:rsidRPr="00237EF2" w:rsidP="00DA6BE0" w14:paraId="63ADFD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1120" w:type="pct"/>
            <w:shd w:val="clear" w:color="auto" w:fill="auto"/>
          </w:tcPr>
          <w:p w:rsidR="00764D6A" w:rsidRPr="00237EF2" w:rsidP="00DA6BE0" w14:paraId="24DD8BF7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Sabiedrības līdzdalība projekta izstrādē</w:t>
            </w:r>
          </w:p>
        </w:tc>
        <w:tc>
          <w:tcPr>
            <w:tcW w:w="3654" w:type="pct"/>
            <w:shd w:val="clear" w:color="auto" w:fill="auto"/>
          </w:tcPr>
          <w:p w:rsidR="00764D6A" w:rsidRPr="00237EF2" w:rsidP="00DA6BE0" w14:paraId="624F3887" w14:textId="0DBFAC7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37EF2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</w:tr>
      <w:tr w14:paraId="1DE82A2C" w14:textId="77777777" w:rsidTr="00DA6BE0">
        <w:tblPrEx>
          <w:tblW w:w="5054" w:type="pct"/>
          <w:tblInd w:w="-5" w:type="dxa"/>
          <w:tblLook w:val="04A0"/>
        </w:tblPrEx>
        <w:tc>
          <w:tcPr>
            <w:tcW w:w="226" w:type="pct"/>
            <w:shd w:val="clear" w:color="auto" w:fill="auto"/>
          </w:tcPr>
          <w:p w:rsidR="00764D6A" w:rsidRPr="00237EF2" w:rsidP="00DA6BE0" w14:paraId="561D10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1120" w:type="pct"/>
            <w:shd w:val="clear" w:color="auto" w:fill="auto"/>
          </w:tcPr>
          <w:p w:rsidR="00764D6A" w:rsidRPr="00237EF2" w:rsidP="00DA6BE0" w14:paraId="33FF68EC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Sabiedrības līdzdalības rezultāti</w:t>
            </w:r>
          </w:p>
        </w:tc>
        <w:tc>
          <w:tcPr>
            <w:tcW w:w="3654" w:type="pct"/>
            <w:shd w:val="clear" w:color="auto" w:fill="auto"/>
          </w:tcPr>
          <w:p w:rsidR="00764D6A" w:rsidRPr="00237EF2" w:rsidP="00DA6BE0" w14:paraId="6868F767" w14:textId="720C86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37E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  <w:t>Nav</w:t>
            </w:r>
          </w:p>
        </w:tc>
      </w:tr>
      <w:tr w14:paraId="57A2E729" w14:textId="77777777" w:rsidTr="00DA6BE0">
        <w:tblPrEx>
          <w:tblW w:w="5054" w:type="pct"/>
          <w:tblInd w:w="-5" w:type="dxa"/>
          <w:tblLook w:val="04A0"/>
        </w:tblPrEx>
        <w:trPr>
          <w:trHeight w:val="431"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:rsidR="00764D6A" w:rsidRPr="00237EF2" w:rsidP="00DA6BE0" w14:paraId="6EA6A8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auto"/>
          </w:tcPr>
          <w:p w:rsidR="00764D6A" w:rsidRPr="00237EF2" w:rsidP="00DA6BE0" w14:paraId="0A8FEB60" w14:textId="77777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3654" w:type="pct"/>
            <w:tcBorders>
              <w:bottom w:val="single" w:sz="4" w:space="0" w:color="auto"/>
            </w:tcBorders>
            <w:shd w:val="clear" w:color="auto" w:fill="auto"/>
          </w:tcPr>
          <w:p w:rsidR="00764D6A" w:rsidRPr="00237EF2" w:rsidP="00DA6BE0" w14:paraId="4E456790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764D6A" w:rsidP="000752B8" w14:paraId="59AF4033" w14:textId="77777777">
      <w:pPr>
        <w:pStyle w:val="naisf"/>
        <w:spacing w:before="0" w:after="0"/>
        <w:ind w:firstLine="0"/>
        <w:rPr>
          <w:iCs/>
          <w:noProof/>
        </w:rPr>
      </w:pPr>
    </w:p>
    <w:tbl>
      <w:tblPr>
        <w:tblW w:w="95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65"/>
        <w:gridCol w:w="2262"/>
        <w:gridCol w:w="6714"/>
      </w:tblGrid>
      <w:tr w14:paraId="2A59190D" w14:textId="77777777" w:rsidTr="00286C30">
        <w:tblPrEx>
          <w:tblW w:w="9541" w:type="dxa"/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Look w:val="04A0"/>
        </w:tblPrEx>
        <w:trPr>
          <w:jc w:val="center"/>
        </w:trPr>
        <w:tc>
          <w:tcPr>
            <w:tcW w:w="95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237EF2" w:rsidP="00241C16" w14:paraId="07462DD6" w14:textId="77777777">
            <w:pPr>
              <w:spacing w:before="75" w:after="75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lv-LV" w:eastAsia="lv-LV"/>
              </w:rPr>
              <w:t> VII. Tiesību akta projekta izpildes nodrošināšana un tās ietekme uz institūcijām</w:t>
            </w:r>
          </w:p>
        </w:tc>
      </w:tr>
      <w:tr w14:paraId="67E475F4" w14:textId="77777777" w:rsidTr="00286C30">
        <w:tblPrEx>
          <w:tblW w:w="9541" w:type="dxa"/>
          <w:jc w:val="center"/>
          <w:tblLook w:val="04A0"/>
        </w:tblPrEx>
        <w:trPr>
          <w:trHeight w:val="427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237EF2" w:rsidP="00D35EC7" w14:paraId="3722C4F1" w14:textId="777777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1.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237EF2" w:rsidP="00D35EC7" w14:paraId="4BEA1463" w14:textId="777777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Projekta izpildē iesaistītās institūcijas</w:t>
            </w:r>
          </w:p>
        </w:tc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237EF2" w:rsidP="00C552F0" w14:paraId="6E1CF4B3" w14:textId="086CA7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Noteikumu projekta izpildi nodrošinās</w:t>
            </w:r>
            <w:r w:rsidRPr="00237EF2" w:rsidR="000E5894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 Veselības ministrija un</w:t>
            </w:r>
            <w:r w:rsidRPr="00237EF2" w:rsidR="007C6FBA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 </w:t>
            </w:r>
            <w:r w:rsidR="00733F85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Medicīnas</w:t>
            </w:r>
            <w:r w:rsidR="000A50E3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 muzejs</w:t>
            </w:r>
          </w:p>
        </w:tc>
      </w:tr>
      <w:tr w14:paraId="6B183A5C" w14:textId="77777777" w:rsidTr="00286C30">
        <w:tblPrEx>
          <w:tblW w:w="9541" w:type="dxa"/>
          <w:jc w:val="center"/>
          <w:tblLook w:val="04A0"/>
        </w:tblPrEx>
        <w:trPr>
          <w:trHeight w:val="463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237EF2" w:rsidP="00D35EC7" w14:paraId="428E0674" w14:textId="777777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2.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108" w:rsidRPr="00237EF2" w:rsidP="00D35EC7" w14:paraId="5D9A70CC" w14:textId="777777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 xml:space="preserve">Projekta izpildes ietekme uz pārvaldes funkcijām un institucionālo struktūru. </w:t>
            </w:r>
          </w:p>
          <w:p w:rsidR="002143EB" w:rsidRPr="00237EF2" w:rsidP="00D35EC7" w14:paraId="08E62817" w14:textId="777777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237EF2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0E3" w:rsidP="000A50E3" w14:paraId="2DEC1CA6" w14:textId="17191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37EF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Projekts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paredz svītrot Med</w:t>
            </w:r>
            <w:r w:rsidR="00475904">
              <w:rPr>
                <w:rFonts w:ascii="Times New Roman" w:hAnsi="Times New Roman"/>
                <w:sz w:val="24"/>
                <w:szCs w:val="24"/>
                <w:lang w:val="lv-LV"/>
              </w:rPr>
              <w:t>icīnas muzeja struktūrvienību -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filiāli Anatomijas muzejs sakarā ar veicamo reorganizāciju (Anatomijas muzeja nodošanu Rīgas Stradiņa universitātei).</w:t>
            </w:r>
          </w:p>
          <w:p w:rsidR="000A50E3" w:rsidRPr="00237EF2" w:rsidP="000A50E3" w14:paraId="4C156032" w14:textId="1F01961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Medicīnas muzeja funkcijas netiek grozītas.</w:t>
            </w:r>
          </w:p>
        </w:tc>
      </w:tr>
      <w:tr w14:paraId="78B316BC" w14:textId="77777777" w:rsidTr="00286C30">
        <w:tblPrEx>
          <w:tblW w:w="9541" w:type="dxa"/>
          <w:jc w:val="center"/>
          <w:tblLook w:val="04A0"/>
        </w:tblPrEx>
        <w:trPr>
          <w:trHeight w:val="476"/>
          <w:jc w:val="center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935F3B" w:rsidP="0092214C" w14:paraId="1B83DC00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935F3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 3</w:t>
            </w:r>
            <w:r w:rsidRPr="00935F3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935F3B" w:rsidP="0092214C" w14:paraId="2C9BBA27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 w:rsidRPr="00935F3B"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3EB" w:rsidRPr="00935F3B" w:rsidP="0092214C" w14:paraId="6D412EF3" w14:textId="77777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lv-LV" w:eastAsia="lv-LV"/>
              </w:rPr>
              <w:t>Nav</w:t>
            </w:r>
          </w:p>
        </w:tc>
      </w:tr>
    </w:tbl>
    <w:p w:rsidR="00CB168F" w:rsidRPr="003517B9" w:rsidP="00C53D1A" w14:paraId="097C313F" w14:textId="1639B27B">
      <w:pPr>
        <w:pStyle w:val="naisf"/>
        <w:spacing w:before="0" w:after="120"/>
        <w:ind w:firstLine="0"/>
        <w:jc w:val="center"/>
        <w:rPr>
          <w:i/>
          <w:noProof/>
        </w:rPr>
      </w:pPr>
      <w:r w:rsidRPr="003517B9">
        <w:rPr>
          <w:i/>
          <w:noProof/>
        </w:rPr>
        <w:t>Anotācija</w:t>
      </w:r>
      <w:r w:rsidRPr="003517B9" w:rsidR="00800B01">
        <w:rPr>
          <w:i/>
          <w:noProof/>
        </w:rPr>
        <w:t>s</w:t>
      </w:r>
      <w:r w:rsidRPr="003517B9">
        <w:rPr>
          <w:i/>
          <w:noProof/>
        </w:rPr>
        <w:t xml:space="preserve"> </w:t>
      </w:r>
      <w:r w:rsidR="00EB0D8B">
        <w:rPr>
          <w:i/>
          <w:noProof/>
        </w:rPr>
        <w:t xml:space="preserve">II </w:t>
      </w:r>
      <w:r w:rsidR="00FC6500">
        <w:rPr>
          <w:i/>
          <w:noProof/>
        </w:rPr>
        <w:t>u</w:t>
      </w:r>
      <w:r w:rsidR="000E5894">
        <w:rPr>
          <w:i/>
          <w:noProof/>
        </w:rPr>
        <w:t xml:space="preserve">n </w:t>
      </w:r>
      <w:r w:rsidRPr="003517B9">
        <w:rPr>
          <w:i/>
          <w:noProof/>
        </w:rPr>
        <w:t>V</w:t>
      </w:r>
      <w:r w:rsidRPr="003517B9">
        <w:rPr>
          <w:i/>
          <w:noProof/>
        </w:rPr>
        <w:t xml:space="preserve"> sadaļa – projekts š</w:t>
      </w:r>
      <w:r w:rsidRPr="003517B9" w:rsidR="00435D7F">
        <w:rPr>
          <w:i/>
          <w:noProof/>
        </w:rPr>
        <w:t>o</w:t>
      </w:r>
      <w:r w:rsidRPr="003517B9">
        <w:rPr>
          <w:i/>
          <w:noProof/>
        </w:rPr>
        <w:t xml:space="preserve"> jom</w:t>
      </w:r>
      <w:r w:rsidRPr="003517B9" w:rsidR="00435D7F">
        <w:rPr>
          <w:i/>
          <w:noProof/>
        </w:rPr>
        <w:t>u</w:t>
      </w:r>
      <w:r w:rsidRPr="003517B9">
        <w:rPr>
          <w:i/>
          <w:noProof/>
        </w:rPr>
        <w:t xml:space="preserve"> neskar.</w:t>
      </w:r>
    </w:p>
    <w:p w:rsidR="00CB168F" w:rsidP="005E31B4" w14:paraId="7C79F69B" w14:textId="7A2E7C96">
      <w:pPr>
        <w:pStyle w:val="naisf"/>
        <w:spacing w:before="0" w:after="0"/>
        <w:ind w:firstLine="0"/>
        <w:jc w:val="center"/>
        <w:rPr>
          <w:i/>
          <w:noProof/>
        </w:rPr>
      </w:pPr>
    </w:p>
    <w:p w:rsidR="00475904" w:rsidRPr="003517B9" w:rsidP="005E31B4" w14:paraId="0571FA35" w14:textId="77777777">
      <w:pPr>
        <w:pStyle w:val="naisf"/>
        <w:spacing w:before="0" w:after="0"/>
        <w:ind w:firstLine="0"/>
        <w:jc w:val="center"/>
        <w:rPr>
          <w:i/>
          <w:noProof/>
        </w:rPr>
      </w:pPr>
    </w:p>
    <w:p w:rsidR="000B04A5" w:rsidP="00C5718F" w14:paraId="6DF68567" w14:textId="77777777">
      <w:pPr>
        <w:tabs>
          <w:tab w:val="left" w:pos="7513"/>
          <w:tab w:val="right" w:pos="9072"/>
        </w:tabs>
        <w:spacing w:after="480" w:line="240" w:lineRule="auto"/>
        <w:ind w:right="-765"/>
        <w:contextualSpacing/>
        <w:rPr>
          <w:rFonts w:ascii="Times New Roman" w:hAnsi="Times New Roman"/>
          <w:noProof/>
          <w:sz w:val="28"/>
          <w:szCs w:val="28"/>
          <w:lang w:val="lv-LV" w:eastAsia="lv-LV"/>
        </w:rPr>
      </w:pPr>
      <w:r w:rsidRPr="00935F3B">
        <w:rPr>
          <w:rFonts w:ascii="Times New Roman" w:hAnsi="Times New Roman"/>
          <w:noProof/>
          <w:sz w:val="28"/>
          <w:szCs w:val="28"/>
          <w:lang w:val="lv-LV" w:eastAsia="lv-LV"/>
        </w:rPr>
        <w:t>Veselības ministre</w:t>
      </w:r>
      <w:r w:rsidRPr="00935F3B">
        <w:rPr>
          <w:rFonts w:ascii="Times New Roman" w:hAnsi="Times New Roman"/>
          <w:noProof/>
          <w:sz w:val="28"/>
          <w:szCs w:val="28"/>
          <w:lang w:val="lv-LV" w:eastAsia="lv-LV"/>
        </w:rPr>
        <w:tab/>
        <w:t>Anda Čakša</w:t>
      </w:r>
    </w:p>
    <w:p w:rsidR="00475904" w:rsidP="000B04A5" w14:paraId="488053B6" w14:textId="366CA638">
      <w:pPr>
        <w:tabs>
          <w:tab w:val="right" w:pos="9072"/>
        </w:tabs>
        <w:spacing w:after="480" w:line="240" w:lineRule="auto"/>
        <w:ind w:right="-765"/>
        <w:contextualSpacing/>
        <w:rPr>
          <w:rFonts w:ascii="Times New Roman" w:hAnsi="Times New Roman"/>
          <w:noProof/>
          <w:sz w:val="28"/>
          <w:szCs w:val="28"/>
          <w:lang w:val="lv-LV" w:eastAsia="lv-LV"/>
        </w:rPr>
      </w:pPr>
    </w:p>
    <w:p w:rsidR="00475904" w:rsidRPr="00935F3B" w:rsidP="000B04A5" w14:paraId="2D48BF27" w14:textId="77777777">
      <w:pPr>
        <w:tabs>
          <w:tab w:val="right" w:pos="9072"/>
        </w:tabs>
        <w:spacing w:after="480" w:line="240" w:lineRule="auto"/>
        <w:ind w:right="-765"/>
        <w:contextualSpacing/>
        <w:rPr>
          <w:rFonts w:ascii="Times New Roman" w:hAnsi="Times New Roman"/>
          <w:noProof/>
          <w:sz w:val="28"/>
          <w:szCs w:val="28"/>
          <w:lang w:val="lv-LV" w:eastAsia="lv-LV"/>
        </w:rPr>
      </w:pPr>
    </w:p>
    <w:p w:rsidR="00810D5B" w:rsidRPr="00BD156F" w:rsidP="00BD156F" w14:paraId="3BA488B0" w14:textId="77777777">
      <w:pPr>
        <w:tabs>
          <w:tab w:val="right" w:pos="9072"/>
        </w:tabs>
        <w:spacing w:after="0" w:line="240" w:lineRule="auto"/>
        <w:ind w:right="-765"/>
        <w:contextualSpacing/>
        <w:rPr>
          <w:rFonts w:ascii="Times New Roman" w:hAnsi="Times New Roman"/>
          <w:noProof/>
          <w:sz w:val="28"/>
          <w:szCs w:val="28"/>
          <w:lang w:val="lv-LV" w:eastAsia="lv-LV"/>
        </w:rPr>
      </w:pPr>
      <w:r w:rsidRPr="00935F3B">
        <w:rPr>
          <w:rFonts w:ascii="Times New Roman" w:hAnsi="Times New Roman"/>
          <w:noProof/>
          <w:sz w:val="28"/>
          <w:szCs w:val="28"/>
          <w:lang w:val="lv-LV" w:eastAsia="lv-LV"/>
        </w:rPr>
        <w:t>Vīza:</w:t>
      </w:r>
      <w:r>
        <w:rPr>
          <w:rFonts w:ascii="Times New Roman" w:hAnsi="Times New Roman"/>
          <w:noProof/>
          <w:sz w:val="28"/>
          <w:szCs w:val="28"/>
          <w:lang w:val="lv-LV" w:eastAsia="lv-LV"/>
        </w:rPr>
        <w:t xml:space="preserve"> Valsts sekretārs</w:t>
      </w:r>
      <w:r>
        <w:rPr>
          <w:rFonts w:ascii="Times New Roman" w:hAnsi="Times New Roman"/>
          <w:noProof/>
          <w:sz w:val="28"/>
          <w:szCs w:val="28"/>
          <w:lang w:val="lv-LV" w:eastAsia="lv-LV"/>
        </w:rPr>
        <w:tab/>
        <w:t>Kārlis Ketners</w:t>
      </w:r>
    </w:p>
    <w:p w:rsidR="00310B91" w:rsidP="002143EB" w14:paraId="0AD17801" w14:textId="3ECA7DD1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3D57B6" w:rsidP="002143EB" w14:paraId="374397D6" w14:textId="77777777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lv-LV"/>
        </w:rPr>
      </w:pPr>
    </w:p>
    <w:p w:rsidR="00464E11" w:rsidRPr="003B0446" w:rsidP="00A24CE7" w14:paraId="51D6CD05" w14:textId="77777777">
      <w:pPr>
        <w:suppressAutoHyphens/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r w:rsidRPr="003B0446">
        <w:rPr>
          <w:rFonts w:ascii="Times New Roman" w:hAnsi="Times New Roman"/>
          <w:noProof/>
          <w:sz w:val="20"/>
          <w:szCs w:val="20"/>
          <w:lang w:val="lv-LV"/>
        </w:rPr>
        <w:t>I.</w:t>
      </w:r>
      <w:r w:rsidRPr="003B0446">
        <w:rPr>
          <w:rFonts w:ascii="Times New Roman" w:hAnsi="Times New Roman"/>
          <w:noProof/>
          <w:sz w:val="20"/>
          <w:szCs w:val="20"/>
          <w:lang w:val="lv-LV"/>
        </w:rPr>
        <w:t>Brūvere 67876061</w:t>
      </w:r>
    </w:p>
    <w:p w:rsidR="00464E11" w:rsidP="002143EB" w14:paraId="388420AB" w14:textId="03B9BC7F">
      <w:pPr>
        <w:suppressAutoHyphens/>
        <w:spacing w:after="0" w:line="240" w:lineRule="auto"/>
        <w:rPr>
          <w:rStyle w:val="Hyperlink"/>
          <w:rFonts w:ascii="Times New Roman" w:hAnsi="Times New Roman"/>
          <w:noProof/>
          <w:color w:val="auto"/>
          <w:sz w:val="20"/>
          <w:szCs w:val="20"/>
          <w:u w:val="none"/>
          <w:lang w:val="lv-LV"/>
        </w:rPr>
      </w:pPr>
      <w:r w:rsidRPr="003B0446">
        <w:rPr>
          <w:rFonts w:ascii="Times New Roman" w:hAnsi="Times New Roman"/>
          <w:noProof/>
          <w:sz w:val="20"/>
          <w:szCs w:val="20"/>
          <w:lang w:val="lv-LV"/>
        </w:rPr>
        <w:t>Ieva.</w:t>
      </w:r>
      <w:r>
        <w:fldChar w:fldCharType="begin"/>
      </w:r>
      <w:r>
        <w:instrText xml:space="preserve"> HYPERLINK "mailto:Bruvere@vm.gov.lv" </w:instrText>
      </w:r>
      <w:r>
        <w:fldChar w:fldCharType="separate"/>
      </w:r>
      <w:r w:rsidRPr="003B0446">
        <w:rPr>
          <w:rStyle w:val="Hyperlink"/>
          <w:rFonts w:ascii="Times New Roman" w:hAnsi="Times New Roman"/>
          <w:noProof/>
          <w:color w:val="auto"/>
          <w:sz w:val="20"/>
          <w:szCs w:val="20"/>
          <w:u w:val="none"/>
          <w:lang w:val="lv-LV"/>
        </w:rPr>
        <w:t>Bruvere@vm.gov.lv</w:t>
      </w:r>
      <w:r>
        <w:fldChar w:fldCharType="end"/>
      </w:r>
    </w:p>
    <w:p w:rsidR="003D57B6" w:rsidP="002143EB" w14:paraId="078116D4" w14:textId="7E02E355">
      <w:pPr>
        <w:suppressAutoHyphens/>
        <w:spacing w:after="0" w:line="240" w:lineRule="auto"/>
        <w:rPr>
          <w:rStyle w:val="Hyperlink"/>
          <w:rFonts w:ascii="Times New Roman" w:hAnsi="Times New Roman"/>
          <w:noProof/>
          <w:color w:val="auto"/>
          <w:sz w:val="20"/>
          <w:szCs w:val="20"/>
          <w:u w:val="none"/>
          <w:lang w:val="lv-LV"/>
        </w:rPr>
      </w:pPr>
    </w:p>
    <w:p w:rsidR="003D57B6" w:rsidP="002143EB" w14:paraId="4FD83C06" w14:textId="2904C639">
      <w:pPr>
        <w:suppressAutoHyphens/>
        <w:spacing w:after="0" w:line="240" w:lineRule="auto"/>
        <w:rPr>
          <w:rStyle w:val="Hyperlink"/>
          <w:rFonts w:ascii="Times New Roman" w:hAnsi="Times New Roman"/>
          <w:noProof/>
          <w:color w:val="auto"/>
          <w:sz w:val="20"/>
          <w:szCs w:val="20"/>
          <w:u w:val="none"/>
          <w:lang w:val="lv-LV"/>
        </w:rPr>
      </w:pPr>
      <w:r>
        <w:rPr>
          <w:rStyle w:val="Hyperlink"/>
          <w:rFonts w:ascii="Times New Roman" w:hAnsi="Times New Roman"/>
          <w:noProof/>
          <w:color w:val="auto"/>
          <w:sz w:val="20"/>
          <w:szCs w:val="20"/>
          <w:u w:val="none"/>
          <w:lang w:val="lv-LV"/>
        </w:rPr>
        <w:t>L.Zandberga 67876041</w:t>
      </w:r>
    </w:p>
    <w:p w:rsidR="003D57B6" w:rsidRPr="003B0446" w:rsidP="002143EB" w14:paraId="37355385" w14:textId="526C042F">
      <w:pPr>
        <w:suppressAutoHyphens/>
        <w:spacing w:after="0" w:line="240" w:lineRule="auto"/>
        <w:rPr>
          <w:rFonts w:ascii="Times New Roman" w:hAnsi="Times New Roman"/>
          <w:noProof/>
          <w:sz w:val="20"/>
          <w:szCs w:val="20"/>
          <w:lang w:val="lv-LV"/>
        </w:rPr>
      </w:pPr>
      <w:r>
        <w:rPr>
          <w:rStyle w:val="Hyperlink"/>
          <w:rFonts w:ascii="Times New Roman" w:hAnsi="Times New Roman"/>
          <w:noProof/>
          <w:color w:val="auto"/>
          <w:sz w:val="20"/>
          <w:szCs w:val="20"/>
          <w:u w:val="none"/>
          <w:lang w:val="lv-LV"/>
        </w:rPr>
        <w:t>Lasma.zandberga@vm.gov.lv</w:t>
      </w:r>
    </w:p>
    <w:sectPr w:rsidSect="00316590">
      <w:headerReference w:type="default" r:id="rId5"/>
      <w:footerReference w:type="default" r:id="rId6"/>
      <w:footerReference w:type="first" r:id="rId7"/>
      <w:pgSz w:w="12240" w:h="15840"/>
      <w:pgMar w:top="1418" w:right="1134" w:bottom="1134" w:left="1701" w:header="709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4E11" w:rsidRPr="0094265B" w:rsidP="0014731E" w14:paraId="3CDB10B1" w14:textId="46D4988D">
    <w:pPr>
      <w:jc w:val="both"/>
      <w:rPr>
        <w:rFonts w:ascii="Times New Roman" w:hAnsi="Times New Roman"/>
        <w:sz w:val="20"/>
        <w:szCs w:val="20"/>
        <w:lang w:val="lv-LV"/>
      </w:rPr>
    </w:pPr>
    <w:r>
      <w:rPr>
        <w:rFonts w:ascii="Times New Roman" w:hAnsi="Times New Roman"/>
        <w:sz w:val="20"/>
        <w:szCs w:val="20"/>
        <w:lang w:val="lv-LV"/>
      </w:rPr>
      <w:t>VManot_</w:t>
    </w:r>
    <w:r w:rsidR="008314F0">
      <w:rPr>
        <w:rFonts w:ascii="Times New Roman" w:hAnsi="Times New Roman"/>
        <w:sz w:val="20"/>
        <w:szCs w:val="20"/>
        <w:lang w:val="lv-LV"/>
      </w:rPr>
      <w:t>0407</w:t>
    </w:r>
    <w:r w:rsidR="00423ED9">
      <w:rPr>
        <w:rFonts w:ascii="Times New Roman" w:hAnsi="Times New Roman"/>
        <w:sz w:val="20"/>
        <w:szCs w:val="20"/>
        <w:lang w:val="lv-LV"/>
      </w:rPr>
      <w:t>17_</w:t>
    </w:r>
    <w:r w:rsidR="008314F0">
      <w:rPr>
        <w:rFonts w:ascii="Times New Roman" w:hAnsi="Times New Roman"/>
        <w:sz w:val="20"/>
        <w:szCs w:val="20"/>
        <w:lang w:val="lv-LV"/>
      </w:rPr>
      <w:t>1233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4E11" w:rsidRPr="0094265B" w:rsidP="00517A3F" w14:paraId="42FF8BCB" w14:textId="5859EF2E">
    <w:pPr>
      <w:jc w:val="both"/>
      <w:rPr>
        <w:rFonts w:ascii="Times New Roman" w:hAnsi="Times New Roman"/>
        <w:sz w:val="20"/>
        <w:szCs w:val="20"/>
        <w:lang w:val="lv-LV"/>
      </w:rPr>
    </w:pPr>
    <w:r w:rsidRPr="0094265B">
      <w:rPr>
        <w:rFonts w:ascii="Times New Roman" w:hAnsi="Times New Roman"/>
        <w:sz w:val="20"/>
        <w:szCs w:val="20"/>
        <w:lang w:val="lv-LV"/>
      </w:rPr>
      <w:t>VManot_</w:t>
    </w:r>
    <w:r w:rsidR="008314F0">
      <w:rPr>
        <w:rFonts w:ascii="Times New Roman" w:hAnsi="Times New Roman"/>
        <w:sz w:val="20"/>
        <w:szCs w:val="20"/>
        <w:lang w:val="lv-LV"/>
      </w:rPr>
      <w:t>040717</w:t>
    </w:r>
    <w:r w:rsidRPr="0094265B">
      <w:rPr>
        <w:rFonts w:ascii="Times New Roman" w:hAnsi="Times New Roman"/>
        <w:sz w:val="20"/>
        <w:szCs w:val="20"/>
        <w:lang w:val="lv-LV"/>
      </w:rPr>
      <w:t>_</w:t>
    </w:r>
    <w:r w:rsidR="008314F0">
      <w:rPr>
        <w:rFonts w:ascii="Times New Roman" w:hAnsi="Times New Roman"/>
        <w:sz w:val="20"/>
        <w:szCs w:val="20"/>
        <w:lang w:val="lv-LV"/>
      </w:rPr>
      <w:t>1233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4E11" w:rsidRPr="00292EF0" w14:paraId="6265D5BA" w14:textId="4DB0FEEE">
    <w:pPr>
      <w:pStyle w:val="Header"/>
      <w:jc w:val="center"/>
      <w:rPr>
        <w:sz w:val="24"/>
        <w:szCs w:val="24"/>
      </w:rPr>
    </w:pPr>
    <w:r w:rsidRPr="00292EF0">
      <w:rPr>
        <w:rFonts w:ascii="Times New Roman" w:hAnsi="Times New Roman"/>
        <w:sz w:val="24"/>
        <w:szCs w:val="24"/>
      </w:rPr>
      <w:fldChar w:fldCharType="begin"/>
    </w:r>
    <w:r w:rsidRPr="00292EF0">
      <w:rPr>
        <w:rFonts w:ascii="Times New Roman" w:hAnsi="Times New Roman"/>
        <w:sz w:val="24"/>
        <w:szCs w:val="24"/>
      </w:rPr>
      <w:instrText xml:space="preserve"> PAGE   \* MERGEFORMAT </w:instrText>
    </w:r>
    <w:r w:rsidRPr="00292EF0">
      <w:rPr>
        <w:rFonts w:ascii="Times New Roman" w:hAnsi="Times New Roman"/>
        <w:sz w:val="24"/>
        <w:szCs w:val="24"/>
      </w:rPr>
      <w:fldChar w:fldCharType="separate"/>
    </w:r>
    <w:r w:rsidR="00316590">
      <w:rPr>
        <w:rFonts w:ascii="Times New Roman" w:hAnsi="Times New Roman"/>
        <w:noProof/>
        <w:sz w:val="24"/>
        <w:szCs w:val="24"/>
      </w:rPr>
      <w:t>4</w:t>
    </w:r>
    <w:r w:rsidRPr="00292EF0">
      <w:rPr>
        <w:rFonts w:ascii="Times New Roman" w:hAnsi="Times New Roman"/>
        <w:sz w:val="24"/>
        <w:szCs w:val="24"/>
      </w:rPr>
      <w:fldChar w:fldCharType="end"/>
    </w:r>
  </w:p>
  <w:p w:rsidR="00464E11" w14:paraId="77C5226C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C07C3D"/>
    <w:multiLevelType w:val="hybridMultilevel"/>
    <w:tmpl w:val="323A441E"/>
    <w:lvl w:ilvl="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6758F"/>
    <w:multiLevelType w:val="hybridMultilevel"/>
    <w:tmpl w:val="C310F654"/>
    <w:lvl w:ilvl="0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AB1"/>
    <w:multiLevelType w:val="hybridMultilevel"/>
    <w:tmpl w:val="9326B45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461AE"/>
    <w:multiLevelType w:val="hybridMultilevel"/>
    <w:tmpl w:val="E02C9A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17097"/>
    <w:multiLevelType w:val="hybridMultilevel"/>
    <w:tmpl w:val="09FC8008"/>
    <w:lvl w:ilvl="0">
      <w:start w:val="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6AD04AA"/>
    <w:multiLevelType w:val="hybridMultilevel"/>
    <w:tmpl w:val="A856889A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476106"/>
    <w:multiLevelType w:val="hybridMultilevel"/>
    <w:tmpl w:val="E07C6E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4E0560"/>
    <w:multiLevelType w:val="hybridMultilevel"/>
    <w:tmpl w:val="CE784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55A37"/>
    <w:multiLevelType w:val="hybridMultilevel"/>
    <w:tmpl w:val="891209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E356D"/>
    <w:multiLevelType w:val="hybridMultilevel"/>
    <w:tmpl w:val="61AED4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6C0D8F"/>
    <w:multiLevelType w:val="hybridMultilevel"/>
    <w:tmpl w:val="7EEC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0A2C50"/>
    <w:multiLevelType w:val="multilevel"/>
    <w:tmpl w:val="24F07FC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75B358F"/>
    <w:multiLevelType w:val="hybridMultilevel"/>
    <w:tmpl w:val="4F4EC7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54B72"/>
    <w:multiLevelType w:val="hybridMultilevel"/>
    <w:tmpl w:val="0066925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8D44A8"/>
    <w:multiLevelType w:val="hybridMultilevel"/>
    <w:tmpl w:val="194E1B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E96CF0"/>
    <w:multiLevelType w:val="multilevel"/>
    <w:tmpl w:val="19C623B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57E110B"/>
    <w:multiLevelType w:val="hybridMultilevel"/>
    <w:tmpl w:val="E07C6E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BF2636"/>
    <w:multiLevelType w:val="hybridMultilevel"/>
    <w:tmpl w:val="4086E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5651C"/>
    <w:multiLevelType w:val="hybridMultilevel"/>
    <w:tmpl w:val="278EDF6A"/>
    <w:lvl w:ilvl="0">
      <w:start w:val="4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4A4A09"/>
    <w:multiLevelType w:val="hybridMultilevel"/>
    <w:tmpl w:val="491AD5C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1008FA"/>
    <w:multiLevelType w:val="multilevel"/>
    <w:tmpl w:val="2DB6F736"/>
    <w:lvl w:ilvl="0">
      <w:start w:val="45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.0"/>
      <w:lvlJc w:val="left"/>
      <w:pPr>
        <w:ind w:left="1080" w:hanging="8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32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cs="Times New Roman" w:hint="default"/>
      </w:rPr>
    </w:lvl>
  </w:abstractNum>
  <w:abstractNum w:abstractNumId="21">
    <w:nsid w:val="73DA4FEE"/>
    <w:multiLevelType w:val="hybridMultilevel"/>
    <w:tmpl w:val="6486F570"/>
    <w:lvl w:ilvl="0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19"/>
  </w:num>
  <w:num w:numId="6">
    <w:abstractNumId w:val="21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4"/>
  </w:num>
  <w:num w:numId="16">
    <w:abstractNumId w:val="20"/>
  </w:num>
  <w:num w:numId="17">
    <w:abstractNumId w:val="18"/>
  </w:num>
  <w:num w:numId="18">
    <w:abstractNumId w:val="5"/>
  </w:num>
  <w:num w:numId="19">
    <w:abstractNumId w:val="17"/>
  </w:num>
  <w:num w:numId="20">
    <w:abstractNumId w:val="7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99125A0-3184-4908-9D9E-2F88BA5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176B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D176BF"/>
    <w:rPr>
      <w:rFonts w:cs="Times New Roman"/>
      <w:color w:val="800080"/>
      <w:u w:val="single"/>
    </w:rPr>
  </w:style>
  <w:style w:type="paragraph" w:customStyle="1" w:styleId="h1">
    <w:name w:val="h1"/>
    <w:basedOn w:val="Normal"/>
    <w:uiPriority w:val="99"/>
    <w:rsid w:val="00D176BF"/>
    <w:pPr>
      <w:spacing w:after="150" w:line="240" w:lineRule="auto"/>
    </w:pPr>
    <w:rPr>
      <w:rFonts w:ascii="Times New Roman" w:eastAsia="Times New Roman" w:hAnsi="Times New Roman"/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a">
    <w:name w:val="a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">
    <w:name w:val="b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306060"/>
      <w:sz w:val="24"/>
      <w:szCs w:val="24"/>
      <w:lang w:val="lv-LV" w:eastAsia="lv-LV"/>
    </w:rPr>
  </w:style>
  <w:style w:type="paragraph" w:customStyle="1" w:styleId="body">
    <w:name w:val="body"/>
    <w:basedOn w:val="Normal"/>
    <w:uiPriority w:val="99"/>
    <w:rsid w:val="00D176BF"/>
    <w:pPr>
      <w:shd w:val="clear" w:color="auto" w:fill="C9E1DF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bodyfont">
    <w:name w:val="bodyfont"/>
    <w:basedOn w:val="Normal"/>
    <w:uiPriority w:val="99"/>
    <w:rsid w:val="00D176BF"/>
    <w:pPr>
      <w:spacing w:before="75" w:after="75" w:line="240" w:lineRule="auto"/>
    </w:pPr>
    <w:rPr>
      <w:rFonts w:ascii="Arial" w:eastAsia="Times New Roman" w:hAnsi="Arial" w:cs="Arial"/>
      <w:sz w:val="24"/>
      <w:szCs w:val="24"/>
      <w:lang w:val="lv-LV" w:eastAsia="lv-LV"/>
    </w:rPr>
  </w:style>
  <w:style w:type="paragraph" w:customStyle="1" w:styleId="button">
    <w:name w:val="button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radio">
    <w:name w:val="radio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eadcol">
    <w:name w:val="headcol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0F8F8"/>
      <w:sz w:val="24"/>
      <w:szCs w:val="24"/>
      <w:lang w:val="lv-LV" w:eastAsia="lv-LV"/>
    </w:rPr>
  </w:style>
  <w:style w:type="paragraph" w:customStyle="1" w:styleId="titlecol">
    <w:name w:val="titlecol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th">
    <w:name w:val="th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val="lv-LV" w:eastAsia="lv-LV"/>
    </w:rPr>
  </w:style>
  <w:style w:type="paragraph" w:customStyle="1" w:styleId="thr">
    <w:name w:val="thr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bdc">
    <w:name w:val="bdc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input">
    <w:name w:val="input"/>
    <w:basedOn w:val="Normal"/>
    <w:uiPriority w:val="99"/>
    <w:rsid w:val="00D176BF"/>
    <w:pPr>
      <w:shd w:val="clear" w:color="auto" w:fill="F0F8F8"/>
      <w:spacing w:before="75" w:after="75" w:line="240" w:lineRule="auto"/>
    </w:pPr>
    <w:rPr>
      <w:rFonts w:ascii="Arial" w:eastAsia="Times New Roman" w:hAnsi="Arial" w:cs="Arial"/>
      <w:color w:val="333333"/>
      <w:sz w:val="24"/>
      <w:szCs w:val="24"/>
      <w:lang w:val="lv-LV" w:eastAsia="lv-LV"/>
    </w:rPr>
  </w:style>
  <w:style w:type="paragraph" w:customStyle="1" w:styleId="select">
    <w:name w:val="select"/>
    <w:basedOn w:val="Normal"/>
    <w:uiPriority w:val="99"/>
    <w:rsid w:val="00D176BF"/>
    <w:pPr>
      <w:shd w:val="clear" w:color="auto" w:fill="F0F8F8"/>
      <w:spacing w:before="75" w:after="75" w:line="240" w:lineRule="auto"/>
    </w:pPr>
    <w:rPr>
      <w:rFonts w:ascii="Times New Roman" w:eastAsia="Times New Roman" w:hAnsi="Times New Roman"/>
      <w:color w:val="333333"/>
      <w:sz w:val="24"/>
      <w:szCs w:val="24"/>
      <w:lang w:val="lv-LV" w:eastAsia="lv-LV"/>
    </w:rPr>
  </w:style>
  <w:style w:type="paragraph" w:customStyle="1" w:styleId="top1">
    <w:name w:val="top1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ogo">
    <w:name w:val="logo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op2">
    <w:name w:val="top2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hline">
    <w:name w:val="hlin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vline">
    <w:name w:val="vlin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zvabri">
    <w:name w:val="zvabri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val="lv-LV" w:eastAsia="lv-LV"/>
    </w:rPr>
  </w:style>
  <w:style w:type="paragraph" w:customStyle="1" w:styleId="mktable">
    <w:name w:val="mk_table"/>
    <w:basedOn w:val="Normal"/>
    <w:uiPriority w:val="99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regfields">
    <w:name w:val="regfields"/>
    <w:basedOn w:val="Normal"/>
    <w:uiPriority w:val="99"/>
    <w:rsid w:val="00D176BF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rmalWeb">
    <w:name w:val="Normal (Web)"/>
    <w:basedOn w:val="Normal"/>
    <w:link w:val="NormalWebChar"/>
    <w:uiPriority w:val="99"/>
    <w:rsid w:val="00D176BF"/>
    <w:pPr>
      <w:spacing w:before="75" w:after="75" w:line="240" w:lineRule="auto"/>
    </w:pPr>
    <w:rPr>
      <w:rFonts w:ascii="Times New Roman" w:hAnsi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D176B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1">
    <w:name w:val="nais1"/>
    <w:basedOn w:val="Normal"/>
    <w:uiPriority w:val="99"/>
    <w:rsid w:val="00D176BF"/>
    <w:pPr>
      <w:spacing w:before="75" w:after="75" w:line="240" w:lineRule="auto"/>
      <w:ind w:left="450"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2">
    <w:name w:val="nais2"/>
    <w:basedOn w:val="Normal"/>
    <w:uiPriority w:val="99"/>
    <w:rsid w:val="00D176BF"/>
    <w:pPr>
      <w:spacing w:before="75" w:after="75" w:line="240" w:lineRule="auto"/>
      <w:ind w:left="900"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pant">
    <w:name w:val="naispant"/>
    <w:basedOn w:val="Normal"/>
    <w:uiPriority w:val="99"/>
    <w:rsid w:val="00D176BF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visr">
    <w:name w:val="naisvisr"/>
    <w:basedOn w:val="Normal"/>
    <w:uiPriority w:val="99"/>
    <w:rsid w:val="00D176B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 w:eastAsia="lv-LV"/>
    </w:rPr>
  </w:style>
  <w:style w:type="paragraph" w:customStyle="1" w:styleId="naisnod">
    <w:name w:val="naisnod"/>
    <w:basedOn w:val="Normal"/>
    <w:rsid w:val="00D176BF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uiPriority w:val="99"/>
    <w:rsid w:val="00D176BF"/>
    <w:pPr>
      <w:spacing w:before="75" w:after="75" w:line="240" w:lineRule="auto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D176BF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c">
    <w:name w:val="naisc"/>
    <w:basedOn w:val="Normal"/>
    <w:rsid w:val="00D176BF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naispie">
    <w:name w:val="naispie"/>
    <w:basedOn w:val="Normal"/>
    <w:uiPriority w:val="99"/>
    <w:rsid w:val="00D176BF"/>
    <w:pPr>
      <w:spacing w:before="75" w:after="75" w:line="240" w:lineRule="auto"/>
      <w:ind w:firstLine="375"/>
    </w:pPr>
    <w:rPr>
      <w:rFonts w:ascii="Times New Roman" w:eastAsia="Times New Roman" w:hAnsi="Times New Roman"/>
      <w:i/>
      <w:i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D176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7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76B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D176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76BF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D176BF"/>
    <w:rPr>
      <w:rFonts w:cs="Times New Roman"/>
    </w:rPr>
  </w:style>
  <w:style w:type="paragraph" w:styleId="NoSpacing">
    <w:name w:val="No Spacing"/>
    <w:uiPriority w:val="99"/>
    <w:qFormat/>
    <w:rsid w:val="00FC0A93"/>
    <w:rPr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FC0A9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A93"/>
    <w:pPr>
      <w:spacing w:after="0" w:line="240" w:lineRule="auto"/>
      <w:ind w:left="720"/>
    </w:pPr>
    <w:rPr>
      <w:lang w:val="lv-LV" w:eastAsia="lv-LV"/>
    </w:rPr>
  </w:style>
  <w:style w:type="character" w:customStyle="1" w:styleId="NormalWebChar">
    <w:name w:val="Normal (Web) Char"/>
    <w:link w:val="NormalWeb"/>
    <w:uiPriority w:val="99"/>
    <w:locked/>
    <w:rsid w:val="00FC0A93"/>
    <w:rPr>
      <w:rFonts w:ascii="Times New Roman" w:hAnsi="Times New Roman" w:cs="Times New Roman"/>
      <w:sz w:val="24"/>
      <w:szCs w:val="24"/>
      <w:lang w:val="lv-LV" w:eastAsia="lv-LV"/>
    </w:rPr>
  </w:style>
  <w:style w:type="character" w:customStyle="1" w:styleId="apple-style-span">
    <w:name w:val="apple-style-span"/>
    <w:uiPriority w:val="99"/>
    <w:rsid w:val="00FC0A93"/>
    <w:rPr>
      <w:rFonts w:cs="Times New Roman"/>
    </w:rPr>
  </w:style>
  <w:style w:type="paragraph" w:styleId="List2">
    <w:name w:val="List 2"/>
    <w:basedOn w:val="Normal"/>
    <w:uiPriority w:val="99"/>
    <w:rsid w:val="00651E70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DA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D34FB1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</w:rPr>
  </w:style>
  <w:style w:type="paragraph" w:customStyle="1" w:styleId="cipari">
    <w:name w:val="cipari"/>
    <w:basedOn w:val="Normal"/>
    <w:link w:val="cipariChar"/>
    <w:uiPriority w:val="99"/>
    <w:rsid w:val="00904C68"/>
    <w:pPr>
      <w:spacing w:after="120" w:line="240" w:lineRule="auto"/>
      <w:ind w:left="720" w:hanging="720"/>
      <w:jc w:val="both"/>
    </w:pPr>
    <w:rPr>
      <w:rFonts w:ascii="Times New Roman" w:hAnsi="Times New Roman"/>
      <w:sz w:val="20"/>
      <w:szCs w:val="20"/>
      <w:lang w:val="lv-LV"/>
    </w:rPr>
  </w:style>
  <w:style w:type="character" w:customStyle="1" w:styleId="cipariChar">
    <w:name w:val="cipari Char"/>
    <w:link w:val="cipari"/>
    <w:uiPriority w:val="99"/>
    <w:locked/>
    <w:rsid w:val="00904C68"/>
    <w:rPr>
      <w:rFonts w:ascii="Times New Roman" w:hAnsi="Times New Roman"/>
      <w:sz w:val="20"/>
      <w:lang w:val="lv-LV"/>
    </w:rPr>
  </w:style>
  <w:style w:type="paragraph" w:customStyle="1" w:styleId="tv2132">
    <w:name w:val="tv2132"/>
    <w:basedOn w:val="Normal"/>
    <w:rsid w:val="001F607C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lv-LV"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E7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5E7E"/>
    <w:rPr>
      <w:rFonts w:ascii="Times New Roman" w:eastAsia="Times New Roman" w:hAnsi="Times New Roman"/>
      <w:lang w:eastAsia="en-US"/>
    </w:rPr>
  </w:style>
  <w:style w:type="paragraph" w:styleId="Revision">
    <w:name w:val="Revision"/>
    <w:hidden/>
    <w:uiPriority w:val="99"/>
    <w:semiHidden/>
    <w:rsid w:val="00DC5584"/>
    <w:rPr>
      <w:sz w:val="22"/>
      <w:szCs w:val="22"/>
      <w:lang w:val="en-US" w:eastAsia="en-US"/>
    </w:rPr>
  </w:style>
  <w:style w:type="paragraph" w:customStyle="1" w:styleId="tvhtml">
    <w:name w:val="tv_html"/>
    <w:basedOn w:val="Normal"/>
    <w:rsid w:val="00C6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">
    <w:name w:val="Body text_"/>
    <w:basedOn w:val="DefaultParagraphFont"/>
    <w:link w:val="BodyText1"/>
    <w:rsid w:val="002A40C1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11pt">
    <w:name w:val="Body text + 11 pt"/>
    <w:aliases w:val="Italic"/>
    <w:basedOn w:val="Bodytext"/>
    <w:rsid w:val="002A40C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2A40C1"/>
    <w:pPr>
      <w:widowControl w:val="0"/>
      <w:shd w:val="clear" w:color="auto" w:fill="FFFFFF"/>
      <w:spacing w:after="540" w:line="256" w:lineRule="exact"/>
      <w:ind w:hanging="360"/>
    </w:pPr>
    <w:rPr>
      <w:rFonts w:ascii="Times New Roman" w:eastAsia="Times New Roman" w:hAnsi="Times New Roman"/>
      <w:sz w:val="21"/>
      <w:szCs w:val="21"/>
      <w:lang w:val="lv-LV" w:eastAsia="lv-LV"/>
    </w:rPr>
  </w:style>
  <w:style w:type="paragraph" w:customStyle="1" w:styleId="tv213">
    <w:name w:val="tv213"/>
    <w:basedOn w:val="Normal"/>
    <w:rsid w:val="00F3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labojumupamats">
    <w:name w:val="labojumu_pamats"/>
    <w:basedOn w:val="Normal"/>
    <w:rsid w:val="00F34A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34A70"/>
  </w:style>
  <w:style w:type="character" w:styleId="CommentReference">
    <w:name w:val="annotation reference"/>
    <w:basedOn w:val="DefaultParagraphFont"/>
    <w:uiPriority w:val="99"/>
    <w:semiHidden/>
    <w:unhideWhenUsed/>
    <w:rsid w:val="00BE6CA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CA1"/>
    <w:pPr>
      <w:spacing w:after="200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CA1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1B4E-A0BA-45A0-A567-FC88F9D2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890</Words>
  <Characters>6159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”Par grozījumiem Ministru kabineta 2009.gada 27.oktobra noteikumos Nr.1233 “Paula Stradiņa Medicīnas vēstures muzeja nolikums” sākotnējās ietekmes novērtējuma ziņojums (anotācija)</vt:lpstr>
      <vt:lpstr>Ministru kabineta noteikumu „Paula Stradiņa Medicīnas vēstures muzeja maksas pakalpojumu cenrādis” projekta sākotnējās (ex-ante) ietekmes novērtējuma ziņojums (anotācija)</vt:lpstr>
    </vt:vector>
  </TitlesOfParts>
  <Company>Veselības ministrija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”Par grozījumiem Ministru kabineta 2009.gada 27.oktobra noteikumos Nr.1233 “Paula Stradiņa Medicīnas vēstures muzeja nolikums” sākotnējās ietekmes novērtējuma ziņojums (anotācija)</dc:title>
  <dc:subject>Anotācija</dc:subject>
  <dc:creator>Ieva Brūvere</dc:creator>
  <dc:description>Ieva Brūvere 67876061_x000D_
Ieva.Bruvere@vm.gov.lv</dc:description>
  <cp:lastModifiedBy>Signe Vītoliņa</cp:lastModifiedBy>
  <cp:revision>21</cp:revision>
  <cp:lastPrinted>2017-06-02T10:56:00Z</cp:lastPrinted>
  <dcterms:created xsi:type="dcterms:W3CDTF">2017-06-02T12:24:00Z</dcterms:created>
  <dcterms:modified xsi:type="dcterms:W3CDTF">2017-07-04T13:50:00Z</dcterms:modified>
</cp:coreProperties>
</file>