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2B6A79" w:rsidRPr="00B777AC" w:rsidP="00B777AC" w14:paraId="0FBA1DB1" w14:textId="77777777">
      <w:pPr>
        <w:spacing w:before="75"/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8"/>
      <w:bookmarkStart w:id="5" w:name="_GoBack"/>
      <w:bookmarkEnd w:id="5"/>
      <w:r w:rsidRPr="00B777AC">
        <w:rPr>
          <w:b/>
          <w:sz w:val="28"/>
          <w:szCs w:val="28"/>
        </w:rPr>
        <w:t xml:space="preserve">Ministru kabineta rīkojuma projekta </w:t>
      </w:r>
      <w:r w:rsidRPr="00B777AC" w:rsidR="00720334">
        <w:rPr>
          <w:b/>
          <w:bCs/>
          <w:color w:val="000000"/>
          <w:sz w:val="28"/>
          <w:szCs w:val="28"/>
        </w:rPr>
        <w:t>„Par pretendentu un ierēdņu vērtēšanas komisiju”</w:t>
      </w:r>
      <w:r w:rsidRPr="00B777AC">
        <w:rPr>
          <w:b/>
          <w:sz w:val="28"/>
          <w:szCs w:val="28"/>
        </w:rPr>
        <w:t xml:space="preserve"> </w:t>
      </w:r>
      <w:r w:rsidRPr="00B777AC" w:rsidR="00F04247">
        <w:rPr>
          <w:b/>
          <w:sz w:val="28"/>
          <w:szCs w:val="28"/>
        </w:rPr>
        <w:t>sākotnējās ietekmes novērtējuma ziņojums(</w:t>
      </w:r>
      <w:r w:rsidRPr="00B777AC">
        <w:rPr>
          <w:b/>
          <w:bCs/>
          <w:sz w:val="28"/>
          <w:szCs w:val="28"/>
        </w:rPr>
        <w:t>anotācija</w:t>
      </w:r>
      <w:bookmarkEnd w:id="0"/>
      <w:bookmarkEnd w:id="1"/>
      <w:r w:rsidRPr="00B777AC" w:rsidR="00F04247">
        <w:rPr>
          <w:b/>
          <w:bCs/>
          <w:sz w:val="28"/>
          <w:szCs w:val="28"/>
        </w:rPr>
        <w:t>)</w:t>
      </w:r>
    </w:p>
    <w:p w:rsidR="00CE0EE2" w:rsidP="00CE0EE2" w14:paraId="7211D522" w14:textId="77777777">
      <w:pPr>
        <w:pStyle w:val="naislab"/>
        <w:spacing w:before="0" w:after="0"/>
        <w:jc w:val="center"/>
        <w:outlineLvl w:val="0"/>
        <w:rPr>
          <w:b/>
        </w:rPr>
      </w:pPr>
      <w:bookmarkEnd w:id="2"/>
      <w:bookmarkEnd w:id="3"/>
      <w:bookmarkEnd w:id="4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14:paraId="416FBD68" w14:textId="77777777" w:rsidTr="001D0B2A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D0B2A" w:rsidRPr="00B71A23" w:rsidP="001D0B2A" w14:paraId="312A5E48" w14:textId="77777777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I. Tiesību akta projekta izstrādes nepieciešamība</w:t>
            </w:r>
          </w:p>
        </w:tc>
      </w:tr>
      <w:tr w14:paraId="54B35AC3" w14:textId="77777777" w:rsidTr="001D0B2A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76C22308" w14:textId="77777777">
            <w:pPr>
              <w:spacing w:before="100" w:beforeAutospacing="1" w:after="100" w:afterAutospacing="1" w:line="360" w:lineRule="auto"/>
              <w:jc w:val="center"/>
            </w:pPr>
            <w:r w:rsidRPr="00B71A23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10C6EB76" w14:textId="77777777">
            <w:r w:rsidRPr="00B71A23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P="00A17852" w14:paraId="3A43C397" w14:textId="77777777">
            <w:pPr>
              <w:jc w:val="both"/>
              <w:rPr>
                <w:sz w:val="28"/>
                <w:szCs w:val="28"/>
              </w:rPr>
            </w:pPr>
            <w:r w:rsidRPr="00B05BFD">
              <w:rPr>
                <w:i/>
                <w:sz w:val="28"/>
                <w:szCs w:val="28"/>
              </w:rPr>
              <w:t>Valsts civildienesta likuma</w:t>
            </w:r>
            <w:r w:rsidR="00A17852">
              <w:rPr>
                <w:sz w:val="28"/>
                <w:szCs w:val="28"/>
              </w:rPr>
              <w:t xml:space="preserve"> 9.</w:t>
            </w:r>
            <w:r w:rsidR="00A21CDE">
              <w:rPr>
                <w:sz w:val="28"/>
                <w:szCs w:val="28"/>
              </w:rPr>
              <w:t> </w:t>
            </w:r>
            <w:r w:rsidR="00A17852">
              <w:rPr>
                <w:sz w:val="28"/>
                <w:szCs w:val="28"/>
              </w:rPr>
              <w:t>panta pirmās daļas 1.</w:t>
            </w:r>
            <w:r w:rsidR="00A21CDE">
              <w:rPr>
                <w:sz w:val="28"/>
                <w:szCs w:val="28"/>
              </w:rPr>
              <w:t> </w:t>
            </w:r>
            <w:r w:rsidR="00A17852">
              <w:rPr>
                <w:sz w:val="28"/>
                <w:szCs w:val="28"/>
              </w:rPr>
              <w:t>punkts un 35.</w:t>
            </w:r>
            <w:r w:rsidR="00A21CDE">
              <w:rPr>
                <w:sz w:val="28"/>
                <w:szCs w:val="28"/>
              </w:rPr>
              <w:t> </w:t>
            </w:r>
            <w:r w:rsidR="00A17852">
              <w:rPr>
                <w:sz w:val="28"/>
                <w:szCs w:val="28"/>
              </w:rPr>
              <w:t>panta otrā daļa</w:t>
            </w:r>
            <w:r w:rsidRPr="00B05BFD">
              <w:rPr>
                <w:sz w:val="28"/>
                <w:szCs w:val="28"/>
              </w:rPr>
              <w:t>.</w:t>
            </w:r>
          </w:p>
        </w:tc>
      </w:tr>
      <w:tr w14:paraId="453BC241" w14:textId="77777777" w:rsidTr="001D0B2A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7FADBBAF" w14:textId="77777777">
            <w:pPr>
              <w:spacing w:before="100" w:beforeAutospacing="1" w:after="100" w:afterAutospacing="1" w:line="360" w:lineRule="auto"/>
              <w:jc w:val="center"/>
            </w:pPr>
            <w:r w:rsidRPr="00B71A23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47062867" w14:textId="77777777">
            <w:r w:rsidRPr="00B71A23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P="001D0B2A" w14:paraId="5248CCC3" w14:textId="77777777">
            <w:pPr>
              <w:jc w:val="both"/>
              <w:rPr>
                <w:sz w:val="28"/>
                <w:szCs w:val="28"/>
              </w:rPr>
            </w:pPr>
            <w:r w:rsidRPr="00AB2A33">
              <w:rPr>
                <w:sz w:val="28"/>
                <w:szCs w:val="28"/>
              </w:rPr>
              <w:t>Mi</w:t>
            </w:r>
            <w:r w:rsidR="00793BA7">
              <w:rPr>
                <w:bCs/>
                <w:sz w:val="28"/>
                <w:szCs w:val="28"/>
              </w:rPr>
              <w:t>nistru kabineta 201</w:t>
            </w:r>
            <w:r w:rsidR="009E16D3">
              <w:rPr>
                <w:bCs/>
                <w:sz w:val="28"/>
                <w:szCs w:val="28"/>
              </w:rPr>
              <w:t>6</w:t>
            </w:r>
            <w:r w:rsidR="00793BA7">
              <w:rPr>
                <w:bCs/>
                <w:sz w:val="28"/>
                <w:szCs w:val="28"/>
              </w:rPr>
              <w:t>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9E16D3">
              <w:rPr>
                <w:bCs/>
                <w:sz w:val="28"/>
                <w:szCs w:val="28"/>
              </w:rPr>
              <w:t>gada 6</w:t>
            </w:r>
            <w:r w:rsidRPr="00AB2A33">
              <w:rPr>
                <w:bCs/>
                <w:sz w:val="28"/>
                <w:szCs w:val="28"/>
              </w:rPr>
              <w:t>.</w:t>
            </w:r>
            <w:r w:rsidR="009E16D3">
              <w:rPr>
                <w:bCs/>
                <w:sz w:val="28"/>
                <w:szCs w:val="28"/>
              </w:rPr>
              <w:t xml:space="preserve"> decembra</w:t>
            </w:r>
            <w:r w:rsidR="00793BA7">
              <w:rPr>
                <w:bCs/>
                <w:sz w:val="28"/>
                <w:szCs w:val="28"/>
              </w:rPr>
              <w:t xml:space="preserve"> rīkojumā Nr.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9E16D3">
              <w:rPr>
                <w:bCs/>
                <w:sz w:val="28"/>
                <w:szCs w:val="28"/>
              </w:rPr>
              <w:t>745</w:t>
            </w:r>
            <w:r w:rsidRPr="00AB2A33">
              <w:rPr>
                <w:bCs/>
                <w:sz w:val="28"/>
                <w:szCs w:val="28"/>
              </w:rPr>
              <w:t xml:space="preserve"> </w:t>
            </w:r>
            <w:r w:rsidRPr="00AB2A33">
              <w:rPr>
                <w:bCs/>
                <w:i/>
                <w:sz w:val="28"/>
                <w:szCs w:val="28"/>
              </w:rPr>
              <w:t>„Par pretendentu un ierēdņu vērtēšanas komisiju’’</w:t>
            </w:r>
            <w:r w:rsidR="00793BA7">
              <w:rPr>
                <w:bCs/>
                <w:sz w:val="28"/>
                <w:szCs w:val="28"/>
              </w:rPr>
              <w:t xml:space="preserve"> (turpmāk – rīkojums Nr.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9E16D3">
              <w:rPr>
                <w:bCs/>
                <w:sz w:val="28"/>
                <w:szCs w:val="28"/>
              </w:rPr>
              <w:t>745</w:t>
            </w:r>
            <w:r w:rsidRPr="00AB2A33">
              <w:rPr>
                <w:bCs/>
                <w:sz w:val="28"/>
                <w:szCs w:val="28"/>
              </w:rPr>
              <w:t>)</w:t>
            </w:r>
            <w:r w:rsidRPr="00AB2A33">
              <w:rPr>
                <w:sz w:val="28"/>
                <w:szCs w:val="28"/>
              </w:rPr>
              <w:t xml:space="preserve"> apstiprinātās personas var tikt iekļautas </w:t>
            </w:r>
            <w:r w:rsidRPr="00AB2A33">
              <w:rPr>
                <w:bCs/>
                <w:sz w:val="28"/>
                <w:szCs w:val="28"/>
              </w:rPr>
              <w:t xml:space="preserve">pretendentu un ierēdņu vērtēšanas </w:t>
            </w:r>
            <w:r w:rsidRPr="00AB2A33">
              <w:rPr>
                <w:sz w:val="28"/>
                <w:szCs w:val="28"/>
              </w:rPr>
              <w:t>komisijā, kas izveidojama, lai izvērtētu pretendentu atbilstību Veselības ministrijas valsts sekretāra amatam un Veselības ministrijas padotībā</w:t>
            </w:r>
            <w:r w:rsidR="00A17852">
              <w:rPr>
                <w:sz w:val="28"/>
                <w:szCs w:val="28"/>
              </w:rPr>
              <w:t xml:space="preserve"> esošo iestāžu vadītāju amatiem, kā arī lai novērtētu iestādes vadītāja darbību un tās rezultātus.</w:t>
            </w:r>
          </w:p>
          <w:p w:rsidR="008E4130" w:rsidRPr="00B05BFD" w:rsidP="00A17852" w14:paraId="4DE42A68" w14:textId="77777777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izmaiņas Veselības ministrijas un citu Rīkojumā </w:t>
            </w:r>
            <w:r w:rsidR="00344160">
              <w:rPr>
                <w:sz w:val="28"/>
                <w:szCs w:val="28"/>
              </w:rPr>
              <w:t>Nr.</w:t>
            </w:r>
            <w:r w:rsidR="00A21CDE">
              <w:rPr>
                <w:sz w:val="28"/>
                <w:szCs w:val="28"/>
              </w:rPr>
              <w:t> </w:t>
            </w:r>
            <w:r w:rsidR="009E16D3">
              <w:rPr>
                <w:sz w:val="28"/>
                <w:szCs w:val="28"/>
              </w:rPr>
              <w:t>745</w:t>
            </w:r>
            <w:r w:rsidR="00344160">
              <w:rPr>
                <w:sz w:val="28"/>
                <w:szCs w:val="28"/>
              </w:rPr>
              <w:t xml:space="preserve"> iekļauto iestāžu struktūrā</w:t>
            </w:r>
            <w:r>
              <w:rPr>
                <w:sz w:val="28"/>
                <w:szCs w:val="28"/>
              </w:rPr>
              <w:t xml:space="preserve"> un personālsastāvā</w:t>
            </w:r>
            <w:r w:rsidRPr="00AB2A33" w:rsidR="00EE647E">
              <w:rPr>
                <w:sz w:val="28"/>
                <w:szCs w:val="28"/>
              </w:rPr>
              <w:t xml:space="preserve">, </w:t>
            </w:r>
            <w:r w:rsidR="00EE647E">
              <w:rPr>
                <w:sz w:val="28"/>
                <w:szCs w:val="28"/>
              </w:rPr>
              <w:t xml:space="preserve">nepieciešams izdot jaunu </w:t>
            </w:r>
            <w:r>
              <w:rPr>
                <w:sz w:val="28"/>
                <w:szCs w:val="28"/>
              </w:rPr>
              <w:t xml:space="preserve">Ministru kabineta </w:t>
            </w:r>
            <w:r w:rsidR="00AB2A33">
              <w:rPr>
                <w:sz w:val="28"/>
                <w:szCs w:val="28"/>
              </w:rPr>
              <w:t>rīkojumu</w:t>
            </w:r>
            <w:r>
              <w:rPr>
                <w:sz w:val="28"/>
                <w:szCs w:val="28"/>
              </w:rPr>
              <w:t xml:space="preserve"> </w:t>
            </w:r>
            <w:r w:rsidRPr="00AB2A33">
              <w:rPr>
                <w:bCs/>
                <w:i/>
                <w:sz w:val="28"/>
                <w:szCs w:val="28"/>
              </w:rPr>
              <w:t>„Par pretendentu un ierēdņu vērtēšanas komisiju’’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8E4130">
              <w:rPr>
                <w:bCs/>
                <w:sz w:val="28"/>
                <w:szCs w:val="28"/>
              </w:rPr>
              <w:t>(turpmāk – Ministru kabineta r</w:t>
            </w:r>
            <w:r>
              <w:rPr>
                <w:bCs/>
                <w:sz w:val="28"/>
                <w:szCs w:val="28"/>
              </w:rPr>
              <w:t>īkojums</w:t>
            </w:r>
            <w:r w:rsidRPr="008E4130">
              <w:rPr>
                <w:bCs/>
                <w:sz w:val="28"/>
                <w:szCs w:val="28"/>
              </w:rPr>
              <w:t>)</w:t>
            </w:r>
            <w:r w:rsidRPr="008E4130" w:rsidR="001D0B2A">
              <w:rPr>
                <w:sz w:val="28"/>
                <w:szCs w:val="28"/>
              </w:rPr>
              <w:t>,</w:t>
            </w:r>
            <w:r w:rsidRPr="00AB2A33" w:rsidR="001D0B2A">
              <w:rPr>
                <w:sz w:val="28"/>
                <w:szCs w:val="28"/>
              </w:rPr>
              <w:t xml:space="preserve"> lai apstiprinātu personu, kuras var tikt iekļautas pretendentu un ierēdņu vērtēšanas komisijā </w:t>
            </w:r>
            <w:r w:rsidRPr="00AB2A33" w:rsidR="00EE647E">
              <w:rPr>
                <w:sz w:val="28"/>
                <w:szCs w:val="28"/>
              </w:rPr>
              <w:t>Veselības ministrijas valsts sekretāra amatam un Veselības ministrijas padotībā esošo iestāžu vadītāju amatiem</w:t>
            </w:r>
            <w:r w:rsidR="00EE647E">
              <w:rPr>
                <w:sz w:val="28"/>
                <w:szCs w:val="28"/>
              </w:rPr>
              <w:t xml:space="preserve">, </w:t>
            </w:r>
            <w:r w:rsidR="00AB2A33">
              <w:rPr>
                <w:sz w:val="28"/>
                <w:szCs w:val="28"/>
              </w:rPr>
              <w:t xml:space="preserve">aktualizētu </w:t>
            </w:r>
            <w:r w:rsidRPr="00AB2A33" w:rsidR="001D0B2A">
              <w:rPr>
                <w:sz w:val="28"/>
                <w:szCs w:val="28"/>
              </w:rPr>
              <w:t>sarakstu.</w:t>
            </w:r>
            <w:r>
              <w:rPr>
                <w:sz w:val="28"/>
                <w:szCs w:val="28"/>
              </w:rPr>
              <w:t xml:space="preserve"> </w:t>
            </w:r>
            <w:r w:rsidRPr="008E4130">
              <w:rPr>
                <w:bCs/>
                <w:sz w:val="28"/>
                <w:szCs w:val="28"/>
              </w:rPr>
              <w:t>Ministru kabineta r</w:t>
            </w:r>
            <w:r>
              <w:rPr>
                <w:bCs/>
                <w:sz w:val="28"/>
                <w:szCs w:val="28"/>
              </w:rPr>
              <w:t>īkojuma projekta 2.</w:t>
            </w:r>
            <w:r w:rsidR="00A21CDE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punkts nosaka, ka ar </w:t>
            </w:r>
            <w:r w:rsidRPr="008E4130">
              <w:rPr>
                <w:bCs/>
                <w:sz w:val="28"/>
                <w:szCs w:val="28"/>
              </w:rPr>
              <w:t>Ministru kabineta r</w:t>
            </w:r>
            <w:r>
              <w:rPr>
                <w:bCs/>
                <w:sz w:val="28"/>
                <w:szCs w:val="28"/>
              </w:rPr>
              <w:t xml:space="preserve">īkojuma stāšanos spēkā spēku zaudē </w:t>
            </w:r>
            <w:r w:rsidR="00793BA7">
              <w:rPr>
                <w:bCs/>
                <w:sz w:val="28"/>
                <w:szCs w:val="28"/>
              </w:rPr>
              <w:t>rīkojums Nr.</w:t>
            </w:r>
            <w:r w:rsidR="00A21CDE">
              <w:rPr>
                <w:bCs/>
                <w:sz w:val="28"/>
                <w:szCs w:val="28"/>
              </w:rPr>
              <w:t> </w:t>
            </w:r>
            <w:r w:rsidR="009E16D3">
              <w:rPr>
                <w:bCs/>
                <w:sz w:val="28"/>
                <w:szCs w:val="28"/>
              </w:rPr>
              <w:t>745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14:paraId="55620E6C" w14:textId="77777777" w:rsidTr="001D0B2A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209815BA" w14:textId="77777777">
            <w:pPr>
              <w:spacing w:before="100" w:beforeAutospacing="1" w:after="100" w:afterAutospacing="1" w:line="360" w:lineRule="auto"/>
              <w:jc w:val="center"/>
            </w:pPr>
            <w:r w:rsidRPr="00B71A23"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05863972" w14:textId="77777777">
            <w:r w:rsidRPr="00B71A23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P="00104D95" w14:paraId="095678B9" w14:textId="77777777">
            <w:pPr>
              <w:spacing w:before="75" w:after="75"/>
              <w:rPr>
                <w:sz w:val="28"/>
                <w:szCs w:val="28"/>
              </w:rPr>
            </w:pPr>
            <w:r w:rsidRPr="00B05BFD">
              <w:rPr>
                <w:bCs/>
                <w:iCs/>
                <w:sz w:val="28"/>
                <w:szCs w:val="28"/>
              </w:rPr>
              <w:t>Projekts šo jautājumu neskar</w:t>
            </w:r>
          </w:p>
        </w:tc>
      </w:tr>
      <w:tr w14:paraId="7849E889" w14:textId="77777777" w:rsidTr="001D0B2A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2DD02E6F" w14:textId="77777777">
            <w:pPr>
              <w:spacing w:before="100" w:beforeAutospacing="1" w:after="100" w:afterAutospacing="1" w:line="360" w:lineRule="auto"/>
              <w:jc w:val="center"/>
            </w:pPr>
            <w:r w:rsidRPr="00B71A23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71A23" w:rsidP="001D0B2A" w14:paraId="26923310" w14:textId="77777777">
            <w:r w:rsidRPr="00B71A23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D0B2A" w:rsidRPr="00B05BFD" w:rsidP="00EE647E" w14:paraId="51BDC561" w14:textId="7777777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Rīkojuma projektā iekļautie k</w:t>
            </w:r>
            <w:r w:rsidRPr="00B05BFD" w:rsidR="00B05BFD">
              <w:rPr>
                <w:sz w:val="28"/>
                <w:szCs w:val="28"/>
              </w:rPr>
              <w:t xml:space="preserve">omisijas locekļi </w:t>
            </w:r>
            <w:r w:rsidR="00B75597">
              <w:rPr>
                <w:sz w:val="28"/>
                <w:szCs w:val="28"/>
              </w:rPr>
              <w:t xml:space="preserve"> </w:t>
            </w:r>
            <w:r w:rsidRPr="00B05BFD" w:rsidR="00B05BFD">
              <w:rPr>
                <w:sz w:val="28"/>
                <w:szCs w:val="28"/>
              </w:rPr>
              <w:t>piekrīt dalībai komisijas darbā</w:t>
            </w:r>
            <w:r w:rsidR="00B75597">
              <w:rPr>
                <w:sz w:val="28"/>
                <w:szCs w:val="28"/>
              </w:rPr>
              <w:t>.</w:t>
            </w:r>
          </w:p>
        </w:tc>
      </w:tr>
    </w:tbl>
    <w:p w:rsidR="006913F6" w:rsidP="006913F6" w14:paraId="466AC8DB" w14:textId="77777777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, </w:t>
      </w:r>
      <w:r w:rsidR="003A1DE4">
        <w:rPr>
          <w:sz w:val="28"/>
          <w:szCs w:val="28"/>
        </w:rPr>
        <w:t>III</w:t>
      </w:r>
      <w:r w:rsidR="00165889">
        <w:rPr>
          <w:sz w:val="28"/>
          <w:szCs w:val="28"/>
        </w:rPr>
        <w:t>.</w:t>
      </w:r>
      <w:r w:rsidR="003A1DE4">
        <w:rPr>
          <w:sz w:val="28"/>
          <w:szCs w:val="28"/>
        </w:rPr>
        <w:t xml:space="preserve">, </w:t>
      </w:r>
      <w:r w:rsidR="001E12C2">
        <w:rPr>
          <w:sz w:val="28"/>
          <w:szCs w:val="28"/>
        </w:rPr>
        <w:t>IV</w:t>
      </w:r>
      <w:r w:rsidR="00165889">
        <w:rPr>
          <w:sz w:val="28"/>
          <w:szCs w:val="28"/>
        </w:rPr>
        <w:t>.</w:t>
      </w:r>
      <w:r w:rsidR="001E12C2">
        <w:rPr>
          <w:sz w:val="28"/>
          <w:szCs w:val="28"/>
        </w:rPr>
        <w:t>,</w:t>
      </w:r>
      <w:r w:rsidRPr="009508CB">
        <w:rPr>
          <w:sz w:val="28"/>
          <w:szCs w:val="28"/>
        </w:rPr>
        <w:t xml:space="preserve"> </w:t>
      </w:r>
      <w:r w:rsidR="002B6A79">
        <w:rPr>
          <w:sz w:val="28"/>
          <w:szCs w:val="28"/>
        </w:rPr>
        <w:t>V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, </w:t>
      </w:r>
      <w:r w:rsidRPr="009508CB">
        <w:rPr>
          <w:sz w:val="28"/>
          <w:szCs w:val="28"/>
        </w:rPr>
        <w:t>VI</w:t>
      </w:r>
      <w:r w:rsidR="00165889">
        <w:rPr>
          <w:sz w:val="28"/>
          <w:szCs w:val="28"/>
        </w:rPr>
        <w:t>.</w:t>
      </w:r>
      <w:r w:rsidR="002B6A79">
        <w:rPr>
          <w:sz w:val="28"/>
          <w:szCs w:val="28"/>
        </w:rPr>
        <w:t xml:space="preserve"> un VII</w:t>
      </w:r>
      <w:r w:rsidR="00165889">
        <w:rPr>
          <w:sz w:val="28"/>
          <w:szCs w:val="28"/>
        </w:rPr>
        <w:t>.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:rsidR="00816401" w:rsidRPr="009508CB" w:rsidP="006913F6" w14:paraId="09A8416B" w14:textId="77777777">
      <w:pPr>
        <w:pStyle w:val="naisf"/>
        <w:tabs>
          <w:tab w:val="left" w:pos="5760"/>
        </w:tabs>
        <w:ind w:firstLine="0"/>
        <w:rPr>
          <w:sz w:val="28"/>
          <w:szCs w:val="28"/>
        </w:rPr>
      </w:pPr>
    </w:p>
    <w:p w:rsidR="00B777AC" w:rsidRPr="00B777AC" w:rsidP="00B777AC" w14:paraId="16E260C4" w14:textId="77777777">
      <w:pPr>
        <w:tabs>
          <w:tab w:val="left" w:pos="7230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 w:rsidRPr="00B777AC">
        <w:rPr>
          <w:rFonts w:eastAsia="Calibri"/>
          <w:sz w:val="28"/>
          <w:szCs w:val="28"/>
          <w:lang w:eastAsia="en-US"/>
        </w:rPr>
        <w:t>Veselības ministre</w:t>
      </w:r>
      <w:r w:rsidRPr="00B777AC">
        <w:rPr>
          <w:rFonts w:eastAsia="Calibri"/>
          <w:sz w:val="28"/>
          <w:szCs w:val="28"/>
          <w:lang w:eastAsia="en-US"/>
        </w:rPr>
        <w:tab/>
        <w:t>Anda Čakša</w:t>
      </w:r>
      <w:r w:rsidRPr="00B777AC">
        <w:rPr>
          <w:rFonts w:eastAsia="Calibri"/>
          <w:sz w:val="28"/>
          <w:szCs w:val="28"/>
          <w:lang w:eastAsia="en-US"/>
        </w:rPr>
        <w:tab/>
      </w:r>
    </w:p>
    <w:p w:rsidR="00B777AC" w:rsidRPr="00B777AC" w:rsidP="00E25461" w14:paraId="05A71034" w14:textId="77777777">
      <w:pPr>
        <w:tabs>
          <w:tab w:val="right" w:pos="8789"/>
        </w:tabs>
        <w:ind w:right="-1"/>
        <w:rPr>
          <w:rFonts w:eastAsia="Calibri"/>
          <w:sz w:val="28"/>
          <w:szCs w:val="28"/>
          <w:lang w:eastAsia="en-US"/>
        </w:rPr>
      </w:pPr>
      <w:r w:rsidRPr="00B777AC">
        <w:rPr>
          <w:rFonts w:eastAsia="Calibri"/>
          <w:sz w:val="28"/>
          <w:szCs w:val="28"/>
          <w:lang w:eastAsia="en-US"/>
        </w:rPr>
        <w:t>Vīza: Valsts sekretārs</w:t>
      </w:r>
      <w:r w:rsidR="00E25461">
        <w:rPr>
          <w:rFonts w:eastAsia="Calibri"/>
          <w:sz w:val="28"/>
          <w:szCs w:val="28"/>
          <w:lang w:eastAsia="en-US"/>
        </w:rPr>
        <w:tab/>
        <w:t xml:space="preserve">Kārlis </w:t>
      </w:r>
      <w:r w:rsidR="00E25461">
        <w:rPr>
          <w:rFonts w:eastAsia="Calibri"/>
          <w:sz w:val="28"/>
          <w:szCs w:val="28"/>
          <w:lang w:eastAsia="en-US"/>
        </w:rPr>
        <w:t>Ketners</w:t>
      </w:r>
    </w:p>
    <w:p w:rsidR="00EE4FC3" w:rsidP="00B777AC" w14:paraId="75255BED" w14:textId="77777777">
      <w:pPr>
        <w:jc w:val="both"/>
        <w:rPr>
          <w:sz w:val="28"/>
          <w:szCs w:val="28"/>
        </w:rPr>
      </w:pPr>
    </w:p>
    <w:p w:rsidR="00B777AC" w:rsidP="00DE7F05" w14:paraId="3544866A" w14:textId="77777777">
      <w:pPr>
        <w:pStyle w:val="HTMLPreformatted"/>
        <w:jc w:val="both"/>
        <w:rPr>
          <w:rFonts w:ascii="Times New Roman" w:hAnsi="Times New Roman"/>
          <w:sz w:val="24"/>
          <w:szCs w:val="24"/>
        </w:rPr>
      </w:pPr>
    </w:p>
    <w:p w:rsidR="00DE7F05" w:rsidRPr="009508CB" w:rsidP="00DE7F05" w14:paraId="20E558F7" w14:textId="77777777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Brasliņa</w:t>
      </w:r>
      <w:r w:rsidRPr="009508CB">
        <w:rPr>
          <w:rFonts w:ascii="Times New Roman" w:hAnsi="Times New Roman"/>
          <w:sz w:val="24"/>
          <w:szCs w:val="24"/>
        </w:rPr>
        <w:t>, 67</w:t>
      </w:r>
      <w:r>
        <w:rPr>
          <w:rFonts w:ascii="Times New Roman" w:hAnsi="Times New Roman"/>
          <w:sz w:val="24"/>
          <w:szCs w:val="24"/>
        </w:rPr>
        <w:t>876017</w:t>
      </w:r>
    </w:p>
    <w:p w:rsidR="00C42A40" w:rsidP="002B5D3A" w14:paraId="1992C803" w14:textId="777777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25461">
        <w:rPr>
          <w:rFonts w:ascii="Times New Roman" w:hAnsi="Times New Roman" w:cs="Times New Roman"/>
          <w:sz w:val="24"/>
          <w:szCs w:val="24"/>
        </w:rPr>
        <w:t>Baiba.Braslina@vm.gov.lv</w:t>
      </w:r>
    </w:p>
    <w:sectPr w:rsidSect="00E25461">
      <w:headerReference w:type="even" r:id="rId5"/>
      <w:head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BFD" w:rsidRPr="00A21CDE" w:rsidP="00A21CDE" w14:paraId="4162BCE2" w14:textId="77777777">
    <w:pPr>
      <w:pStyle w:val="Footer"/>
      <w:rPr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BFD" w:rsidP="00190F88" w14:paraId="333144B7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05BFD" w14:paraId="0425EBF0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5BFD" w:rsidRPr="00DB073B" w:rsidP="00190F88" w14:paraId="49D33640" w14:textId="77777777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B777AC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B05BFD" w14:paraId="46D5084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C123E"/>
    <w:multiLevelType w:val="hybridMultilevel"/>
    <w:tmpl w:val="F4B2051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4B2E37"/>
    <w:multiLevelType w:val="hybridMultilevel"/>
    <w:tmpl w:val="2C3C6D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C4F"/>
    <w:multiLevelType w:val="hybridMultilevel"/>
    <w:tmpl w:val="A6D837A8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06475"/>
    <w:multiLevelType w:val="hybridMultilevel"/>
    <w:tmpl w:val="7ABCF8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DAA"/>
    <w:multiLevelType w:val="hybridMultilevel"/>
    <w:tmpl w:val="40625E8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A29AD"/>
    <w:multiLevelType w:val="hybridMultilevel"/>
    <w:tmpl w:val="B05646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13FE"/>
    <w:multiLevelType w:val="hybridMultilevel"/>
    <w:tmpl w:val="92204F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44A95"/>
    <w:multiLevelType w:val="hybridMultilevel"/>
    <w:tmpl w:val="FA3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72F2E"/>
    <w:multiLevelType w:val="hybridMultilevel"/>
    <w:tmpl w:val="7B04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124FFD"/>
    <w:multiLevelType w:val="hybridMultilevel"/>
    <w:tmpl w:val="6B5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8685C"/>
    <w:multiLevelType w:val="hybridMultilevel"/>
    <w:tmpl w:val="DC48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533FA"/>
    <w:multiLevelType w:val="hybridMultilevel"/>
    <w:tmpl w:val="C88070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BC9"/>
    <w:multiLevelType w:val="hybridMultilevel"/>
    <w:tmpl w:val="D75C78A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C6C59"/>
    <w:multiLevelType w:val="hybridMultilevel"/>
    <w:tmpl w:val="E264AC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E4C65"/>
    <w:multiLevelType w:val="hybrid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61899"/>
    <w:multiLevelType w:val="hybridMultilevel"/>
    <w:tmpl w:val="C462844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1E56C8F"/>
    <w:multiLevelType w:val="hybridMultilevel"/>
    <w:tmpl w:val="220C7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A1A20"/>
    <w:multiLevelType w:val="hybridMultilevel"/>
    <w:tmpl w:val="CF5202E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0E3FBF"/>
    <w:multiLevelType w:val="hybridMultilevel"/>
    <w:tmpl w:val="E8B069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0174"/>
    <w:multiLevelType w:val="hybridMultilevel"/>
    <w:tmpl w:val="19124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8135EC"/>
    <w:multiLevelType w:val="hybridMultilevel"/>
    <w:tmpl w:val="1DE4F2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0658B"/>
    <w:multiLevelType w:val="hybridMultilevel"/>
    <w:tmpl w:val="4DF656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D068F"/>
    <w:multiLevelType w:val="hybridMultilevel"/>
    <w:tmpl w:val="215A00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4"/>
  </w:num>
  <w:num w:numId="5">
    <w:abstractNumId w:val="1"/>
  </w:num>
  <w:num w:numId="6">
    <w:abstractNumId w:val="19"/>
  </w:num>
  <w:num w:numId="7">
    <w:abstractNumId w:val="26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20"/>
  </w:num>
  <w:num w:numId="13">
    <w:abstractNumId w:val="23"/>
  </w:num>
  <w:num w:numId="14">
    <w:abstractNumId w:val="0"/>
  </w:num>
  <w:num w:numId="15">
    <w:abstractNumId w:val="22"/>
  </w:num>
  <w:num w:numId="16">
    <w:abstractNumId w:val="28"/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30"/>
  </w:num>
  <w:num w:numId="23">
    <w:abstractNumId w:val="3"/>
  </w:num>
  <w:num w:numId="24">
    <w:abstractNumId w:val="29"/>
  </w:num>
  <w:num w:numId="25">
    <w:abstractNumId w:val="21"/>
  </w:num>
  <w:num w:numId="26">
    <w:abstractNumId w:val="10"/>
  </w:num>
  <w:num w:numId="27">
    <w:abstractNumId w:val="12"/>
  </w:num>
  <w:num w:numId="28">
    <w:abstractNumId w:val="27"/>
  </w:num>
  <w:num w:numId="29">
    <w:abstractNumId w:val="18"/>
  </w:num>
  <w:num w:numId="30">
    <w:abstractNumId w:val="25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6F3D693-D6D5-43DA-B16D-90CCA15B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51D3-E2B5-4D17-B089-8D9E2F04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pretendentu un ierēdņu vērtēšanas komisiju” sākotnējās ietekmes novērtējuma ziņojums (anotācija)</vt:lpstr>
      <vt:lpstr>Par pretendentu un ierēdņu vērtēšanas komisiju</vt:lpstr>
    </vt:vector>
  </TitlesOfParts>
  <Company>Veselības  ministrija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pretendentu un ierēdņu vērtēšanas komisiju” sākotnējās ietekmes novērtējuma ziņojums (anotācija)</dc:title>
  <dc:subject>Anotācija</dc:subject>
  <dc:creator>Baiba Brasliņa</dc:creator>
  <dc:description>67876017, Baiba.Braslina@vm.gov.lv</dc:description>
  <cp:lastModifiedBy>Signe Vītoliņa</cp:lastModifiedBy>
  <cp:revision>5</cp:revision>
  <cp:lastPrinted>2016-11-09T09:53:00Z</cp:lastPrinted>
  <dcterms:created xsi:type="dcterms:W3CDTF">2017-07-07T07:13:00Z</dcterms:created>
  <dcterms:modified xsi:type="dcterms:W3CDTF">2017-07-07T09:31:00Z</dcterms:modified>
</cp:coreProperties>
</file>