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6464C">
      <w:pPr>
        <w:pStyle w:val="Parastais"/>
        <w:jc w:val="right"/>
        <w:rPr>
          <w:lang w:val="lv-LV"/>
        </w:rPr>
      </w:pPr>
      <w:bookmarkStart w:id="0" w:name="_GoBack"/>
      <w:bookmarkEnd w:id="0"/>
      <w:r>
        <w:rPr>
          <w:lang w:val="lv-LV"/>
        </w:rPr>
        <w:t>2.pielikums</w:t>
      </w:r>
    </w:p>
    <w:p w:rsidR="0066464C">
      <w:pPr>
        <w:pStyle w:val="Parastais"/>
        <w:jc w:val="right"/>
        <w:rPr>
          <w:lang w:val="lv-LV"/>
        </w:rPr>
      </w:pPr>
      <w:r>
        <w:rPr>
          <w:lang w:val="lv-LV"/>
        </w:rPr>
        <w:t xml:space="preserve">Konceptuālajam ziņojumam </w:t>
      </w:r>
    </w:p>
    <w:p w:rsidR="0066464C">
      <w:pPr>
        <w:pStyle w:val="Parastais"/>
        <w:jc w:val="right"/>
        <w:rPr>
          <w:lang w:val="lv-LV"/>
        </w:rPr>
      </w:pPr>
      <w:r>
        <w:rPr>
          <w:lang w:val="lv-LV"/>
        </w:rPr>
        <w:t>“Par Veselības aprūpes sistēmas reformu”</w:t>
      </w:r>
    </w:p>
    <w:p w:rsidR="0066464C">
      <w:pPr>
        <w:pStyle w:val="Parastais"/>
        <w:rPr>
          <w:sz w:val="20"/>
          <w:szCs w:val="20"/>
          <w:lang w:val="lv-LV"/>
        </w:rPr>
      </w:pPr>
    </w:p>
    <w:p w:rsidR="0066464C">
      <w:pPr>
        <w:pStyle w:val="Parastais"/>
        <w:rPr>
          <w:sz w:val="20"/>
          <w:szCs w:val="20"/>
          <w:lang w:val="lv-LV"/>
        </w:rPr>
      </w:pPr>
    </w:p>
    <w:p w:rsidR="0066464C">
      <w:pPr>
        <w:pStyle w:val="Parastais"/>
        <w:jc w:val="center"/>
        <w:rPr>
          <w:b/>
          <w:lang w:val="lv-LV"/>
        </w:rPr>
      </w:pPr>
      <w:r>
        <w:rPr>
          <w:b/>
          <w:lang w:val="lv-LV"/>
        </w:rPr>
        <w:t xml:space="preserve">Plānoto ārstniecības personu (ārstu, māsu) skaits sadalījumā pa pamatspecialitātēm, apakšspecialitātēm un papildspecialitātēm </w:t>
      </w:r>
    </w:p>
    <w:p w:rsidR="0066464C">
      <w:pPr>
        <w:pStyle w:val="Parastais"/>
        <w:jc w:val="center"/>
        <w:rPr>
          <w:lang w:val="lv-LV"/>
        </w:rPr>
      </w:pPr>
      <w:r>
        <w:rPr>
          <w:lang w:val="lv-LV"/>
        </w:rPr>
        <w:t>(valsts apmaksāto pakalpojumu sniegšanai)</w:t>
      </w:r>
    </w:p>
    <w:p w:rsidR="0066464C">
      <w:pPr>
        <w:pStyle w:val="Parastais"/>
        <w:jc w:val="center"/>
        <w:rPr>
          <w:lang w:val="lv-LV"/>
        </w:rPr>
      </w:pPr>
    </w:p>
    <w:p w:rsidR="0066464C">
      <w:pPr>
        <w:pStyle w:val="Parastais"/>
        <w:rPr>
          <w:lang w:val="lv-LV"/>
        </w:rPr>
      </w:pPr>
      <w:r>
        <w:rPr>
          <w:lang w:val="lv-LV"/>
        </w:rPr>
        <w:t>1.tabula Plānotais ārstniecības personu (ārstu) skaits sadalījumā pa pamatspecialitātēm</w:t>
      </w:r>
    </w:p>
    <w:tbl>
      <w:tblPr>
        <w:tblW w:w="5000" w:type="pct"/>
        <w:tblCellMar>
          <w:left w:w="10" w:type="dxa"/>
          <w:right w:w="10" w:type="dxa"/>
        </w:tblCellMar>
        <w:tblLook w:val="04A0"/>
      </w:tblPr>
      <w:tblGrid>
        <w:gridCol w:w="1880"/>
        <w:gridCol w:w="1127"/>
        <w:gridCol w:w="1165"/>
        <w:gridCol w:w="1542"/>
        <w:gridCol w:w="1421"/>
        <w:gridCol w:w="1797"/>
        <w:gridCol w:w="1521"/>
        <w:gridCol w:w="928"/>
        <w:gridCol w:w="1377"/>
        <w:gridCol w:w="1512"/>
      </w:tblGrid>
      <w:tr>
        <w:tblPrEx>
          <w:tblW w:w="5000" w:type="pct"/>
          <w:tblCellMar>
            <w:left w:w="10" w:type="dxa"/>
            <w:right w:w="10" w:type="dxa"/>
          </w:tblCellMar>
          <w:tblLook w:val="04A0"/>
        </w:tblPrEx>
        <w:trPr>
          <w:tblHeader/>
        </w:trPr>
        <w:tc>
          <w:tcPr>
            <w:tcW w:w="188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sz w:val="20"/>
                <w:szCs w:val="20"/>
                <w:lang w:val="lv-LV" w:eastAsia="lv-LV"/>
              </w:rPr>
            </w:pPr>
            <w:r>
              <w:rPr>
                <w:sz w:val="20"/>
                <w:szCs w:val="20"/>
                <w:lang w:val="lv-LV" w:eastAsia="lv-LV"/>
              </w:rPr>
              <w:t>Pamatspecialitātes nosaukums</w:t>
            </w:r>
          </w:p>
        </w:tc>
        <w:tc>
          <w:tcPr>
            <w:tcW w:w="112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 xml:space="preserve">Ārstniecības personu skaits (2016) </w:t>
            </w:r>
          </w:p>
        </w:tc>
        <w:tc>
          <w:tcPr>
            <w:tcW w:w="1165"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vecākas par 65 gadiem, skaits</w:t>
            </w:r>
          </w:p>
          <w:p w:rsidR="0066464C">
            <w:pPr>
              <w:pStyle w:val="Parastais"/>
              <w:jc w:val="center"/>
            </w:pPr>
            <w:r>
              <w:rPr>
                <w:rStyle w:val="Noklusjumarindkopasfonts"/>
                <w:color w:val="000000"/>
                <w:sz w:val="20"/>
                <w:szCs w:val="20"/>
                <w:lang w:val="lv-LV" w:eastAsia="lv-LV"/>
              </w:rPr>
              <w:t xml:space="preserve">(2016) </w:t>
            </w:r>
          </w:p>
        </w:tc>
        <w:tc>
          <w:tcPr>
            <w:tcW w:w="1542"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tuvākajā laikā sasniegs pensijas vecumu, skaits</w:t>
            </w:r>
          </w:p>
          <w:p w:rsidR="0066464C">
            <w:pPr>
              <w:pStyle w:val="Parastais"/>
              <w:jc w:val="center"/>
            </w:pPr>
            <w:r>
              <w:rPr>
                <w:rStyle w:val="Noklusjumarindkopasfonts"/>
                <w:color w:val="000000"/>
                <w:sz w:val="20"/>
                <w:szCs w:val="20"/>
                <w:lang w:val="lv-LV" w:eastAsia="lv-LV"/>
              </w:rPr>
              <w:t>(2016)</w:t>
            </w:r>
          </w:p>
        </w:tc>
        <w:tc>
          <w:tcPr>
            <w:tcW w:w="14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Indikatīvais rezidentūras absolventu skaits (2016.gadā studējošiem rezidentiem)</w:t>
            </w:r>
          </w:p>
        </w:tc>
        <w:tc>
          <w:tcPr>
            <w:tcW w:w="179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Ārstniecības personu skaits, ņemot vērā novecošanās faktoru un indikatīvo rezidentūras absolventu skaitu</w:t>
            </w:r>
          </w:p>
        </w:tc>
        <w:tc>
          <w:tcPr>
            <w:tcW w:w="15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Rekomendējošais ārstniecības personu skaits (2025)</w:t>
            </w:r>
          </w:p>
        </w:tc>
        <w:tc>
          <w:tcPr>
            <w:tcW w:w="92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Korekcija pret 2016.gadu (2025)</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Speciālistu izstrādātās slodzes visās slimnīcās (% no kopējā ārstu skaita), 2016</w:t>
            </w:r>
          </w:p>
        </w:tc>
        <w:tc>
          <w:tcPr>
            <w:tcW w:w="1512"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Plānotās speciālistu slodzes visās slimnīcās (%, no rekomendējošā ārstu skaita), 2025</w:t>
            </w:r>
          </w:p>
        </w:tc>
      </w:tr>
      <w:tr>
        <w:tblPrEx>
          <w:tblW w:w="5000" w:type="pct"/>
          <w:tblCellMar>
            <w:left w:w="10" w:type="dxa"/>
            <w:right w:w="10" w:type="dxa"/>
          </w:tblCellMar>
          <w:tblLook w:val="04A0"/>
        </w:tblPrEx>
        <w:trPr>
          <w:tblHeader/>
        </w:trPr>
        <w:tc>
          <w:tcPr>
            <w:tcW w:w="188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sz w:val="16"/>
                <w:szCs w:val="16"/>
                <w:lang w:val="lv-LV" w:eastAsia="lv-LV"/>
              </w:rPr>
            </w:pPr>
            <w:r>
              <w:rPr>
                <w:i/>
                <w:sz w:val="16"/>
                <w:szCs w:val="16"/>
                <w:lang w:val="lv-LV" w:eastAsia="lv-LV"/>
              </w:rPr>
              <w:t>1</w:t>
            </w:r>
          </w:p>
        </w:tc>
        <w:tc>
          <w:tcPr>
            <w:tcW w:w="112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i/>
                <w:color w:val="000000"/>
                <w:sz w:val="16"/>
                <w:szCs w:val="16"/>
                <w:lang w:val="lv-LV" w:eastAsia="lv-LV"/>
              </w:rPr>
              <w:t>2</w:t>
            </w:r>
          </w:p>
        </w:tc>
        <w:tc>
          <w:tcPr>
            <w:tcW w:w="1165"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3</w:t>
            </w:r>
          </w:p>
        </w:tc>
        <w:tc>
          <w:tcPr>
            <w:tcW w:w="1542"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4</w:t>
            </w:r>
          </w:p>
        </w:tc>
        <w:tc>
          <w:tcPr>
            <w:tcW w:w="14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5</w:t>
            </w:r>
          </w:p>
        </w:tc>
        <w:tc>
          <w:tcPr>
            <w:tcW w:w="179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6</w:t>
            </w:r>
          </w:p>
        </w:tc>
        <w:tc>
          <w:tcPr>
            <w:tcW w:w="15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7</w:t>
            </w:r>
          </w:p>
        </w:tc>
        <w:tc>
          <w:tcPr>
            <w:tcW w:w="928"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8</w:t>
            </w:r>
          </w:p>
        </w:tc>
        <w:tc>
          <w:tcPr>
            <w:tcW w:w="1377"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9</w:t>
            </w:r>
          </w:p>
        </w:tc>
        <w:tc>
          <w:tcPr>
            <w:tcW w:w="1512"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10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Internists (P01)</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445.0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92.0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64.0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56.0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345.0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460.00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pPr>
            <w:r>
              <w:rPr>
                <w:rStyle w:val="Noklusjumarindkopasfonts"/>
                <w:bCs/>
                <w:color w:val="000000"/>
                <w:sz w:val="20"/>
                <w:szCs w:val="20"/>
                <w:lang w:val="lv-LV"/>
              </w:rPr>
              <w:t>-115.0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pPr>
            <w:r>
              <w:rPr>
                <w:rStyle w:val="Noklusjumarindkopasfonts"/>
                <w:color w:val="000000"/>
                <w:sz w:val="20"/>
                <w:szCs w:val="20"/>
                <w:lang w:val="lv-LV"/>
              </w:rPr>
              <w:t>39</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pPr>
            <w:r>
              <w:rPr>
                <w:rStyle w:val="Noklusjumarindkopasfonts"/>
                <w:color w:val="000000"/>
                <w:sz w:val="20"/>
                <w:szCs w:val="20"/>
                <w:lang w:val="lv-LV"/>
              </w:rPr>
              <w:t>62</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Ģimenes (vispārējās prakses) ārsts (P02)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166.0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336.0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115.0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1017.0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1226.00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-209.0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Ķirurgs (P03)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336.0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69.0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43.0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68.0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292.0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261.84</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81</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Neiroķirurgs (P04)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37.0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34.08</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2.9</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76</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97</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Torakālais ķirurgs (P05)</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9.30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4.7</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Sirds ķirurgs (P06)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12.60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78</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98</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Asinsvadu ķirurgs (P07)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12.07</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7.9</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91</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Urologs (P08)</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15.0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27.40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32.6</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71</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Plastikas ķirurgs (P09)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28.0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3.0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25.0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24.00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ķirurgs (P12)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42.0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29.97</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88</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Traumatologs, ortopēds (P13)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22.0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17.0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148.0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134.93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88</w:t>
            </w:r>
          </w:p>
        </w:tc>
      </w:tr>
      <w:tr>
        <w:tblPrEx>
          <w:tblW w:w="5000" w:type="pct"/>
          <w:tblCellMar>
            <w:left w:w="10" w:type="dxa"/>
            <w:right w:w="10" w:type="dxa"/>
          </w:tblCellMar>
          <w:tblLook w:val="04A0"/>
        </w:tblPrEx>
        <w:trPr>
          <w:trHeight w:val="384"/>
        </w:trPr>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Ginekologs,dzemdību speciālists (P14)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446.0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29.0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342.0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316.91</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25.1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88</w:t>
            </w:r>
          </w:p>
        </w:tc>
      </w:tr>
      <w:tr>
        <w:tblPrEx>
          <w:tblW w:w="5000" w:type="pct"/>
          <w:tblCellMar>
            <w:left w:w="10" w:type="dxa"/>
            <w:right w:w="10" w:type="dxa"/>
          </w:tblCellMar>
          <w:tblLook w:val="04A0"/>
        </w:tblPrEx>
        <w:trPr>
          <w:trHeight w:val="208"/>
        </w:trPr>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Pediatrs (P15)</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38.0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69.0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263.0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121.79</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141.2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39</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Onkologs ķīmijterapeits (P16)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36.0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28.93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Hematologs (P17)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21.0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12.95</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82</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Anesteziologs, reanimatologs (P18)</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401.0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61.0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77.0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364.0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288.47</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75.5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93</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Psihiatrs (P19)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43.0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191.0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189.20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79</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Neirologs (P20)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245.0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49.0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45.0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179.0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100.83</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78.2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38</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73</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Oftalmologs (P22)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36.0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181.0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63.55</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117.5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29</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Otolaringologs (P23)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161.0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32.0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22.0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121.0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45.27</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75.7</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34</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Infektologs (P24)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28.71</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21.3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47</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78</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Mutes, sejas un žokļu ķirurgs (P26)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7.04</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17.0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34</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84</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Dermatologs, venerologs (P27)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167.0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30.0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14.0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126.0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35.00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91.0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Narkologs (P28)</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69.0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10.0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46.0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24.91</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21.1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24</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63</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Laboratorijas ārsts (P29)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103.0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129.00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Radiologs terapeits (P31)</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Radiologs diagnosts (P32)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280.0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44.0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224.0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143.00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81.0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Patologs (P33)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45.0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57.00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Tiesu medicīnas eksperts (P34)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37.0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52.00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-15.0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Neatliekamās medicīnas ārsts (P39)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44.0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138.0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118.00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Psihoterapeits (P42)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63.0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23.0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Medicīnas ģenētiķis (P44)</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Klīniskais mikrobiologs (P47)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Geriatrs (P48)</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3.60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100</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Sabiedrības veselības ārsts (P49)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41.0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25.0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41.00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-16.0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Klīniskais fiziologs (P51)</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4.02</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Kardiologs (P52)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174.0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34.0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72.61</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56.4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57</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56</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Arodveselības un arodslimību ārsts (P53)</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48.0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28.0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48.00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Fizikālās un rehabilitācijas medicīnas ārsts (P54)</w:t>
            </w:r>
          </w:p>
        </w:tc>
        <w:tc>
          <w:tcPr>
            <w:tcW w:w="1127"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118.0</w:t>
            </w:r>
          </w:p>
        </w:tc>
        <w:tc>
          <w:tcPr>
            <w:tcW w:w="1165"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15.0</w:t>
            </w:r>
          </w:p>
        </w:tc>
        <w:tc>
          <w:tcPr>
            <w:tcW w:w="1542"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25.0</w:t>
            </w:r>
          </w:p>
        </w:tc>
        <w:tc>
          <w:tcPr>
            <w:tcW w:w="1421"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25.0</w:t>
            </w:r>
          </w:p>
        </w:tc>
        <w:tc>
          <w:tcPr>
            <w:tcW w:w="1797" w:type="dxa"/>
            <w:tcBorders>
              <w:top w:val="outset" w:sz="6" w:space="0" w:color="414142"/>
              <w:left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103.0</w:t>
            </w:r>
          </w:p>
        </w:tc>
        <w:tc>
          <w:tcPr>
            <w:tcW w:w="1521" w:type="dxa"/>
            <w:tcBorders>
              <w:top w:val="outset" w:sz="6" w:space="0" w:color="414142"/>
              <w:left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58.84</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Reimatologs (P56)</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15.0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15.00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Pneimonologs (P57)</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87.0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27.0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52.18</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1.82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97</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Endokrinologs (P58)</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9.0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11.0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56.0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66.00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Nefrologs (P59)</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5.0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32.00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-8.0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41</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14</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Gastroenterologs (P60)</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42.0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13.0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7.0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42.00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-12.0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16</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Akupunktūras ārsts (P61)</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26.0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6.0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14.00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neirologs (P62)</w:t>
            </w: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21.0</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2.0</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3.0</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19.0</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21.00</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0,35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35</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r>
      <w:tr>
        <w:tblPrEx>
          <w:tblW w:w="5000" w:type="pct"/>
          <w:tblCellMar>
            <w:left w:w="10" w:type="dxa"/>
            <w:right w:w="10" w:type="dxa"/>
          </w:tblCellMar>
          <w:tblLook w:val="04A0"/>
        </w:tblPrEx>
        <w:tc>
          <w:tcPr>
            <w:tcW w:w="188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Sporta ārsts (P36)</w:t>
            </w:r>
          </w:p>
          <w:p w:rsidR="0066464C">
            <w:pPr>
              <w:pStyle w:val="Parastais"/>
              <w:rPr>
                <w:color w:val="000000"/>
                <w:sz w:val="20"/>
                <w:szCs w:val="20"/>
                <w:lang w:val="lv-LV"/>
              </w:rPr>
            </w:pPr>
          </w:p>
        </w:tc>
        <w:tc>
          <w:tcPr>
            <w:tcW w:w="11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48</w:t>
            </w:r>
          </w:p>
        </w:tc>
        <w:tc>
          <w:tcPr>
            <w:tcW w:w="116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542"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13</w:t>
            </w:r>
          </w:p>
        </w:tc>
        <w:tc>
          <w:tcPr>
            <w:tcW w:w="1421"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w:t>
            </w:r>
          </w:p>
        </w:tc>
        <w:tc>
          <w:tcPr>
            <w:tcW w:w="179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42</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42</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bCs/>
                <w:color w:val="000000"/>
                <w:sz w:val="20"/>
                <w:szCs w:val="20"/>
                <w:lang w:val="lv-LV"/>
              </w:rPr>
            </w:pPr>
            <w:r>
              <w:rPr>
                <w:bCs/>
                <w:color w:val="000000"/>
                <w:sz w:val="20"/>
                <w:szCs w:val="20"/>
                <w:lang w:val="lv-LV"/>
              </w:rPr>
              <w:t>0.0</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Nav attiecināms</w:t>
            </w:r>
          </w:p>
        </w:tc>
      </w:tr>
    </w:tbl>
    <w:p w:rsidR="0066464C">
      <w:pPr>
        <w:pStyle w:val="Parastais"/>
        <w:rPr>
          <w:color w:val="000000"/>
          <w:lang w:val="lv-LV"/>
        </w:rPr>
      </w:pPr>
    </w:p>
    <w:p w:rsidR="0066464C">
      <w:pPr>
        <w:pStyle w:val="Parastais"/>
      </w:pPr>
    </w:p>
    <w:p w:rsidR="0066464C">
      <w:pPr>
        <w:pStyle w:val="Parastais"/>
      </w:pPr>
      <w:r>
        <w:rPr>
          <w:rStyle w:val="Noklusjumarindkopasfonts"/>
          <w:lang w:val="lv-LV"/>
        </w:rPr>
        <w:t>1</w:t>
      </w:r>
      <w:r>
        <w:rPr>
          <w:rStyle w:val="Noklusjumarindkopasfonts"/>
          <w:vertAlign w:val="superscript"/>
          <w:lang w:val="lv-LV"/>
        </w:rPr>
        <w:t>a</w:t>
      </w:r>
      <w:r>
        <w:rPr>
          <w:rStyle w:val="Noklusjumarindkopasfonts"/>
          <w:lang w:val="lv-LV"/>
        </w:rPr>
        <w:t xml:space="preserve">.tabula Plānotais ārstniecības personu (māsu) skaits </w:t>
      </w:r>
    </w:p>
    <w:tbl>
      <w:tblPr>
        <w:tblW w:w="5000" w:type="pct"/>
        <w:tblCellMar>
          <w:left w:w="10" w:type="dxa"/>
          <w:right w:w="10" w:type="dxa"/>
        </w:tblCellMar>
        <w:tblLook w:val="04A0"/>
      </w:tblPr>
      <w:tblGrid>
        <w:gridCol w:w="1844"/>
        <w:gridCol w:w="1128"/>
        <w:gridCol w:w="1167"/>
        <w:gridCol w:w="1550"/>
        <w:gridCol w:w="1427"/>
        <w:gridCol w:w="1808"/>
        <w:gridCol w:w="1521"/>
        <w:gridCol w:w="928"/>
        <w:gridCol w:w="1381"/>
        <w:gridCol w:w="1516"/>
      </w:tblGrid>
      <w:tr>
        <w:tblPrEx>
          <w:tblW w:w="5000" w:type="pct"/>
          <w:tblCellMar>
            <w:left w:w="10" w:type="dxa"/>
            <w:right w:w="10" w:type="dxa"/>
          </w:tblCellMar>
          <w:tblLook w:val="04A0"/>
        </w:tblPrEx>
        <w:trPr>
          <w:tblHeader/>
        </w:trPr>
        <w:tc>
          <w:tcPr>
            <w:tcW w:w="1844"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sz w:val="20"/>
                <w:szCs w:val="20"/>
                <w:lang w:val="lv-LV" w:eastAsia="lv-LV"/>
              </w:rPr>
            </w:pPr>
            <w:r>
              <w:rPr>
                <w:sz w:val="20"/>
                <w:szCs w:val="20"/>
                <w:lang w:val="lv-LV" w:eastAsia="lv-LV"/>
              </w:rPr>
              <w:t>Profesijas nosaukums</w:t>
            </w:r>
          </w:p>
        </w:tc>
        <w:tc>
          <w:tcPr>
            <w:tcW w:w="112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 xml:space="preserve">Ārstniecības personu skaits (2016) </w:t>
            </w:r>
          </w:p>
        </w:tc>
        <w:tc>
          <w:tcPr>
            <w:tcW w:w="116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vecākas par 65 gadiem, skaits</w:t>
            </w:r>
          </w:p>
          <w:p w:rsidR="0066464C">
            <w:pPr>
              <w:pStyle w:val="Parastais"/>
              <w:jc w:val="center"/>
            </w:pPr>
            <w:r>
              <w:rPr>
                <w:rStyle w:val="Noklusjumarindkopasfonts"/>
                <w:color w:val="000000"/>
                <w:sz w:val="20"/>
                <w:szCs w:val="20"/>
                <w:lang w:val="lv-LV" w:eastAsia="lv-LV"/>
              </w:rPr>
              <w:t xml:space="preserve">(2016) </w:t>
            </w:r>
          </w:p>
        </w:tc>
        <w:tc>
          <w:tcPr>
            <w:tcW w:w="155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tuvākajā laikā sasniegs pensijas vecumu, skaits</w:t>
            </w:r>
          </w:p>
          <w:p w:rsidR="0066464C">
            <w:pPr>
              <w:pStyle w:val="Parastais"/>
              <w:jc w:val="center"/>
            </w:pPr>
            <w:r>
              <w:rPr>
                <w:rStyle w:val="Noklusjumarindkopasfonts"/>
                <w:color w:val="000000"/>
                <w:sz w:val="20"/>
                <w:szCs w:val="20"/>
                <w:lang w:val="lv-LV" w:eastAsia="lv-LV"/>
              </w:rPr>
              <w:t>(2016)</w:t>
            </w:r>
          </w:p>
        </w:tc>
        <w:tc>
          <w:tcPr>
            <w:tcW w:w="142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Indikatīvais absolventu skaits (2016.gadā studējošiem rezidentiem)</w:t>
            </w:r>
          </w:p>
        </w:tc>
        <w:tc>
          <w:tcPr>
            <w:tcW w:w="180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Ārstniecības personu skaits, ņemot vērā novecošanās faktoru un indikatīvo rezidentūras absolventu skaitu</w:t>
            </w:r>
          </w:p>
        </w:tc>
        <w:tc>
          <w:tcPr>
            <w:tcW w:w="15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Rekomendējošais ārstniecības personu skaits (2025)</w:t>
            </w:r>
          </w:p>
        </w:tc>
        <w:tc>
          <w:tcPr>
            <w:tcW w:w="92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Korekcija pret 2016.gadu (2025)</w:t>
            </w:r>
          </w:p>
        </w:tc>
        <w:tc>
          <w:tcPr>
            <w:tcW w:w="138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Speciālistu izstrādātās slodzes visās slimnīcās (% no kopējā māsu skaita), 2016</w:t>
            </w:r>
          </w:p>
        </w:tc>
        <w:tc>
          <w:tcPr>
            <w:tcW w:w="1516"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Plānotās speciālistu slodzes visās slimnīcās (%, no rekomendējošā māsu skaita), 2025</w:t>
            </w:r>
          </w:p>
        </w:tc>
      </w:tr>
      <w:tr>
        <w:tblPrEx>
          <w:tblW w:w="5000" w:type="pct"/>
          <w:tblCellMar>
            <w:left w:w="10" w:type="dxa"/>
            <w:right w:w="10" w:type="dxa"/>
          </w:tblCellMar>
          <w:tblLook w:val="04A0"/>
        </w:tblPrEx>
        <w:trPr>
          <w:tblHeader/>
        </w:trPr>
        <w:tc>
          <w:tcPr>
            <w:tcW w:w="1844"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sz w:val="16"/>
                <w:szCs w:val="16"/>
                <w:lang w:val="lv-LV" w:eastAsia="lv-LV"/>
              </w:rPr>
            </w:pPr>
            <w:r>
              <w:rPr>
                <w:i/>
                <w:sz w:val="16"/>
                <w:szCs w:val="16"/>
                <w:lang w:val="lv-LV" w:eastAsia="lv-LV"/>
              </w:rPr>
              <w:t>1</w:t>
            </w:r>
          </w:p>
        </w:tc>
        <w:tc>
          <w:tcPr>
            <w:tcW w:w="112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i/>
                <w:color w:val="000000"/>
                <w:sz w:val="16"/>
                <w:szCs w:val="16"/>
                <w:lang w:val="lv-LV" w:eastAsia="lv-LV"/>
              </w:rPr>
              <w:t>2</w:t>
            </w:r>
          </w:p>
        </w:tc>
        <w:tc>
          <w:tcPr>
            <w:tcW w:w="116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3</w:t>
            </w:r>
          </w:p>
        </w:tc>
        <w:tc>
          <w:tcPr>
            <w:tcW w:w="155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4</w:t>
            </w:r>
          </w:p>
        </w:tc>
        <w:tc>
          <w:tcPr>
            <w:tcW w:w="142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5</w:t>
            </w:r>
          </w:p>
        </w:tc>
        <w:tc>
          <w:tcPr>
            <w:tcW w:w="180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6</w:t>
            </w:r>
          </w:p>
        </w:tc>
        <w:tc>
          <w:tcPr>
            <w:tcW w:w="1521"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7</w:t>
            </w:r>
          </w:p>
        </w:tc>
        <w:tc>
          <w:tcPr>
            <w:tcW w:w="928"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8</w:t>
            </w:r>
          </w:p>
        </w:tc>
        <w:tc>
          <w:tcPr>
            <w:tcW w:w="1381"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9</w:t>
            </w:r>
          </w:p>
        </w:tc>
        <w:tc>
          <w:tcPr>
            <w:tcW w:w="1516" w:type="dxa"/>
            <w:tcBorders>
              <w:top w:val="outset" w:sz="6" w:space="0" w:color="414142"/>
              <w:left w:val="outset" w:sz="6" w:space="0" w:color="414142"/>
              <w:bottom w:val="single" w:sz="4" w:space="0" w:color="000000"/>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10</w:t>
            </w:r>
          </w:p>
        </w:tc>
      </w:tr>
      <w:tr>
        <w:tblPrEx>
          <w:tblW w:w="5000" w:type="pct"/>
          <w:tblCellMar>
            <w:left w:w="10" w:type="dxa"/>
            <w:right w:w="10" w:type="dxa"/>
          </w:tblCellMar>
          <w:tblLook w:val="04A0"/>
        </w:tblPrEx>
        <w:tc>
          <w:tcPr>
            <w:tcW w:w="1844"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Māsa (medicīnas māsa)</w:t>
            </w:r>
          </w:p>
        </w:tc>
        <w:tc>
          <w:tcPr>
            <w:tcW w:w="112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8791</w:t>
            </w:r>
          </w:p>
        </w:tc>
        <w:tc>
          <w:tcPr>
            <w:tcW w:w="116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582</w:t>
            </w:r>
          </w:p>
        </w:tc>
        <w:tc>
          <w:tcPr>
            <w:tcW w:w="155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1158</w:t>
            </w:r>
          </w:p>
        </w:tc>
        <w:tc>
          <w:tcPr>
            <w:tcW w:w="142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936*</w:t>
            </w:r>
          </w:p>
        </w:tc>
        <w:tc>
          <w:tcPr>
            <w:tcW w:w="180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7987</w:t>
            </w:r>
          </w:p>
        </w:tc>
        <w:tc>
          <w:tcPr>
            <w:tcW w:w="1521" w:type="dxa"/>
            <w:tcBorders>
              <w:top w:val="outset" w:sz="6" w:space="0" w:color="414142"/>
              <w:left w:val="outset" w:sz="6" w:space="0" w:color="414142"/>
              <w:bottom w:val="outset" w:sz="6" w:space="0" w:color="414142"/>
              <w:right w:val="single" w:sz="4" w:space="0" w:color="000000"/>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8196</w:t>
            </w: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66464C">
            <w:pPr>
              <w:pStyle w:val="Parastais"/>
              <w:rPr>
                <w:sz w:val="18"/>
                <w:szCs w:val="18"/>
                <w:lang w:val="lv-LV"/>
              </w:rPr>
            </w:pPr>
            <w:r>
              <w:rPr>
                <w:sz w:val="18"/>
                <w:szCs w:val="18"/>
                <w:lang w:val="lv-LV"/>
              </w:rPr>
              <w:t>-809**</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sz w:val="18"/>
                <w:szCs w:val="18"/>
                <w:lang w:val="lv-LV"/>
              </w:rPr>
            </w:pPr>
            <w:r>
              <w:rPr>
                <w:sz w:val="18"/>
                <w:szCs w:val="18"/>
                <w:lang w:val="lv-LV"/>
              </w:rPr>
              <w:t>54</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rsidR="0066464C">
            <w:pPr>
              <w:pStyle w:val="Parastais"/>
              <w:rPr>
                <w:sz w:val="18"/>
                <w:szCs w:val="18"/>
                <w:lang w:val="lv-LV"/>
              </w:rPr>
            </w:pPr>
            <w:r>
              <w:rPr>
                <w:sz w:val="18"/>
                <w:szCs w:val="18"/>
                <w:lang w:val="lv-LV"/>
              </w:rPr>
              <w:t>76.3</w:t>
            </w:r>
          </w:p>
        </w:tc>
      </w:tr>
    </w:tbl>
    <w:p w:rsidR="0066464C">
      <w:pPr>
        <w:pStyle w:val="Parastais"/>
        <w:jc w:val="both"/>
        <w:rPr>
          <w:sz w:val="16"/>
          <w:szCs w:val="16"/>
          <w:lang w:val="lv-LV"/>
        </w:rPr>
      </w:pPr>
      <w:r>
        <w:rPr>
          <w:sz w:val="16"/>
          <w:szCs w:val="16"/>
          <w:lang w:val="lv-LV"/>
        </w:rPr>
        <w:t xml:space="preserve">*No 250 absolventiem gadā, tikai aptuveni 60 uzsāk darbu ārstniecības iestādēs (valsts un pašvaldību) LMA dati. </w:t>
      </w:r>
    </w:p>
    <w:p w:rsidR="0066464C" w:rsidRPr="00397079">
      <w:pPr>
        <w:pStyle w:val="Parastais"/>
        <w:rPr>
          <w:lang w:val="lv-LV"/>
        </w:rPr>
      </w:pPr>
      <w:r>
        <w:rPr>
          <w:rStyle w:val="Noklusjumarindkopasfonts"/>
          <w:color w:val="000000"/>
          <w:sz w:val="16"/>
          <w:szCs w:val="16"/>
          <w:lang w:val="lv-LV"/>
        </w:rPr>
        <w:t>**</w:t>
      </w:r>
      <w:r>
        <w:rPr>
          <w:rStyle w:val="Noklusjumarindkopasfonts"/>
          <w:sz w:val="16"/>
          <w:szCs w:val="16"/>
          <w:lang w:val="lv-LV"/>
        </w:rPr>
        <w:t xml:space="preserve"> </w:t>
      </w:r>
      <w:r>
        <w:rPr>
          <w:rStyle w:val="Noklusjumarindkopasfonts"/>
          <w:color w:val="000000"/>
          <w:sz w:val="16"/>
          <w:szCs w:val="16"/>
          <w:lang w:val="lv-LV"/>
        </w:rPr>
        <w:t>Pēc rekomendējošās metodoloģijas šobrīd slimnīcās māsu deficīts ir ap 1506 māsu.</w:t>
      </w:r>
    </w:p>
    <w:p w:rsidR="0066464C">
      <w:pPr>
        <w:pStyle w:val="Parastais"/>
        <w:rPr>
          <w:lang w:val="lv-LV"/>
        </w:rPr>
      </w:pPr>
    </w:p>
    <w:p w:rsidR="0066464C" w:rsidRPr="00397079">
      <w:pPr>
        <w:pStyle w:val="Parastais"/>
        <w:jc w:val="both"/>
        <w:rPr>
          <w:lang w:val="lv-LV"/>
        </w:rPr>
        <w:sectPr>
          <w:headerReference w:type="default" r:id="rId5"/>
          <w:footerReference w:type="default" r:id="rId6"/>
          <w:footerReference w:type="first" r:id="rId7"/>
          <w:pgSz w:w="16838" w:h="11906" w:orient="landscape"/>
          <w:pgMar w:top="1701" w:right="1418" w:bottom="1134" w:left="1134" w:header="709" w:footer="680" w:gutter="0"/>
          <w:cols w:space="720"/>
          <w:titlePg/>
        </w:sectPr>
      </w:pPr>
      <w:r>
        <w:rPr>
          <w:rStyle w:val="Noklusjumarindkopasfonts"/>
          <w:lang w:val="lv-LV"/>
        </w:rPr>
        <w:t xml:space="preserve">Māsas profesijā personu skaits pa specialitātēm netiek norādīts, jo: (1) Māsas profesijā ir 7 pamatspecialitātes: anestēzijas, intensīvās un neatliekamās aprūpes māsa, ambulatorās aprūpes māsa, bērnu aprūpes māsa, garīgās veselības aprūpes māsa, operāciju māsa, internās aprūpes māsa, ķirurģiskās aprūpes māsa un 5 papildspecialitātes: diabēta aprūpes māsa, onkoloģiskās aprūpes māsa, nieru aizstājējterapijas un nefroloģiskās aprūpes māsa, fizikālās un rehabilitācijas medicīnas māsa, transfuzioloģijas māsa, neonatoloģijas māsa. Plānots līdz 2019.gadam izveidot vienu māsas profesijas </w:t>
      </w:r>
      <w:r>
        <w:rPr>
          <w:rStyle w:val="Noklusjumarindkopasfonts"/>
          <w:lang w:val="lv-LV"/>
        </w:rPr>
        <w:t>pamatspecialitāti - vispārējas aprūpes māsa. Bērnu aprūpes māsa, operāciju māsa, garīgās aprūpes māsa un anestēzijas, intensīvās un neatliekamās aprūpes māsas specialitātes tiks noteiktas kā apakšspecialitātes. (2) Māsām, kurām ir sertifikāti, kas ir piešķirti atbilstoši tam ārstniecības personu specialitāšu klasifikatoram, kāds bija spēkā 2009.gada 7.martam, un sakarā ar specialitāšu klasifikatora maiņu jauni sertifikāti attiecīgajā specialitātē netika izsniegti, tām piešķirtie ārstniecības personas sertifikāti ir spēkā līdz 2019. gada 31. decembrim</w:t>
      </w:r>
      <w:r>
        <w:rPr>
          <w:rStyle w:val="FootnoteReference"/>
          <w:lang w:val="lv-LV"/>
        </w:rPr>
        <w:footnoteReference w:id="2"/>
      </w:r>
      <w:r>
        <w:rPr>
          <w:rStyle w:val="Noklusjumarindkopasfonts"/>
          <w:lang w:val="lv-LV"/>
        </w:rPr>
        <w:t>.</w:t>
      </w:r>
    </w:p>
    <w:p w:rsidR="0066464C">
      <w:pPr>
        <w:pStyle w:val="Parastais"/>
        <w:rPr>
          <w:lang w:val="lv-LV"/>
        </w:rPr>
      </w:pPr>
    </w:p>
    <w:p w:rsidR="0066464C">
      <w:pPr>
        <w:pStyle w:val="Parastais"/>
        <w:jc w:val="center"/>
        <w:rPr>
          <w:lang w:val="lv-LV"/>
        </w:rPr>
      </w:pPr>
      <w:r>
        <w:rPr>
          <w:lang w:val="lv-LV"/>
        </w:rPr>
        <w:t>2.tabula Plānotais ārstniecības personu (ārsta un zobārsta) skaits sadalījumā pa apakšspecialitātēm un papildspecialitātēm</w:t>
      </w:r>
    </w:p>
    <w:p w:rsidR="0066464C">
      <w:pPr>
        <w:pStyle w:val="Parastais"/>
        <w:rPr>
          <w:lang w:val="lv-LV"/>
        </w:rPr>
      </w:pPr>
    </w:p>
    <w:tbl>
      <w:tblPr>
        <w:tblW w:w="5000" w:type="pct"/>
        <w:tblCellMar>
          <w:left w:w="10" w:type="dxa"/>
          <w:right w:w="10" w:type="dxa"/>
        </w:tblCellMar>
        <w:tblLook w:val="04A0"/>
      </w:tblPr>
      <w:tblGrid>
        <w:gridCol w:w="2398"/>
        <w:gridCol w:w="1377"/>
        <w:gridCol w:w="1377"/>
        <w:gridCol w:w="1377"/>
        <w:gridCol w:w="1389"/>
        <w:gridCol w:w="1420"/>
      </w:tblGrid>
      <w:tr>
        <w:tblPrEx>
          <w:tblW w:w="5000" w:type="pct"/>
          <w:tblCellMar>
            <w:left w:w="10" w:type="dxa"/>
            <w:right w:w="10" w:type="dxa"/>
          </w:tblCellMar>
          <w:tblLook w:val="04A0"/>
        </w:tblPrEx>
        <w:trPr>
          <w:tblHeader/>
        </w:trPr>
        <w:tc>
          <w:tcPr>
            <w:tcW w:w="239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sz w:val="20"/>
                <w:szCs w:val="20"/>
                <w:lang w:val="lv-LV" w:eastAsia="lv-LV"/>
              </w:rPr>
            </w:pPr>
            <w:r>
              <w:rPr>
                <w:sz w:val="20"/>
                <w:szCs w:val="20"/>
                <w:lang w:val="lv-LV" w:eastAsia="lv-LV"/>
              </w:rPr>
              <w:t>Specialitātes nosaukums</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 xml:space="preserve">Ārstniecības personu skaits (2016) </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vecākas par 65 gadiem, skaits</w:t>
            </w:r>
          </w:p>
          <w:p w:rsidR="0066464C">
            <w:pPr>
              <w:pStyle w:val="Parastais"/>
              <w:jc w:val="center"/>
            </w:pPr>
            <w:r>
              <w:rPr>
                <w:rStyle w:val="Noklusjumarindkopasfonts"/>
                <w:color w:val="000000"/>
                <w:sz w:val="20"/>
                <w:szCs w:val="20"/>
                <w:lang w:val="lv-LV" w:eastAsia="lv-LV"/>
              </w:rPr>
              <w:t xml:space="preserve">(2016) </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color w:val="000000"/>
                <w:sz w:val="20"/>
                <w:szCs w:val="20"/>
                <w:lang w:val="lv-LV" w:eastAsia="lv-LV"/>
              </w:rPr>
            </w:pPr>
            <w:r>
              <w:rPr>
                <w:color w:val="000000"/>
                <w:sz w:val="20"/>
                <w:szCs w:val="20"/>
                <w:lang w:val="lv-LV" w:eastAsia="lv-LV"/>
              </w:rPr>
              <w:t>Ārstniecības personu, kuras tuvākajā laikā sasniegs pensijas vecumu, skaits</w:t>
            </w:r>
          </w:p>
          <w:p w:rsidR="0066464C">
            <w:pPr>
              <w:pStyle w:val="Parastais"/>
              <w:jc w:val="center"/>
            </w:pPr>
            <w:r>
              <w:rPr>
                <w:rStyle w:val="Noklusjumarindkopasfonts"/>
                <w:color w:val="000000"/>
                <w:sz w:val="20"/>
                <w:szCs w:val="20"/>
                <w:lang w:val="lv-LV" w:eastAsia="lv-LV"/>
              </w:rPr>
              <w:t>(2016)</w:t>
            </w:r>
          </w:p>
        </w:tc>
        <w:tc>
          <w:tcPr>
            <w:tcW w:w="1389"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Indikatīvais rezidentūras absolventu skaits (2016.gadā studējošiem rezidentiem)</w:t>
            </w:r>
          </w:p>
        </w:tc>
        <w:tc>
          <w:tcPr>
            <w:tcW w:w="142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color w:val="000000"/>
                <w:sz w:val="20"/>
                <w:szCs w:val="20"/>
                <w:lang w:val="lv-LV" w:eastAsia="lv-LV"/>
              </w:rPr>
              <w:t>Prognozētais ārstniecības personu skaits, ņemot vērā novecošanās faktoru un indikatīvo rezidentūras absolventu skaitu</w:t>
            </w:r>
          </w:p>
        </w:tc>
      </w:tr>
      <w:tr>
        <w:tblPrEx>
          <w:tblW w:w="5000" w:type="pct"/>
          <w:tblCellMar>
            <w:left w:w="10" w:type="dxa"/>
            <w:right w:w="10" w:type="dxa"/>
          </w:tblCellMar>
          <w:tblLook w:val="04A0"/>
        </w:tblPrEx>
        <w:trPr>
          <w:tblHeader/>
        </w:trPr>
        <w:tc>
          <w:tcPr>
            <w:tcW w:w="2398"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sz w:val="16"/>
                <w:szCs w:val="16"/>
                <w:lang w:val="lv-LV" w:eastAsia="lv-LV"/>
              </w:rPr>
            </w:pPr>
            <w:r>
              <w:rPr>
                <w:i/>
                <w:sz w:val="16"/>
                <w:szCs w:val="16"/>
                <w:lang w:val="lv-LV" w:eastAsia="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pPr>
            <w:r>
              <w:rPr>
                <w:rStyle w:val="Noklusjumarindkopasfonts"/>
                <w:i/>
                <w:color w:val="000000"/>
                <w:sz w:val="16"/>
                <w:szCs w:val="16"/>
                <w:lang w:val="lv-LV" w:eastAsia="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3</w:t>
            </w:r>
          </w:p>
        </w:tc>
        <w:tc>
          <w:tcPr>
            <w:tcW w:w="1377"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4</w:t>
            </w:r>
          </w:p>
        </w:tc>
        <w:tc>
          <w:tcPr>
            <w:tcW w:w="1389"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5</w:t>
            </w:r>
          </w:p>
        </w:tc>
        <w:tc>
          <w:tcPr>
            <w:tcW w:w="1420" w:type="dxa"/>
            <w:tcBorders>
              <w:top w:val="outset" w:sz="6" w:space="0" w:color="414142"/>
              <w:left w:val="outset" w:sz="6" w:space="0" w:color="414142"/>
              <w:bottom w:val="outset" w:sz="6" w:space="0" w:color="414142"/>
              <w:right w:val="outset" w:sz="6" w:space="0" w:color="414142"/>
            </w:tcBorders>
            <w:shd w:val="clear" w:color="auto" w:fill="DEEAF6"/>
            <w:tcMar>
              <w:top w:w="30" w:type="dxa"/>
              <w:left w:w="30" w:type="dxa"/>
              <w:bottom w:w="30" w:type="dxa"/>
              <w:right w:w="30" w:type="dxa"/>
            </w:tcMar>
          </w:tcPr>
          <w:p w:rsidR="0066464C">
            <w:pPr>
              <w:pStyle w:val="Parastais"/>
              <w:jc w:val="center"/>
              <w:rPr>
                <w:i/>
                <w:color w:val="000000"/>
                <w:sz w:val="16"/>
                <w:szCs w:val="16"/>
                <w:lang w:val="lv-LV" w:eastAsia="lv-LV"/>
              </w:rPr>
            </w:pPr>
            <w:r>
              <w:rPr>
                <w:i/>
                <w:color w:val="000000"/>
                <w:sz w:val="16"/>
                <w:szCs w:val="16"/>
                <w:lang w:val="lv-LV" w:eastAsia="lv-LV"/>
              </w:rPr>
              <w:t>6</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Onkoloģijas ginekologs (A142)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bCs/>
                <w:sz w:val="20"/>
                <w:szCs w:val="20"/>
                <w:lang w:val="lv-LV"/>
              </w:rPr>
            </w:pPr>
            <w:r>
              <w:rPr>
                <w:bCs/>
                <w:sz w:val="20"/>
                <w:szCs w:val="20"/>
                <w:lang w:val="lv-LV"/>
              </w:rPr>
              <w:t>8</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Bērnu alergologs (A1510)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12</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Neonatologs (A151)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14</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51</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infektologs (A152)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29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19</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kardiologs (A153)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Bērnu reimatologs (A154)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pneimonologs (A155)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11</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Bērnu endokrinologs (A156)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nefrologs (A157)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gastroenterologs (A158)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Bērnu hematoonkologs (A159)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psihiatrs (A191)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Tiesu psihiatrijas eksperts (A192)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33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16</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 xml:space="preserve">Alergologs (PP01)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26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18</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Algologs (PP16)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24</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Andrologs (PP25)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0 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Dietologs (PP06)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6</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Eksperts (PP13)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66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19</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15</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31</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Flebologs (PP18)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13</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Hepatologs (PP02)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26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16</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Hipnoterapeits (PP15)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Homeopāts (PP04)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55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13</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33</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 xml:space="preserve">Imunologs (PP03)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Kombustiologs (PP30)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 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0 </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Kosmetologs (PP05)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14</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Osteopāts (PP17)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Osteorefleksoterapeits (PP33)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Paliatīvās aprūpes speciālists (PP26)</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Rokas ķirurgs (PP31)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12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11</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Seksologs, seksopatologs (PP11)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 xml:space="preserve">Transfuziologs (PP24)  </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48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33</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Transplantologs (PP19)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Trihologs (PP32)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sz w:val="20"/>
                <w:szCs w:val="20"/>
                <w:lang w:val="lv-LV"/>
              </w:rPr>
            </w:pPr>
            <w:r>
              <w:rPr>
                <w:sz w:val="20"/>
                <w:szCs w:val="20"/>
                <w:lang w:val="lv-LV"/>
              </w:rPr>
              <w:t>0</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Ortodonts (A251)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pPr>
            <w:r>
              <w:rPr>
                <w:rStyle w:val="Noklusjumarindkopasfonts"/>
                <w:color w:val="000000"/>
                <w:sz w:val="20"/>
                <w:szCs w:val="20"/>
                <w:lang w:val="lv-LV"/>
              </w:rPr>
              <w:t>19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3</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20</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Periodontologs (A252)</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Bērnu zobārsts (A253)</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8</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Zobu protēzists (A254)</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17</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2</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5</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19</w:t>
            </w:r>
          </w:p>
        </w:tc>
      </w:tr>
      <w:tr>
        <w:tblPrEx>
          <w:tblW w:w="5000" w:type="pct"/>
          <w:tblCellMar>
            <w:left w:w="10" w:type="dxa"/>
            <w:right w:w="10" w:type="dxa"/>
          </w:tblCellMar>
          <w:tblLook w:val="04A0"/>
        </w:tblPrEx>
        <w:tc>
          <w:tcPr>
            <w:tcW w:w="2398"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Endodontists (A255)</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9</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77"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0</w:t>
            </w:r>
          </w:p>
        </w:tc>
        <w:tc>
          <w:tcPr>
            <w:tcW w:w="1389"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w:t>
            </w:r>
          </w:p>
        </w:tc>
        <w:tc>
          <w:tcPr>
            <w:tcW w:w="1420"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rsidR="0066464C">
            <w:pPr>
              <w:pStyle w:val="Parastais"/>
              <w:rPr>
                <w:color w:val="000000"/>
                <w:sz w:val="20"/>
                <w:szCs w:val="20"/>
                <w:lang w:val="lv-LV"/>
              </w:rPr>
            </w:pPr>
            <w:r>
              <w:rPr>
                <w:color w:val="000000"/>
                <w:sz w:val="20"/>
                <w:szCs w:val="20"/>
                <w:lang w:val="lv-LV"/>
              </w:rPr>
              <w:t>10</w:t>
            </w:r>
          </w:p>
        </w:tc>
      </w:tr>
    </w:tbl>
    <w:p w:rsidR="0066464C">
      <w:pPr>
        <w:pStyle w:val="Parastais"/>
        <w:rPr>
          <w:lang w:val="lv-LV"/>
        </w:rPr>
      </w:pPr>
    </w:p>
    <w:p w:rsidR="0066464C">
      <w:pPr>
        <w:pStyle w:val="Parastais"/>
        <w:tabs>
          <w:tab w:val="left" w:pos="7655"/>
        </w:tabs>
        <w:rPr>
          <w:rFonts w:eastAsia="Calibri"/>
          <w:sz w:val="28"/>
          <w:szCs w:val="28"/>
        </w:rPr>
      </w:pPr>
    </w:p>
    <w:p w:rsidR="0066464C">
      <w:pPr>
        <w:pStyle w:val="Parastais"/>
        <w:tabs>
          <w:tab w:val="left" w:pos="7655"/>
        </w:tabs>
        <w:rPr>
          <w:rFonts w:eastAsia="Calibri"/>
          <w:sz w:val="28"/>
          <w:szCs w:val="28"/>
        </w:rPr>
      </w:pPr>
    </w:p>
    <w:p w:rsidR="0066464C">
      <w:pPr>
        <w:pStyle w:val="Parastais"/>
        <w:tabs>
          <w:tab w:val="left" w:pos="7655"/>
        </w:tabs>
        <w:rPr>
          <w:rFonts w:eastAsia="Calibri"/>
          <w:sz w:val="28"/>
          <w:szCs w:val="28"/>
          <w:lang w:val="lv-LV"/>
        </w:rPr>
      </w:pPr>
      <w:r>
        <w:rPr>
          <w:rFonts w:eastAsia="Calibri"/>
          <w:sz w:val="28"/>
          <w:szCs w:val="28"/>
          <w:lang w:val="lv-LV"/>
        </w:rPr>
        <w:t>Veselības ministre</w:t>
      </w:r>
      <w:r>
        <w:rPr>
          <w:rFonts w:eastAsia="Calibri"/>
          <w:sz w:val="28"/>
          <w:szCs w:val="28"/>
          <w:lang w:val="lv-LV"/>
        </w:rPr>
        <w:tab/>
        <w:t xml:space="preserve">Anda Čakša </w:t>
      </w:r>
    </w:p>
    <w:p w:rsidR="0066464C">
      <w:pPr>
        <w:pStyle w:val="Parastais"/>
        <w:tabs>
          <w:tab w:val="left" w:pos="7655"/>
        </w:tabs>
        <w:rPr>
          <w:rFonts w:eastAsia="Calibri"/>
          <w:sz w:val="28"/>
          <w:szCs w:val="28"/>
          <w:lang w:val="lv-LV"/>
        </w:rPr>
      </w:pPr>
    </w:p>
    <w:p w:rsidR="0066464C">
      <w:pPr>
        <w:pStyle w:val="Parastais"/>
        <w:tabs>
          <w:tab w:val="left" w:pos="7655"/>
        </w:tabs>
        <w:rPr>
          <w:rFonts w:eastAsia="Calibri"/>
          <w:sz w:val="28"/>
          <w:szCs w:val="28"/>
          <w:lang w:val="lv-LV"/>
        </w:rPr>
      </w:pPr>
    </w:p>
    <w:p w:rsidR="0066464C">
      <w:pPr>
        <w:pStyle w:val="Parastais"/>
        <w:tabs>
          <w:tab w:val="right" w:pos="9072"/>
        </w:tabs>
        <w:rPr>
          <w:rFonts w:eastAsia="Calibri"/>
          <w:sz w:val="28"/>
          <w:szCs w:val="28"/>
          <w:lang w:val="lv-LV"/>
        </w:rPr>
      </w:pPr>
      <w:r>
        <w:rPr>
          <w:rFonts w:eastAsia="Calibri"/>
          <w:sz w:val="28"/>
          <w:szCs w:val="28"/>
          <w:lang w:val="lv-LV"/>
        </w:rPr>
        <w:t>Iesniedzējs: Veselības ministre                                                            Anda Čakša</w:t>
      </w:r>
      <w:r>
        <w:rPr>
          <w:rFonts w:eastAsia="Calibri"/>
          <w:sz w:val="28"/>
          <w:szCs w:val="28"/>
          <w:lang w:val="lv-LV"/>
        </w:rPr>
        <w:tab/>
      </w:r>
    </w:p>
    <w:p w:rsidR="0066464C">
      <w:pPr>
        <w:pStyle w:val="Parastais"/>
        <w:tabs>
          <w:tab w:val="right" w:pos="9072"/>
        </w:tabs>
        <w:spacing w:after="120"/>
        <w:ind w:right="-1"/>
        <w:rPr>
          <w:rFonts w:eastAsia="Calibri"/>
          <w:sz w:val="28"/>
          <w:szCs w:val="28"/>
          <w:lang w:val="lv-LV"/>
        </w:rPr>
      </w:pPr>
    </w:p>
    <w:p w:rsidR="0066464C">
      <w:pPr>
        <w:pStyle w:val="Parastais"/>
        <w:tabs>
          <w:tab w:val="right" w:pos="9072"/>
        </w:tabs>
        <w:ind w:right="-766"/>
        <w:rPr>
          <w:rFonts w:eastAsia="Calibri"/>
          <w:sz w:val="28"/>
          <w:szCs w:val="28"/>
          <w:lang w:val="lv-LV"/>
        </w:rPr>
      </w:pPr>
    </w:p>
    <w:p w:rsidR="0066464C">
      <w:pPr>
        <w:pStyle w:val="Parastais"/>
        <w:tabs>
          <w:tab w:val="right" w:pos="9072"/>
        </w:tabs>
        <w:ind w:right="-766"/>
        <w:rPr>
          <w:rFonts w:eastAsia="Calibri"/>
          <w:sz w:val="28"/>
          <w:szCs w:val="28"/>
          <w:lang w:val="lv-LV"/>
        </w:rPr>
      </w:pPr>
      <w:r>
        <w:rPr>
          <w:rFonts w:eastAsia="Calibri"/>
          <w:sz w:val="28"/>
          <w:szCs w:val="28"/>
          <w:lang w:val="lv-LV"/>
        </w:rPr>
        <w:t>Vīza: Valsts sekretār</w:t>
      </w:r>
      <w:r w:rsidR="00F67E5A">
        <w:rPr>
          <w:rFonts w:eastAsia="Calibri"/>
          <w:sz w:val="28"/>
          <w:szCs w:val="28"/>
          <w:lang w:val="lv-LV"/>
        </w:rPr>
        <w:t>a p.i.</w:t>
      </w:r>
      <w:r>
        <w:rPr>
          <w:rFonts w:eastAsia="Calibri"/>
          <w:sz w:val="28"/>
          <w:szCs w:val="28"/>
          <w:lang w:val="lv-LV"/>
        </w:rPr>
        <w:tab/>
        <w:t xml:space="preserve"> </w:t>
      </w:r>
      <w:r w:rsidR="00F67E5A">
        <w:rPr>
          <w:rFonts w:eastAsia="Calibri"/>
          <w:sz w:val="28"/>
          <w:szCs w:val="28"/>
          <w:lang w:val="lv-LV"/>
        </w:rPr>
        <w:t>Daina Mūrmane-Umbraško</w:t>
      </w:r>
    </w:p>
    <w:p w:rsidR="0066464C">
      <w:pPr>
        <w:pStyle w:val="Parastais"/>
        <w:rPr>
          <w:lang w:val="lv-LV"/>
        </w:rPr>
      </w:pPr>
    </w:p>
    <w:sectPr>
      <w:headerReference w:type="default" r:id="rId8"/>
      <w:footerReference w:type="default" r:id="rId9"/>
      <w:pgSz w:w="11906" w:h="16838"/>
      <w:pgMar w:top="1701" w:right="141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6CC" w:rsidRPr="00D72DC2" w:rsidP="00D72DC2">
    <w:pPr>
      <w:pStyle w:val="Footer"/>
    </w:pPr>
    <w:r w:rsidRPr="00D72DC2">
      <w:rPr>
        <w:sz w:val="20"/>
        <w:szCs w:val="20"/>
      </w:rPr>
      <w:t>VMkoncp2_180717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6CC">
    <w:pPr>
      <w:pStyle w:val="Kjene"/>
      <w:rPr>
        <w:sz w:val="20"/>
        <w:szCs w:val="20"/>
      </w:rPr>
    </w:pPr>
    <w:r>
      <w:rPr>
        <w:sz w:val="20"/>
        <w:szCs w:val="20"/>
      </w:rPr>
      <w:t>VMkoncp2_</w:t>
    </w:r>
    <w:r w:rsidR="00D72DC2">
      <w:rPr>
        <w:sz w:val="20"/>
        <w:szCs w:val="20"/>
      </w:rPr>
      <w:t>18</w:t>
    </w:r>
    <w:r w:rsidR="00F67E5A">
      <w:rPr>
        <w:sz w:val="20"/>
        <w:szCs w:val="20"/>
      </w:rPr>
      <w:t>07</w:t>
    </w:r>
    <w:r>
      <w:rPr>
        <w:sz w:val="20"/>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6CC" w:rsidRPr="00D72DC2" w:rsidP="00D72DC2">
    <w:pPr>
      <w:pStyle w:val="Footer"/>
    </w:pPr>
    <w:r w:rsidRPr="00D72DC2">
      <w:rPr>
        <w:sz w:val="20"/>
        <w:szCs w:val="20"/>
      </w:rPr>
      <w:t>VMkoncp2_180717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75C4">
      <w:pPr>
        <w:spacing w:after="0"/>
      </w:pPr>
      <w:r>
        <w:rPr>
          <w:color w:val="000000"/>
        </w:rPr>
        <w:separator/>
      </w:r>
    </w:p>
  </w:footnote>
  <w:footnote w:type="continuationSeparator" w:id="1">
    <w:p w:rsidR="004175C4">
      <w:pPr>
        <w:spacing w:after="0"/>
      </w:pPr>
      <w:r>
        <w:continuationSeparator/>
      </w:r>
    </w:p>
  </w:footnote>
  <w:footnote w:id="2">
    <w:p w:rsidR="0066464C">
      <w:pPr>
        <w:pStyle w:val="FootnoteText"/>
      </w:pPr>
      <w:r>
        <w:rPr>
          <w:rStyle w:val="FootnoteReference"/>
        </w:rPr>
        <w:footnoteRef/>
      </w:r>
      <w:r>
        <w:rPr>
          <w:lang w:val="lv-LV"/>
        </w:rPr>
        <w:t xml:space="preserve">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636.punkts.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6CC">
    <w:pPr>
      <w:pStyle w:val="Header"/>
      <w:jc w:val="center"/>
    </w:pPr>
    <w:r>
      <w:rPr>
        <w:rStyle w:val="Noklusjumarindkopasfonts"/>
      </w:rPr>
      <w:fldChar w:fldCharType="begin"/>
    </w:r>
    <w:r>
      <w:rPr>
        <w:rStyle w:val="Noklusjumarindkopasfonts"/>
      </w:rPr>
      <w:instrText xml:space="preserve"> PAGE </w:instrText>
    </w:r>
    <w:r>
      <w:rPr>
        <w:rStyle w:val="Noklusjumarindkopasfonts"/>
      </w:rPr>
      <w:fldChar w:fldCharType="separate"/>
    </w:r>
    <w:r>
      <w:rPr>
        <w:rStyle w:val="Noklusjumarindkopasfonts"/>
      </w:rPr>
      <w:t>5</w:t>
    </w:r>
    <w:r>
      <w:rPr>
        <w:rStyle w:val="Noklusjumarindkopasfonts"/>
      </w:rPr>
      <w:fldChar w:fldCharType="end"/>
    </w:r>
  </w:p>
  <w:p w:rsidR="00C22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6CC">
    <w:pPr>
      <w:pStyle w:val="Header"/>
      <w:jc w:val="center"/>
    </w:pPr>
    <w:r>
      <w:rPr>
        <w:rStyle w:val="Noklusjumarindkopasfonts"/>
      </w:rPr>
      <w:fldChar w:fldCharType="begin"/>
    </w:r>
    <w:r>
      <w:rPr>
        <w:rStyle w:val="Noklusjumarindkopasfonts"/>
      </w:rPr>
      <w:instrText xml:space="preserve"> PAGE </w:instrText>
    </w:r>
    <w:r>
      <w:rPr>
        <w:rStyle w:val="Noklusjumarindkopasfonts"/>
      </w:rPr>
      <w:fldChar w:fldCharType="separate"/>
    </w:r>
    <w:r>
      <w:rPr>
        <w:rStyle w:val="Noklusjumarindkopasfonts"/>
      </w:rPr>
      <w:t>7</w:t>
    </w:r>
    <w:r>
      <w:rPr>
        <w:rStyle w:val="Noklusjumarindkopasfonts"/>
      </w:rPr>
      <w:fldChar w:fldCharType="end"/>
    </w:r>
  </w:p>
  <w:p w:rsidR="00C2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4"/>
    <w:rsid w:val="000074D1"/>
    <w:rsid w:val="00397079"/>
    <w:rsid w:val="004175C4"/>
    <w:rsid w:val="004C093C"/>
    <w:rsid w:val="0066464C"/>
    <w:rsid w:val="00C226CC"/>
    <w:rsid w:val="00D43693"/>
    <w:rsid w:val="00D72DC2"/>
    <w:rsid w:val="00F67E5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2AF59F4-12AD-4DCA-BB42-FF4D9766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pPr>
      <w:suppressAutoHyphens/>
      <w:spacing w:after="0"/>
    </w:pPr>
    <w:rPr>
      <w:rFonts w:ascii="Times New Roman" w:eastAsia="Times New Roman" w:hAnsi="Times New Roman"/>
      <w:sz w:val="24"/>
      <w:szCs w:val="24"/>
      <w:lang w:val="en-US"/>
    </w:rPr>
  </w:style>
  <w:style w:type="character" w:customStyle="1" w:styleId="Noklusjumarindkopasfonts">
    <w:name w:val="Noklusējuma rindkopas fonts"/>
  </w:style>
  <w:style w:type="paragraph" w:styleId="Header">
    <w:name w:val="header"/>
    <w:basedOn w:val="Parastais"/>
    <w:pPr>
      <w:tabs>
        <w:tab w:val="center" w:pos="4153"/>
        <w:tab w:val="right" w:pos="8306"/>
      </w:tabs>
    </w:pPr>
  </w:style>
  <w:style w:type="character" w:customStyle="1" w:styleId="HeaderChar">
    <w:name w:val="Header Char"/>
    <w:basedOn w:val="Noklusjumarindkopasfonts"/>
    <w:rPr>
      <w:rFonts w:ascii="Times New Roman" w:eastAsia="Times New Roman" w:hAnsi="Times New Roman" w:cs="Times New Roman"/>
      <w:sz w:val="24"/>
      <w:szCs w:val="24"/>
      <w:lang w:val="en-US"/>
    </w:rPr>
  </w:style>
  <w:style w:type="paragraph" w:styleId="Footer">
    <w:name w:val="footer"/>
    <w:basedOn w:val="Parastais"/>
    <w:pPr>
      <w:tabs>
        <w:tab w:val="center" w:pos="4153"/>
        <w:tab w:val="right" w:pos="8306"/>
      </w:tabs>
    </w:pPr>
  </w:style>
  <w:style w:type="character" w:customStyle="1" w:styleId="FooterChar">
    <w:name w:val="Footer Char"/>
    <w:basedOn w:val="Noklusjumarindkopasfonts"/>
    <w:rPr>
      <w:rFonts w:ascii="Times New Roman" w:eastAsia="Times New Roman" w:hAnsi="Times New Roman" w:cs="Times New Roman"/>
      <w:sz w:val="24"/>
      <w:szCs w:val="24"/>
      <w:lang w:val="en-US"/>
    </w:rPr>
  </w:style>
  <w:style w:type="paragraph" w:customStyle="1" w:styleId="Balonteksts">
    <w:name w:val="Balonteksts"/>
    <w:basedOn w:val="Parastais"/>
    <w:rPr>
      <w:rFonts w:ascii="Segoe UI" w:hAnsi="Segoe UI" w:cs="Segoe UI"/>
      <w:sz w:val="18"/>
      <w:szCs w:val="18"/>
    </w:rPr>
  </w:style>
  <w:style w:type="character" w:customStyle="1" w:styleId="BalloonTextChar">
    <w:name w:val="Balloon Text Char"/>
    <w:basedOn w:val="Noklusjumarindkopasfonts"/>
    <w:rPr>
      <w:rFonts w:ascii="Segoe UI" w:eastAsia="Times New Roman" w:hAnsi="Segoe UI" w:cs="Segoe UI"/>
      <w:sz w:val="18"/>
      <w:szCs w:val="18"/>
      <w:lang w:val="en-US"/>
    </w:rPr>
  </w:style>
  <w:style w:type="paragraph" w:customStyle="1" w:styleId="Sarakstarindkopa">
    <w:name w:val="Saraksta rindkopa"/>
    <w:basedOn w:val="Parastais"/>
    <w:pPr>
      <w:ind w:left="720"/>
    </w:pPr>
  </w:style>
  <w:style w:type="paragraph" w:styleId="FootnoteText">
    <w:name w:val="footnote text"/>
    <w:basedOn w:val="Parastais"/>
    <w:rPr>
      <w:sz w:val="20"/>
      <w:szCs w:val="20"/>
    </w:rPr>
  </w:style>
  <w:style w:type="character" w:customStyle="1" w:styleId="FootnoteTextChar">
    <w:name w:val="Footnote Text Char"/>
    <w:basedOn w:val="Noklusjumarindkopasfonts"/>
    <w:rPr>
      <w:rFonts w:ascii="Times New Roman" w:eastAsia="Times New Roman" w:hAnsi="Times New Roman"/>
      <w:sz w:val="20"/>
      <w:szCs w:val="20"/>
      <w:lang w:val="en-US"/>
    </w:rPr>
  </w:style>
  <w:style w:type="character" w:styleId="FootnoteReference">
    <w:name w:val="footnote reference"/>
    <w:basedOn w:val="Noklusjumarindkopasfonts"/>
    <w:rPr>
      <w:position w:val="0"/>
      <w:vertAlign w:val="superscript"/>
    </w:rPr>
  </w:style>
  <w:style w:type="character" w:customStyle="1" w:styleId="Vresatsauce">
    <w:name w:val="Vēres atsauce"/>
    <w:basedOn w:val="Noklusjumarindkopasfonts"/>
    <w:rPr>
      <w:position w:val="0"/>
      <w:vertAlign w:val="superscript"/>
    </w:rPr>
  </w:style>
  <w:style w:type="paragraph" w:customStyle="1" w:styleId="Galvene">
    <w:name w:val="Galvene"/>
    <w:basedOn w:val="Parastais"/>
    <w:pPr>
      <w:tabs>
        <w:tab w:val="center" w:pos="4153"/>
        <w:tab w:val="right" w:pos="8306"/>
      </w:tabs>
    </w:pPr>
  </w:style>
  <w:style w:type="character" w:customStyle="1" w:styleId="GalveneRakstz">
    <w:name w:val="Galvene Rakstz."/>
    <w:basedOn w:val="Noklusjumarindkopasfonts"/>
    <w:rPr>
      <w:rFonts w:ascii="Times New Roman" w:eastAsia="Times New Roman" w:hAnsi="Times New Roman"/>
      <w:sz w:val="24"/>
      <w:szCs w:val="24"/>
      <w:lang w:val="en-US"/>
    </w:rPr>
  </w:style>
  <w:style w:type="paragraph" w:customStyle="1" w:styleId="Kjene">
    <w:name w:val="Kājene"/>
    <w:basedOn w:val="Parastais"/>
    <w:pPr>
      <w:tabs>
        <w:tab w:val="center" w:pos="4153"/>
        <w:tab w:val="right" w:pos="8306"/>
      </w:tabs>
    </w:pPr>
  </w:style>
  <w:style w:type="character" w:customStyle="1" w:styleId="KjeneRakstz">
    <w:name w:val="Kājene Rakstz."/>
    <w:basedOn w:val="Noklusjumarindkopasfonts"/>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5562</Words>
  <Characters>3171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Konceptuālais ziņojums “Par veselības aprūpes sistēmas reformu”</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veselības aprūpes sistēmas reformu”</dc:title>
  <dc:subject>2.pielikums</dc:subject>
  <dc:creator>Dace Roga</dc:creator>
  <dc:description>Kļaviņa 67876094,_x000D_
kristine.klavina@vm.gov.lv_x000D_
Roga 67876093_x000D_
dace.roga@vm.gov.lv</dc:description>
  <cp:lastModifiedBy>Kristīne Kļaviņa</cp:lastModifiedBy>
  <cp:revision>2</cp:revision>
  <dcterms:created xsi:type="dcterms:W3CDTF">2017-07-21T10:44:00Z</dcterms:created>
  <dcterms:modified xsi:type="dcterms:W3CDTF">2017-07-21T10:44:00Z</dcterms:modified>
</cp:coreProperties>
</file>