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B520F">
      <w:pPr>
        <w:pStyle w:val="Parastais"/>
        <w:jc w:val="right"/>
        <w:rPr>
          <w:lang w:val="lv-LV"/>
        </w:rPr>
      </w:pPr>
      <w:bookmarkStart w:id="0" w:name="_GoBack"/>
      <w:bookmarkEnd w:id="0"/>
      <w:r>
        <w:rPr>
          <w:lang w:val="lv-LV"/>
        </w:rPr>
        <w:t>3.pielikums</w:t>
      </w:r>
    </w:p>
    <w:p w:rsidR="008B520F">
      <w:pPr>
        <w:pStyle w:val="Parastais"/>
        <w:jc w:val="right"/>
        <w:rPr>
          <w:lang w:val="lv-LV"/>
        </w:rPr>
      </w:pPr>
      <w:r>
        <w:rPr>
          <w:lang w:val="lv-LV"/>
        </w:rPr>
        <w:t xml:space="preserve">Konceptuālajam ziņojumam </w:t>
      </w:r>
    </w:p>
    <w:p w:rsidR="008B520F">
      <w:pPr>
        <w:pStyle w:val="Parastais"/>
        <w:jc w:val="right"/>
        <w:rPr>
          <w:lang w:val="lv-LV"/>
        </w:rPr>
      </w:pPr>
      <w:r>
        <w:rPr>
          <w:lang w:val="lv-LV"/>
        </w:rPr>
        <w:t>“Par Veselības aprūpes sistēmas reformu”</w:t>
      </w:r>
    </w:p>
    <w:p w:rsidR="008B520F">
      <w:pPr>
        <w:pStyle w:val="Parastais"/>
        <w:rPr>
          <w:i/>
          <w:sz w:val="28"/>
          <w:szCs w:val="28"/>
          <w:lang w:val="lv-LV"/>
        </w:rPr>
      </w:pPr>
    </w:p>
    <w:p w:rsidR="008B520F" w:rsidRPr="000D7747">
      <w:pPr>
        <w:pStyle w:val="Parastais"/>
        <w:jc w:val="center"/>
        <w:rPr>
          <w:lang w:val="lv-LV"/>
        </w:rPr>
      </w:pPr>
      <w:r>
        <w:rPr>
          <w:rStyle w:val="Noklusjumarindkopasfonts"/>
          <w:b/>
          <w:i/>
          <w:lang w:val="lv-LV"/>
        </w:rPr>
        <w:t>Uzņemšanas un stacionārajās nodaļās</w:t>
      </w:r>
      <w:r>
        <w:rPr>
          <w:rStyle w:val="Noklusjumarindkopasfonts"/>
          <w:b/>
          <w:lang w:val="lv-LV"/>
        </w:rPr>
        <w:t xml:space="preserve"> rekomendējošais ārstniecības personu skaits sadalījumā pa pamatspecialitātēm sistēmiski svarīgajās ārstniecības iestādēs</w:t>
      </w:r>
    </w:p>
    <w:p w:rsidR="008B520F">
      <w:pPr>
        <w:pStyle w:val="Parastais"/>
        <w:rPr>
          <w:sz w:val="28"/>
          <w:szCs w:val="28"/>
          <w:lang w:val="lv-LV"/>
        </w:rPr>
      </w:pPr>
    </w:p>
    <w:tbl>
      <w:tblPr>
        <w:tblW w:w="5560" w:type="pct"/>
        <w:tblInd w:w="-572" w:type="dxa"/>
        <w:tblLayout w:type="fixed"/>
        <w:tblCellMar>
          <w:left w:w="10" w:type="dxa"/>
          <w:right w:w="10" w:type="dxa"/>
        </w:tblCellMar>
        <w:tblLook w:val="04A0"/>
      </w:tblPr>
      <w:tblGrid>
        <w:gridCol w:w="1437"/>
        <w:gridCol w:w="579"/>
        <w:gridCol w:w="579"/>
        <w:gridCol w:w="579"/>
        <w:gridCol w:w="579"/>
        <w:gridCol w:w="579"/>
        <w:gridCol w:w="580"/>
        <w:gridCol w:w="580"/>
        <w:gridCol w:w="580"/>
        <w:gridCol w:w="437"/>
        <w:gridCol w:w="437"/>
        <w:gridCol w:w="580"/>
        <w:gridCol w:w="551"/>
        <w:gridCol w:w="509"/>
        <w:gridCol w:w="509"/>
        <w:gridCol w:w="509"/>
        <w:gridCol w:w="509"/>
        <w:gridCol w:w="509"/>
        <w:gridCol w:w="509"/>
        <w:gridCol w:w="509"/>
        <w:gridCol w:w="509"/>
        <w:gridCol w:w="509"/>
        <w:gridCol w:w="588"/>
        <w:gridCol w:w="509"/>
        <w:gridCol w:w="509"/>
        <w:gridCol w:w="509"/>
        <w:gridCol w:w="588"/>
        <w:gridCol w:w="514"/>
      </w:tblGrid>
      <w:tr w:rsidTr="00C03A88">
        <w:tblPrEx>
          <w:tblW w:w="5560" w:type="pct"/>
          <w:tblInd w:w="-572" w:type="dxa"/>
          <w:tblLayout w:type="fixed"/>
          <w:tblCellMar>
            <w:left w:w="10" w:type="dxa"/>
            <w:right w:w="10" w:type="dxa"/>
          </w:tblCellMar>
          <w:tblLook w:val="04A0"/>
        </w:tblPrEx>
        <w:trPr>
          <w:cantSplit/>
          <w:trHeight w:val="3232"/>
          <w:tblHeader/>
        </w:trPr>
        <w:tc>
          <w:tcPr>
            <w:tcW w:w="14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pPr>
            <w:r>
              <w:rPr>
                <w:rStyle w:val="Noklusjumarindkopasfonts"/>
                <w:sz w:val="18"/>
                <w:szCs w:val="18"/>
                <w:lang w:val="lv-LV" w:eastAsia="lv-LV"/>
              </w:rPr>
              <w:t>Pamatspecialitātes nosaukums</w:t>
            </w:r>
          </w:p>
        </w:tc>
        <w:tc>
          <w:tcPr>
            <w:tcW w:w="5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Rīgas Austrumu klīniskā universitātes slimnīca 2016</w:t>
            </w:r>
          </w:p>
        </w:tc>
        <w:tc>
          <w:tcPr>
            <w:tcW w:w="5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Rīgas Austrumu klīniskā universitātes slimnīca 2025</w:t>
            </w:r>
          </w:p>
        </w:tc>
        <w:tc>
          <w:tcPr>
            <w:tcW w:w="5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Paula Stradiņa klīniskā universitātes slimnīca 2016</w:t>
            </w:r>
          </w:p>
        </w:tc>
        <w:tc>
          <w:tcPr>
            <w:tcW w:w="5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Paula Stradiņa klīniskā universitātes slimnīca 2025</w:t>
            </w:r>
          </w:p>
        </w:tc>
        <w:tc>
          <w:tcPr>
            <w:tcW w:w="5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Bērnu klīniskā universitātes slimnīca 2016</w:t>
            </w:r>
          </w:p>
        </w:tc>
        <w:tc>
          <w:tcPr>
            <w:tcW w:w="5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Bērnu klīniskā universitātes slimnīca 2025</w:t>
            </w:r>
          </w:p>
        </w:tc>
        <w:tc>
          <w:tcPr>
            <w:tcW w:w="5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Traumatoloģijas un ortopēdijas slimnīca 2016</w:t>
            </w:r>
          </w:p>
        </w:tc>
        <w:tc>
          <w:tcPr>
            <w:tcW w:w="5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Traumatoloģijas un ortopēdijas slimnīca 2025</w:t>
            </w:r>
          </w:p>
        </w:tc>
        <w:tc>
          <w:tcPr>
            <w:tcW w:w="43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Rīgas Dzemdību nams 2016</w:t>
            </w:r>
          </w:p>
        </w:tc>
        <w:tc>
          <w:tcPr>
            <w:tcW w:w="43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Rīgas Dzemdību nams 2025</w:t>
            </w:r>
          </w:p>
        </w:tc>
        <w:tc>
          <w:tcPr>
            <w:tcW w:w="5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spacing w:before="100"/>
              <w:ind w:left="113" w:right="113"/>
              <w:rPr>
                <w:sz w:val="18"/>
                <w:szCs w:val="18"/>
                <w:lang w:val="lv-LV"/>
              </w:rPr>
            </w:pPr>
            <w:r>
              <w:rPr>
                <w:sz w:val="18"/>
                <w:szCs w:val="18"/>
                <w:lang w:val="lv-LV"/>
              </w:rPr>
              <w:t>Nacionālais rehabilitācijas centrs “Vaivari” 2016</w:t>
            </w:r>
          </w:p>
        </w:tc>
        <w:tc>
          <w:tcPr>
            <w:tcW w:w="55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Nacionālais rehabilitācijas centrs “Vaivari” 2025</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Daugavpils reģionālā slimnīca 2016</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Daugavpils reģionālā slimnīca 2025</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Ziemeļkurzemes reģionālā slimnīca 2016</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Ziemeļkurzemes reģionālā slimnīca 2025</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Jelgavas pilsētas slimnīca 2016</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Jelgavas pilsētas slimnīca 2025</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Vidzemes slimnīca 2016</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Vidzemes slimnīca 2025</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Jēkabpils reģionāla slimnīca 2016</w:t>
            </w:r>
          </w:p>
        </w:tc>
        <w:tc>
          <w:tcPr>
            <w:tcW w:w="58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Jēkabpils reģionāla slimnīca 2025</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Rēzeknes slimnīca 2016</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Rēzeknes slimnīca 2025</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Liepājas reģionālā slimnīca 2016</w:t>
            </w:r>
          </w:p>
        </w:tc>
        <w:tc>
          <w:tcPr>
            <w:tcW w:w="58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Liepājas reģionālā slimnīca 2025</w:t>
            </w:r>
          </w:p>
        </w:tc>
        <w:tc>
          <w:tcPr>
            <w:tcW w:w="51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extDirection w:val="btLr"/>
          </w:tcPr>
          <w:p w:rsidR="008B520F">
            <w:pPr>
              <w:pStyle w:val="Parastais"/>
              <w:ind w:left="113" w:right="113"/>
              <w:rPr>
                <w:sz w:val="18"/>
                <w:szCs w:val="18"/>
                <w:lang w:val="lv-LV"/>
              </w:rPr>
            </w:pPr>
            <w:r>
              <w:rPr>
                <w:sz w:val="18"/>
                <w:szCs w:val="18"/>
                <w:lang w:val="lv-LV"/>
              </w:rPr>
              <w:t>Kopā 2025</w:t>
            </w:r>
          </w:p>
        </w:tc>
      </w:tr>
      <w:tr w:rsidTr="00C03A88">
        <w:tblPrEx>
          <w:tblW w:w="5560" w:type="pct"/>
          <w:tblInd w:w="-572" w:type="dxa"/>
          <w:tblLayout w:type="fixed"/>
          <w:tblCellMar>
            <w:left w:w="10" w:type="dxa"/>
            <w:right w:w="10" w:type="dxa"/>
          </w:tblCellMar>
          <w:tblLook w:val="04A0"/>
        </w:tblPrEx>
        <w:trPr>
          <w:cantSplit/>
          <w:trHeight w:val="243"/>
          <w:tblHeader/>
        </w:trPr>
        <w:tc>
          <w:tcPr>
            <w:tcW w:w="14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eastAsia="lv-LV"/>
              </w:rPr>
            </w:pPr>
            <w:r>
              <w:rPr>
                <w:i/>
                <w:sz w:val="16"/>
                <w:szCs w:val="16"/>
                <w:lang w:val="lv-LV" w:eastAsia="lv-LV"/>
              </w:rPr>
              <w:t>1</w:t>
            </w:r>
          </w:p>
        </w:tc>
        <w:tc>
          <w:tcPr>
            <w:tcW w:w="5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2</w:t>
            </w:r>
          </w:p>
        </w:tc>
        <w:tc>
          <w:tcPr>
            <w:tcW w:w="5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3</w:t>
            </w:r>
          </w:p>
        </w:tc>
        <w:tc>
          <w:tcPr>
            <w:tcW w:w="5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4</w:t>
            </w:r>
          </w:p>
        </w:tc>
        <w:tc>
          <w:tcPr>
            <w:tcW w:w="5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5</w:t>
            </w:r>
          </w:p>
        </w:tc>
        <w:tc>
          <w:tcPr>
            <w:tcW w:w="57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6</w:t>
            </w:r>
          </w:p>
        </w:tc>
        <w:tc>
          <w:tcPr>
            <w:tcW w:w="5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7</w:t>
            </w:r>
          </w:p>
        </w:tc>
        <w:tc>
          <w:tcPr>
            <w:tcW w:w="5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8</w:t>
            </w:r>
          </w:p>
        </w:tc>
        <w:tc>
          <w:tcPr>
            <w:tcW w:w="5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9</w:t>
            </w:r>
          </w:p>
        </w:tc>
        <w:tc>
          <w:tcPr>
            <w:tcW w:w="43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10</w:t>
            </w:r>
          </w:p>
        </w:tc>
        <w:tc>
          <w:tcPr>
            <w:tcW w:w="43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11</w:t>
            </w:r>
          </w:p>
        </w:tc>
        <w:tc>
          <w:tcPr>
            <w:tcW w:w="5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12</w:t>
            </w:r>
          </w:p>
        </w:tc>
        <w:tc>
          <w:tcPr>
            <w:tcW w:w="55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13</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14</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15</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16</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17</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18</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19</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20</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21</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22</w:t>
            </w:r>
          </w:p>
        </w:tc>
        <w:tc>
          <w:tcPr>
            <w:tcW w:w="58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23</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24</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25</w:t>
            </w:r>
          </w:p>
        </w:tc>
        <w:tc>
          <w:tcPr>
            <w:tcW w:w="5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26</w:t>
            </w:r>
          </w:p>
        </w:tc>
        <w:tc>
          <w:tcPr>
            <w:tcW w:w="58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27</w:t>
            </w:r>
          </w:p>
        </w:tc>
        <w:tc>
          <w:tcPr>
            <w:tcW w:w="51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B520F">
            <w:pPr>
              <w:pStyle w:val="Parastais"/>
              <w:rPr>
                <w:i/>
                <w:sz w:val="16"/>
                <w:szCs w:val="16"/>
                <w:lang w:val="lv-LV"/>
              </w:rPr>
            </w:pPr>
            <w:r>
              <w:rPr>
                <w:i/>
                <w:sz w:val="16"/>
                <w:szCs w:val="16"/>
                <w:lang w:val="lv-LV"/>
              </w:rPr>
              <w:t>28</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Internists (P01)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40.5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39.0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14.1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pPr>
            <w:r>
              <w:rPr>
                <w:rStyle w:val="Noklusjumarindkopasfonts"/>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0.9</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16.4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pPr>
            <w:r>
              <w:rPr>
                <w:rStyle w:val="Noklusjumarindkopasfonts"/>
                <w:color w:val="000000"/>
                <w:sz w:val="16"/>
                <w:szCs w:val="16"/>
                <w:lang w:val="lv-LV"/>
              </w:rPr>
              <w:t>19.7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14.6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7.6</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3.4</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pPr>
            <w:r>
              <w:rPr>
                <w:rStyle w:val="Noklusjumarindkopasfonts"/>
                <w:color w:val="000000"/>
                <w:sz w:val="16"/>
                <w:szCs w:val="16"/>
                <w:lang w:val="lv-LV"/>
              </w:rPr>
              <w:t>161.8</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Ķirurgs (P03)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49.9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35.2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18.7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16.0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4.7</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14.1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5.4</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7.1</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9.7</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133.2</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Neiroķirurgs (P04)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16.4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6.6</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33</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Torakālais ķirurgs (P05)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4.6</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8.3</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Sirds ķirurgs (P06)</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Asinsvadu ķirurgs (P07)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1.4</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Urologs (P08)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1.4</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4.1</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19.4</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Plastikas ķirurgs (P09)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2.3</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Bērnu ķirurgs (P12)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21.8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22.8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0.7</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26.3</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Traumatologs, ortopēds (P13)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21.4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2.5</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32.4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26.3</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2.3</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8.5</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118.4</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Ginekologs,dzemdību speciālists (P14)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14.7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24.0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17.2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7.3</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11.23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12.5</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11.53</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121.46</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Pediatrs (P15)*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29.6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28.8*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5.9</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5.7</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6.5*</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74.9</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Onkologs ķīmijterapeits (P16)**</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14.1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0.1</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18.9</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Hematologs (P17)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0.1</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10.6</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Psihiatrs (P19)**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Neirologs (P20)***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20.8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1.6</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4.7</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6.3</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69.1</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Oftalmologs (P22)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0.5</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18.3</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Otolaringologs (P23)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0.9</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0.1</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13.5</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Infektologs (P24)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16.2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0.9</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2.1</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0.5</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22.4</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Mutes, sejas un žokļu ķirurgs (P26)</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9.9</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Dermatologs, venerologs (P27)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0.5</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3.3</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Narkologs (P28)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1.5</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3.7</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Radiologs terapeits (P31)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16.3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12.2</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Radiologs diagnosts (P32)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4.7</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4.7</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0.6</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18.8</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Geriatrs (P48)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3.6</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Kardiologs (P52)**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18.0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14.9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38.5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16.5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4.9</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40.7</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 xml:space="preserve">Reimatologs (P56)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0.8</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Pneimonologs (P57)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24.6</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36.7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0.5</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1.6</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1.7</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1.7</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2.3</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50.5</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Endokrinologs (P58) **</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2.4</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Nefrologs (P59)*******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1.7</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0.4</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3.6</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Gastroenterologs (P60)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2.8</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0.3</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6.8</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Bērnu neirologs (P62)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5.7</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0.0</w:t>
            </w:r>
          </w:p>
        </w:tc>
        <w:tc>
          <w:tcPr>
            <w:tcW w:w="5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1.8</w:t>
            </w:r>
          </w:p>
        </w:tc>
      </w:tr>
      <w:tr w:rsidTr="00C03A88">
        <w:tblPrEx>
          <w:tblW w:w="5560" w:type="pct"/>
          <w:tblInd w:w="-572" w:type="dxa"/>
          <w:tblLayout w:type="fixed"/>
          <w:tblCellMar>
            <w:left w:w="10" w:type="dxa"/>
            <w:right w:w="10" w:type="dxa"/>
          </w:tblCellMar>
          <w:tblLook w:val="04A0"/>
        </w:tblPrEx>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 xml:space="preserve">Kopā </w:t>
            </w:r>
          </w:p>
        </w:tc>
        <w:tc>
          <w:tcPr>
            <w:tcW w:w="5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301.5</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279.6</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131.9</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143.2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74.8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85.5</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35</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24</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17.2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1.1</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10.4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98.5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91.3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55.8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68.8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30.9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58.9</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46.2</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61.1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34.1</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53.93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44.8</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61.5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55.9</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20F">
            <w:pPr>
              <w:pStyle w:val="Parastais"/>
              <w:rPr>
                <w:color w:val="000000"/>
                <w:sz w:val="16"/>
                <w:szCs w:val="16"/>
                <w:lang w:val="lv-LV"/>
              </w:rPr>
            </w:pPr>
            <w:r>
              <w:rPr>
                <w:color w:val="000000"/>
                <w:sz w:val="16"/>
                <w:szCs w:val="16"/>
                <w:lang w:val="lv-LV"/>
              </w:rPr>
              <w:t>63.53</w:t>
            </w:r>
          </w:p>
        </w:tc>
        <w:tc>
          <w:tcPr>
            <w:tcW w:w="514" w:type="dxa"/>
            <w:tcBorders>
              <w:top w:val="single" w:sz="4" w:space="0" w:color="000000"/>
              <w:left w:val="single" w:sz="4" w:space="0" w:color="000000"/>
            </w:tcBorders>
            <w:shd w:val="clear" w:color="auto" w:fill="auto"/>
            <w:tcMar>
              <w:top w:w="0" w:type="dxa"/>
              <w:left w:w="108" w:type="dxa"/>
              <w:bottom w:w="0" w:type="dxa"/>
              <w:right w:w="108" w:type="dxa"/>
            </w:tcMar>
          </w:tcPr>
          <w:p w:rsidR="008B520F">
            <w:pPr>
              <w:pStyle w:val="Parastais"/>
              <w:jc w:val="right"/>
              <w:rPr>
                <w:color w:val="000000"/>
                <w:sz w:val="16"/>
                <w:szCs w:val="16"/>
                <w:lang w:val="lv-LV"/>
              </w:rPr>
            </w:pPr>
          </w:p>
        </w:tc>
      </w:tr>
    </w:tbl>
    <w:p w:rsidR="008B520F" w:rsidRPr="000D7747">
      <w:pPr>
        <w:pStyle w:val="Parastais"/>
        <w:ind w:right="113"/>
        <w:jc w:val="both"/>
        <w:rPr>
          <w:lang w:val="lv-LV"/>
        </w:rPr>
      </w:pPr>
      <w:r>
        <w:rPr>
          <w:rStyle w:val="Noklusjumarindkopasfonts"/>
          <w:sz w:val="20"/>
          <w:szCs w:val="20"/>
          <w:lang w:val="lv-LV"/>
        </w:rPr>
        <w:t xml:space="preserve">* Pediatra apakšspecialitāte - Neonatologs (A151) neiznēsāto bērnu, slimo jaundzimušo, zīdaiņu 28.diena līdz 1 gads profilos: Paula Stradiņa klīniskajā universitātes slimnīcā kopā 10,25 slodzes, Bērnu klīniskā universitātes slimnīcā kopā 18,6 slodzes, Rīgas Dzemdību namā kopā 14,9 slodzes, Daugavpils reģionālajā slimnīcā kopā 4,7 slodzes, Ziemeļkurzemes reģionālajā slimnīcā kopā 1 slodze, Jelgavas pilsētas slimnīcā kopā 2,8 slodzes, Vidzemes slimnīcā kopā 4,7 slodzes, Jēkabpils reģionālajā slimnīcā kopā  4,7 slodzes, Rēzeknes slimnīcā 1 slodze, Liepājas reģionālajā slimnīcā 9,3 slodze. </w:t>
      </w:r>
    </w:p>
    <w:p w:rsidR="008B520F" w:rsidRPr="000D7747">
      <w:pPr>
        <w:pStyle w:val="Parastais"/>
        <w:ind w:right="113"/>
        <w:jc w:val="both"/>
        <w:rPr>
          <w:lang w:val="lv-LV"/>
        </w:rPr>
      </w:pPr>
      <w:r>
        <w:rPr>
          <w:rStyle w:val="Noklusjumarindkopasfonts"/>
          <w:sz w:val="20"/>
          <w:szCs w:val="20"/>
          <w:lang w:val="lv-LV"/>
        </w:rPr>
        <w:t xml:space="preserve">** Bērnu klīniskā universitātes slimnīcā: Onkologs ķīmijterapeits (P16) -  Pediatra apakšspecialitāte Bērnu hematoonkologs (A159) kopā 5,1 slodzes; Bērnu psihiatrs (A191) kopā 6,5 slodzes; Bērnu neirologs (P62) – 5,65; Pediatra apakšspecialitāte Bērnu infektologs (A152) kopā 6,64 slodzes; Pediatra apakšspecialitāte Bērnu kardiologs (A153) kopā 3,6 slodzes; Pediatra apakšspecialitāte Bērnu pneimonoligs (A155) kopā 2,1 slodzes; Pediatra apakšspecialitāte Bērnu endokrinologs (A156) kopā 3,1 slodzes;    </w:t>
      </w:r>
    </w:p>
    <w:p w:rsidR="008B520F" w:rsidP="00C03A88">
      <w:pPr>
        <w:pStyle w:val="Parastais"/>
        <w:ind w:right="113"/>
        <w:jc w:val="both"/>
        <w:rPr>
          <w:sz w:val="20"/>
          <w:szCs w:val="20"/>
          <w:lang w:val="lv-LV"/>
        </w:rPr>
      </w:pPr>
      <w:r>
        <w:rPr>
          <w:sz w:val="20"/>
          <w:szCs w:val="20"/>
          <w:lang w:val="lv-LV"/>
        </w:rPr>
        <w:t xml:space="preserve">    *** Neirologs (P2) – ir noteiktas slodzes neiroloģijas profila gultām, nepieciešamas papildus slodzes insulta vienības multidisciplinārās komandas darbības nodrošināšanai.</w:t>
      </w:r>
    </w:p>
    <w:p w:rsidR="008B520F">
      <w:pPr>
        <w:pStyle w:val="Parastais"/>
        <w:jc w:val="both"/>
        <w:rPr>
          <w:sz w:val="20"/>
          <w:szCs w:val="20"/>
          <w:lang w:val="lv-LV"/>
        </w:rPr>
      </w:pPr>
      <w:r>
        <w:rPr>
          <w:sz w:val="20"/>
          <w:szCs w:val="20"/>
          <w:lang w:val="lv-LV"/>
        </w:rPr>
        <w:t xml:space="preserve">**** Radiologs diagnosts (P32) – izdalītas nepieciešamās slodzes uzņemšanas nodaļā (1 diennakts postenis) universitātes slimnīcās un Traumatoloģijas un ortopēdijas slimnīcā.  </w:t>
      </w:r>
    </w:p>
    <w:p w:rsidR="008B520F">
      <w:pPr>
        <w:pStyle w:val="Parastais"/>
        <w:jc w:val="both"/>
        <w:rPr>
          <w:sz w:val="20"/>
          <w:szCs w:val="20"/>
          <w:lang w:val="lv-LV"/>
        </w:rPr>
      </w:pPr>
      <w:r>
        <w:rPr>
          <w:sz w:val="20"/>
          <w:szCs w:val="20"/>
          <w:lang w:val="lv-LV"/>
        </w:rPr>
        <w:t xml:space="preserve">***** Geriatrs (P48) – nepieciešamība pārējās stacionārajās iestādēs, ņemot vērā pakalpojuma turpmāko attīstību. </w:t>
      </w:r>
    </w:p>
    <w:p w:rsidR="008B520F">
      <w:pPr>
        <w:pStyle w:val="Parastais"/>
        <w:jc w:val="both"/>
        <w:rPr>
          <w:sz w:val="20"/>
          <w:szCs w:val="20"/>
          <w:lang w:val="lv-LV"/>
        </w:rPr>
      </w:pPr>
      <w:r>
        <w:rPr>
          <w:sz w:val="20"/>
          <w:szCs w:val="20"/>
          <w:lang w:val="lv-LV"/>
        </w:rPr>
        <w:t>****** Fizikālās un rehabilitācijas medicīnas ārsts (P54) - ir noteiktas slodzes rehabilitācijas profila gultām, nepieciešamas papildus slodzes insulta vienības multidisciplinārās komandas darbības nodrošināšanai.</w:t>
      </w:r>
    </w:p>
    <w:p w:rsidR="008B520F">
      <w:pPr>
        <w:pStyle w:val="Parastais"/>
        <w:jc w:val="both"/>
        <w:rPr>
          <w:sz w:val="20"/>
          <w:szCs w:val="20"/>
          <w:lang w:val="lv-LV"/>
        </w:rPr>
      </w:pPr>
      <w:r>
        <w:rPr>
          <w:sz w:val="20"/>
          <w:szCs w:val="20"/>
          <w:lang w:val="lv-LV"/>
        </w:rPr>
        <w:t xml:space="preserve">******* Nefrologs (P59) – neieskaitot hemodialīzes kabinetu slodzes. </w:t>
      </w:r>
    </w:p>
    <w:p w:rsidR="00C03A88">
      <w:pPr>
        <w:pStyle w:val="Parastais"/>
        <w:tabs>
          <w:tab w:val="left" w:pos="7655"/>
        </w:tabs>
        <w:rPr>
          <w:rFonts w:eastAsia="Calibri"/>
          <w:sz w:val="28"/>
          <w:szCs w:val="28"/>
          <w:lang w:val="lv-LV"/>
        </w:rPr>
      </w:pPr>
    </w:p>
    <w:p w:rsidR="00C03A88">
      <w:pPr>
        <w:pStyle w:val="Parastais"/>
        <w:tabs>
          <w:tab w:val="left" w:pos="7655"/>
        </w:tabs>
        <w:rPr>
          <w:rFonts w:eastAsia="Calibri"/>
          <w:sz w:val="28"/>
          <w:szCs w:val="28"/>
          <w:lang w:val="lv-LV"/>
        </w:rPr>
      </w:pPr>
    </w:p>
    <w:p w:rsidR="008B520F" w:rsidRPr="000D7747">
      <w:pPr>
        <w:pStyle w:val="Parastais"/>
        <w:tabs>
          <w:tab w:val="left" w:pos="7655"/>
        </w:tabs>
        <w:rPr>
          <w:rFonts w:eastAsia="Calibri"/>
          <w:sz w:val="28"/>
          <w:szCs w:val="28"/>
          <w:lang w:val="lv-LV"/>
        </w:rPr>
      </w:pPr>
      <w:r w:rsidRPr="000D7747">
        <w:rPr>
          <w:rFonts w:eastAsia="Calibri"/>
          <w:sz w:val="28"/>
          <w:szCs w:val="28"/>
          <w:lang w:val="lv-LV"/>
        </w:rPr>
        <w:t>Veselības ministre</w:t>
      </w:r>
      <w:r w:rsidRPr="000D7747">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r>
      <w:r w:rsidRPr="000D7747">
        <w:rPr>
          <w:rFonts w:eastAsia="Calibri"/>
          <w:sz w:val="28"/>
          <w:szCs w:val="28"/>
          <w:lang w:val="lv-LV"/>
        </w:rPr>
        <w:t xml:space="preserve">Anda Čakša </w:t>
      </w:r>
    </w:p>
    <w:p w:rsidR="008B520F" w:rsidRPr="000D7747">
      <w:pPr>
        <w:pStyle w:val="Parastais"/>
        <w:tabs>
          <w:tab w:val="left" w:pos="7655"/>
        </w:tabs>
        <w:rPr>
          <w:rFonts w:eastAsia="Calibri"/>
          <w:sz w:val="28"/>
          <w:szCs w:val="28"/>
          <w:lang w:val="lv-LV"/>
        </w:rPr>
      </w:pPr>
    </w:p>
    <w:p w:rsidR="008B520F" w:rsidRPr="000D7747">
      <w:pPr>
        <w:pStyle w:val="Parastais"/>
        <w:tabs>
          <w:tab w:val="left" w:pos="7655"/>
        </w:tabs>
        <w:rPr>
          <w:rFonts w:eastAsia="Calibri"/>
          <w:sz w:val="28"/>
          <w:szCs w:val="28"/>
          <w:lang w:val="lv-LV"/>
        </w:rPr>
      </w:pPr>
    </w:p>
    <w:p w:rsidR="008B520F" w:rsidRPr="000D7747">
      <w:pPr>
        <w:pStyle w:val="Parastais"/>
        <w:tabs>
          <w:tab w:val="right" w:pos="9072"/>
        </w:tabs>
        <w:rPr>
          <w:rFonts w:eastAsia="Calibri"/>
          <w:sz w:val="28"/>
          <w:szCs w:val="28"/>
          <w:lang w:val="lv-LV"/>
        </w:rPr>
      </w:pPr>
      <w:r w:rsidRPr="000D7747">
        <w:rPr>
          <w:rFonts w:eastAsia="Calibri"/>
          <w:sz w:val="28"/>
          <w:szCs w:val="28"/>
          <w:lang w:val="lv-LV"/>
        </w:rPr>
        <w:t xml:space="preserve">Iesniedzējs: Veselības ministre                                                            </w:t>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r>
      <w:r w:rsidRPr="000D7747">
        <w:rPr>
          <w:rFonts w:eastAsia="Calibri"/>
          <w:sz w:val="28"/>
          <w:szCs w:val="28"/>
          <w:lang w:val="lv-LV"/>
        </w:rPr>
        <w:t>Anda Čakša</w:t>
      </w:r>
      <w:r w:rsidRPr="000D7747">
        <w:rPr>
          <w:rFonts w:eastAsia="Calibri"/>
          <w:sz w:val="28"/>
          <w:szCs w:val="28"/>
          <w:lang w:val="lv-LV"/>
        </w:rPr>
        <w:tab/>
      </w:r>
    </w:p>
    <w:p w:rsidR="008B520F" w:rsidRPr="000D7747">
      <w:pPr>
        <w:pStyle w:val="Parastais"/>
        <w:tabs>
          <w:tab w:val="right" w:pos="9072"/>
        </w:tabs>
        <w:spacing w:after="120"/>
        <w:ind w:right="-1"/>
        <w:rPr>
          <w:rFonts w:eastAsia="Calibri"/>
          <w:sz w:val="28"/>
          <w:szCs w:val="28"/>
          <w:lang w:val="lv-LV"/>
        </w:rPr>
      </w:pPr>
    </w:p>
    <w:p w:rsidR="008B520F" w:rsidRPr="000D7747">
      <w:pPr>
        <w:pStyle w:val="Parastais"/>
        <w:tabs>
          <w:tab w:val="right" w:pos="9072"/>
        </w:tabs>
        <w:ind w:right="-766"/>
        <w:rPr>
          <w:rFonts w:eastAsia="Calibri"/>
          <w:sz w:val="28"/>
          <w:szCs w:val="28"/>
          <w:lang w:val="lv-LV"/>
        </w:rPr>
      </w:pPr>
    </w:p>
    <w:p w:rsidR="008B520F" w:rsidRPr="000D7747">
      <w:pPr>
        <w:pStyle w:val="Parastais"/>
        <w:tabs>
          <w:tab w:val="right" w:pos="9072"/>
        </w:tabs>
        <w:ind w:right="-766"/>
        <w:rPr>
          <w:rFonts w:eastAsia="Calibri"/>
          <w:sz w:val="28"/>
          <w:szCs w:val="28"/>
          <w:lang w:val="lv-LV"/>
        </w:rPr>
      </w:pPr>
      <w:r w:rsidRPr="000D7747">
        <w:rPr>
          <w:rFonts w:eastAsia="Calibri"/>
          <w:sz w:val="28"/>
          <w:szCs w:val="28"/>
          <w:lang w:val="lv-LV"/>
        </w:rPr>
        <w:t>Vīza: Valsts sekretār</w:t>
      </w:r>
      <w:r w:rsidR="00987B96">
        <w:rPr>
          <w:rFonts w:eastAsia="Calibri"/>
          <w:sz w:val="28"/>
          <w:szCs w:val="28"/>
          <w:lang w:val="lv-LV"/>
        </w:rPr>
        <w:t>a p.i.</w:t>
      </w:r>
      <w:r w:rsidRPr="000D7747">
        <w:rPr>
          <w:rFonts w:eastAsia="Calibri"/>
          <w:sz w:val="28"/>
          <w:szCs w:val="28"/>
          <w:lang w:val="lv-LV"/>
        </w:rPr>
        <w:tab/>
        <w:t xml:space="preserve"> </w:t>
      </w:r>
      <w:r>
        <w:rPr>
          <w:rFonts w:eastAsia="Calibri"/>
          <w:sz w:val="28"/>
          <w:szCs w:val="28"/>
          <w:lang w:val="lv-LV"/>
        </w:rPr>
        <w:tab/>
      </w:r>
      <w:r>
        <w:rPr>
          <w:rFonts w:eastAsia="Calibri"/>
          <w:sz w:val="28"/>
          <w:szCs w:val="28"/>
          <w:lang w:val="lv-LV"/>
        </w:rPr>
        <w:tab/>
      </w:r>
      <w:r>
        <w:rPr>
          <w:rFonts w:eastAsia="Calibri"/>
          <w:sz w:val="28"/>
          <w:szCs w:val="28"/>
          <w:lang w:val="lv-LV"/>
        </w:rPr>
        <w:tab/>
      </w:r>
      <w:r w:rsidR="00987B96">
        <w:rPr>
          <w:rFonts w:eastAsia="Calibri"/>
          <w:sz w:val="28"/>
          <w:szCs w:val="28"/>
          <w:lang w:val="lv-LV"/>
        </w:rPr>
        <w:t>Daina Mūrmane-Umbraško</w:t>
      </w:r>
    </w:p>
    <w:p w:rsidR="008B520F">
      <w:pPr>
        <w:pStyle w:val="Parastais"/>
        <w:jc w:val="both"/>
      </w:pPr>
    </w:p>
    <w:sectPr w:rsidSect="00C03A88">
      <w:headerReference w:type="default" r:id="rId4"/>
      <w:footerReference w:type="default" r:id="rId5"/>
      <w:footerReference w:type="first" r:id="rId6"/>
      <w:pgSz w:w="16838" w:h="11906" w:orient="landscape"/>
      <w:pgMar w:top="1701" w:right="1418" w:bottom="1134" w:left="1134"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DC8" w:rsidRPr="001719F4" w:rsidP="001719F4">
    <w:pPr>
      <w:pStyle w:val="Footer"/>
    </w:pPr>
    <w:r w:rsidRPr="001719F4">
      <w:rPr>
        <w:sz w:val="20"/>
        <w:szCs w:val="20"/>
      </w:rPr>
      <w:t>VMkoncp3_180717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DC8" w:rsidRPr="00CA5768" w:rsidP="00CA5768">
    <w:pPr>
      <w:pStyle w:val="Footer"/>
    </w:pPr>
    <w:r w:rsidRPr="00CA5768">
      <w:rPr>
        <w:sz w:val="20"/>
        <w:szCs w:val="20"/>
      </w:rPr>
      <w:t>VMkoncp3_</w:t>
    </w:r>
    <w:r w:rsidR="001719F4">
      <w:rPr>
        <w:sz w:val="20"/>
        <w:szCs w:val="20"/>
      </w:rPr>
      <w:t>18</w:t>
    </w:r>
    <w:r w:rsidR="00987B96">
      <w:rPr>
        <w:sz w:val="20"/>
        <w:szCs w:val="20"/>
      </w:rPr>
      <w:t>07</w:t>
    </w:r>
    <w:r w:rsidRPr="00CA5768">
      <w:rPr>
        <w:sz w:val="20"/>
        <w:szCs w:val="20"/>
      </w:rPr>
      <w:t>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DC8">
    <w:pPr>
      <w:pStyle w:val="Header"/>
      <w:jc w:val="center"/>
    </w:pPr>
    <w:r>
      <w:fldChar w:fldCharType="begin"/>
    </w:r>
    <w:r>
      <w:instrText xml:space="preserve"> PAGE </w:instrText>
    </w:r>
    <w:r>
      <w:fldChar w:fldCharType="separate"/>
    </w:r>
    <w:r>
      <w:t>4</w:t>
    </w:r>
    <w:r>
      <w:fldChar w:fldCharType="end"/>
    </w:r>
  </w:p>
  <w:p w:rsidR="00483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12"/>
    <w:rsid w:val="000D7747"/>
    <w:rsid w:val="001719F4"/>
    <w:rsid w:val="00194812"/>
    <w:rsid w:val="0035690B"/>
    <w:rsid w:val="00483DC8"/>
    <w:rsid w:val="008B520F"/>
    <w:rsid w:val="00987B96"/>
    <w:rsid w:val="009B29B1"/>
    <w:rsid w:val="00C03A88"/>
    <w:rsid w:val="00CA5768"/>
    <w:rsid w:val="00CE6B0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8CF214A-D349-4275-8387-733B28F6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pPr>
      <w:suppressAutoHyphens/>
      <w:spacing w:after="0"/>
    </w:pPr>
    <w:rPr>
      <w:rFonts w:ascii="Times New Roman" w:eastAsia="Times New Roman" w:hAnsi="Times New Roman"/>
      <w:sz w:val="24"/>
      <w:szCs w:val="24"/>
      <w:lang w:val="en-US"/>
    </w:rPr>
  </w:style>
  <w:style w:type="character" w:customStyle="1" w:styleId="Noklusjumarindkopasfonts">
    <w:name w:val="Noklusējuma rindkopas fonts"/>
  </w:style>
  <w:style w:type="paragraph" w:styleId="Header">
    <w:name w:val="header"/>
    <w:basedOn w:val="Parastais"/>
    <w:pPr>
      <w:tabs>
        <w:tab w:val="center" w:pos="4153"/>
        <w:tab w:val="right" w:pos="8306"/>
      </w:tabs>
    </w:pPr>
  </w:style>
  <w:style w:type="character" w:customStyle="1" w:styleId="HeaderChar">
    <w:name w:val="Header Char"/>
    <w:basedOn w:val="Noklusjumarindkopasfonts"/>
    <w:rPr>
      <w:rFonts w:ascii="Times New Roman" w:eastAsia="Times New Roman" w:hAnsi="Times New Roman" w:cs="Times New Roman"/>
      <w:sz w:val="24"/>
      <w:szCs w:val="24"/>
      <w:lang w:val="en-US"/>
    </w:rPr>
  </w:style>
  <w:style w:type="paragraph" w:styleId="Footer">
    <w:name w:val="footer"/>
    <w:basedOn w:val="Parastais"/>
    <w:pPr>
      <w:tabs>
        <w:tab w:val="center" w:pos="4153"/>
        <w:tab w:val="right" w:pos="8306"/>
      </w:tabs>
    </w:pPr>
  </w:style>
  <w:style w:type="character" w:customStyle="1" w:styleId="FooterChar">
    <w:name w:val="Footer Char"/>
    <w:basedOn w:val="Noklusjumarindkopasfonts"/>
    <w:rPr>
      <w:rFonts w:ascii="Times New Roman" w:eastAsia="Times New Roman" w:hAnsi="Times New Roman" w:cs="Times New Roman"/>
      <w:sz w:val="24"/>
      <w:szCs w:val="24"/>
      <w:lang w:val="en-US"/>
    </w:rPr>
  </w:style>
  <w:style w:type="paragraph" w:customStyle="1" w:styleId="Balonteksts">
    <w:name w:val="Balonteksts"/>
    <w:basedOn w:val="Parastais"/>
    <w:rPr>
      <w:rFonts w:ascii="Segoe UI" w:hAnsi="Segoe UI" w:cs="Segoe UI"/>
      <w:sz w:val="18"/>
      <w:szCs w:val="18"/>
    </w:rPr>
  </w:style>
  <w:style w:type="character" w:customStyle="1" w:styleId="BalloonTextChar">
    <w:name w:val="Balloon Text Char"/>
    <w:basedOn w:val="Noklusjumarindkopasfonts"/>
    <w:rPr>
      <w:rFonts w:ascii="Segoe UI" w:eastAsia="Times New Roman" w:hAnsi="Segoe UI" w:cs="Segoe UI"/>
      <w:sz w:val="18"/>
      <w:szCs w:val="18"/>
      <w:lang w:val="en-US"/>
    </w:rPr>
  </w:style>
  <w:style w:type="paragraph" w:customStyle="1" w:styleId="Sarakstarindkopa">
    <w:name w:val="Saraksta rindkopa"/>
    <w:basedOn w:val="Parastais"/>
    <w:pPr>
      <w:ind w:left="720"/>
    </w:pPr>
  </w:style>
  <w:style w:type="paragraph" w:customStyle="1" w:styleId="Galvene">
    <w:name w:val="Galvene"/>
    <w:basedOn w:val="Parastais"/>
    <w:pPr>
      <w:tabs>
        <w:tab w:val="center" w:pos="4153"/>
        <w:tab w:val="right" w:pos="8306"/>
      </w:tabs>
    </w:pPr>
  </w:style>
  <w:style w:type="character" w:customStyle="1" w:styleId="GalveneRakstz">
    <w:name w:val="Galvene Rakstz."/>
    <w:basedOn w:val="Noklusjumarindkopasfonts"/>
    <w:rPr>
      <w:rFonts w:ascii="Times New Roman" w:eastAsia="Times New Roman" w:hAnsi="Times New Roman"/>
      <w:sz w:val="24"/>
      <w:szCs w:val="24"/>
      <w:lang w:val="en-US"/>
    </w:rPr>
  </w:style>
  <w:style w:type="paragraph" w:customStyle="1" w:styleId="Kjene">
    <w:name w:val="Kājene"/>
    <w:basedOn w:val="Parastais"/>
    <w:pPr>
      <w:tabs>
        <w:tab w:val="center" w:pos="4153"/>
        <w:tab w:val="right" w:pos="8306"/>
      </w:tabs>
    </w:pPr>
  </w:style>
  <w:style w:type="character" w:customStyle="1" w:styleId="KjeneRakstz">
    <w:name w:val="Kājene Rakstz."/>
    <w:basedOn w:val="Noklusjumarindkopasfonts"/>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4981</Words>
  <Characters>2840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Konceptuālais ziņojums “Par veselības aprūpes sistēmas reformu”</vt:lpstr>
    </vt:vector>
  </TitlesOfParts>
  <Company>Veselības ministrija</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veselības aprūpes sistēmas reformu”</dc:title>
  <dc:subject>3.pielikums</dc:subject>
  <dc:creator>Dace Roga</dc:creator>
  <dc:description>Kļaviņa 67876094,_x000D_
kristine.klavina@vm.gov.lv_x000D_
Roga 67876093_x000D_
dace.roga@vm.gov.lv</dc:description>
  <cp:lastModifiedBy>Kristīne Kļaviņa</cp:lastModifiedBy>
  <cp:revision>2</cp:revision>
  <dcterms:created xsi:type="dcterms:W3CDTF">2017-07-21T10:45:00Z</dcterms:created>
  <dcterms:modified xsi:type="dcterms:W3CDTF">2017-07-21T10:45:00Z</dcterms:modified>
</cp:coreProperties>
</file>