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EE6653" w:rsidP="00341B32">
      <w:pPr>
        <w:rPr>
          <w:sz w:val="28"/>
          <w:szCs w:val="28"/>
        </w:rPr>
      </w:pPr>
    </w:p>
    <w:p w:rsidR="00EE6653" w:rsidP="00341B32">
      <w:pPr>
        <w:rPr>
          <w:sz w:val="28"/>
          <w:szCs w:val="28"/>
        </w:rPr>
      </w:pPr>
    </w:p>
    <w:p w:rsidR="00341B32" w:rsidRPr="004733F4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057722">
        <w:rPr>
          <w:sz w:val="28"/>
          <w:szCs w:val="28"/>
        </w:rPr>
        <w:t>7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P="00EE6653">
      <w:pPr>
        <w:spacing w:after="72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:rsidR="00341B32" w:rsidP="00EE6653">
      <w:pPr>
        <w:pStyle w:val="NoSpacing"/>
        <w:spacing w:before="240" w:after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2C12DF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D97DDA">
        <w:rPr>
          <w:rStyle w:val="Emphasis"/>
          <w:b/>
          <w:i w:val="0"/>
          <w:sz w:val="28"/>
          <w:szCs w:val="28"/>
        </w:rPr>
        <w:t>0</w:t>
      </w:r>
      <w:r w:rsidR="00822DBF">
        <w:rPr>
          <w:rStyle w:val="Emphasis"/>
          <w:b/>
          <w:i w:val="0"/>
          <w:sz w:val="28"/>
          <w:szCs w:val="28"/>
        </w:rPr>
        <w:t>5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822DBF">
        <w:rPr>
          <w:rStyle w:val="Emphasis"/>
          <w:b/>
          <w:i w:val="0"/>
          <w:sz w:val="28"/>
          <w:szCs w:val="28"/>
        </w:rPr>
        <w:t>8.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="00822DBF">
        <w:rPr>
          <w:rStyle w:val="Emphasis"/>
          <w:b/>
          <w:i w:val="0"/>
          <w:sz w:val="28"/>
          <w:szCs w:val="28"/>
        </w:rPr>
        <w:t>marta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EE6653">
        <w:rPr>
          <w:rStyle w:val="Emphasis"/>
          <w:b/>
          <w:i w:val="0"/>
          <w:sz w:val="28"/>
          <w:szCs w:val="28"/>
        </w:rPr>
        <w:t> </w:t>
      </w:r>
      <w:r w:rsidR="00822DBF">
        <w:rPr>
          <w:rStyle w:val="Emphasis"/>
          <w:b/>
          <w:i w:val="0"/>
          <w:sz w:val="28"/>
          <w:szCs w:val="28"/>
        </w:rPr>
        <w:t xml:space="preserve">175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="00822DBF">
        <w:rPr>
          <w:rStyle w:val="Emphasis"/>
          <w:b/>
          <w:i w:val="0"/>
          <w:sz w:val="28"/>
          <w:szCs w:val="28"/>
        </w:rPr>
        <w:t>Recepšu veidlapu izgatavošanas un uzglabāšanas, kā arī recepšu izrakstīšanas un uzglabāšanas noteikumi</w:t>
      </w:r>
      <w:r w:rsidRPr="00E87797">
        <w:rPr>
          <w:rStyle w:val="Emphasis"/>
          <w:b/>
          <w:i w:val="0"/>
          <w:sz w:val="28"/>
          <w:szCs w:val="28"/>
        </w:rPr>
        <w:t>”</w:t>
      </w:r>
    </w:p>
    <w:p w:rsidR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822DBF" w:rsidP="009901BB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  <w:r>
        <w:rPr>
          <w:szCs w:val="28"/>
        </w:rPr>
        <w:t xml:space="preserve">Ārstniecības likuma 60.pantu un </w:t>
      </w:r>
    </w:p>
    <w:p w:rsidR="00822DBF" w:rsidP="006035A1">
      <w:pPr>
        <w:pStyle w:val="BodyText2"/>
        <w:jc w:val="right"/>
        <w:rPr>
          <w:szCs w:val="28"/>
        </w:rPr>
      </w:pPr>
      <w:r>
        <w:rPr>
          <w:szCs w:val="28"/>
        </w:rPr>
        <w:t xml:space="preserve">likuma “Par narkotisko un psihotropo vielu un </w:t>
      </w:r>
    </w:p>
    <w:p w:rsidR="009901BB" w:rsidP="00EE6653">
      <w:pPr>
        <w:pStyle w:val="BodyText2"/>
        <w:spacing w:after="240"/>
        <w:jc w:val="right"/>
        <w:rPr>
          <w:szCs w:val="28"/>
        </w:rPr>
      </w:pPr>
      <w:r>
        <w:rPr>
          <w:szCs w:val="28"/>
        </w:rPr>
        <w:t>zāļu likumīgās aprites kārtību” 36.panta pirmo daļu</w:t>
      </w:r>
      <w:r w:rsidRPr="00D97DDA" w:rsidR="00D97DDA">
        <w:rPr>
          <w:szCs w:val="28"/>
        </w:rPr>
        <w:t xml:space="preserve"> </w:t>
      </w:r>
    </w:p>
    <w:p w:rsidR="00341B32" w:rsidP="00341B32">
      <w:pPr>
        <w:pStyle w:val="NoSpacing"/>
        <w:rPr>
          <w:rStyle w:val="Emphasis"/>
          <w:i w:val="0"/>
          <w:sz w:val="28"/>
          <w:szCs w:val="28"/>
        </w:rPr>
      </w:pPr>
    </w:p>
    <w:p w:rsidR="00574B6C" w:rsidP="00EE6653">
      <w:pPr>
        <w:pStyle w:val="NoSpacing"/>
        <w:ind w:firstLine="720"/>
        <w:jc w:val="both"/>
      </w:pPr>
      <w:r>
        <w:rPr>
          <w:rStyle w:val="Emphasis"/>
          <w:i w:val="0"/>
          <w:sz w:val="28"/>
          <w:szCs w:val="28"/>
        </w:rPr>
        <w:t xml:space="preserve">1. </w:t>
      </w:r>
      <w:r w:rsidRPr="00A15E58" w:rsidR="00341B32">
        <w:rPr>
          <w:rStyle w:val="Emphasis"/>
          <w:i w:val="0"/>
          <w:sz w:val="28"/>
          <w:szCs w:val="28"/>
        </w:rPr>
        <w:t>Izdarīt Ministru kabineta 20</w:t>
      </w:r>
      <w:r w:rsidR="00D97DDA">
        <w:rPr>
          <w:rStyle w:val="Emphasis"/>
          <w:i w:val="0"/>
          <w:sz w:val="28"/>
          <w:szCs w:val="28"/>
        </w:rPr>
        <w:t>0</w:t>
      </w:r>
      <w:r w:rsidR="00822DBF">
        <w:rPr>
          <w:rStyle w:val="Emphasis"/>
          <w:i w:val="0"/>
          <w:sz w:val="28"/>
          <w:szCs w:val="28"/>
        </w:rPr>
        <w:t>5</w:t>
      </w:r>
      <w:r w:rsidRPr="00A15E58" w:rsidR="00341B32">
        <w:rPr>
          <w:rStyle w:val="Emphasis"/>
          <w:i w:val="0"/>
          <w:sz w:val="28"/>
          <w:szCs w:val="28"/>
        </w:rPr>
        <w:t>.</w:t>
      </w:r>
      <w:r w:rsidR="00D52458">
        <w:rPr>
          <w:rStyle w:val="Emphasis"/>
          <w:i w:val="0"/>
          <w:sz w:val="28"/>
          <w:szCs w:val="28"/>
        </w:rPr>
        <w:t xml:space="preserve"> </w:t>
      </w:r>
      <w:r w:rsidRPr="00A15E58" w:rsidR="00341B32">
        <w:rPr>
          <w:rStyle w:val="Emphasis"/>
          <w:i w:val="0"/>
          <w:sz w:val="28"/>
          <w:szCs w:val="28"/>
        </w:rPr>
        <w:t>gada</w:t>
      </w:r>
      <w:r w:rsidR="00D97DDA">
        <w:rPr>
          <w:rStyle w:val="Emphasis"/>
          <w:i w:val="0"/>
          <w:sz w:val="28"/>
          <w:szCs w:val="28"/>
        </w:rPr>
        <w:t xml:space="preserve"> </w:t>
      </w:r>
      <w:r w:rsidR="00822DBF">
        <w:rPr>
          <w:rStyle w:val="Emphasis"/>
          <w:i w:val="0"/>
          <w:sz w:val="28"/>
          <w:szCs w:val="28"/>
        </w:rPr>
        <w:t>8</w:t>
      </w:r>
      <w:r w:rsidRPr="00A15E58" w:rsidR="00341B32">
        <w:rPr>
          <w:rStyle w:val="Emphasis"/>
          <w:i w:val="0"/>
          <w:sz w:val="28"/>
          <w:szCs w:val="28"/>
        </w:rPr>
        <w:t>.</w:t>
      </w:r>
      <w:r w:rsidR="00D52458">
        <w:rPr>
          <w:rStyle w:val="Emphasis"/>
          <w:i w:val="0"/>
          <w:sz w:val="28"/>
          <w:szCs w:val="28"/>
        </w:rPr>
        <w:t xml:space="preserve"> </w:t>
      </w:r>
      <w:r w:rsidR="00822DBF">
        <w:rPr>
          <w:rStyle w:val="Emphasis"/>
          <w:i w:val="0"/>
          <w:sz w:val="28"/>
          <w:szCs w:val="28"/>
        </w:rPr>
        <w:t>marta</w:t>
      </w:r>
      <w:r w:rsidR="00D97DDA">
        <w:rPr>
          <w:rStyle w:val="Emphasis"/>
          <w:i w:val="0"/>
          <w:sz w:val="28"/>
          <w:szCs w:val="28"/>
        </w:rPr>
        <w:t xml:space="preserve"> noteikumos Nr.</w:t>
      </w:r>
      <w:r w:rsidR="00822DBF">
        <w:rPr>
          <w:rStyle w:val="Emphasis"/>
          <w:i w:val="0"/>
          <w:sz w:val="28"/>
          <w:szCs w:val="28"/>
        </w:rPr>
        <w:t>175</w:t>
      </w:r>
      <w:r w:rsidRPr="00A15E58" w:rsidR="00341B32">
        <w:rPr>
          <w:rStyle w:val="Emphasis"/>
          <w:i w:val="0"/>
          <w:sz w:val="28"/>
          <w:szCs w:val="28"/>
        </w:rPr>
        <w:t xml:space="preserve"> </w:t>
      </w:r>
      <w:r w:rsidRPr="00D97DDA" w:rsidR="00341B32">
        <w:rPr>
          <w:rStyle w:val="Emphasis"/>
          <w:i w:val="0"/>
          <w:sz w:val="28"/>
          <w:szCs w:val="28"/>
        </w:rPr>
        <w:t>„</w:t>
      </w:r>
      <w:r w:rsidR="00822DBF">
        <w:rPr>
          <w:rStyle w:val="Emphasis"/>
          <w:i w:val="0"/>
          <w:sz w:val="28"/>
          <w:szCs w:val="28"/>
        </w:rPr>
        <w:t>Recepšu veidlapu izgatavošanas un uzglabāšanas, kā arī recepšu izrakstīšanas un uzglabāšanas noteikumi</w:t>
      </w:r>
      <w:r w:rsidRPr="00A15E58" w:rsidR="00341B32">
        <w:rPr>
          <w:rStyle w:val="Emphasis"/>
          <w:i w:val="0"/>
          <w:sz w:val="28"/>
          <w:szCs w:val="28"/>
        </w:rPr>
        <w:t xml:space="preserve">” </w:t>
      </w:r>
      <w:r w:rsidRPr="009901BB" w:rsidR="00341B32">
        <w:rPr>
          <w:rStyle w:val="Emphasis"/>
          <w:i w:val="0"/>
          <w:sz w:val="28"/>
          <w:szCs w:val="28"/>
        </w:rPr>
        <w:t>(Latvijas Vēstnesis, 20</w:t>
      </w:r>
      <w:r w:rsidRPr="009901BB" w:rsidR="009901BB">
        <w:rPr>
          <w:rStyle w:val="Emphasis"/>
          <w:i w:val="0"/>
          <w:sz w:val="28"/>
          <w:szCs w:val="28"/>
        </w:rPr>
        <w:t>0</w:t>
      </w:r>
      <w:r w:rsidR="00822DBF">
        <w:rPr>
          <w:rStyle w:val="Emphasis"/>
          <w:i w:val="0"/>
          <w:sz w:val="28"/>
          <w:szCs w:val="28"/>
        </w:rPr>
        <w:t>5</w:t>
      </w:r>
      <w:r w:rsidRPr="009901BB" w:rsidR="00341B32">
        <w:rPr>
          <w:rStyle w:val="Emphasis"/>
          <w:i w:val="0"/>
          <w:sz w:val="28"/>
          <w:szCs w:val="28"/>
        </w:rPr>
        <w:t xml:space="preserve">, </w:t>
      </w:r>
      <w:r w:rsidR="00822DBF">
        <w:rPr>
          <w:rStyle w:val="Emphasis"/>
          <w:i w:val="0"/>
          <w:sz w:val="28"/>
          <w:szCs w:val="28"/>
        </w:rPr>
        <w:t>48</w:t>
      </w:r>
      <w:r w:rsidRPr="009901BB" w:rsidR="00341B32">
        <w:rPr>
          <w:rStyle w:val="Emphasis"/>
          <w:i w:val="0"/>
          <w:sz w:val="28"/>
          <w:szCs w:val="28"/>
        </w:rPr>
        <w:t>.</w:t>
      </w:r>
      <w:r w:rsidR="00822DBF">
        <w:rPr>
          <w:rStyle w:val="Emphasis"/>
          <w:i w:val="0"/>
          <w:sz w:val="28"/>
          <w:szCs w:val="28"/>
        </w:rPr>
        <w:t xml:space="preserve"> </w:t>
      </w:r>
      <w:r w:rsidRPr="009901BB" w:rsidR="00341B32">
        <w:rPr>
          <w:rStyle w:val="Emphasis"/>
          <w:i w:val="0"/>
          <w:sz w:val="28"/>
          <w:szCs w:val="28"/>
        </w:rPr>
        <w:t>nr</w:t>
      </w:r>
      <w:r w:rsidRPr="009901BB" w:rsidR="00C6797B">
        <w:rPr>
          <w:rStyle w:val="Emphasis"/>
          <w:i w:val="0"/>
          <w:sz w:val="28"/>
          <w:szCs w:val="28"/>
        </w:rPr>
        <w:t>.</w:t>
      </w:r>
      <w:r w:rsidR="00822DBF">
        <w:rPr>
          <w:rStyle w:val="Emphasis"/>
          <w:i w:val="0"/>
          <w:sz w:val="28"/>
          <w:szCs w:val="28"/>
        </w:rPr>
        <w:t>; 2007, 104. nr.; 2008, 22., 87. nr.; 2011, 60. nr.; 2013, 208. nr.; 2016, 9.</w:t>
      </w:r>
      <w:r w:rsidR="003F08AE">
        <w:rPr>
          <w:rStyle w:val="Emphasis"/>
          <w:i w:val="0"/>
          <w:sz w:val="28"/>
          <w:szCs w:val="28"/>
        </w:rPr>
        <w:t>, 233.</w:t>
      </w:r>
      <w:r w:rsidR="00822DBF">
        <w:rPr>
          <w:rStyle w:val="Emphasis"/>
          <w:i w:val="0"/>
          <w:sz w:val="28"/>
          <w:szCs w:val="28"/>
        </w:rPr>
        <w:t xml:space="preserve"> nr.</w:t>
      </w:r>
      <w:r w:rsidRPr="009901BB" w:rsidR="00341B32">
        <w:rPr>
          <w:rStyle w:val="Emphasis"/>
          <w:i w:val="0"/>
          <w:sz w:val="28"/>
          <w:szCs w:val="28"/>
        </w:rPr>
        <w:t>)</w:t>
      </w:r>
      <w:r w:rsidRPr="00A15E58" w:rsidR="00341B32">
        <w:rPr>
          <w:rStyle w:val="Emphasis"/>
          <w:i w:val="0"/>
          <w:sz w:val="28"/>
          <w:szCs w:val="28"/>
        </w:rPr>
        <w:t xml:space="preserve"> </w:t>
      </w:r>
      <w:r w:rsidRPr="00A15E58" w:rsidR="00591C30">
        <w:rPr>
          <w:rStyle w:val="Emphasis"/>
          <w:i w:val="0"/>
          <w:sz w:val="28"/>
          <w:szCs w:val="28"/>
        </w:rPr>
        <w:t xml:space="preserve">šādus </w:t>
      </w:r>
      <w:r w:rsidRPr="00A15E58" w:rsidR="0019511A">
        <w:rPr>
          <w:rStyle w:val="Emphasis"/>
          <w:i w:val="0"/>
          <w:sz w:val="28"/>
          <w:szCs w:val="28"/>
        </w:rPr>
        <w:t>grozījumu</w:t>
      </w:r>
      <w:r w:rsidRPr="00A15E58" w:rsidR="00591C30">
        <w:rPr>
          <w:rStyle w:val="Emphasis"/>
          <w:i w:val="0"/>
          <w:sz w:val="28"/>
          <w:szCs w:val="28"/>
        </w:rPr>
        <w:t>s:</w:t>
      </w:r>
      <w:r w:rsidRPr="009901BB" w:rsidR="009901BB">
        <w:t xml:space="preserve"> </w:t>
      </w:r>
    </w:p>
    <w:p w:rsidR="000F4A68" w:rsidP="00EE6653">
      <w:pPr>
        <w:pStyle w:val="NoSpacing"/>
        <w:ind w:firstLine="720"/>
        <w:jc w:val="both"/>
      </w:pPr>
    </w:p>
    <w:p w:rsidR="000F4A68" w:rsidRPr="0049219B" w:rsidP="000F4A68">
      <w:pPr>
        <w:pStyle w:val="NoSpacing"/>
        <w:ind w:left="720"/>
        <w:jc w:val="both"/>
        <w:rPr>
          <w:sz w:val="28"/>
          <w:szCs w:val="28"/>
        </w:rPr>
      </w:pPr>
      <w:r w:rsidRPr="0049219B">
        <w:rPr>
          <w:sz w:val="28"/>
          <w:szCs w:val="28"/>
        </w:rPr>
        <w:t>1.1. Papildināt 15.punktu ar piekto teikumu šādā redakcijā:</w:t>
      </w:r>
    </w:p>
    <w:p w:rsidR="000F4A68" w:rsidRPr="0049219B" w:rsidP="000F4A68">
      <w:pPr>
        <w:pStyle w:val="NoSpacing"/>
        <w:ind w:firstLine="720"/>
        <w:jc w:val="both"/>
        <w:rPr>
          <w:sz w:val="28"/>
          <w:szCs w:val="28"/>
        </w:rPr>
      </w:pPr>
      <w:r w:rsidRPr="0049219B">
        <w:rPr>
          <w:sz w:val="28"/>
          <w:szCs w:val="28"/>
        </w:rPr>
        <w:t>„Ārsta palīgs (feldšeris), saņemot parastās recepšu veidlapas z</w:t>
      </w:r>
      <w:r w:rsidRPr="0049219B" w:rsidR="00E709EA">
        <w:rPr>
          <w:sz w:val="28"/>
          <w:szCs w:val="28"/>
        </w:rPr>
        <w:t>ā</w:t>
      </w:r>
      <w:r w:rsidRPr="0049219B">
        <w:rPr>
          <w:sz w:val="28"/>
          <w:szCs w:val="28"/>
        </w:rPr>
        <w:t>ļu izrakstīšanai personīgai lietošanai, uzrāda personu apliecinošu dokumentu, diplomu, kas apliecina viņa izglītību, vai ārsta palīga (feldšera) sertifikātu.”;</w:t>
      </w:r>
    </w:p>
    <w:p w:rsidR="000F4A68" w:rsidRPr="0049219B" w:rsidP="000F4A68">
      <w:pPr>
        <w:pStyle w:val="NoSpacing"/>
        <w:ind w:firstLine="720"/>
        <w:jc w:val="both"/>
        <w:rPr>
          <w:sz w:val="28"/>
          <w:szCs w:val="28"/>
        </w:rPr>
      </w:pPr>
    </w:p>
    <w:p w:rsidR="00EE6653" w:rsidRPr="0049219B" w:rsidP="00EE6653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49219B">
        <w:rPr>
          <w:rStyle w:val="Emphasis"/>
          <w:i w:val="0"/>
          <w:iCs w:val="0"/>
          <w:sz w:val="28"/>
          <w:szCs w:val="28"/>
        </w:rPr>
        <w:t>1.2. Papildināt 29.4. apakšpunktu aiz vārda „ārsts” ar vārdiem „vai ārsta palīgs (feldšeris)”;</w:t>
      </w:r>
    </w:p>
    <w:p w:rsidR="000F4A68" w:rsidRPr="0049219B" w:rsidP="00EE6653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:rsidR="000F4A68" w:rsidRPr="0049219B" w:rsidP="00EE6653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49219B">
        <w:rPr>
          <w:rStyle w:val="Emphasis"/>
          <w:i w:val="0"/>
          <w:iCs w:val="0"/>
          <w:sz w:val="28"/>
          <w:szCs w:val="28"/>
        </w:rPr>
        <w:t>1.3. Papildināt 32.punktu ar trešo teikumu šādā redakcijā:</w:t>
      </w:r>
    </w:p>
    <w:p w:rsidR="000F4A68" w:rsidRPr="0049219B" w:rsidP="00EE6653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49219B">
        <w:rPr>
          <w:rStyle w:val="Emphasis"/>
          <w:i w:val="0"/>
          <w:iCs w:val="0"/>
          <w:sz w:val="28"/>
          <w:szCs w:val="28"/>
        </w:rPr>
        <w:t>„Ārsta palīgam (feldšerim), kurš nestrādā ārstniecības iestādē, atļauts izrakstīt zāles uz parastās receptes tikai personīgai lietošanai, bet ne vairāk kā 30 receptes gadā.”;</w:t>
      </w:r>
    </w:p>
    <w:p w:rsidR="000F4A68" w:rsidRPr="000F4A68" w:rsidP="00EE6653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:rsidR="00D97DDA" w:rsidP="00EE6653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</w:t>
      </w:r>
      <w:r w:rsidR="000F4A68">
        <w:rPr>
          <w:rStyle w:val="Emphasis"/>
          <w:i w:val="0"/>
          <w:iCs w:val="0"/>
          <w:sz w:val="28"/>
          <w:szCs w:val="28"/>
        </w:rPr>
        <w:t>4</w:t>
      </w:r>
      <w:r w:rsidRPr="00574B6C" w:rsidR="007C1926">
        <w:rPr>
          <w:rStyle w:val="Emphasis"/>
          <w:i w:val="0"/>
          <w:iCs w:val="0"/>
          <w:sz w:val="28"/>
          <w:szCs w:val="28"/>
        </w:rPr>
        <w:t>.</w:t>
      </w:r>
      <w:r w:rsidRPr="00574B6C" w:rsidR="00574B6C">
        <w:rPr>
          <w:rStyle w:val="Emphasis"/>
          <w:i w:val="0"/>
          <w:iCs w:val="0"/>
          <w:sz w:val="28"/>
          <w:szCs w:val="28"/>
        </w:rPr>
        <w:t xml:space="preserve"> </w:t>
      </w:r>
      <w:r w:rsidR="00822DBF">
        <w:rPr>
          <w:rStyle w:val="Emphasis"/>
          <w:i w:val="0"/>
          <w:iCs w:val="0"/>
          <w:sz w:val="28"/>
          <w:szCs w:val="28"/>
        </w:rPr>
        <w:t>Svītrot 48.</w:t>
      </w:r>
      <w:r w:rsidR="00822DBF">
        <w:rPr>
          <w:rStyle w:val="Emphasis"/>
          <w:i w:val="0"/>
          <w:iCs w:val="0"/>
          <w:sz w:val="28"/>
          <w:szCs w:val="28"/>
          <w:vertAlign w:val="superscript"/>
        </w:rPr>
        <w:t xml:space="preserve">2 </w:t>
      </w:r>
      <w:r w:rsidR="000F4A68">
        <w:rPr>
          <w:rStyle w:val="Emphasis"/>
          <w:i w:val="0"/>
          <w:iCs w:val="0"/>
          <w:sz w:val="28"/>
          <w:szCs w:val="28"/>
        </w:rPr>
        <w:t>punktu;</w:t>
      </w:r>
    </w:p>
    <w:p w:rsidR="000F4A68" w:rsidRPr="00574B6C" w:rsidP="00EE6653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</w:p>
    <w:p w:rsidR="004F2C6F" w:rsidP="00EE665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</w:t>
      </w:r>
      <w:r w:rsidR="000F4A68">
        <w:rPr>
          <w:rStyle w:val="Emphasis"/>
          <w:i w:val="0"/>
          <w:sz w:val="28"/>
          <w:szCs w:val="28"/>
        </w:rPr>
        <w:t>5</w:t>
      </w:r>
      <w:r w:rsidR="00D97DDA">
        <w:rPr>
          <w:rStyle w:val="Emphasis"/>
          <w:i w:val="0"/>
          <w:sz w:val="28"/>
          <w:szCs w:val="28"/>
        </w:rPr>
        <w:t>.</w:t>
      </w:r>
      <w:r>
        <w:rPr>
          <w:rStyle w:val="Emphasis"/>
          <w:i w:val="0"/>
          <w:sz w:val="28"/>
          <w:szCs w:val="28"/>
        </w:rPr>
        <w:t xml:space="preserve"> Izteikt 48.</w:t>
      </w:r>
      <w:r>
        <w:rPr>
          <w:rStyle w:val="Emphasis"/>
          <w:i w:val="0"/>
          <w:sz w:val="28"/>
          <w:szCs w:val="28"/>
          <w:vertAlign w:val="superscript"/>
        </w:rPr>
        <w:t xml:space="preserve">3 </w:t>
      </w:r>
      <w:r>
        <w:rPr>
          <w:rStyle w:val="Emphasis"/>
          <w:i w:val="0"/>
          <w:sz w:val="28"/>
          <w:szCs w:val="28"/>
        </w:rPr>
        <w:t>punkta pirmo un otro teikumu šādā redakcijā:</w:t>
      </w:r>
    </w:p>
    <w:p w:rsidR="00EE6653" w:rsidP="00EE665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574B6C" w:rsidP="00EE665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“Lai iegādātos elektroniskajā receptē izrakstītās zāles, persona farmaceitam vai farmaceita asistentam uzrāda personu apliecinošu dokumentu. Ja zāles iegādājas persona, kurai recepte nav izrakstīta,</w:t>
      </w:r>
      <w:r w:rsidR="00980716">
        <w:rPr>
          <w:rStyle w:val="Emphasis"/>
          <w:i w:val="0"/>
          <w:sz w:val="28"/>
          <w:szCs w:val="28"/>
        </w:rPr>
        <w:t xml:space="preserve"> bet kura ir pilnvarota apstrādāt personas, kurai recepte izrakstīta, datus veselības informācijas sistēmā,</w:t>
      </w:r>
      <w:r>
        <w:rPr>
          <w:rStyle w:val="Emphasis"/>
          <w:i w:val="0"/>
          <w:sz w:val="28"/>
          <w:szCs w:val="28"/>
        </w:rPr>
        <w:t xml:space="preserve"> tā farmaceitam vai farmaceita asistentam uzrāda savu personu apliecinošu </w:t>
      </w:r>
      <w:r>
        <w:rPr>
          <w:rStyle w:val="Emphasis"/>
          <w:i w:val="0"/>
          <w:sz w:val="28"/>
          <w:szCs w:val="28"/>
        </w:rPr>
        <w:t>dokumentu un nosauc tās personas vārdu un uzvārdu, kurai recepte izrakstīta.</w:t>
      </w:r>
      <w:r w:rsidR="00980716">
        <w:rPr>
          <w:rStyle w:val="Emphasis"/>
          <w:i w:val="0"/>
          <w:sz w:val="28"/>
          <w:szCs w:val="28"/>
        </w:rPr>
        <w:t xml:space="preserve"> Pārējos gadījumos, kad zāles iegādājas persona, kurai recepte nav izrakstīta, tā farmaceitam vai farmaceitam asistentam uzrāda receptes indetifikācijas numuru un nosauc tās personas vārdu un uzvārdu, kurai recepte izrakstīta.</w:t>
      </w:r>
      <w:r>
        <w:rPr>
          <w:rStyle w:val="Emphasis"/>
          <w:i w:val="0"/>
          <w:sz w:val="28"/>
          <w:szCs w:val="28"/>
        </w:rPr>
        <w:t>”</w:t>
      </w:r>
      <w:r w:rsidR="000F4A68">
        <w:rPr>
          <w:rStyle w:val="Emphasis"/>
          <w:i w:val="0"/>
          <w:sz w:val="28"/>
          <w:szCs w:val="28"/>
        </w:rPr>
        <w:t>;</w:t>
      </w:r>
    </w:p>
    <w:p w:rsidR="000F4A68" w:rsidP="00EE665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4D767B" w:rsidP="00EE665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</w:t>
      </w:r>
      <w:r w:rsidR="000F4A68">
        <w:rPr>
          <w:rStyle w:val="Emphasis"/>
          <w:i w:val="0"/>
          <w:sz w:val="28"/>
          <w:szCs w:val="28"/>
        </w:rPr>
        <w:t>6</w:t>
      </w:r>
      <w:r>
        <w:rPr>
          <w:rStyle w:val="Emphasis"/>
          <w:i w:val="0"/>
          <w:sz w:val="28"/>
          <w:szCs w:val="28"/>
        </w:rPr>
        <w:t xml:space="preserve">. </w:t>
      </w:r>
      <w:r w:rsidR="007115C4">
        <w:rPr>
          <w:rStyle w:val="Emphasis"/>
          <w:i w:val="0"/>
          <w:sz w:val="28"/>
          <w:szCs w:val="28"/>
        </w:rPr>
        <w:t>Papildināt</w:t>
      </w:r>
      <w:r>
        <w:rPr>
          <w:rStyle w:val="Emphasis"/>
          <w:i w:val="0"/>
          <w:sz w:val="28"/>
          <w:szCs w:val="28"/>
        </w:rPr>
        <w:t xml:space="preserve"> 49.</w:t>
      </w:r>
      <w:r>
        <w:rPr>
          <w:rStyle w:val="Emphasis"/>
          <w:i w:val="0"/>
          <w:sz w:val="28"/>
          <w:szCs w:val="28"/>
          <w:vertAlign w:val="superscript"/>
        </w:rPr>
        <w:t xml:space="preserve">1 </w:t>
      </w:r>
      <w:r>
        <w:rPr>
          <w:rStyle w:val="Emphasis"/>
          <w:i w:val="0"/>
          <w:sz w:val="28"/>
          <w:szCs w:val="28"/>
        </w:rPr>
        <w:t xml:space="preserve">punktu </w:t>
      </w:r>
      <w:r w:rsidR="007115C4">
        <w:rPr>
          <w:rStyle w:val="Emphasis"/>
          <w:i w:val="0"/>
          <w:sz w:val="28"/>
          <w:szCs w:val="28"/>
        </w:rPr>
        <w:t xml:space="preserve">ar otro teikumu </w:t>
      </w:r>
      <w:r>
        <w:rPr>
          <w:rStyle w:val="Emphasis"/>
          <w:i w:val="0"/>
          <w:sz w:val="28"/>
          <w:szCs w:val="28"/>
        </w:rPr>
        <w:t>šādā redakcijā:</w:t>
      </w:r>
    </w:p>
    <w:p w:rsidR="00EE6653" w:rsidP="00EE665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4D767B" w:rsidRPr="0049219B" w:rsidP="00EE665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49219B">
        <w:rPr>
          <w:rStyle w:val="Emphasis"/>
          <w:i w:val="0"/>
          <w:sz w:val="28"/>
          <w:szCs w:val="28"/>
        </w:rPr>
        <w:t>“Ja zāles izrakstītas uz parastās receptes veidlap</w:t>
      </w:r>
      <w:r w:rsidRPr="0049219B" w:rsidR="00980716">
        <w:rPr>
          <w:rStyle w:val="Emphasis"/>
          <w:i w:val="0"/>
          <w:sz w:val="28"/>
          <w:szCs w:val="28"/>
        </w:rPr>
        <w:t xml:space="preserve">as, izņemot šo noteikumu </w:t>
      </w:r>
      <w:r w:rsidRPr="0049219B" w:rsidR="00712773">
        <w:rPr>
          <w:rStyle w:val="Emphasis"/>
          <w:i w:val="0"/>
          <w:sz w:val="28"/>
          <w:szCs w:val="28"/>
        </w:rPr>
        <w:t>29.3. un</w:t>
      </w:r>
      <w:r w:rsidRPr="0049219B">
        <w:rPr>
          <w:rStyle w:val="Emphasis"/>
          <w:i w:val="0"/>
          <w:sz w:val="28"/>
          <w:szCs w:val="28"/>
        </w:rPr>
        <w:t xml:space="preserve"> 29.4. apakšpunktā minētos gadījumus, aptieka saskaņā ar normatīvajiem aktiem par vienoto veselības nozares elektronisko informācijas sistēmu ir tiesīga pēc pacienta lūguma tiešsaistē sniegt informāciju par izrakstītajām un izsniegtajām zālēm.”</w:t>
      </w:r>
      <w:r w:rsidRPr="0049219B" w:rsidR="000F4A68">
        <w:rPr>
          <w:rStyle w:val="Emphasis"/>
          <w:i w:val="0"/>
          <w:sz w:val="28"/>
          <w:szCs w:val="28"/>
        </w:rPr>
        <w:t>;</w:t>
      </w:r>
    </w:p>
    <w:p w:rsidR="000F4A68" w:rsidRPr="004D767B" w:rsidP="00EE6653">
      <w:pPr>
        <w:pStyle w:val="NoSpacing"/>
        <w:ind w:firstLine="720"/>
        <w:jc w:val="both"/>
        <w:rPr>
          <w:sz w:val="28"/>
          <w:szCs w:val="28"/>
        </w:rPr>
      </w:pPr>
    </w:p>
    <w:p w:rsidR="00DD2BB8" w:rsidP="00EE6653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0F4A68">
        <w:rPr>
          <w:iCs/>
          <w:sz w:val="28"/>
          <w:szCs w:val="28"/>
        </w:rPr>
        <w:t>7</w:t>
      </w:r>
      <w:r w:rsidRPr="003666A1" w:rsidR="00AE7889">
        <w:rPr>
          <w:iCs/>
          <w:sz w:val="28"/>
          <w:szCs w:val="28"/>
        </w:rPr>
        <w:t xml:space="preserve">. </w:t>
      </w:r>
      <w:r w:rsidR="004F2C6F">
        <w:rPr>
          <w:iCs/>
          <w:sz w:val="28"/>
          <w:szCs w:val="28"/>
        </w:rPr>
        <w:t>Svītrot 3.pielikuma 15.punktu.</w:t>
      </w:r>
    </w:p>
    <w:p w:rsidR="00EE6653" w:rsidP="00EE6653">
      <w:pPr>
        <w:pStyle w:val="NoSpacing"/>
        <w:ind w:firstLine="720"/>
        <w:jc w:val="both"/>
        <w:rPr>
          <w:iCs/>
          <w:sz w:val="28"/>
          <w:szCs w:val="28"/>
        </w:rPr>
      </w:pPr>
    </w:p>
    <w:p w:rsidR="00444A2E" w:rsidP="00EE6653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Noteikumu 1.</w:t>
      </w:r>
      <w:r w:rsidR="00D72BF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.apakšpunkts</w:t>
      </w:r>
      <w:r>
        <w:rPr>
          <w:iCs/>
          <w:sz w:val="28"/>
          <w:szCs w:val="28"/>
        </w:rPr>
        <w:t xml:space="preserve"> stājas spēkā 2017.gada 1.septembrī.</w:t>
      </w:r>
    </w:p>
    <w:p w:rsidR="00EE6653" w:rsidP="00EE6653">
      <w:pPr>
        <w:pStyle w:val="NoSpacing"/>
        <w:ind w:firstLine="720"/>
        <w:jc w:val="both"/>
        <w:rPr>
          <w:iCs/>
          <w:sz w:val="28"/>
          <w:szCs w:val="28"/>
        </w:rPr>
      </w:pPr>
    </w:p>
    <w:p w:rsidR="00444A2E" w:rsidP="00EE6653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3. Noteikumu 1.</w:t>
      </w:r>
      <w:r w:rsidR="00D72BF9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.apakšpunkts stājas spēkā 2017.gada 1.oktobrī.</w:t>
      </w:r>
    </w:p>
    <w:p w:rsidR="00DD2BB8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574B6C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F55348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ab/>
        <w:t>Māris Kučinskis</w:t>
      </w:r>
    </w:p>
    <w:p w:rsidR="000A566D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B50D06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F368C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AB0C46">
        <w:rPr>
          <w:rFonts w:eastAsia="Calibri"/>
          <w:sz w:val="28"/>
          <w:szCs w:val="28"/>
        </w:rPr>
        <w:t>Veselības ministre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  <w:r>
        <w:rPr>
          <w:rFonts w:eastAsia="Calibri"/>
          <w:sz w:val="28"/>
          <w:szCs w:val="28"/>
        </w:rPr>
        <w:tab/>
      </w: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P="00F368C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Iesniedzējs: Veselības ministr</w:t>
      </w:r>
      <w:r w:rsidR="00F368C3">
        <w:rPr>
          <w:rFonts w:eastAsia="Calibri"/>
          <w:sz w:val="28"/>
          <w:szCs w:val="28"/>
        </w:rPr>
        <w:t>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RPr="00AB0C46" w:rsidP="00F368C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</w:t>
      </w:r>
      <w:bookmarkStart w:id="0" w:name="_GoBack"/>
      <w:bookmarkEnd w:id="0"/>
      <w:r w:rsidRPr="009C25C1">
        <w:rPr>
          <w:rFonts w:eastAsia="Calibri"/>
          <w:sz w:val="28"/>
          <w:szCs w:val="28"/>
        </w:rPr>
        <w:t>lsts sekretār</w:t>
      </w:r>
      <w:r w:rsidR="005954A4">
        <w:rPr>
          <w:rFonts w:eastAsia="Calibri"/>
          <w:sz w:val="28"/>
          <w:szCs w:val="28"/>
        </w:rPr>
        <w:t>s</w:t>
      </w:r>
      <w:r w:rsidR="00F368C3">
        <w:rPr>
          <w:rFonts w:eastAsia="Calibri"/>
          <w:sz w:val="28"/>
          <w:szCs w:val="28"/>
        </w:rPr>
        <w:tab/>
      </w:r>
      <w:r w:rsidR="005954A4">
        <w:rPr>
          <w:rFonts w:eastAsia="Calibri"/>
          <w:sz w:val="28"/>
          <w:szCs w:val="28"/>
        </w:rPr>
        <w:t>Kārlis Ketners</w:t>
      </w:r>
    </w:p>
    <w:sectPr w:rsidSect="00E94E88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585A" w:rsidRPr="004B62B2" w:rsidP="004B62B2">
    <w:pPr>
      <w:pStyle w:val="Footer"/>
      <w:tabs>
        <w:tab w:val="clear" w:pos="4153"/>
        <w:tab w:val="clear" w:pos="8306"/>
      </w:tabs>
      <w:jc w:val="both"/>
    </w:pPr>
    <w:r w:rsidRPr="004B62B2">
      <w:rPr>
        <w:sz w:val="20"/>
      </w:rPr>
      <w:t>VMnot_</w:t>
    </w:r>
    <w:r w:rsidR="0049219B">
      <w:rPr>
        <w:sz w:val="20"/>
      </w:rPr>
      <w:t>17</w:t>
    </w:r>
    <w:r w:rsidR="00D72BF9">
      <w:rPr>
        <w:sz w:val="20"/>
      </w:rPr>
      <w:t>08</w:t>
    </w:r>
    <w:r>
      <w:rPr>
        <w:sz w:val="20"/>
      </w:rPr>
      <w:t>17_175_recepte</w:t>
    </w:r>
    <w:r w:rsidRPr="004B62B2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585A" w:rsidRPr="004B62B2" w:rsidP="00E16974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  <w:r w:rsidRPr="004B62B2">
      <w:rPr>
        <w:sz w:val="20"/>
      </w:rPr>
      <w:t>VMnot_</w:t>
    </w:r>
    <w:r w:rsidR="0049219B">
      <w:rPr>
        <w:sz w:val="20"/>
      </w:rPr>
      <w:t>17</w:t>
    </w:r>
    <w:r w:rsidR="00D72BF9">
      <w:rPr>
        <w:sz w:val="20"/>
      </w:rPr>
      <w:t>08</w:t>
    </w:r>
    <w:r>
      <w:rPr>
        <w:sz w:val="20"/>
      </w:rPr>
      <w:t>17_175_ recepte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585A">
    <w:pPr>
      <w:pStyle w:val="Header"/>
      <w:jc w:val="center"/>
    </w:pPr>
    <w:r>
      <w:fldChar w:fldCharType="begin"/>
    </w:r>
    <w:r w:rsidR="00C143E4">
      <w:instrText xml:space="preserve"> PAGE   \* MERGEFORMAT </w:instrText>
    </w:r>
    <w:r>
      <w:fldChar w:fldCharType="separate"/>
    </w:r>
    <w:r w:rsidR="0049219B">
      <w:rPr>
        <w:noProof/>
      </w:rPr>
      <w:t>2</w:t>
    </w:r>
    <w:r>
      <w:rPr>
        <w:noProof/>
      </w:rPr>
      <w:fldChar w:fldCharType="end"/>
    </w:r>
  </w:p>
  <w:p w:rsidR="00975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1C23187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E957EE8"/>
    <w:multiLevelType w:val="multilevel"/>
    <w:tmpl w:val="CAB89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FE24CCE"/>
    <w:multiLevelType w:val="hybridMultilevel"/>
    <w:tmpl w:val="3C109B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62B68"/>
    <w:multiLevelType w:val="hybridMultilevel"/>
    <w:tmpl w:val="A1A0DF98"/>
    <w:lvl w:ilvl="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DF54F3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EC90601"/>
    <w:multiLevelType w:val="hybridMultilevel"/>
    <w:tmpl w:val="21DC6EC0"/>
    <w:lvl w:ilvl="0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43A14A8F"/>
    <w:multiLevelType w:val="hybridMultilevel"/>
    <w:tmpl w:val="FE383180"/>
    <w:lvl w:ilvl="0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DCD7465"/>
    <w:multiLevelType w:val="hybridMultilevel"/>
    <w:tmpl w:val="B6461270"/>
    <w:lvl w:ilvl="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352ED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2">
    <w:nsid w:val="53565F4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17F2343"/>
    <w:multiLevelType w:val="hybridMultilevel"/>
    <w:tmpl w:val="140C59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A0F16FA"/>
    <w:multiLevelType w:val="hybridMultilevel"/>
    <w:tmpl w:val="4E546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97B93"/>
    <w:multiLevelType w:val="hybridMultilevel"/>
    <w:tmpl w:val="C2F8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D4B0B11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E2D5CA3"/>
    <w:multiLevelType w:val="multilevel"/>
    <w:tmpl w:val="2D8A5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0"/>
  </w:num>
  <w:num w:numId="5">
    <w:abstractNumId w:val="12"/>
  </w:num>
  <w:num w:numId="6">
    <w:abstractNumId w:val="21"/>
  </w:num>
  <w:num w:numId="7">
    <w:abstractNumId w:val="33"/>
  </w:num>
  <w:num w:numId="8">
    <w:abstractNumId w:val="11"/>
  </w:num>
  <w:num w:numId="9">
    <w:abstractNumId w:val="18"/>
  </w:num>
  <w:num w:numId="10">
    <w:abstractNumId w:val="28"/>
  </w:num>
  <w:num w:numId="11">
    <w:abstractNumId w:val="25"/>
  </w:num>
  <w:num w:numId="12">
    <w:abstractNumId w:val="27"/>
  </w:num>
  <w:num w:numId="13">
    <w:abstractNumId w:val="4"/>
  </w:num>
  <w:num w:numId="14">
    <w:abstractNumId w:val="17"/>
  </w:num>
  <w:num w:numId="15">
    <w:abstractNumId w:val="1"/>
  </w:num>
  <w:num w:numId="16">
    <w:abstractNumId w:val="26"/>
  </w:num>
  <w:num w:numId="17">
    <w:abstractNumId w:val="14"/>
  </w:num>
  <w:num w:numId="18">
    <w:abstractNumId w:val="32"/>
  </w:num>
  <w:num w:numId="19">
    <w:abstractNumId w:val="23"/>
  </w:num>
  <w:num w:numId="20">
    <w:abstractNumId w:val="29"/>
  </w:num>
  <w:num w:numId="21">
    <w:abstractNumId w:val="15"/>
  </w:num>
  <w:num w:numId="22">
    <w:abstractNumId w:val="3"/>
  </w:num>
  <w:num w:numId="23">
    <w:abstractNumId w:val="6"/>
  </w:num>
  <w:num w:numId="24">
    <w:abstractNumId w:val="22"/>
  </w:num>
  <w:num w:numId="25">
    <w:abstractNumId w:val="30"/>
  </w:num>
  <w:num w:numId="26">
    <w:abstractNumId w:val="20"/>
  </w:num>
  <w:num w:numId="27">
    <w:abstractNumId w:val="10"/>
  </w:num>
  <w:num w:numId="28">
    <w:abstractNumId w:val="19"/>
  </w:num>
  <w:num w:numId="29">
    <w:abstractNumId w:val="9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4A68"/>
    <w:rsid w:val="000F6CB4"/>
    <w:rsid w:val="000F7BB6"/>
    <w:rsid w:val="000F7CC1"/>
    <w:rsid w:val="0010050D"/>
    <w:rsid w:val="00101089"/>
    <w:rsid w:val="001053D8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2EB"/>
    <w:rsid w:val="00154C29"/>
    <w:rsid w:val="00155311"/>
    <w:rsid w:val="00160016"/>
    <w:rsid w:val="00160112"/>
    <w:rsid w:val="00160145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592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38B6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133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C73BE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68A"/>
    <w:rsid w:val="0040242D"/>
    <w:rsid w:val="0040345F"/>
    <w:rsid w:val="00403B77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A2E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33F4"/>
    <w:rsid w:val="00474B61"/>
    <w:rsid w:val="00474D46"/>
    <w:rsid w:val="00475EB6"/>
    <w:rsid w:val="0047668D"/>
    <w:rsid w:val="00477210"/>
    <w:rsid w:val="00480FD7"/>
    <w:rsid w:val="00485169"/>
    <w:rsid w:val="00490317"/>
    <w:rsid w:val="004908D6"/>
    <w:rsid w:val="00490F43"/>
    <w:rsid w:val="0049219B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5F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D767B"/>
    <w:rsid w:val="004E2A49"/>
    <w:rsid w:val="004E6381"/>
    <w:rsid w:val="004E662D"/>
    <w:rsid w:val="004E6815"/>
    <w:rsid w:val="004F189A"/>
    <w:rsid w:val="004F2C6F"/>
    <w:rsid w:val="004F3427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B7D5D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15C4"/>
    <w:rsid w:val="00712773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1B51"/>
    <w:rsid w:val="007428A2"/>
    <w:rsid w:val="00743FFB"/>
    <w:rsid w:val="00745CE0"/>
    <w:rsid w:val="00745F19"/>
    <w:rsid w:val="007468EE"/>
    <w:rsid w:val="00747A86"/>
    <w:rsid w:val="00747F3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215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302E"/>
    <w:rsid w:val="00813669"/>
    <w:rsid w:val="008139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6EF6"/>
    <w:rsid w:val="00857B79"/>
    <w:rsid w:val="0086034E"/>
    <w:rsid w:val="00860533"/>
    <w:rsid w:val="00860C0B"/>
    <w:rsid w:val="0086100A"/>
    <w:rsid w:val="00861033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D69DD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589F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4ABC"/>
    <w:rsid w:val="00964CD7"/>
    <w:rsid w:val="009654B0"/>
    <w:rsid w:val="009671B0"/>
    <w:rsid w:val="00973A4B"/>
    <w:rsid w:val="00974258"/>
    <w:rsid w:val="0097585A"/>
    <w:rsid w:val="00977612"/>
    <w:rsid w:val="009776DB"/>
    <w:rsid w:val="00980716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354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F90"/>
    <w:rsid w:val="00AB6C36"/>
    <w:rsid w:val="00AB6E36"/>
    <w:rsid w:val="00AC1967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05A20"/>
    <w:rsid w:val="00C11465"/>
    <w:rsid w:val="00C143E4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2BF9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6880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09EA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38"/>
    <w:rsid w:val="00ED58E8"/>
    <w:rsid w:val="00EE205B"/>
    <w:rsid w:val="00EE2397"/>
    <w:rsid w:val="00EE2701"/>
    <w:rsid w:val="00EE363D"/>
    <w:rsid w:val="00EE492C"/>
    <w:rsid w:val="00EE6653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E1F"/>
    <w:rsid w:val="00F54FF9"/>
    <w:rsid w:val="00F55348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5CFD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A391BDE-D333-4ABB-893D-CD70EE3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FFBC-A6B6-4877-9EE5-D16290AD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8. marta noteikumos Nr.175 "Recepšu veidlapu izgatavošanas un uzglabāšanas, kā arī recepšu izrakstīšanas un uzglabāšanas noteikumi"</vt:lpstr>
    </vt:vector>
  </TitlesOfParts>
  <Company>Veselības ministrija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8. marta noteikumos Nr.175 "Recepšu veidlapu izgatavošanas un uzglabāšanas, kā arī recepšu izrakstīšanas un uzglabāšanas noteikumi"</dc:title>
  <dc:subject>Ministru kabineta noteikumu projekts</dc:subject>
  <dc:creator>Anita Jurševica</dc:creator>
  <dc:description>Jurševica 67876186
anita.jursevica@vm.gov.lv</dc:description>
  <cp:lastModifiedBy>Anita Jurševica</cp:lastModifiedBy>
  <cp:revision>11</cp:revision>
  <cp:lastPrinted>2017-07-31T10:23:00Z</cp:lastPrinted>
  <dcterms:created xsi:type="dcterms:W3CDTF">2017-06-26T13:53:00Z</dcterms:created>
  <dcterms:modified xsi:type="dcterms:W3CDTF">2017-08-17T06:17:00Z</dcterms:modified>
</cp:coreProperties>
</file>