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BF" w:rsidRPr="00F33560" w:rsidRDefault="00064CBF" w:rsidP="001601E2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F33560">
        <w:rPr>
          <w:b/>
          <w:sz w:val="28"/>
          <w:lang w:val="lv-LV"/>
        </w:rPr>
        <w:t>Ministru kabineta noteikumu projekta</w:t>
      </w:r>
    </w:p>
    <w:p w:rsidR="00064CBF" w:rsidRPr="00F33560" w:rsidRDefault="00064CBF" w:rsidP="00C8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3560">
        <w:rPr>
          <w:rFonts w:ascii="Times New Roman" w:hAnsi="Times New Roman" w:cs="Times New Roman"/>
          <w:b/>
          <w:sz w:val="28"/>
          <w:szCs w:val="24"/>
        </w:rPr>
        <w:t>„Grozījumi Ministru kabineta 2014. gada 12. augusta noteikumos Nr.</w:t>
      </w:r>
      <w:r w:rsidR="00E65980" w:rsidRPr="00F335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3560">
        <w:rPr>
          <w:rFonts w:ascii="Times New Roman" w:hAnsi="Times New Roman" w:cs="Times New Roman"/>
          <w:b/>
          <w:sz w:val="28"/>
          <w:szCs w:val="24"/>
        </w:rPr>
        <w:t xml:space="preserve">461 </w:t>
      </w:r>
      <w:r w:rsidRPr="00F33560">
        <w:rPr>
          <w:rFonts w:ascii="Times New Roman" w:hAnsi="Times New Roman" w:cs="Times New Roman"/>
          <w:sz w:val="28"/>
          <w:szCs w:val="24"/>
        </w:rPr>
        <w:t>„</w:t>
      </w:r>
      <w:r w:rsidRPr="00F33560">
        <w:rPr>
          <w:rFonts w:ascii="Times New Roman" w:hAnsi="Times New Roman" w:cs="Times New Roman"/>
          <w:b/>
          <w:sz w:val="28"/>
          <w:szCs w:val="24"/>
        </w:rPr>
        <w:t>Prasības pārtikas kvalitātes shēmām, to ieviešanas, darbības, uzraudzības un kontroles kārtība”” sākotnējās ietekmes novērtējuma ziņojums</w:t>
      </w:r>
      <w:r w:rsidRPr="00F33560">
        <w:rPr>
          <w:rFonts w:ascii="Times New Roman" w:hAnsi="Times New Roman" w:cs="Times New Roman"/>
          <w:b/>
          <w:bCs/>
          <w:sz w:val="28"/>
          <w:szCs w:val="24"/>
        </w:rPr>
        <w:t xml:space="preserve"> (anotācija)</w:t>
      </w:r>
    </w:p>
    <w:p w:rsidR="002C69CF" w:rsidRPr="00C82DEA" w:rsidRDefault="002C69CF" w:rsidP="00C856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82DEA" w:rsidRPr="00C82DEA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C82DEA" w:rsidRPr="00C82DEA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3B20DF" w:rsidRDefault="00064CBF" w:rsidP="00497AB7">
                <w:pPr>
                  <w:spacing w:after="0" w:line="240" w:lineRule="auto"/>
                  <w:jc w:val="both"/>
                </w:pPr>
                <w:r w:rsidRPr="003B20DF">
                  <w:rPr>
                    <w:rFonts w:ascii="Times New Roman" w:hAnsi="Times New Roman" w:cs="Times New Roman"/>
                    <w:sz w:val="24"/>
                    <w:szCs w:val="24"/>
                  </w:rPr>
                  <w:t>Pārtikas aprites uzraudzības likuma 4. panta divpadsmitā daļa</w:t>
                </w:r>
              </w:p>
            </w:tc>
          </w:sdtContent>
        </w:sdt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76BDE" w:rsidRPr="00C82DEA" w:rsidRDefault="00064CBF" w:rsidP="0049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esošie Ministru kabineta 2014. gada 12. augusta noteikumi Nr.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461 „Prasības pārtikas kvalitātes shēmām, to ieviešanas, darbības, uzraudzības un kontroles kārtība” (turpmāk – noteikumi Nr.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461) nosaka prasības pārtikas kvalitātes shēmām. </w:t>
            </w:r>
          </w:p>
          <w:p w:rsidR="00E65980" w:rsidRDefault="00064CBF" w:rsidP="0021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Tā kā Komisijas 2006. gada 15. decembra Regula (EK) Nr.1974/2006, ar ko paredz sīki izstrādātus piemērošanas noteikumus Padomes Regulai (EK) Nr.1698/2005 par atbalstu lauku attīstībai no Eiropas Lauksaimniecības fonda lauku attīstībai (ELFLA)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zaudējusi spēku, ir nepieciešams precizēt 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atsauc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pašreiz spēkā esošu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Savienības tiesību 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akt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C92" w:rsidRPr="00C82DEA">
              <w:rPr>
                <w:rFonts w:ascii="Times New Roman" w:hAnsi="Times New Roman" w:cs="Times New Roman"/>
                <w:sz w:val="24"/>
                <w:szCs w:val="24"/>
              </w:rPr>
              <w:t>Eiropas Parlamenta un Padome</w:t>
            </w:r>
            <w:r w:rsidR="00EE5C92">
              <w:rPr>
                <w:rFonts w:ascii="Times New Roman" w:hAnsi="Times New Roman" w:cs="Times New Roman"/>
                <w:sz w:val="24"/>
                <w:szCs w:val="24"/>
              </w:rPr>
              <w:t>s 2013. gada 17. decembra Regulu</w:t>
            </w:r>
            <w:r w:rsidR="00EE5C92"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(ES) Nr.1305/2013 par atbalstu lauku attīstībai no Eiropas Lauksaimniecības fonda lauku attīstībai (ELFLA) un ar ko atceļ Padomes Regulu (EK) Nr. </w:t>
            </w:r>
            <w:r w:rsidR="00E75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AA0">
              <w:rPr>
                <w:rFonts w:ascii="Times New Roman" w:hAnsi="Times New Roman" w:cs="Times New Roman"/>
                <w:sz w:val="24"/>
                <w:szCs w:val="24"/>
              </w:rPr>
              <w:t xml:space="preserve">1698/2005, 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nosaka 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>ādu pārtikas kvalitātes shēmu izveidošanu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acionālā pārtikas kvalitātes shēma, </w:t>
            </w:r>
            <w:r w:rsidR="00E6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ioloģiskās lauksaimniecības shēma, </w:t>
            </w:r>
            <w:r w:rsidR="00E6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>izsargātu ģeogrāfiskās izcelsmes norāžu shēma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>izsargātu cilmes vietas nosaukumu shēma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arantēto tradicionālo īpatnību shēma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76BDE" w:rsidRDefault="002068D2" w:rsidP="0021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F531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F531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Nr. 461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esošajā redakcijā ir 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>, ka visi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kvalitātes shēmu operatori</w:t>
            </w:r>
            <w:r w:rsidR="00105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>neatkarīgi no darbības ilguma shēmā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rakstiski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katru gadu līdz 1. februārim iesniedz Pārtikas un </w:t>
            </w:r>
            <w:r w:rsidR="005B26E8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veterināraj</w:t>
            </w:r>
            <w:r w:rsidR="005B26E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5B26E8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dienest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61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vai ražotāju grupai pārskatu par iepriekšējā gadā realizētajiem produktiem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Tādējādi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pārskatu iesniedz arī tie ražotāji,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shēmā ir uzsākuši darbību, bet shēmas produkts vēl nav sasniedzis gala patērētāju. Lai 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nodrošinātu precīzāku datu 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>atspoguļojum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>lieki neapgrūtinātu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ražotājus</w:t>
            </w:r>
            <w:r w:rsid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epieciešams 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prasības, nosakot, ka </w:t>
            </w:r>
            <w:r w:rsidR="00DA1CC8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pārskatu iesniedz, ja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darbība shēmā iepriekšējā gadā ir bijusi vismaz trīs mēnešus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ilga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Šādā periodā ir iespējams nodrošināt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operatora saražotā produkcija ir nonākusi līdz galapatērētājam,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jo t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as ir pārtikas kvalitātes shēmu galvenais nosacījums.</w:t>
            </w:r>
          </w:p>
          <w:p w:rsidR="00F76BDE" w:rsidRPr="00C82DEA" w:rsidRDefault="00064CBF" w:rsidP="00E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</w:t>
            </w:r>
            <w:r w:rsidR="00852A33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iropas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>omisijas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Augu, dzīvnieku, pārtikas un barības Patstāvīgās komitejas Pārtikas ķēdes Toksikoloģiskās drošuma sekcijas </w:t>
            </w:r>
            <w:r w:rsidR="008F78C4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2016. gada 21. jūnija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sanāksmē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sniegto skaidrojumu 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iel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56A81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marķēšan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urā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ir tehnoloģiska funkcija maizes izstrādājumu 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ražošanā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askorbīnskābe un </w:t>
            </w:r>
            <w:proofErr w:type="spellStart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askorbāti</w:t>
            </w:r>
            <w:proofErr w:type="spellEnd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produkta marķējumā ir jānorāda kā maizes ražošanā izmantotās pārtikas piedevas, </w:t>
            </w:r>
            <w:r w:rsidR="0039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tāpēc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nepieciešams precizēt noteikumus Nr. 461, nosakot, ka maizes ražošanā neizmanto pārtikas piedevas, izņemot askorbīnskābi un </w:t>
            </w:r>
            <w:proofErr w:type="spellStart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askorbātus</w:t>
            </w:r>
            <w:proofErr w:type="spellEnd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 300</w:t>
            </w:r>
            <w:r w:rsidR="00350B60">
              <w:rPr>
                <w:rFonts w:ascii="Times New Roman" w:eastAsia="Times New Roman" w:hAnsi="Times New Roman" w:cs="Times New Roman"/>
                <w:sz w:val="24"/>
                <w:szCs w:val="24"/>
              </w:rPr>
              <w:t>; E 301;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76BDE" w:rsidRPr="00C82DEA" w:rsidRDefault="00A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sulu dzērienus ražo arī no augļu biezeņa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koncentrēta augļu biezeņa, nepieciešams precizēt prasības sulu dzērieniem. </w:t>
            </w:r>
          </w:p>
          <w:p w:rsidR="00F76BDE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Tāpat </w:t>
            </w:r>
            <w:r w:rsidR="00096F9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 Nr.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jāiekļauj kvalitātes prasības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produktu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F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krēma konditorejas izstrādājumiem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7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garšvielām, 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maltai gaļai, un subproduktiem</w:t>
            </w:r>
            <w:r w:rsidR="00952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arī </w:t>
            </w:r>
            <w:r w:rsidR="00952C5B">
              <w:rPr>
                <w:rFonts w:ascii="Times New Roman" w:eastAsia="Times New Roman" w:hAnsi="Times New Roman" w:cs="Times New Roman"/>
                <w:sz w:val="24"/>
                <w:szCs w:val="24"/>
              </w:rPr>
              <w:t>kaltētiem zirņiem un pupām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1A75" w:rsidRDefault="00A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graudu pārstrādes uzņēmumi paši var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kaltē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 graudu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jā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461, </w:t>
            </w:r>
            <w:r w:rsidR="005B4D42">
              <w:rPr>
                <w:rFonts w:ascii="Times New Roman" w:eastAsia="Times New Roman" w:hAnsi="Times New Roman" w:cs="Times New Roman"/>
                <w:sz w:val="24"/>
                <w:szCs w:val="24"/>
              </w:rPr>
              <w:t>nosakot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prasības operatoram,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realizē </w:t>
            </w:r>
            <w:r w:rsidR="00E76DB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nacionālās pārtikas kvalitātes shēmas (</w:t>
            </w:r>
            <w:proofErr w:type="gramStart"/>
            <w:r w:rsidR="00E76DB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turpmāk –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proofErr w:type="gramEnd"/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produktus graudus, kā arī operatoriem graudu pārstrādes produktu ražotājiem.</w:t>
            </w:r>
            <w:r w:rsidR="0091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0DBC" w:rsidRDefault="007414C6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epieciešams </w:t>
            </w:r>
            <w:r w:rsidR="00631F37" w:rsidRP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prasības, nosakot, ka </w:t>
            </w:r>
            <w:r w:rsidR="00BC1A75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gaļas produktu </w:t>
            </w:r>
            <w:r w:rsidR="00631F37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organoleptisko vērtēšanu 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organizē</w:t>
            </w:r>
            <w:r w:rsidR="00224594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operator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s, piemēram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izveidojot </w:t>
            </w:r>
            <w:r w:rsidR="001328E3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degustācijas </w:t>
            </w:r>
            <w:r w:rsidR="00224594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>komisij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nodrošin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ātu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objektīvu 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>organoleptisko īpašību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garšas, smaržas,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izskata, konsistences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vērtējumu.</w:t>
            </w:r>
          </w:p>
          <w:p w:rsidR="00EE5C92" w:rsidRDefault="00530DBC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Noteikumos Nr. 461 sulu un nektāru mikrobioloģisko rādītāju atbilstību var nodrošināt ražotāji, kuri produktu ražošanā ievēro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stingru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pasterizācijas režīmu. Lai shēmā tiktu iekļauti produkti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, kuriem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lielāk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vitamīnu koncentrācij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proofErr w:type="gramEnd"/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uzglabāšanas laiks nav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ilg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āks par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sešiem mēnešiem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jāprecizē </w:t>
            </w:r>
            <w:r w:rsidR="00C82DE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arī prasība</w:t>
            </w:r>
            <w:r w:rsidR="00F51C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, kas nosaka žāvētu augļu mitrumu</w:t>
            </w:r>
            <w:r w:rsidR="00F51C5A">
              <w:rPr>
                <w:rFonts w:ascii="Times New Roman" w:eastAsia="Times New Roman" w:hAnsi="Times New Roman" w:cs="Times New Roman"/>
                <w:sz w:val="24"/>
                <w:szCs w:val="24"/>
              </w:rPr>
              <w:t>, sulu un nektāru mikrobioloģiskos rādītājus, ņemot vērā dažādas ražošanas metodes un pasterizācijas režīmus.</w:t>
            </w:r>
          </w:p>
          <w:p w:rsidR="00530DBC" w:rsidRDefault="00944E08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>tbilstoši Eiropas Savienības tieši piemērojam</w:t>
            </w:r>
            <w:r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iem normatīvajiem aktiem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F454FB" w:rsidRP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>precizē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arī</w:t>
            </w:r>
            <w:r w:rsidR="00F454FB" w:rsidRP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mikrobioloģisko rādītāju</w:t>
            </w:r>
            <w:r w:rsidR="0091009F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E9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>terminoloģij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piemēram</w:t>
            </w:r>
            <w:proofErr w:type="gramEnd"/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aizstājot terminu </w:t>
            </w:r>
            <w:r w:rsidR="003774E9" w:rsidRPr="00F257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4E9" w:rsidRPr="00F257F8">
              <w:rPr>
                <w:rFonts w:ascii="Times New Roman" w:hAnsi="Times New Roman" w:cs="Times New Roman"/>
                <w:sz w:val="24"/>
                <w:szCs w:val="24"/>
              </w:rPr>
              <w:t xml:space="preserve">atogēnie mikroorganismi un zarnu grupas baktērijas”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 “</w:t>
            </w:r>
            <w:r w:rsidR="003774E9" w:rsidRPr="00F257F8">
              <w:rPr>
                <w:rFonts w:ascii="Times New Roman" w:hAnsi="Times New Roman" w:cs="Times New Roman"/>
                <w:bCs/>
                <w:sz w:val="24"/>
                <w:szCs w:val="24"/>
              </w:rPr>
              <w:t>zarnu nūjiņas grupas baktērijas</w:t>
            </w:r>
            <w:r w:rsidR="003774E9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  <w:p w:rsidR="00944E08" w:rsidRDefault="0094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NPKS operators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pārstrādes uzņēmums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daļu no iepirktās izejvielas izmanto arī citu produktu ražošanā, nav iespējams nodalīt shēmas produkta ražošanā izmantoto izejvielu, piemēram, pienu un gaļu,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tāpēc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 </w:t>
            </w:r>
            <w:proofErr w:type="gramStart"/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ietvertā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NPKS operatora izejvielu piegādātāju sarakst</w:t>
            </w:r>
            <w:r w:rsidR="009831BB">
              <w:rPr>
                <w:rFonts w:ascii="Times New Roman" w:eastAsia="Times New Roman" w:hAnsi="Times New Roman" w:cs="Times New Roman"/>
                <w:sz w:val="24"/>
                <w:szCs w:val="24"/>
              </w:rPr>
              <w:t>a veidlap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94C55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pilnībā atrisinās minētās problēmas.</w:t>
            </w:r>
          </w:p>
        </w:tc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1316415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Pārtikas un veterinārais dienests</w:t>
                </w:r>
              </w:p>
            </w:tc>
          </w:sdtContent>
        </w:sdt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944E08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82DEA" w:rsidRPr="00C82DEA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8454189"/>
            <w:placeholder>
              <w:docPart w:val="C77BE940338849AB90331A56F15E01FD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3704D9" w:rsidP="00C8567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Vairāk nekā 4384 pārtikas kvalitātes shēmās iesaistīto dalībnieku</w:t>
                </w:r>
              </w:p>
            </w:tc>
          </w:sdtContent>
        </w:sdt>
      </w:tr>
      <w:tr w:rsidR="00C82DEA" w:rsidRPr="00C82DEA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5522516"/>
            <w:placeholder>
              <w:docPart w:val="F50B7E6C5AD6489E8C714D8EC783E3AC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Ražotājiem dota iespēja ražot kvalitatīvus vietējos produktus un piedalīties pārtikas kvalitātes shēmās, kā arī patērētājiem saņemt kvalitatīvus vietējos produktus.</w:t>
                </w:r>
                <w:r w:rsidR="002C69CF"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Normu ieviešana patērētājiem dos iespēju saņemt vairāk jaunu pārtikas kvalitātes shēmu produktu.</w:t>
                </w:r>
              </w:p>
            </w:tc>
          </w:sdtContent>
        </w:sdt>
      </w:tr>
      <w:tr w:rsidR="00C82DEA" w:rsidRPr="00C82DEA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50944323"/>
            <w:placeholder>
              <w:docPart w:val="A56C3CC8D3A94A1B88E371E00A30BEC8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DCD890FA1480480A84CCD1734B4CE6A2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1601E2" w:rsidRDefault="001601E2" w:rsidP="00C85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064CBF" w:rsidRPr="00F33560" w:rsidRDefault="00064CBF" w:rsidP="00C856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eastAsia="lv-LV"/>
        </w:rPr>
      </w:pPr>
      <w:r w:rsidRPr="00F33560">
        <w:rPr>
          <w:rFonts w:ascii="Times New Roman" w:hAnsi="Times New Roman" w:cs="Times New Roman"/>
          <w:i/>
          <w:sz w:val="28"/>
          <w:szCs w:val="24"/>
          <w:lang w:eastAsia="lv-LV"/>
        </w:rPr>
        <w:t>Anotācijas III</w:t>
      </w:r>
      <w:r w:rsidR="00EA64AA" w:rsidRPr="00F33560">
        <w:rPr>
          <w:rFonts w:ascii="Times New Roman" w:hAnsi="Times New Roman" w:cs="Times New Roman"/>
          <w:i/>
          <w:sz w:val="28"/>
          <w:szCs w:val="24"/>
          <w:lang w:eastAsia="lv-LV"/>
        </w:rPr>
        <w:t xml:space="preserve"> un</w:t>
      </w:r>
      <w:r w:rsidRPr="00F33560">
        <w:rPr>
          <w:rFonts w:ascii="Times New Roman" w:hAnsi="Times New Roman" w:cs="Times New Roman"/>
          <w:i/>
          <w:sz w:val="28"/>
          <w:szCs w:val="24"/>
          <w:lang w:eastAsia="lv-LV"/>
        </w:rPr>
        <w:t xml:space="preserve"> IV sadaļa – projekts šīs jomas neskar.</w:t>
      </w:r>
    </w:p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C82DEA" w:rsidRPr="00C82DEA" w:rsidTr="00894C5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t>Eiropas Parlamenta un Padomes 2013. gada 17. decembra Regula (ES) Nr.1305/2013 par atbalstu lauku attīstībai no Eiropas Lauksaimniecības fonda lauku attīstībai (ELFLA) un ar ko atceļ Padomes Regulu (EK) Nr. 1698/2005 (turpmāk – Regula Nr. 1305/2013)</w:t>
            </w:r>
          </w:p>
        </w:tc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3984141"/>
            <w:placeholder>
              <w:docPart w:val="A8843F41EB2548D7B8A34FB3D43A4CEC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700385175"/>
            <w:placeholder>
              <w:docPart w:val="E50E0D89D7D740E39A72FD51262F3F52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2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18"/>
        <w:gridCol w:w="1991"/>
        <w:gridCol w:w="2535"/>
        <w:gridCol w:w="2447"/>
      </w:tblGrid>
      <w:tr w:rsidR="00C82DEA" w:rsidRPr="00C82DEA" w:rsidTr="002231F6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8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3853" w:rsidRDefault="00863853" w:rsidP="0049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t>Regula Nr. 1305/2013</w:t>
            </w:r>
            <w:r w:rsidR="002F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Norāda institūciju, kas ir atbildīga par šo saistību izpildi pilnībā</w:t>
            </w:r>
          </w:p>
        </w:tc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iespējamās alternatīvas (t.sk. alternatīvas, kas neparedz tiesiskā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regulējuma izstrādi) – kādos gadījumos būtu iespējams izvairīties no stingrāku prasību noteikšanas, nekā paredzēts attiecīgajos ES tiesību aktos</w:t>
            </w:r>
          </w:p>
        </w:tc>
      </w:tr>
      <w:tr w:rsidR="00C82DEA" w:rsidRPr="00C82DEA" w:rsidTr="002231F6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9D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 Nr.</w:t>
            </w:r>
            <w:hyperlink r:id="rId8" w:tgtFrame="_blank" w:tooltip="Atvērt regulas konsolidēto versiju" w:history="1">
              <w:r w:rsidRPr="00C82DE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1305/2013</w:t>
              </w:r>
            </w:hyperlink>
            <w:r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16. </w:t>
            </w:r>
            <w:r w:rsidR="00D64A62" w:rsidRPr="00C82DEA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 1.punkta</w:t>
            </w:r>
            <w:proofErr w:type="gramStart"/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D3A3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D64A62"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9D3A3C" w:rsidP="002F3D1C">
            <w:pPr>
              <w:pStyle w:val="naiskr"/>
              <w:spacing w:before="0" w:beforeAutospacing="0" w:after="0" w:afterAutospacing="0"/>
            </w:pPr>
            <w:r>
              <w:t>Noteikumu projekta 1.punktā izteiktā 2.punkta ievaddaļa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9D3A3C">
            <w:pPr>
              <w:pStyle w:val="naiskr"/>
              <w:spacing w:before="0" w:beforeAutospacing="0" w:after="0" w:afterAutospacing="0"/>
              <w:jc w:val="both"/>
            </w:pPr>
            <w:r w:rsidRPr="00C82DEA">
              <w:t>Regulas Nr.</w:t>
            </w:r>
            <w:hyperlink r:id="rId9" w:tgtFrame="_blank" w:tooltip="Atvērt regulas konsolidēto versiju" w:history="1">
              <w:r w:rsidRPr="00C82DEA">
                <w:rPr>
                  <w:rStyle w:val="Hipersaite"/>
                  <w:color w:val="auto"/>
                  <w:u w:val="none"/>
                </w:rPr>
                <w:t>1305/2013</w:t>
              </w:r>
            </w:hyperlink>
            <w:r w:rsidRPr="00C82DEA">
              <w:t xml:space="preserve"> 16. </w:t>
            </w:r>
            <w:r w:rsidR="002F3D1C" w:rsidRPr="00C82DEA">
              <w:t>pant</w:t>
            </w:r>
            <w:r w:rsidR="002F3D1C">
              <w:t>a</w:t>
            </w:r>
            <w:r w:rsidR="009D3A3C">
              <w:t xml:space="preserve"> 1.punkta</w:t>
            </w:r>
            <w:r w:rsidR="00D64A62">
              <w:t xml:space="preserve"> </w:t>
            </w:r>
            <w:r w:rsidR="009D3A3C">
              <w:t>a)</w:t>
            </w:r>
            <w:r w:rsidR="00944E08">
              <w:t xml:space="preserve"> un </w:t>
            </w:r>
            <w:r w:rsidR="009D3A3C">
              <w:t>b)</w:t>
            </w:r>
            <w:r w:rsidR="00944E08">
              <w:t xml:space="preserve"> </w:t>
            </w:r>
            <w:r w:rsidR="008C412E">
              <w:t>apakšpunkt</w:t>
            </w:r>
            <w:r w:rsidR="00944E08">
              <w:t>a</w:t>
            </w:r>
            <w:r w:rsidR="008C412E">
              <w:t xml:space="preserve"> </w:t>
            </w:r>
            <w:r w:rsidRPr="00C82DEA">
              <w:t>prasības tiek ieviestas pilnībā</w:t>
            </w:r>
            <w:r w:rsidR="00944E08"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497AB7">
            <w:pPr>
              <w:pStyle w:val="naiskr"/>
              <w:spacing w:before="0" w:beforeAutospacing="0" w:after="0" w:afterAutospacing="0"/>
              <w:jc w:val="both"/>
            </w:pPr>
            <w:r w:rsidRPr="00C82DEA">
              <w:t>Noteikumu projekta vienības neparedz stingrākas prasības kā šīs tabulas A ailē minētās ES tiesību akta vienības</w:t>
            </w:r>
            <w:r w:rsidR="00944E08">
              <w:t>.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2602100"/>
            <w:placeholder>
              <w:docPart w:val="2841105969B14DE49F05D9296F7C652E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243226"/>
            <w:placeholder>
              <w:docPart w:val="E5EB6D4A958A4331A96091AD983955EE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123046817"/>
            <w:placeholder>
              <w:docPart w:val="FD5C206170F8425BA6EE971CD4237B78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EA64AA" w:rsidRDefault="00EA64AA" w:rsidP="00C85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F6" w:rsidRPr="00F33560" w:rsidRDefault="002231F6" w:rsidP="00C8567B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33560">
        <w:rPr>
          <w:rFonts w:ascii="Times New Roman" w:hAnsi="Times New Roman" w:cs="Times New Roman"/>
          <w:i/>
          <w:sz w:val="28"/>
          <w:szCs w:val="24"/>
        </w:rPr>
        <w:t>Anotācijas V sadaļas 2.</w:t>
      </w:r>
      <w:r w:rsidR="00944E08" w:rsidRPr="00F33560">
        <w:rPr>
          <w:rFonts w:ascii="Times New Roman" w:hAnsi="Times New Roman" w:cs="Times New Roman"/>
          <w:i/>
          <w:sz w:val="28"/>
          <w:szCs w:val="24"/>
        </w:rPr>
        <w:t> </w:t>
      </w:r>
      <w:r w:rsidRPr="00F33560">
        <w:rPr>
          <w:rFonts w:ascii="Times New Roman" w:hAnsi="Times New Roman" w:cs="Times New Roman"/>
          <w:i/>
          <w:sz w:val="28"/>
          <w:szCs w:val="24"/>
        </w:rPr>
        <w:t>tabula – projekts šo jomu neskar.</w:t>
      </w:r>
    </w:p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C82DEA" w:rsidRPr="00C82DEA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C82DEA" w:rsidRPr="00C82DEA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944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rojekts 10.03.2017. tika nosūtīts biedrīb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 „Lauksaimnieku organizāciju sadarbības padome”, Latvijas Pārtikas uzņēmumu federācijai, biedrībai „Zemnieku saeima”,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“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Latvijas Lauksaimniecības kooperatīvu asociācija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ievietots Zemkopības ministrijas tīmekļa vietnē </w:t>
            </w:r>
            <w:hyperlink r:id="rId10" w:history="1">
              <w:r w:rsidR="002231F6" w:rsidRPr="00852A33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www.zm.gov.lv</w:t>
              </w:r>
            </w:hyperlink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proofErr w:type="gramStart"/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martam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>komentāru sniegšanai</w:t>
            </w:r>
            <w:r w:rsidR="002231F6" w:rsidRPr="00C8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DEA" w:rsidRPr="00C82DEA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2759155"/>
            <w:placeholder>
              <w:docPart w:val="80033379A0224E41A83E2AAE042A9D16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B95814" w:rsidP="00497A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Noteikumu projekts tika</w:t>
                </w: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saskaņots ar biedrībām „Lauksaimnieku organizāciju sadarbības padome”, „Zemnieku saeima”, „Latvijas Lauksaimniecības kooperatīvu asociācija” un „Latvijas Pārtikas uzņēmumu federācija”.</w:t>
                </w:r>
              </w:p>
            </w:tc>
          </w:sdtContent>
        </w:sdt>
      </w:tr>
      <w:tr w:rsidR="00C82DEA" w:rsidRPr="00C82DEA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58998965"/>
            <w:placeholder>
              <w:docPart w:val="AB7B0F1646E24286922B88DD2ED7F264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882619" w:rsidP="001C63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2F32F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Biedrības „Zemnieku saeima” un „Latvijas Lauksaimniecības kooperatīvu asociācija” projektu saskaņoja bez iebildumiem. Latvijas Pārtikas uzņēmumu federāci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jas priekšlikumi tika izvērtēti un panākta vienošanās elektroniskā saskaņošanā. </w:t>
                </w:r>
                <w:r w:rsidRPr="002F32F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Laikā, kad projekts bija pieejams Zemkopības ministrijas tīmekļa vietnē, komentāri netika saņemti.</w:t>
                </w:r>
              </w:p>
            </w:tc>
          </w:sdtContent>
        </w:sdt>
      </w:tr>
      <w:tr w:rsidR="00C82DEA" w:rsidRPr="00C82DEA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0ECAFA9BE6AD436DA2B4C6308297AA55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944E08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668"/>
        <w:gridCol w:w="5935"/>
      </w:tblGrid>
      <w:tr w:rsidR="00C82DEA" w:rsidRPr="00C82DEA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3D7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  <w:p w:rsidR="00894C55" w:rsidRPr="00E33D7A" w:rsidRDefault="00894C55" w:rsidP="00E33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82DEA" w:rsidRPr="00C82DEA" w:rsidTr="0008443C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F33560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444182"/>
                <w:placeholder>
                  <w:docPart w:val="FDD970DF03814E08AAAE176B3A069D53"/>
                </w:placeholder>
                <w:text/>
              </w:sdtPr>
              <w:sdtEndPr/>
              <w:sdtContent>
                <w:r w:rsidR="00596F98"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Pārtikas un veterinārais dienests</w:t>
                </w:r>
              </w:sdtContent>
            </w:sdt>
          </w:p>
        </w:tc>
      </w:tr>
      <w:tr w:rsidR="00C82DEA" w:rsidRPr="00C82DEA" w:rsidTr="0008443C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4843284"/>
            <w:placeholder>
              <w:docPart w:val="1ACA54E693CD4D0BAD637E54C82C88FF"/>
            </w:placeholder>
            <w:text/>
          </w:sdtPr>
          <w:sdtEndPr/>
          <w:sdtContent>
            <w:tc>
              <w:tcPr>
                <w:tcW w:w="3277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1601E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Normatīvā akta izpilde tiks nodrošināta, pamatojoties uz esošo institūciju resursiem.</w:t>
                </w:r>
              </w:p>
            </w:tc>
          </w:sdtContent>
        </w:sdt>
      </w:tr>
      <w:tr w:rsidR="00C82DEA" w:rsidRPr="00C82DEA" w:rsidTr="0008443C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16E4DF0885D242E391774F1A0758BD2D"/>
            </w:placeholder>
            <w:text/>
          </w:sdtPr>
          <w:sdtEndPr/>
          <w:sdtContent>
            <w:tc>
              <w:tcPr>
                <w:tcW w:w="3277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720585" w:rsidRPr="00C82DEA" w:rsidRDefault="00720585" w:rsidP="0016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49" w:rsidRPr="00C82DEA" w:rsidRDefault="00C25B49" w:rsidP="0049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CF" w:rsidRPr="00C82DEA" w:rsidRDefault="002C69CF" w:rsidP="00213093">
      <w:pPr>
        <w:pStyle w:val="Virsraksts1"/>
        <w:keepNext w:val="0"/>
        <w:widowControl w:val="0"/>
        <w:jc w:val="left"/>
        <w:rPr>
          <w:b w:val="0"/>
          <w:sz w:val="24"/>
        </w:rPr>
      </w:pPr>
    </w:p>
    <w:p w:rsidR="002231F6" w:rsidRPr="00F33560" w:rsidRDefault="00F33560" w:rsidP="00F33560">
      <w:pPr>
        <w:pStyle w:val="Virsraksts1"/>
        <w:keepNext w:val="0"/>
        <w:widowControl w:val="0"/>
        <w:ind w:firstLine="720"/>
        <w:jc w:val="left"/>
        <w:rPr>
          <w:b w:val="0"/>
        </w:rPr>
      </w:pPr>
      <w:r>
        <w:rPr>
          <w:b w:val="0"/>
        </w:rPr>
        <w:t xml:space="preserve">Zemkopības ministrs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231F6" w:rsidRPr="00F33560">
        <w:rPr>
          <w:b w:val="0"/>
        </w:rPr>
        <w:tab/>
        <w:t>J</w:t>
      </w:r>
      <w:r w:rsidR="00944E08" w:rsidRPr="00F33560">
        <w:rPr>
          <w:b w:val="0"/>
        </w:rPr>
        <w:t xml:space="preserve">ānis </w:t>
      </w:r>
      <w:r w:rsidR="002231F6" w:rsidRPr="00F33560">
        <w:rPr>
          <w:b w:val="0"/>
        </w:rPr>
        <w:t>Dūklavs</w:t>
      </w:r>
    </w:p>
    <w:p w:rsidR="002231F6" w:rsidRPr="00F33560" w:rsidRDefault="002231F6" w:rsidP="00F335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:rsidR="002C69CF" w:rsidRPr="00F33560" w:rsidRDefault="002C69CF" w:rsidP="00F335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231F6" w:rsidRPr="00F33560" w:rsidRDefault="002231F6" w:rsidP="00F335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F33560">
        <w:rPr>
          <w:rFonts w:ascii="Times New Roman" w:hAnsi="Times New Roman" w:cs="Times New Roman"/>
          <w:sz w:val="28"/>
          <w:szCs w:val="24"/>
        </w:rPr>
        <w:t>Zemkopī</w:t>
      </w:r>
      <w:r w:rsidR="00F33560">
        <w:rPr>
          <w:rFonts w:ascii="Times New Roman" w:hAnsi="Times New Roman" w:cs="Times New Roman"/>
          <w:sz w:val="28"/>
          <w:szCs w:val="24"/>
        </w:rPr>
        <w:t xml:space="preserve">bas ministrijas valsts sekretāra </w:t>
      </w:r>
      <w:proofErr w:type="spellStart"/>
      <w:r w:rsidR="00F33560">
        <w:rPr>
          <w:rFonts w:ascii="Times New Roman" w:hAnsi="Times New Roman" w:cs="Times New Roman"/>
          <w:sz w:val="28"/>
          <w:szCs w:val="24"/>
        </w:rPr>
        <w:t>p.i</w:t>
      </w:r>
      <w:proofErr w:type="spellEnd"/>
      <w:r w:rsidR="00F33560">
        <w:rPr>
          <w:rFonts w:ascii="Times New Roman" w:hAnsi="Times New Roman" w:cs="Times New Roman"/>
          <w:sz w:val="28"/>
          <w:szCs w:val="24"/>
        </w:rPr>
        <w:t>.</w:t>
      </w:r>
      <w:r w:rsidR="00F33560">
        <w:rPr>
          <w:rFonts w:ascii="Times New Roman" w:hAnsi="Times New Roman" w:cs="Times New Roman"/>
          <w:sz w:val="28"/>
          <w:szCs w:val="24"/>
        </w:rPr>
        <w:tab/>
      </w:r>
      <w:r w:rsidR="00F33560">
        <w:rPr>
          <w:rFonts w:ascii="Times New Roman" w:hAnsi="Times New Roman" w:cs="Times New Roman"/>
          <w:sz w:val="28"/>
          <w:szCs w:val="24"/>
        </w:rPr>
        <w:tab/>
      </w:r>
      <w:r w:rsidR="00F33560">
        <w:rPr>
          <w:rFonts w:ascii="Times New Roman" w:hAnsi="Times New Roman" w:cs="Times New Roman"/>
          <w:sz w:val="28"/>
          <w:szCs w:val="24"/>
        </w:rPr>
        <w:tab/>
        <w:t>Jānis Šnore</w:t>
      </w:r>
      <w:bookmarkStart w:id="0" w:name="_GoBack"/>
      <w:bookmarkEnd w:id="0"/>
    </w:p>
    <w:p w:rsidR="002231F6" w:rsidRPr="00C82DEA" w:rsidRDefault="002231F6" w:rsidP="00C8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60" w:rsidRDefault="00F33560" w:rsidP="001601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69CF" w:rsidRPr="00F33560" w:rsidRDefault="002C69CF" w:rsidP="001601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3560">
        <w:rPr>
          <w:rFonts w:ascii="Times New Roman" w:hAnsi="Times New Roman" w:cs="Times New Roman"/>
          <w:sz w:val="24"/>
          <w:szCs w:val="20"/>
        </w:rPr>
        <w:t>Dzerkale 67027404</w:t>
      </w:r>
    </w:p>
    <w:p w:rsidR="002C69CF" w:rsidRPr="00F33560" w:rsidRDefault="002C69CF" w:rsidP="00497AB7">
      <w:pPr>
        <w:spacing w:after="0" w:line="240" w:lineRule="auto"/>
        <w:rPr>
          <w:rFonts w:ascii="Times New Roman" w:hAnsi="Times New Roman" w:cs="Times New Roman"/>
          <w:sz w:val="28"/>
          <w:lang w:val="fi-FI"/>
        </w:rPr>
      </w:pPr>
      <w:r w:rsidRPr="00F33560">
        <w:rPr>
          <w:rFonts w:ascii="Times New Roman" w:hAnsi="Times New Roman" w:cs="Times New Roman"/>
          <w:sz w:val="24"/>
          <w:szCs w:val="20"/>
        </w:rPr>
        <w:t>Ginta.Dzerkale@zm.gov.lv</w:t>
      </w:r>
    </w:p>
    <w:sectPr w:rsidR="002C69CF" w:rsidRPr="00F33560" w:rsidSect="001C285B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7A" w:rsidRDefault="00EE6B7A" w:rsidP="00894C55">
      <w:pPr>
        <w:spacing w:after="0" w:line="240" w:lineRule="auto"/>
      </w:pPr>
      <w:r>
        <w:separator/>
      </w:r>
    </w:p>
  </w:endnote>
  <w:endnote w:type="continuationSeparator" w:id="0">
    <w:p w:rsidR="00EE6B7A" w:rsidRDefault="00EE6B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F33560" w:rsidRDefault="00F33560" w:rsidP="00F33560">
    <w:pPr>
      <w:pStyle w:val="Kjene"/>
    </w:pPr>
    <w:r w:rsidRPr="00F33560">
      <w:rPr>
        <w:rFonts w:ascii="Times New Roman" w:hAnsi="Times New Roman" w:cs="Times New Roman"/>
        <w:sz w:val="20"/>
        <w:szCs w:val="20"/>
      </w:rPr>
      <w:t>ZManot_060617_shemas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F33560" w:rsidRDefault="00F33560" w:rsidP="00F33560">
    <w:pPr>
      <w:pStyle w:val="Kjene"/>
    </w:pPr>
    <w:r w:rsidRPr="00F33560">
      <w:rPr>
        <w:rFonts w:ascii="Times New Roman" w:hAnsi="Times New Roman" w:cs="Times New Roman"/>
        <w:sz w:val="20"/>
        <w:szCs w:val="20"/>
      </w:rPr>
      <w:t>ZManot_060617_shemas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7A" w:rsidRDefault="00EE6B7A" w:rsidP="00894C55">
      <w:pPr>
        <w:spacing w:after="0" w:line="240" w:lineRule="auto"/>
      </w:pPr>
      <w:r>
        <w:separator/>
      </w:r>
    </w:p>
  </w:footnote>
  <w:footnote w:type="continuationSeparator" w:id="0">
    <w:p w:rsidR="00EE6B7A" w:rsidRDefault="00EE6B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33560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D1"/>
    <w:multiLevelType w:val="hybridMultilevel"/>
    <w:tmpl w:val="ED84A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4D0F"/>
    <w:rsid w:val="00064CBF"/>
    <w:rsid w:val="00073DA7"/>
    <w:rsid w:val="0008443C"/>
    <w:rsid w:val="00096F9C"/>
    <w:rsid w:val="000C5F14"/>
    <w:rsid w:val="00103AD1"/>
    <w:rsid w:val="00105CD2"/>
    <w:rsid w:val="001328E3"/>
    <w:rsid w:val="001601E2"/>
    <w:rsid w:val="0018436A"/>
    <w:rsid w:val="00194376"/>
    <w:rsid w:val="001A3A4D"/>
    <w:rsid w:val="001B3716"/>
    <w:rsid w:val="001C285B"/>
    <w:rsid w:val="001C42F1"/>
    <w:rsid w:val="001C53BC"/>
    <w:rsid w:val="001C638E"/>
    <w:rsid w:val="002068D2"/>
    <w:rsid w:val="00213093"/>
    <w:rsid w:val="002231F6"/>
    <w:rsid w:val="00224594"/>
    <w:rsid w:val="00243426"/>
    <w:rsid w:val="002A1AA0"/>
    <w:rsid w:val="002C69CF"/>
    <w:rsid w:val="002D3FE4"/>
    <w:rsid w:val="002D539E"/>
    <w:rsid w:val="002F3D1C"/>
    <w:rsid w:val="00306FAA"/>
    <w:rsid w:val="00310FDB"/>
    <w:rsid w:val="00350B60"/>
    <w:rsid w:val="00352FD7"/>
    <w:rsid w:val="003704D9"/>
    <w:rsid w:val="003774E9"/>
    <w:rsid w:val="003957DB"/>
    <w:rsid w:val="003B0BF9"/>
    <w:rsid w:val="003B20DF"/>
    <w:rsid w:val="003D42EA"/>
    <w:rsid w:val="003E0791"/>
    <w:rsid w:val="003F28AC"/>
    <w:rsid w:val="004043F4"/>
    <w:rsid w:val="004454FE"/>
    <w:rsid w:val="0046744E"/>
    <w:rsid w:val="004712DD"/>
    <w:rsid w:val="00471F27"/>
    <w:rsid w:val="00497AB7"/>
    <w:rsid w:val="0050178F"/>
    <w:rsid w:val="00530DBC"/>
    <w:rsid w:val="00534B97"/>
    <w:rsid w:val="00596F98"/>
    <w:rsid w:val="005B26E8"/>
    <w:rsid w:val="005B4D42"/>
    <w:rsid w:val="005C0991"/>
    <w:rsid w:val="005D260B"/>
    <w:rsid w:val="006110CD"/>
    <w:rsid w:val="006270DB"/>
    <w:rsid w:val="00631F37"/>
    <w:rsid w:val="006840FB"/>
    <w:rsid w:val="0069785B"/>
    <w:rsid w:val="006E1081"/>
    <w:rsid w:val="00702ACD"/>
    <w:rsid w:val="00720585"/>
    <w:rsid w:val="007414C6"/>
    <w:rsid w:val="00773A5F"/>
    <w:rsid w:val="00773AF6"/>
    <w:rsid w:val="00795F71"/>
    <w:rsid w:val="007C74DE"/>
    <w:rsid w:val="007E73AB"/>
    <w:rsid w:val="007F1290"/>
    <w:rsid w:val="00816C11"/>
    <w:rsid w:val="00852A33"/>
    <w:rsid w:val="00863853"/>
    <w:rsid w:val="00882619"/>
    <w:rsid w:val="00894C55"/>
    <w:rsid w:val="008C412E"/>
    <w:rsid w:val="008F1B77"/>
    <w:rsid w:val="008F78C4"/>
    <w:rsid w:val="0091009F"/>
    <w:rsid w:val="00914057"/>
    <w:rsid w:val="009217E2"/>
    <w:rsid w:val="00940EAA"/>
    <w:rsid w:val="00944E08"/>
    <w:rsid w:val="00952C5B"/>
    <w:rsid w:val="009767E4"/>
    <w:rsid w:val="00982F2F"/>
    <w:rsid w:val="009831BB"/>
    <w:rsid w:val="009A2654"/>
    <w:rsid w:val="009A7F2C"/>
    <w:rsid w:val="009D3A3C"/>
    <w:rsid w:val="009D42B5"/>
    <w:rsid w:val="009F1CCE"/>
    <w:rsid w:val="00A01E4F"/>
    <w:rsid w:val="00A04B9E"/>
    <w:rsid w:val="00A56A81"/>
    <w:rsid w:val="00A6073E"/>
    <w:rsid w:val="00A72208"/>
    <w:rsid w:val="00AE5567"/>
    <w:rsid w:val="00B2165C"/>
    <w:rsid w:val="00B420C2"/>
    <w:rsid w:val="00B95814"/>
    <w:rsid w:val="00BA20AA"/>
    <w:rsid w:val="00BB48C4"/>
    <w:rsid w:val="00BC0B73"/>
    <w:rsid w:val="00BC1A75"/>
    <w:rsid w:val="00BD4425"/>
    <w:rsid w:val="00C25B49"/>
    <w:rsid w:val="00C3083E"/>
    <w:rsid w:val="00C3793E"/>
    <w:rsid w:val="00C82DEA"/>
    <w:rsid w:val="00C8567B"/>
    <w:rsid w:val="00CE5657"/>
    <w:rsid w:val="00CE6B86"/>
    <w:rsid w:val="00CF5822"/>
    <w:rsid w:val="00D133F8"/>
    <w:rsid w:val="00D537E5"/>
    <w:rsid w:val="00D57260"/>
    <w:rsid w:val="00D64A62"/>
    <w:rsid w:val="00D85822"/>
    <w:rsid w:val="00DA1CC8"/>
    <w:rsid w:val="00E33D7A"/>
    <w:rsid w:val="00E3716B"/>
    <w:rsid w:val="00E55E6D"/>
    <w:rsid w:val="00E65980"/>
    <w:rsid w:val="00E757DC"/>
    <w:rsid w:val="00E76DBA"/>
    <w:rsid w:val="00E7752F"/>
    <w:rsid w:val="00E90C01"/>
    <w:rsid w:val="00E94852"/>
    <w:rsid w:val="00EA486E"/>
    <w:rsid w:val="00EA64AA"/>
    <w:rsid w:val="00EE5C92"/>
    <w:rsid w:val="00EE6B7A"/>
    <w:rsid w:val="00F17D1E"/>
    <w:rsid w:val="00F257F8"/>
    <w:rsid w:val="00F33560"/>
    <w:rsid w:val="00F36687"/>
    <w:rsid w:val="00F454FB"/>
    <w:rsid w:val="00F51C5A"/>
    <w:rsid w:val="00F57B0C"/>
    <w:rsid w:val="00F632BB"/>
    <w:rsid w:val="00F76BDE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C3ACC1-2E72-4C7B-8B17-A638A70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23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064CB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Parasts"/>
    <w:rsid w:val="002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231F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7A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A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A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A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AB7"/>
    <w:rPr>
      <w:b/>
      <w:bCs/>
      <w:sz w:val="20"/>
      <w:szCs w:val="20"/>
    </w:rPr>
  </w:style>
  <w:style w:type="paragraph" w:customStyle="1" w:styleId="tv2132">
    <w:name w:val="tv2132"/>
    <w:basedOn w:val="Parasts"/>
    <w:rsid w:val="00596F9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EE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974:20090101:LV: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NSLEG:2006R1974:20090101:LV: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FF5D4F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C77BE940338849AB90331A56F15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05-97E3-432D-9BA1-BCC1215A99BA}"/>
      </w:docPartPr>
      <w:docPartBody>
        <w:p w:rsidR="00344186" w:rsidRDefault="00FF5D4F" w:rsidP="00FF5D4F">
          <w:pPr>
            <w:pStyle w:val="C77BE940338849AB90331A56F15E01F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F50B7E6C5AD6489E8C714D8EC783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4C-E4B0-485E-8533-11D0A8805BF0}"/>
      </w:docPartPr>
      <w:docPartBody>
        <w:p w:rsidR="00344186" w:rsidRDefault="00FF5D4F" w:rsidP="00FF5D4F">
          <w:pPr>
            <w:pStyle w:val="F50B7E6C5AD6489E8C714D8EC783E3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A56C3CC8D3A94A1B88E371E00A30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979-17FF-458B-BE47-D88FFAA7AC09}"/>
      </w:docPartPr>
      <w:docPartBody>
        <w:p w:rsidR="00344186" w:rsidRDefault="00FF5D4F" w:rsidP="00FF5D4F">
          <w:pPr>
            <w:pStyle w:val="A56C3CC8D3A94A1B88E371E00A30BE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DCD890FA1480480A84CCD1734B4C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8762-1A57-45DC-964E-B896BD928786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344186" w:rsidRDefault="00FF5D4F" w:rsidP="00FF5D4F">
          <w:pPr>
            <w:pStyle w:val="DCD890FA1480480A84CCD1734B4CE6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A8843F41EB2548D7B8A34FB3D43A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1B1-E025-408B-9A1B-D3421DE2D511}"/>
      </w:docPartPr>
      <w:docPartBody>
        <w:p w:rsidR="00344186" w:rsidRDefault="00FF5D4F" w:rsidP="00FF5D4F">
          <w:pPr>
            <w:pStyle w:val="A8843F41EB2548D7B8A34FB3D43A4CE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57.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E50E0D89D7D740E39A72FD51262F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F937-E5DC-46AF-8B78-F99C1C50D355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59.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noteiktajam, kā arī papildu informāciju pēc tiesību akta projekta izstrādātāja ieskatiem.</w:t>
          </w:r>
        </w:p>
        <w:p w:rsidR="00344186" w:rsidRDefault="00FF5D4F" w:rsidP="00FF5D4F">
          <w:pPr>
            <w:pStyle w:val="E50E0D89D7D740E39A72FD51262F3F5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2841105969B14DE49F05D9296F7C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8C20-6657-4CB6-85BB-C2669C18BAEE}"/>
      </w:docPartPr>
      <w:docPartBody>
        <w:p w:rsidR="00344186" w:rsidRDefault="00FF5D4F" w:rsidP="00FF5D4F">
          <w:pPr>
            <w:pStyle w:val="2841105969B14DE49F05D9296F7C652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56.5.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apakšpunktā noteiktajam</w:t>
          </w:r>
        </w:p>
      </w:docPartBody>
    </w:docPart>
    <w:docPart>
      <w:docPartPr>
        <w:name w:val="E5EB6D4A958A4331A96091AD9839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32CC-08C8-420E-921F-391EC1193C82}"/>
      </w:docPartPr>
      <w:docPartBody>
        <w:p w:rsidR="00344186" w:rsidRDefault="00FF5D4F" w:rsidP="00FF5D4F">
          <w:pPr>
            <w:pStyle w:val="E5EB6D4A958A4331A96091AD983955E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56.6.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apakšpunktā noteiktajam</w:t>
          </w:r>
          <w:r w:rsidRPr="00E7569A">
            <w:rPr>
              <w:rStyle w:val="Vietturateksts"/>
            </w:rPr>
            <w:t xml:space="preserve"> </w:t>
          </w:r>
        </w:p>
      </w:docPartBody>
    </w:docPart>
    <w:docPart>
      <w:docPartPr>
        <w:name w:val="FD5C206170F8425BA6EE971CD423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DA48-0A05-41BF-A659-52EFE24E07E8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FD5C206170F8425BA6EE971CD4237B7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FDD970DF03814E08AAAE176B3A0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6681-6728-488C-B1AD-998F98AA9931}"/>
      </w:docPartPr>
      <w:docPartBody>
        <w:p w:rsidR="00344186" w:rsidRDefault="00FF5D4F" w:rsidP="00FF5D4F">
          <w:pPr>
            <w:pStyle w:val="FDD970DF03814E08AAAE176B3A069D5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ACA54E693CD4D0BAD637E54C82C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BB5-3C20-43FE-B450-872C42871E9B}"/>
      </w:docPartPr>
      <w:docPartBody>
        <w:p w:rsidR="00344186" w:rsidRDefault="00FF5D4F" w:rsidP="00FF5D4F">
          <w:pPr>
            <w:pStyle w:val="1ACA54E693CD4D0BAD637E54C82C88F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66., 67., 68, 69.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6E4DF0885D242E391774F1A075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E02-C645-46EF-B004-7CE0736CEC62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16E4DF0885D242E391774F1A0758BD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80033379A0224E41A83E2AAE042A9D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39F443E-6840-4157-BEB2-64E5A4AB7075}"/>
      </w:docPartPr>
      <w:docPartBody>
        <w:p w:rsidR="00D41916" w:rsidRDefault="00D01DE5" w:rsidP="00D01DE5">
          <w:pPr>
            <w:pStyle w:val="80033379A0224E41A83E2AAE042A9D16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AB7B0F1646E24286922B88DD2ED7F26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066705-4E4D-4C06-AA0E-1D7DB6B80DEE}"/>
      </w:docPartPr>
      <w:docPartBody>
        <w:p w:rsidR="00D41916" w:rsidRDefault="00D01DE5" w:rsidP="00D01DE5">
          <w:pPr>
            <w:pStyle w:val="AB7B0F1646E24286922B88DD2ED7F264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0ECAFA9BE6AD436DA2B4C6308297AA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C84925-29E2-41EB-9A07-A11C945D8AA4}"/>
      </w:docPartPr>
      <w:docPartBody>
        <w:p w:rsidR="00D01DE5" w:rsidRPr="00894C55" w:rsidRDefault="00D01DE5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D41916" w:rsidRDefault="00D01DE5" w:rsidP="00D01DE5">
          <w:pPr>
            <w:pStyle w:val="0ECAFA9BE6AD436DA2B4C6308297AA5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084514"/>
    <w:rsid w:val="00275858"/>
    <w:rsid w:val="00344186"/>
    <w:rsid w:val="003B52A1"/>
    <w:rsid w:val="00472F39"/>
    <w:rsid w:val="00523A63"/>
    <w:rsid w:val="00572535"/>
    <w:rsid w:val="006A7BCB"/>
    <w:rsid w:val="006D54C3"/>
    <w:rsid w:val="00770A81"/>
    <w:rsid w:val="008B623B"/>
    <w:rsid w:val="008D39C9"/>
    <w:rsid w:val="009C1B4C"/>
    <w:rsid w:val="009D1315"/>
    <w:rsid w:val="00C00671"/>
    <w:rsid w:val="00D01DE5"/>
    <w:rsid w:val="00D41916"/>
    <w:rsid w:val="00ED4BF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80033379A0224E41A83E2AAE042A9D16">
    <w:name w:val="80033379A0224E41A83E2AAE042A9D16"/>
    <w:rsid w:val="00D01DE5"/>
  </w:style>
  <w:style w:type="paragraph" w:customStyle="1" w:styleId="AB7B0F1646E24286922B88DD2ED7F264">
    <w:name w:val="AB7B0F1646E24286922B88DD2ED7F264"/>
    <w:rsid w:val="00D01DE5"/>
  </w:style>
  <w:style w:type="paragraph" w:customStyle="1" w:styleId="0ECAFA9BE6AD436DA2B4C6308297AA55">
    <w:name w:val="0ECAFA9BE6AD436DA2B4C6308297AA55"/>
    <w:rsid w:val="00D01DE5"/>
  </w:style>
  <w:style w:type="paragraph" w:customStyle="1" w:styleId="AC6EF1A9CEE74CC3B5C895B0C07FB79E">
    <w:name w:val="AC6EF1A9CEE74CC3B5C895B0C07FB79E"/>
    <w:rsid w:val="00D01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BDE2-6F38-45D2-8890-85A95B7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6701</Words>
  <Characters>3821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projekta sākotnējās ietekmes novērtējuma ziņojums (anotācija)</vt:lpstr>
    </vt:vector>
  </TitlesOfParts>
  <Company>ZM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Ginta Dzerkale</dc:creator>
  <dc:description>Dzerkale 67027404_x000d_
Ginta.Dzerkale@zm.gov.lv</dc:description>
  <cp:lastModifiedBy>Sanita Žagare</cp:lastModifiedBy>
  <cp:revision>7</cp:revision>
  <dcterms:created xsi:type="dcterms:W3CDTF">2017-06-28T06:24:00Z</dcterms:created>
  <dcterms:modified xsi:type="dcterms:W3CDTF">2017-07-10T08:53:00Z</dcterms:modified>
</cp:coreProperties>
</file>