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1A" w:rsidRPr="00DE7BFC" w:rsidRDefault="00B4271A" w:rsidP="007A0DEA">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bookmarkStart w:id="0" w:name="_GoBack"/>
      <w:bookmarkEnd w:id="0"/>
      <w:r w:rsidRPr="00DE7BFC">
        <w:rPr>
          <w:rFonts w:ascii="Times New Roman" w:eastAsia="Times New Roman" w:hAnsi="Times New Roman" w:cs="Times New Roman"/>
          <w:b/>
          <w:bCs/>
          <w:sz w:val="28"/>
          <w:szCs w:val="28"/>
          <w:lang w:eastAsia="lv-LV"/>
        </w:rPr>
        <w:t>Ministru kabineta noteikumu projekta „</w:t>
      </w:r>
      <w:r w:rsidR="007A0DEA" w:rsidRPr="00DE7BFC">
        <w:rPr>
          <w:rFonts w:ascii="Times New Roman" w:eastAsia="Times New Roman" w:hAnsi="Times New Roman" w:cs="Times New Roman"/>
          <w:b/>
          <w:bCs/>
          <w:sz w:val="28"/>
          <w:szCs w:val="28"/>
          <w:lang w:eastAsia="lv-LV"/>
        </w:rPr>
        <w:t>Grozījumi Ministru kabineta 2013.gada 23.aprīļa noteikumos Nr.225 „Izglītības kvalitātes valsts dienesta nolikums”</w:t>
      </w:r>
      <w:r w:rsidRPr="00DE7BFC">
        <w:rPr>
          <w:rFonts w:ascii="Times New Roman" w:eastAsia="Times New Roman" w:hAnsi="Times New Roman" w:cs="Times New Roman"/>
          <w:b/>
          <w:bCs/>
          <w:sz w:val="28"/>
          <w:szCs w:val="28"/>
          <w:lang w:eastAsia="lv-LV"/>
        </w:rPr>
        <w:t>”</w:t>
      </w:r>
      <w:r w:rsidR="007A0DEA" w:rsidRPr="00DE7BFC">
        <w:rPr>
          <w:rFonts w:ascii="Times New Roman" w:eastAsia="Times New Roman" w:hAnsi="Times New Roman" w:cs="Times New Roman"/>
          <w:b/>
          <w:bCs/>
          <w:sz w:val="28"/>
          <w:szCs w:val="28"/>
          <w:lang w:eastAsia="lv-LV"/>
        </w:rPr>
        <w:t xml:space="preserve"> </w:t>
      </w:r>
      <w:r w:rsidRPr="00DE7BFC">
        <w:rPr>
          <w:rFonts w:ascii="Times New Roman" w:eastAsia="Times New Roman" w:hAnsi="Times New Roman" w:cs="Times New Roman"/>
          <w:b/>
          <w:bCs/>
          <w:sz w:val="28"/>
          <w:szCs w:val="28"/>
          <w:lang w:eastAsia="lv-LV"/>
        </w:rPr>
        <w:t>sākotnējās ietekmes novērtējuma ziņojums (anotācija)</w:t>
      </w:r>
    </w:p>
    <w:p w:rsidR="00B4271A" w:rsidRPr="00DE7BFC" w:rsidRDefault="00B4271A" w:rsidP="00B4271A">
      <w:pPr>
        <w:shd w:val="clear" w:color="auto" w:fill="FFFFFF"/>
        <w:spacing w:after="0" w:line="240" w:lineRule="auto"/>
        <w:ind w:firstLine="300"/>
        <w:jc w:val="center"/>
        <w:rPr>
          <w:rFonts w:ascii="Times New Roman" w:eastAsia="Times New Roman" w:hAnsi="Times New Roman" w:cs="Times New Roman"/>
          <w:iCs/>
          <w:sz w:val="28"/>
          <w:szCs w:val="28"/>
          <w:lang w:eastAsia="lv-LV"/>
        </w:rPr>
      </w:pPr>
    </w:p>
    <w:tbl>
      <w:tblPr>
        <w:tblW w:w="525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1"/>
        <w:gridCol w:w="2593"/>
        <w:gridCol w:w="5525"/>
      </w:tblGrid>
      <w:tr w:rsidR="00DE7BFC" w:rsidRPr="00DE7BFC" w:rsidTr="001534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DE7BFC" w:rsidRDefault="00B4271A" w:rsidP="007F7C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E7BFC">
              <w:rPr>
                <w:rFonts w:ascii="Times New Roman" w:eastAsia="Times New Roman" w:hAnsi="Times New Roman" w:cs="Times New Roman"/>
                <w:b/>
                <w:bCs/>
                <w:sz w:val="28"/>
                <w:szCs w:val="28"/>
                <w:lang w:eastAsia="lv-LV"/>
              </w:rPr>
              <w:t>I. Tiesību akta projekta izstrādes nepieciešamība</w:t>
            </w:r>
          </w:p>
        </w:tc>
      </w:tr>
      <w:tr w:rsidR="00DE7BFC" w:rsidRPr="00DE7BFC" w:rsidTr="0027649E">
        <w:trPr>
          <w:trHeight w:val="664"/>
        </w:trPr>
        <w:tc>
          <w:tcPr>
            <w:tcW w:w="382"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Pamatojums</w:t>
            </w:r>
          </w:p>
        </w:tc>
        <w:tc>
          <w:tcPr>
            <w:tcW w:w="3143" w:type="pct"/>
            <w:tcBorders>
              <w:top w:val="outset" w:sz="6" w:space="0" w:color="414142"/>
              <w:left w:val="outset" w:sz="6" w:space="0" w:color="414142"/>
              <w:bottom w:val="outset" w:sz="6" w:space="0" w:color="414142"/>
              <w:right w:val="outset" w:sz="6" w:space="0" w:color="414142"/>
            </w:tcBorders>
            <w:hideMark/>
          </w:tcPr>
          <w:p w:rsidR="00B4271A" w:rsidRPr="00DE7BFC" w:rsidRDefault="00650FED" w:rsidP="00BD5CD1">
            <w:pPr>
              <w:pStyle w:val="tv213"/>
              <w:numPr>
                <w:ilvl w:val="0"/>
                <w:numId w:val="1"/>
              </w:numPr>
              <w:shd w:val="clear" w:color="auto" w:fill="FFFFFF"/>
              <w:spacing w:before="0" w:beforeAutospacing="0" w:after="0" w:afterAutospacing="0" w:line="293" w:lineRule="atLeast"/>
              <w:ind w:left="392" w:hanging="392"/>
              <w:jc w:val="both"/>
              <w:rPr>
                <w:bCs/>
                <w:sz w:val="28"/>
                <w:szCs w:val="28"/>
              </w:rPr>
            </w:pPr>
            <w:r w:rsidRPr="00DE7BFC">
              <w:rPr>
                <w:bCs/>
                <w:sz w:val="28"/>
                <w:szCs w:val="28"/>
              </w:rPr>
              <w:t>Valsts pārvaldes iekārtas likuma 16.panta pirmā daļa</w:t>
            </w:r>
            <w:r w:rsidR="00B4271A" w:rsidRPr="00DE7BFC">
              <w:rPr>
                <w:bCs/>
                <w:sz w:val="28"/>
                <w:szCs w:val="28"/>
              </w:rPr>
              <w:t>;</w:t>
            </w:r>
          </w:p>
          <w:p w:rsidR="00104E0F" w:rsidRPr="00DE7BFC" w:rsidRDefault="008D763F" w:rsidP="00BD5CD1">
            <w:pPr>
              <w:pStyle w:val="tv213"/>
              <w:numPr>
                <w:ilvl w:val="0"/>
                <w:numId w:val="1"/>
              </w:numPr>
              <w:shd w:val="clear" w:color="auto" w:fill="FFFFFF"/>
              <w:spacing w:before="0" w:beforeAutospacing="0" w:after="0" w:afterAutospacing="0" w:line="293" w:lineRule="atLeast"/>
              <w:ind w:left="392" w:hanging="392"/>
              <w:jc w:val="both"/>
              <w:rPr>
                <w:bCs/>
                <w:sz w:val="28"/>
                <w:szCs w:val="28"/>
              </w:rPr>
            </w:pPr>
            <w:r w:rsidRPr="00DE7BFC">
              <w:rPr>
                <w:sz w:val="28"/>
                <w:szCs w:val="28"/>
              </w:rPr>
              <w:t xml:space="preserve">Izglītības likuma 50.panta 1.punkts kopsakarā ar </w:t>
            </w:r>
            <w:r w:rsidR="00B4271A" w:rsidRPr="00DE7BFC">
              <w:rPr>
                <w:sz w:val="28"/>
                <w:szCs w:val="28"/>
              </w:rPr>
              <w:t>Ministru kabineta 2014.gada 15.aprīļa noteikumu Nr.195 „Kārtība, kādā tiek izvērtēts, vai atļauja strādāt par pedagogu personai, kas bijusi sodīta par tīšu kriminālpārkāpumu vai mazāk smagu noziegumu,</w:t>
            </w:r>
            <w:r w:rsidR="00B4271A" w:rsidRPr="00DE7BFC">
              <w:t xml:space="preserve"> </w:t>
            </w:r>
            <w:r w:rsidR="00B4271A" w:rsidRPr="00DE7BFC">
              <w:rPr>
                <w:sz w:val="28"/>
                <w:szCs w:val="28"/>
              </w:rPr>
              <w:t>ja sodāmība ir dzēsta vai noņemta, nekaitēs izglītojamo interesēm” (turpmāk – MK noteikumi Nr.195)</w:t>
            </w:r>
            <w:r w:rsidR="001F03E2" w:rsidRPr="00DE7BFC">
              <w:rPr>
                <w:sz w:val="28"/>
                <w:szCs w:val="28"/>
              </w:rPr>
              <w:t xml:space="preserve"> 2</w:t>
            </w:r>
            <w:r w:rsidR="00B4271A" w:rsidRPr="00DE7BFC">
              <w:rPr>
                <w:sz w:val="28"/>
                <w:szCs w:val="28"/>
              </w:rPr>
              <w:t>.punkt</w:t>
            </w:r>
            <w:r w:rsidRPr="00DE7BFC">
              <w:rPr>
                <w:sz w:val="28"/>
                <w:szCs w:val="28"/>
              </w:rPr>
              <w:t>u</w:t>
            </w:r>
            <w:r w:rsidR="00687746" w:rsidRPr="00DE7BFC">
              <w:rPr>
                <w:sz w:val="28"/>
                <w:szCs w:val="28"/>
              </w:rPr>
              <w:t>;</w:t>
            </w:r>
          </w:p>
          <w:p w:rsidR="008B2841" w:rsidRPr="00DE7BFC" w:rsidRDefault="008B2841" w:rsidP="00BD5CD1">
            <w:pPr>
              <w:pStyle w:val="tv213"/>
              <w:numPr>
                <w:ilvl w:val="0"/>
                <w:numId w:val="1"/>
              </w:numPr>
              <w:shd w:val="clear" w:color="auto" w:fill="FFFFFF"/>
              <w:spacing w:before="0" w:beforeAutospacing="0" w:after="0" w:afterAutospacing="0" w:line="293" w:lineRule="atLeast"/>
              <w:ind w:left="392" w:hanging="392"/>
              <w:jc w:val="both"/>
              <w:rPr>
                <w:bCs/>
                <w:sz w:val="28"/>
                <w:szCs w:val="28"/>
              </w:rPr>
            </w:pPr>
            <w:r w:rsidRPr="00DE7BFC">
              <w:rPr>
                <w:sz w:val="28"/>
                <w:szCs w:val="28"/>
              </w:rPr>
              <w:t>Izglītības likuma 20.panta pirmā daļa, trešās daļas 1. un 5.punkts; Izglītības likuma 30.panta sestā daļa un 48.panta sestā daļa;</w:t>
            </w:r>
          </w:p>
          <w:p w:rsidR="00BB394A" w:rsidRPr="00DE7BFC" w:rsidRDefault="00104E0F" w:rsidP="00BB394A">
            <w:pPr>
              <w:pStyle w:val="tv213"/>
              <w:numPr>
                <w:ilvl w:val="0"/>
                <w:numId w:val="1"/>
              </w:numPr>
              <w:shd w:val="clear" w:color="auto" w:fill="FFFFFF"/>
              <w:spacing w:after="0" w:afterAutospacing="0" w:line="293" w:lineRule="atLeast"/>
              <w:ind w:left="392" w:hanging="392"/>
              <w:jc w:val="both"/>
              <w:rPr>
                <w:sz w:val="28"/>
                <w:szCs w:val="28"/>
              </w:rPr>
            </w:pPr>
            <w:r w:rsidRPr="00DE7BFC">
              <w:rPr>
                <w:sz w:val="28"/>
                <w:szCs w:val="28"/>
              </w:rPr>
              <w:t xml:space="preserve">Izglītības likuma </w:t>
            </w:r>
            <w:r w:rsidR="008B2841" w:rsidRPr="00DE7BFC">
              <w:rPr>
                <w:sz w:val="28"/>
                <w:szCs w:val="28"/>
              </w:rPr>
              <w:t>14.panta 12.</w:t>
            </w:r>
            <w:r w:rsidR="008B2841" w:rsidRPr="00DE7BFC">
              <w:rPr>
                <w:sz w:val="28"/>
                <w:szCs w:val="28"/>
                <w:vertAlign w:val="superscript"/>
              </w:rPr>
              <w:t xml:space="preserve">1 </w:t>
            </w:r>
            <w:r w:rsidR="008B2841" w:rsidRPr="00DE7BFC">
              <w:rPr>
                <w:sz w:val="28"/>
                <w:szCs w:val="28"/>
              </w:rPr>
              <w:t xml:space="preserve">punkts un </w:t>
            </w:r>
            <w:r w:rsidRPr="00DE7BFC">
              <w:rPr>
                <w:sz w:val="28"/>
                <w:szCs w:val="28"/>
              </w:rPr>
              <w:t xml:space="preserve">30.panta </w:t>
            </w:r>
            <w:r w:rsidR="0044231F" w:rsidRPr="00DE7BFC">
              <w:rPr>
                <w:sz w:val="28"/>
                <w:szCs w:val="28"/>
              </w:rPr>
              <w:t>4.</w:t>
            </w:r>
            <w:r w:rsidR="0044231F" w:rsidRPr="00DE7BFC">
              <w:rPr>
                <w:sz w:val="28"/>
                <w:szCs w:val="28"/>
                <w:vertAlign w:val="superscript"/>
              </w:rPr>
              <w:t>1</w:t>
            </w:r>
            <w:r w:rsidR="0044231F" w:rsidRPr="00DE7BFC">
              <w:rPr>
                <w:sz w:val="28"/>
                <w:szCs w:val="28"/>
              </w:rPr>
              <w:t xml:space="preserve"> </w:t>
            </w:r>
            <w:r w:rsidRPr="00DE7BFC">
              <w:rPr>
                <w:sz w:val="28"/>
                <w:szCs w:val="28"/>
              </w:rPr>
              <w:t>daļ</w:t>
            </w:r>
            <w:r w:rsidR="0044231F" w:rsidRPr="00DE7BFC">
              <w:rPr>
                <w:sz w:val="28"/>
                <w:szCs w:val="28"/>
              </w:rPr>
              <w:t>a</w:t>
            </w:r>
            <w:r w:rsidRPr="00DE7BFC">
              <w:rPr>
                <w:sz w:val="28"/>
                <w:szCs w:val="28"/>
              </w:rPr>
              <w:t xml:space="preserve"> kopsakarā ar Ministru kabineta 201</w:t>
            </w:r>
            <w:r w:rsidR="0044231F" w:rsidRPr="00DE7BFC">
              <w:rPr>
                <w:sz w:val="28"/>
                <w:szCs w:val="28"/>
              </w:rPr>
              <w:t>6</w:t>
            </w:r>
            <w:r w:rsidRPr="00DE7BFC">
              <w:rPr>
                <w:sz w:val="28"/>
                <w:szCs w:val="28"/>
              </w:rPr>
              <w:t xml:space="preserve">.gada </w:t>
            </w:r>
            <w:r w:rsidR="00A51FD1" w:rsidRPr="00DE7BFC">
              <w:rPr>
                <w:sz w:val="28"/>
                <w:szCs w:val="28"/>
              </w:rPr>
              <w:t>20</w:t>
            </w:r>
            <w:r w:rsidRPr="00DE7BFC">
              <w:rPr>
                <w:sz w:val="28"/>
                <w:szCs w:val="28"/>
              </w:rPr>
              <w:t>.</w:t>
            </w:r>
            <w:r w:rsidR="00A51FD1" w:rsidRPr="00DE7BFC">
              <w:rPr>
                <w:sz w:val="28"/>
                <w:szCs w:val="28"/>
              </w:rPr>
              <w:t>decembra</w:t>
            </w:r>
            <w:r w:rsidRPr="00DE7BFC">
              <w:rPr>
                <w:sz w:val="28"/>
                <w:szCs w:val="28"/>
              </w:rPr>
              <w:t xml:space="preserve"> noteikum</w:t>
            </w:r>
            <w:r w:rsidR="008B2841" w:rsidRPr="00DE7BFC">
              <w:rPr>
                <w:sz w:val="28"/>
                <w:szCs w:val="28"/>
              </w:rPr>
              <w:t>u</w:t>
            </w:r>
            <w:r w:rsidRPr="00DE7BFC">
              <w:rPr>
                <w:sz w:val="28"/>
                <w:szCs w:val="28"/>
              </w:rPr>
              <w:t xml:space="preserve"> Nr.</w:t>
            </w:r>
            <w:r w:rsidR="00A51FD1" w:rsidRPr="00DE7BFC">
              <w:rPr>
                <w:sz w:val="28"/>
                <w:szCs w:val="28"/>
              </w:rPr>
              <w:t>831</w:t>
            </w:r>
            <w:r w:rsidR="0044231F" w:rsidRPr="00DE7BFC">
              <w:rPr>
                <w:sz w:val="28"/>
                <w:szCs w:val="28"/>
              </w:rPr>
              <w:t xml:space="preserve"> </w:t>
            </w:r>
            <w:r w:rsidRPr="00DE7BFC">
              <w:rPr>
                <w:sz w:val="28"/>
                <w:szCs w:val="28"/>
              </w:rPr>
              <w:t>„</w:t>
            </w:r>
            <w:r w:rsidR="0044231F" w:rsidRPr="00DE7BFC">
              <w:rPr>
                <w:sz w:val="28"/>
                <w:szCs w:val="28"/>
              </w:rPr>
              <w:t>Kārtība, kādā akreditē izglītības iestādes, eksaminācijas centrus un citas Izglītības likumā noteiktas institūcijas, vispārējās un profesionālās izglītības programmas un novērtē izglītības iestāžu vadītāju profesionālo darbību</w:t>
            </w:r>
            <w:r w:rsidRPr="00DE7BFC">
              <w:rPr>
                <w:sz w:val="28"/>
                <w:szCs w:val="28"/>
              </w:rPr>
              <w:t>” (turpmāk – MK noteikumi Nr.</w:t>
            </w:r>
            <w:r w:rsidR="00A51FD1" w:rsidRPr="00DE7BFC">
              <w:rPr>
                <w:sz w:val="28"/>
                <w:szCs w:val="28"/>
              </w:rPr>
              <w:t>831</w:t>
            </w:r>
            <w:r w:rsidRPr="00DE7BFC">
              <w:rPr>
                <w:sz w:val="28"/>
                <w:szCs w:val="28"/>
              </w:rPr>
              <w:t>)</w:t>
            </w:r>
            <w:r w:rsidR="008B2841" w:rsidRPr="00DE7BFC">
              <w:rPr>
                <w:sz w:val="28"/>
                <w:szCs w:val="28"/>
              </w:rPr>
              <w:t xml:space="preserve"> 42., 60.9.punktu</w:t>
            </w:r>
            <w:r w:rsidR="00BD64CF" w:rsidRPr="00DE7BFC">
              <w:rPr>
                <w:sz w:val="28"/>
                <w:szCs w:val="28"/>
              </w:rPr>
              <w:t>;</w:t>
            </w:r>
          </w:p>
          <w:p w:rsidR="00BD64CF" w:rsidRPr="00DE7BFC" w:rsidRDefault="00BB394A" w:rsidP="0027649E">
            <w:pPr>
              <w:pStyle w:val="tv213"/>
              <w:numPr>
                <w:ilvl w:val="0"/>
                <w:numId w:val="1"/>
              </w:numPr>
              <w:shd w:val="clear" w:color="auto" w:fill="FFFFFF"/>
              <w:spacing w:after="0" w:afterAutospacing="0" w:line="293" w:lineRule="atLeast"/>
              <w:ind w:left="392" w:hanging="392"/>
              <w:jc w:val="both"/>
              <w:rPr>
                <w:b/>
                <w:sz w:val="28"/>
                <w:szCs w:val="28"/>
              </w:rPr>
            </w:pPr>
            <w:r w:rsidRPr="00DE7BFC">
              <w:rPr>
                <w:sz w:val="28"/>
                <w:szCs w:val="28"/>
              </w:rPr>
              <w:t>Izglītības likuma 14.panta 35.punkts kopsakarā ar Ministru kabineta 2011.gada 1.februāra noteikumu Nr. 89 „Kārtība, kādā izglītības iestāde informē izglītojamo vecākus, pašvaldības vai valsts iestādes, ja izglītojamais bez attaisnojoša iemesla neapmeklē izglītības iestādi”</w:t>
            </w:r>
            <w:r w:rsidR="0027649E" w:rsidRPr="00DE7BFC">
              <w:rPr>
                <w:sz w:val="28"/>
                <w:szCs w:val="28"/>
              </w:rPr>
              <w:t xml:space="preserve"> (turpmāk – MK noteikumi Nr.89)</w:t>
            </w:r>
            <w:r w:rsidRPr="00DE7BFC">
              <w:rPr>
                <w:sz w:val="28"/>
                <w:szCs w:val="28"/>
              </w:rPr>
              <w:t xml:space="preserve"> </w:t>
            </w:r>
            <w:r w:rsidR="0027649E" w:rsidRPr="00DE7BFC">
              <w:rPr>
                <w:sz w:val="28"/>
                <w:szCs w:val="28"/>
              </w:rPr>
              <w:t xml:space="preserve">9.punktā </w:t>
            </w:r>
            <w:r w:rsidRPr="00DE7BFC">
              <w:rPr>
                <w:sz w:val="28"/>
                <w:szCs w:val="28"/>
              </w:rPr>
              <w:t>noteikto</w:t>
            </w:r>
            <w:r w:rsidR="0027649E" w:rsidRPr="00DE7BFC">
              <w:rPr>
                <w:sz w:val="28"/>
                <w:szCs w:val="28"/>
              </w:rPr>
              <w:t>.</w:t>
            </w:r>
          </w:p>
        </w:tc>
      </w:tr>
      <w:tr w:rsidR="00DE7BFC" w:rsidRPr="00DE7BFC" w:rsidTr="001534C5">
        <w:trPr>
          <w:trHeight w:val="465"/>
        </w:trPr>
        <w:tc>
          <w:tcPr>
            <w:tcW w:w="382"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xml:space="preserve">Pašreizējā situācija un problēmas, kuru risināšanai tiesību akta projekts </w:t>
            </w:r>
            <w:r w:rsidRPr="00DE7BFC">
              <w:rPr>
                <w:rFonts w:ascii="Times New Roman" w:eastAsia="Times New Roman" w:hAnsi="Times New Roman" w:cs="Times New Roman"/>
                <w:sz w:val="28"/>
                <w:szCs w:val="28"/>
                <w:lang w:eastAsia="lv-LV"/>
              </w:rPr>
              <w:lastRenderedPageBreak/>
              <w:t>izstrādāts, tiesiskā regulējuma mērķis un būtība</w:t>
            </w:r>
          </w:p>
        </w:tc>
        <w:tc>
          <w:tcPr>
            <w:tcW w:w="3143" w:type="pct"/>
            <w:tcBorders>
              <w:top w:val="outset" w:sz="6" w:space="0" w:color="414142"/>
              <w:left w:val="outset" w:sz="6" w:space="0" w:color="414142"/>
              <w:bottom w:val="outset" w:sz="6" w:space="0" w:color="414142"/>
              <w:right w:val="outset" w:sz="6" w:space="0" w:color="414142"/>
            </w:tcBorders>
            <w:hideMark/>
          </w:tcPr>
          <w:p w:rsidR="00A759DD" w:rsidRPr="00DE7BFC" w:rsidRDefault="00A759DD" w:rsidP="00A759DD">
            <w:p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lastRenderedPageBreak/>
              <w:t xml:space="preserve">Saskaņā ar Valsts pārvaldes iekārtas likuma 16.panta pirmajā daļā noteikto tiešās pārvaldes iestādes darbību reglamentē Ministru kabineta apstiprināts nolikums. Savukārt saskaņā ar </w:t>
            </w:r>
            <w:r w:rsidRPr="00DE7BFC">
              <w:rPr>
                <w:rFonts w:ascii="Times New Roman" w:eastAsia="Times New Roman" w:hAnsi="Times New Roman" w:cs="Times New Roman"/>
                <w:sz w:val="28"/>
                <w:szCs w:val="28"/>
                <w:lang w:eastAsia="lv-LV"/>
              </w:rPr>
              <w:lastRenderedPageBreak/>
              <w:t>minētā panta otrās daļas 3.punktā noteikto nolikumā norāda iestādes funkcijas, uzdevumus un kompetenci.</w:t>
            </w:r>
          </w:p>
          <w:p w:rsidR="00A759DD" w:rsidRPr="00DE7BFC" w:rsidRDefault="00A759DD" w:rsidP="00A759DD">
            <w:p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Ievērojot, ka saskaņā ar grozījumiem Izglītības likumā</w:t>
            </w:r>
            <w:r w:rsidR="004574B9" w:rsidRPr="00DE7BFC">
              <w:rPr>
                <w:rFonts w:ascii="Times New Roman" w:eastAsia="Times New Roman" w:hAnsi="Times New Roman" w:cs="Times New Roman"/>
                <w:sz w:val="28"/>
                <w:szCs w:val="28"/>
                <w:lang w:eastAsia="lv-LV"/>
              </w:rPr>
              <w:t>, kas</w:t>
            </w:r>
            <w:r w:rsidRPr="00DE7BFC">
              <w:rPr>
                <w:rFonts w:ascii="Times New Roman" w:eastAsia="Times New Roman" w:hAnsi="Times New Roman" w:cs="Times New Roman"/>
                <w:sz w:val="28"/>
                <w:szCs w:val="28"/>
                <w:lang w:eastAsia="lv-LV"/>
              </w:rPr>
              <w:t xml:space="preserve"> </w:t>
            </w:r>
            <w:r w:rsidR="004574B9" w:rsidRPr="00DE7BFC">
              <w:rPr>
                <w:rFonts w:ascii="Times New Roman" w:eastAsia="Times New Roman" w:hAnsi="Times New Roman" w:cs="Times New Roman"/>
                <w:sz w:val="28"/>
                <w:szCs w:val="28"/>
                <w:lang w:eastAsia="lv-LV"/>
              </w:rPr>
              <w:t xml:space="preserve">stājās </w:t>
            </w:r>
            <w:r w:rsidRPr="00DE7BFC">
              <w:rPr>
                <w:rFonts w:ascii="Times New Roman" w:eastAsia="Times New Roman" w:hAnsi="Times New Roman" w:cs="Times New Roman"/>
                <w:sz w:val="28"/>
                <w:szCs w:val="28"/>
                <w:lang w:eastAsia="lv-LV"/>
              </w:rPr>
              <w:t>spēkā 2012.gada 1.oktobrī</w:t>
            </w:r>
            <w:r w:rsidR="004574B9" w:rsidRPr="00DE7BFC">
              <w:rPr>
                <w:rFonts w:ascii="Times New Roman" w:eastAsia="Times New Roman" w:hAnsi="Times New Roman" w:cs="Times New Roman"/>
                <w:sz w:val="28"/>
                <w:szCs w:val="28"/>
                <w:lang w:eastAsia="lv-LV"/>
              </w:rPr>
              <w:t xml:space="preserve"> un 2017</w:t>
            </w:r>
            <w:r w:rsidRPr="00DE7BFC">
              <w:rPr>
                <w:rFonts w:ascii="Times New Roman" w:eastAsia="Times New Roman" w:hAnsi="Times New Roman" w:cs="Times New Roman"/>
                <w:sz w:val="28"/>
                <w:szCs w:val="28"/>
                <w:lang w:eastAsia="lv-LV"/>
              </w:rPr>
              <w:t xml:space="preserve">.gada </w:t>
            </w:r>
            <w:r w:rsidR="004574B9" w:rsidRPr="00DE7BFC">
              <w:rPr>
                <w:rFonts w:ascii="Times New Roman" w:eastAsia="Times New Roman" w:hAnsi="Times New Roman" w:cs="Times New Roman"/>
                <w:sz w:val="28"/>
                <w:szCs w:val="28"/>
                <w:lang w:eastAsia="lv-LV"/>
              </w:rPr>
              <w:t>1.janvārī</w:t>
            </w:r>
            <w:r w:rsidRPr="00DE7BFC">
              <w:rPr>
                <w:rFonts w:ascii="Times New Roman" w:eastAsia="Times New Roman" w:hAnsi="Times New Roman" w:cs="Times New Roman"/>
                <w:sz w:val="28"/>
                <w:szCs w:val="28"/>
                <w:lang w:eastAsia="lv-LV"/>
              </w:rPr>
              <w:t>, Izglītības kvalitātes valsts dienestam (turpmāk – kvalitātes dienests) ir noteiktas jaunas funkcijas, ir izstrādāts</w:t>
            </w:r>
            <w:r w:rsidRPr="00DE7BFC">
              <w:t xml:space="preserve"> </w:t>
            </w:r>
            <w:r w:rsidRPr="00DE7BFC">
              <w:rPr>
                <w:rFonts w:ascii="Times New Roman" w:eastAsia="Times New Roman" w:hAnsi="Times New Roman" w:cs="Times New Roman"/>
                <w:sz w:val="28"/>
                <w:szCs w:val="28"/>
                <w:lang w:eastAsia="lv-LV"/>
              </w:rPr>
              <w:t>Ministru kabineta noteikumu projekts „Grozījumi Ministru kabineta 2013.gada 23.aprīļa noteikumos Nr.225 „Izglītības kvalitātes valsts dienesta nolikums”” (turpmāk – noteikumu projekts).</w:t>
            </w:r>
          </w:p>
          <w:p w:rsidR="00BD64CF" w:rsidRPr="00DE7BFC" w:rsidRDefault="00B4271A" w:rsidP="00BD64CF">
            <w:pPr>
              <w:pStyle w:val="ListParagraph"/>
              <w:numPr>
                <w:ilvl w:val="0"/>
                <w:numId w:val="2"/>
              </w:numPr>
              <w:spacing w:after="0" w:line="240" w:lineRule="auto"/>
              <w:ind w:left="392" w:hanging="392"/>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Izglītības likuma 50.panta 1.punktā no 2012.gada 1.oktobra noteikts, ka par pedagogu nedrīkst strādāt persona, kas sodīta par tīša noziedzīga nodarījuma izdarīšanu (neatkarīgi no sodāmības dzēšanas vai noņemšanas), izņemot gadījumu, kad pēc sodāmības dzēšanas vai noņemšanas Ministru kabineta noteikta institūcija, izvērtējusi, vai tas nekaitē izglītojamo interesēm, ir atļāvusi strādāt par pedagogu personai, kas bijusi sodīta par tīšu kriminālpārkāpumu vai mazāk smagu noziegumu. Ministru kabinets nosaka kārtību, kādā tiek izvērtēts, vai atļauja šādai personai strādāt par pedagogu nekaitēs izglītojamo interesēm. Ievērojot minēto, 2014.gada 15.aprīlī ir pieņemti MK noteikumi Nr.195, kas stājas spēkā 2015.gada 1.janvārī. MK noteikumu Nr.195 2.punkts paredz kvalitātes dienest</w:t>
            </w:r>
            <w:r w:rsidR="004574B9" w:rsidRPr="00DE7BFC">
              <w:rPr>
                <w:rFonts w:ascii="Times New Roman" w:eastAsia="Times New Roman" w:hAnsi="Times New Roman" w:cs="Times New Roman"/>
                <w:sz w:val="28"/>
                <w:szCs w:val="28"/>
                <w:lang w:eastAsia="lv-LV"/>
              </w:rPr>
              <w:t>am</w:t>
            </w:r>
            <w:r w:rsidRPr="00DE7BFC">
              <w:rPr>
                <w:rFonts w:ascii="Times New Roman" w:eastAsia="Times New Roman" w:hAnsi="Times New Roman" w:cs="Times New Roman"/>
                <w:sz w:val="28"/>
                <w:szCs w:val="28"/>
                <w:lang w:eastAsia="lv-LV"/>
              </w:rPr>
              <w:t xml:space="preserve"> funkciju: izvērtēt, vai atļauja strādāt par pedagogu personai, kas bijusi sodīta par tīšu kriminālpārkāpumu vai mazāk smagu noziegumu,</w:t>
            </w:r>
            <w:r w:rsidRPr="00DE7BFC">
              <w:t xml:space="preserve"> </w:t>
            </w:r>
            <w:r w:rsidRPr="00DE7BFC">
              <w:rPr>
                <w:rFonts w:ascii="Times New Roman" w:eastAsia="Times New Roman" w:hAnsi="Times New Roman" w:cs="Times New Roman"/>
                <w:sz w:val="28"/>
                <w:szCs w:val="28"/>
                <w:lang w:eastAsia="lv-LV"/>
              </w:rPr>
              <w:t xml:space="preserve">ja sodāmība ir dzēsta vai noņemta, nekaitēs izglītojamo interesēm un pieņemt lēmumu par atļaujas izsniegšanu, atteikumu izsniegt atļauju </w:t>
            </w:r>
            <w:r w:rsidR="008D763F" w:rsidRPr="00DE7BFC">
              <w:rPr>
                <w:rFonts w:ascii="Times New Roman" w:eastAsia="Times New Roman" w:hAnsi="Times New Roman" w:cs="Times New Roman"/>
                <w:sz w:val="28"/>
                <w:szCs w:val="28"/>
                <w:lang w:eastAsia="lv-LV"/>
              </w:rPr>
              <w:t>un</w:t>
            </w:r>
            <w:r w:rsidRPr="00DE7BFC">
              <w:rPr>
                <w:rFonts w:ascii="Times New Roman" w:eastAsia="Times New Roman" w:hAnsi="Times New Roman" w:cs="Times New Roman"/>
                <w:sz w:val="28"/>
                <w:szCs w:val="28"/>
                <w:lang w:eastAsia="lv-LV"/>
              </w:rPr>
              <w:t xml:space="preserve"> atļaujas anulēšanu</w:t>
            </w:r>
            <w:r w:rsidR="00650FED" w:rsidRPr="00DE7BFC">
              <w:rPr>
                <w:rFonts w:ascii="Times New Roman" w:eastAsia="Times New Roman" w:hAnsi="Times New Roman" w:cs="Times New Roman"/>
                <w:sz w:val="28"/>
                <w:szCs w:val="28"/>
                <w:lang w:eastAsia="lv-LV"/>
              </w:rPr>
              <w:t>.</w:t>
            </w:r>
            <w:r w:rsidRPr="00DE7BFC">
              <w:rPr>
                <w:rFonts w:ascii="Times New Roman" w:hAnsi="Times New Roman" w:cs="Times New Roman"/>
                <w:sz w:val="28"/>
                <w:szCs w:val="28"/>
                <w:shd w:val="clear" w:color="auto" w:fill="FFFFFF"/>
              </w:rPr>
              <w:t xml:space="preserve"> </w:t>
            </w:r>
          </w:p>
          <w:p w:rsidR="00F07ED1" w:rsidRPr="00DE7BFC" w:rsidRDefault="002C3DED" w:rsidP="00F07ED1">
            <w:pPr>
              <w:pStyle w:val="ListParagraph"/>
              <w:numPr>
                <w:ilvl w:val="0"/>
                <w:numId w:val="2"/>
              </w:numPr>
              <w:spacing w:after="0" w:line="240" w:lineRule="auto"/>
              <w:ind w:left="392" w:hanging="392"/>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xml:space="preserve">Izglītības likuma </w:t>
            </w:r>
            <w:r w:rsidR="004574B9" w:rsidRPr="00DE7BFC">
              <w:rPr>
                <w:rFonts w:ascii="Times New Roman" w:eastAsia="Times New Roman" w:hAnsi="Times New Roman" w:cs="Times New Roman"/>
                <w:sz w:val="28"/>
                <w:szCs w:val="28"/>
                <w:lang w:eastAsia="lv-LV"/>
              </w:rPr>
              <w:t>14.panta 12.</w:t>
            </w:r>
            <w:r w:rsidR="004574B9" w:rsidRPr="00DE7BFC">
              <w:rPr>
                <w:rFonts w:ascii="Times New Roman" w:eastAsia="Times New Roman" w:hAnsi="Times New Roman" w:cs="Times New Roman"/>
                <w:sz w:val="28"/>
                <w:szCs w:val="28"/>
                <w:vertAlign w:val="superscript"/>
                <w:lang w:eastAsia="lv-LV"/>
              </w:rPr>
              <w:t xml:space="preserve">1 </w:t>
            </w:r>
            <w:r w:rsidR="004574B9" w:rsidRPr="00DE7BFC">
              <w:rPr>
                <w:rFonts w:ascii="Times New Roman" w:eastAsia="Times New Roman" w:hAnsi="Times New Roman" w:cs="Times New Roman"/>
                <w:sz w:val="28"/>
                <w:szCs w:val="28"/>
                <w:lang w:eastAsia="lv-LV"/>
              </w:rPr>
              <w:t xml:space="preserve">punkts un </w:t>
            </w:r>
            <w:r w:rsidRPr="00DE7BFC">
              <w:rPr>
                <w:rFonts w:ascii="Times New Roman" w:eastAsia="Times New Roman" w:hAnsi="Times New Roman" w:cs="Times New Roman"/>
                <w:sz w:val="28"/>
                <w:szCs w:val="28"/>
                <w:lang w:eastAsia="lv-LV"/>
              </w:rPr>
              <w:t>30.panta 4.</w:t>
            </w:r>
            <w:r w:rsidRPr="00DE7BFC">
              <w:rPr>
                <w:rFonts w:ascii="Times New Roman" w:eastAsia="Times New Roman" w:hAnsi="Times New Roman" w:cs="Times New Roman"/>
                <w:sz w:val="28"/>
                <w:szCs w:val="28"/>
                <w:vertAlign w:val="superscript"/>
                <w:lang w:eastAsia="lv-LV"/>
              </w:rPr>
              <w:t>1</w:t>
            </w:r>
            <w:r w:rsidRPr="00DE7BFC">
              <w:rPr>
                <w:rFonts w:ascii="Times New Roman" w:eastAsia="Times New Roman" w:hAnsi="Times New Roman" w:cs="Times New Roman"/>
                <w:sz w:val="28"/>
                <w:szCs w:val="28"/>
                <w:lang w:eastAsia="lv-LV"/>
              </w:rPr>
              <w:t xml:space="preserve"> daļ</w:t>
            </w:r>
            <w:r w:rsidR="004574B9" w:rsidRPr="00DE7BFC">
              <w:rPr>
                <w:rFonts w:ascii="Times New Roman" w:eastAsia="Times New Roman" w:hAnsi="Times New Roman" w:cs="Times New Roman"/>
                <w:sz w:val="28"/>
                <w:szCs w:val="28"/>
                <w:lang w:eastAsia="lv-LV"/>
              </w:rPr>
              <w:t>a</w:t>
            </w:r>
            <w:r w:rsidRPr="00DE7BFC">
              <w:rPr>
                <w:rFonts w:ascii="Times New Roman" w:eastAsia="Times New Roman" w:hAnsi="Times New Roman" w:cs="Times New Roman"/>
                <w:sz w:val="28"/>
                <w:szCs w:val="28"/>
                <w:lang w:eastAsia="lv-LV"/>
              </w:rPr>
              <w:t xml:space="preserve"> </w:t>
            </w:r>
            <w:r w:rsidR="004574B9" w:rsidRPr="00DE7BFC">
              <w:rPr>
                <w:rFonts w:ascii="Times New Roman" w:eastAsia="Times New Roman" w:hAnsi="Times New Roman" w:cs="Times New Roman"/>
                <w:sz w:val="28"/>
                <w:szCs w:val="28"/>
                <w:lang w:eastAsia="lv-LV"/>
              </w:rPr>
              <w:t xml:space="preserve">paredz Ministru kabinetam </w:t>
            </w:r>
            <w:r w:rsidR="004574B9" w:rsidRPr="00DE7BFC">
              <w:rPr>
                <w:rFonts w:ascii="Times New Roman" w:eastAsia="Times New Roman" w:hAnsi="Times New Roman" w:cs="Times New Roman"/>
                <w:sz w:val="28"/>
                <w:szCs w:val="28"/>
                <w:lang w:eastAsia="lv-LV"/>
              </w:rPr>
              <w:lastRenderedPageBreak/>
              <w:t>deleģējumu noteikt kārtību, kādā tiek novērtēta</w:t>
            </w:r>
            <w:r w:rsidR="004574B9" w:rsidRPr="00DE7BFC">
              <w:t xml:space="preserve"> </w:t>
            </w:r>
            <w:r w:rsidR="004574B9" w:rsidRPr="00DE7BFC">
              <w:rPr>
                <w:rFonts w:ascii="Times New Roman" w:hAnsi="Times New Roman" w:cs="Times New Roman"/>
                <w:sz w:val="28"/>
                <w:szCs w:val="28"/>
              </w:rPr>
              <w:t>i</w:t>
            </w:r>
            <w:r w:rsidR="004574B9" w:rsidRPr="00DE7BFC">
              <w:rPr>
                <w:rFonts w:ascii="Times New Roman" w:eastAsia="Times New Roman" w:hAnsi="Times New Roman" w:cs="Times New Roman"/>
                <w:sz w:val="28"/>
                <w:szCs w:val="28"/>
                <w:lang w:eastAsia="lv-LV"/>
              </w:rPr>
              <w:t xml:space="preserve">zglītības iestāžu (izņemot augstskolas un koledžas) vadītāju profesionālā darbība. Savukārt saskaņā ar MK noteikumu Nr.831 42.punktā un 60.9.apakšpunktā noteikto </w:t>
            </w:r>
            <w:r w:rsidR="00BD64CF" w:rsidRPr="00DE7BFC">
              <w:rPr>
                <w:rFonts w:ascii="Times New Roman" w:eastAsia="Times New Roman" w:hAnsi="Times New Roman" w:cs="Times New Roman"/>
                <w:sz w:val="28"/>
                <w:szCs w:val="28"/>
                <w:lang w:eastAsia="lv-LV"/>
              </w:rPr>
              <w:t>kvalitātes d</w:t>
            </w:r>
            <w:r w:rsidR="004574B9" w:rsidRPr="00DE7BFC">
              <w:rPr>
                <w:rFonts w:ascii="Times New Roman" w:eastAsia="Times New Roman" w:hAnsi="Times New Roman" w:cs="Times New Roman"/>
                <w:sz w:val="28"/>
                <w:szCs w:val="28"/>
                <w:lang w:eastAsia="lv-LV"/>
              </w:rPr>
              <w:t xml:space="preserve">ienests organizē izglītības iestādes vadītāja novērtēšanu </w:t>
            </w:r>
            <w:r w:rsidR="00BD64CF" w:rsidRPr="00DE7BFC">
              <w:rPr>
                <w:rFonts w:ascii="Times New Roman" w:eastAsia="Times New Roman" w:hAnsi="Times New Roman" w:cs="Times New Roman"/>
                <w:sz w:val="28"/>
                <w:szCs w:val="28"/>
                <w:lang w:eastAsia="lv-LV"/>
              </w:rPr>
              <w:t>un pieņem lēmumu ar izglītības iestādes vadītāja profesionālās darbības novērtējumu un neatbilstību amatam.</w:t>
            </w:r>
          </w:p>
          <w:p w:rsidR="00F07ED1" w:rsidRPr="00DE7BFC" w:rsidRDefault="00BD64CF" w:rsidP="00F07ED1">
            <w:pPr>
              <w:pStyle w:val="ListParagraph"/>
              <w:numPr>
                <w:ilvl w:val="0"/>
                <w:numId w:val="2"/>
              </w:numPr>
              <w:spacing w:after="0" w:line="240" w:lineRule="auto"/>
              <w:ind w:left="392" w:hanging="392"/>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Saskaņā ar Izglītības likuma 20.panta pirmajā daļā un trešās daļas 1.punktā noteikto kvalitātes dienests kontrolē ar izglītību saistīto normatīvo aktu ievērošanu</w:t>
            </w:r>
            <w:r w:rsidR="00F07ED1" w:rsidRPr="00DE7BFC">
              <w:rPr>
                <w:rFonts w:ascii="Times New Roman" w:eastAsia="Times New Roman" w:hAnsi="Times New Roman" w:cs="Times New Roman"/>
                <w:sz w:val="28"/>
                <w:szCs w:val="28"/>
                <w:lang w:eastAsia="lv-LV"/>
              </w:rPr>
              <w:t>, kā arī</w:t>
            </w:r>
            <w:r w:rsidRPr="00DE7BFC">
              <w:t xml:space="preserve"> </w:t>
            </w:r>
            <w:r w:rsidRPr="00DE7BFC">
              <w:rPr>
                <w:rFonts w:ascii="Times New Roman" w:eastAsia="Times New Roman" w:hAnsi="Times New Roman" w:cs="Times New Roman"/>
                <w:sz w:val="28"/>
                <w:szCs w:val="28"/>
                <w:lang w:eastAsia="lv-LV"/>
              </w:rPr>
              <w:t xml:space="preserve">izglītības procesa atbilstību izglītību regulējošiem </w:t>
            </w:r>
            <w:r w:rsidR="00F07ED1" w:rsidRPr="00DE7BFC">
              <w:rPr>
                <w:rFonts w:ascii="Times New Roman" w:eastAsia="Times New Roman" w:hAnsi="Times New Roman" w:cs="Times New Roman"/>
                <w:sz w:val="28"/>
                <w:szCs w:val="28"/>
                <w:lang w:eastAsia="lv-LV"/>
              </w:rPr>
              <w:t>normatīvajiem aktiem. Savukārt Izglītības likuma 20.panta trešās daļas 5.punkts, 30.panta sestā daļa un 48.panta sestā daļa paredz kvalitātes dienestam tiesības</w:t>
            </w:r>
            <w:r w:rsidR="00BB394A" w:rsidRPr="00DE7BFC">
              <w:rPr>
                <w:rFonts w:ascii="Times New Roman" w:eastAsia="Times New Roman" w:hAnsi="Times New Roman" w:cs="Times New Roman"/>
                <w:sz w:val="28"/>
                <w:szCs w:val="28"/>
                <w:lang w:eastAsia="lv-LV"/>
              </w:rPr>
              <w:t xml:space="preserve"> / pienākumu</w:t>
            </w:r>
            <w:r w:rsidR="00F07ED1" w:rsidRPr="00DE7BFC">
              <w:rPr>
                <w:rFonts w:ascii="Times New Roman" w:eastAsia="Times New Roman" w:hAnsi="Times New Roman" w:cs="Times New Roman"/>
                <w:sz w:val="28"/>
                <w:szCs w:val="28"/>
                <w:lang w:eastAsia="lv-LV"/>
              </w:rPr>
              <w:t>:</w:t>
            </w:r>
          </w:p>
          <w:p w:rsidR="00BD64CF" w:rsidRPr="00DE7BFC" w:rsidRDefault="00F07ED1" w:rsidP="00F07ED1">
            <w:pPr>
              <w:pStyle w:val="ListParagraph"/>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apturēt (uz laiku, kamēr izglītības iestādes dibinātājs nav izskatījis attiecīgo jautājumu un pieņēmis lēmumu)  amatpersonu rīkojumus un atstādināt amatpersonas no pienākumu pildīšanas gadījumos, kad ir apdraudēta izglītojamo veselība vai dzīvība, kā arī citos likuma pārkāpumu gadījumos;</w:t>
            </w:r>
          </w:p>
          <w:p w:rsidR="00F07ED1" w:rsidRPr="00DE7BFC" w:rsidRDefault="00F07ED1" w:rsidP="00F07ED1">
            <w:pPr>
              <w:pStyle w:val="ListParagraph"/>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konstatēt izglītības iestādes vadītāja vai viņa rīcības neatbilstību Izglītības likuma 30.panta ceturtajā daļā vai 51.panta pirmās daļas 2.</w:t>
            </w:r>
            <w:r w:rsidRPr="00DE7BFC">
              <w:rPr>
                <w:rFonts w:ascii="Times New Roman" w:eastAsia="Times New Roman" w:hAnsi="Times New Roman" w:cs="Times New Roman"/>
                <w:sz w:val="28"/>
                <w:szCs w:val="28"/>
                <w:vertAlign w:val="superscript"/>
                <w:lang w:eastAsia="lv-LV"/>
              </w:rPr>
              <w:t>1</w:t>
            </w:r>
            <w:r w:rsidRPr="00DE7BFC">
              <w:rPr>
                <w:rFonts w:ascii="Times New Roman" w:eastAsia="Times New Roman" w:hAnsi="Times New Roman" w:cs="Times New Roman"/>
                <w:sz w:val="28"/>
                <w:szCs w:val="28"/>
                <w:lang w:eastAsia="lv-LV"/>
              </w:rPr>
              <w:t xml:space="preserve"> punktā noteiktajām prasībām;</w:t>
            </w:r>
          </w:p>
          <w:p w:rsidR="00F07ED1" w:rsidRPr="00DE7BFC" w:rsidRDefault="00F07ED1" w:rsidP="00F07ED1">
            <w:pPr>
              <w:pStyle w:val="ListParagraph"/>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konstatēt pedagoga vai viņa rīcības neatbilstību Izglītības likuma 30.panta ceturtajā daļā, šā panta pirmajā un piektajā daļā vai 51.panta pirmās daļas 2.</w:t>
            </w:r>
            <w:r w:rsidRPr="00DE7BFC">
              <w:rPr>
                <w:rFonts w:ascii="Times New Roman" w:eastAsia="Times New Roman" w:hAnsi="Times New Roman" w:cs="Times New Roman"/>
                <w:sz w:val="28"/>
                <w:szCs w:val="28"/>
                <w:vertAlign w:val="superscript"/>
                <w:lang w:eastAsia="lv-LV"/>
              </w:rPr>
              <w:t>1</w:t>
            </w:r>
            <w:r w:rsidRPr="00DE7BFC">
              <w:rPr>
                <w:rFonts w:ascii="Times New Roman" w:eastAsia="Times New Roman" w:hAnsi="Times New Roman" w:cs="Times New Roman"/>
                <w:sz w:val="28"/>
                <w:szCs w:val="28"/>
                <w:lang w:eastAsia="lv-LV"/>
              </w:rPr>
              <w:t xml:space="preserve"> punktā noteiktajām prasībām.</w:t>
            </w:r>
          </w:p>
          <w:p w:rsidR="00BB394A" w:rsidRPr="00DE7BFC" w:rsidRDefault="00F07ED1" w:rsidP="00F07ED1">
            <w:p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xml:space="preserve">4) </w:t>
            </w:r>
            <w:r w:rsidR="0027649E" w:rsidRPr="00DE7BFC">
              <w:rPr>
                <w:rFonts w:ascii="Times New Roman" w:eastAsia="Times New Roman" w:hAnsi="Times New Roman" w:cs="Times New Roman"/>
                <w:sz w:val="28"/>
                <w:szCs w:val="28"/>
                <w:lang w:eastAsia="lv-LV"/>
              </w:rPr>
              <w:t xml:space="preserve">2016.gada 9.septembrī stājās spēkā grozījumi MK noteikumos Nr.89, kas precizē kompetenci un atbildību izglītības iestādes, pašvaldības un valsts līmenī attiecībā uz izglītojamo kavējumu novēršanu. Minēto grozījumu ietvaros kvalitātes </w:t>
            </w:r>
            <w:r w:rsidR="0027649E" w:rsidRPr="00DE7BFC">
              <w:rPr>
                <w:rFonts w:ascii="Times New Roman" w:eastAsia="Times New Roman" w:hAnsi="Times New Roman" w:cs="Times New Roman"/>
                <w:sz w:val="28"/>
                <w:szCs w:val="28"/>
                <w:lang w:eastAsia="lv-LV"/>
              </w:rPr>
              <w:lastRenderedPageBreak/>
              <w:t xml:space="preserve">dienestam ir noteikta funkcija </w:t>
            </w:r>
            <w:r w:rsidR="00B76701" w:rsidRPr="00DE7BFC">
              <w:rPr>
                <w:rFonts w:ascii="Times New Roman" w:eastAsia="Times New Roman" w:hAnsi="Times New Roman" w:cs="Times New Roman"/>
                <w:sz w:val="28"/>
                <w:szCs w:val="28"/>
                <w:lang w:eastAsia="lv-LV"/>
              </w:rPr>
              <w:t>vienu reizi gadā apkopot un analizēt ievadīto informāciju Valsts izglītības informācijas sistēmā par izglītojamo neattaisnotiem mācību kavējumiem, kas ietver ziņojuma sagatavošanu, un sniegt ieteikumus un metodisku atbalstu pašvaldībām un izglītības iestādēm priekšlaicīgas mācību pārtraukšanas risku mazināšanai.</w:t>
            </w:r>
          </w:p>
          <w:p w:rsidR="007E00E8" w:rsidRPr="00DE7BFC" w:rsidRDefault="007E00E8" w:rsidP="00F07ED1">
            <w:p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Vienlaikus noteikumu projekt</w:t>
            </w:r>
            <w:r w:rsidR="00AF74BF" w:rsidRPr="00DE7BFC">
              <w:rPr>
                <w:rFonts w:ascii="Times New Roman" w:eastAsia="Times New Roman" w:hAnsi="Times New Roman" w:cs="Times New Roman"/>
                <w:sz w:val="28"/>
                <w:szCs w:val="28"/>
                <w:lang w:eastAsia="lv-LV"/>
              </w:rPr>
              <w:t>ā</w:t>
            </w:r>
            <w:r w:rsidRPr="00DE7BFC">
              <w:rPr>
                <w:rFonts w:ascii="Times New Roman" w:eastAsia="Times New Roman" w:hAnsi="Times New Roman" w:cs="Times New Roman"/>
                <w:sz w:val="28"/>
                <w:szCs w:val="28"/>
                <w:lang w:eastAsia="lv-LV"/>
              </w:rPr>
              <w:t xml:space="preserve"> ir </w:t>
            </w:r>
            <w:r w:rsidR="00AF74BF" w:rsidRPr="00DE7BFC">
              <w:rPr>
                <w:rFonts w:ascii="Times New Roman" w:eastAsia="Times New Roman" w:hAnsi="Times New Roman" w:cs="Times New Roman"/>
                <w:sz w:val="28"/>
                <w:szCs w:val="28"/>
                <w:lang w:eastAsia="lv-LV"/>
              </w:rPr>
              <w:t>iekļauti Izglītības un zinātnes ministrijas 2017.gada 18.aprīļa priekšlikumi</w:t>
            </w:r>
            <w:r w:rsidR="003266F0" w:rsidRPr="00DE7BFC">
              <w:rPr>
                <w:rFonts w:ascii="Times New Roman" w:eastAsia="Times New Roman" w:hAnsi="Times New Roman" w:cs="Times New Roman"/>
                <w:sz w:val="28"/>
                <w:szCs w:val="28"/>
                <w:lang w:eastAsia="lv-LV"/>
              </w:rPr>
              <w:t>:</w:t>
            </w:r>
          </w:p>
          <w:p w:rsidR="00BA44F7" w:rsidRPr="00DE7BFC" w:rsidRDefault="003266F0" w:rsidP="003266F0">
            <w:pPr>
              <w:pStyle w:val="ListParagraph"/>
              <w:numPr>
                <w:ilvl w:val="0"/>
                <w:numId w:val="13"/>
              </w:numPr>
              <w:spacing w:after="0" w:line="240" w:lineRule="auto"/>
              <w:ind w:left="0" w:firstLine="360"/>
              <w:jc w:val="both"/>
              <w:rPr>
                <w:rFonts w:ascii="Times New Roman" w:eastAsia="Times New Roman" w:hAnsi="Times New Roman" w:cs="Times New Roman"/>
                <w:sz w:val="28"/>
                <w:szCs w:val="28"/>
                <w:lang w:eastAsia="lv-LV"/>
              </w:rPr>
            </w:pPr>
            <w:r w:rsidRPr="00DE7BFC">
              <w:rPr>
                <w:rFonts w:ascii="Times New Roman" w:hAnsi="Times New Roman"/>
                <w:sz w:val="28"/>
                <w:szCs w:val="28"/>
              </w:rPr>
              <w:t xml:space="preserve">papildināt Ministru kabineta 2013.gada 23.aprīļa noteikumu Nr.225 „Izglītības kvalitātes valsts dienesta nolikums” (turpmāk – noteikumi Nr.225) </w:t>
            </w:r>
            <w:r w:rsidR="00BA44F7" w:rsidRPr="00DE7BFC">
              <w:rPr>
                <w:rFonts w:ascii="Times New Roman" w:hAnsi="Times New Roman"/>
                <w:sz w:val="28"/>
                <w:szCs w:val="28"/>
              </w:rPr>
              <w:t xml:space="preserve"> 3.5., 4.13., 4.14.</w:t>
            </w:r>
            <w:r w:rsidR="00AF74BF" w:rsidRPr="00DE7BFC">
              <w:rPr>
                <w:rFonts w:ascii="Times New Roman" w:hAnsi="Times New Roman"/>
                <w:sz w:val="28"/>
                <w:szCs w:val="28"/>
              </w:rPr>
              <w:t xml:space="preserve"> </w:t>
            </w:r>
            <w:r w:rsidR="00BA44F7" w:rsidRPr="00DE7BFC">
              <w:rPr>
                <w:rFonts w:ascii="Times New Roman" w:hAnsi="Times New Roman"/>
                <w:sz w:val="28"/>
                <w:szCs w:val="28"/>
              </w:rPr>
              <w:t>un 4.15.</w:t>
            </w:r>
            <w:r w:rsidR="00AF74BF" w:rsidRPr="00DE7BFC">
              <w:rPr>
                <w:rFonts w:ascii="Times New Roman" w:hAnsi="Times New Roman"/>
                <w:sz w:val="28"/>
                <w:szCs w:val="28"/>
              </w:rPr>
              <w:t xml:space="preserve"> </w:t>
            </w:r>
            <w:r w:rsidR="00BA44F7" w:rsidRPr="00DE7BFC">
              <w:rPr>
                <w:rFonts w:ascii="Times New Roman" w:hAnsi="Times New Roman"/>
                <w:sz w:val="28"/>
                <w:szCs w:val="28"/>
              </w:rPr>
              <w:t xml:space="preserve">apakšpunktu ar atsauci “izņemot augstākajā izglītībā”, jo kvalitātes dienesta </w:t>
            </w:r>
            <w:r w:rsidR="00AF74BF" w:rsidRPr="00DE7BFC">
              <w:rPr>
                <w:rFonts w:ascii="Times New Roman" w:hAnsi="Times New Roman"/>
                <w:sz w:val="28"/>
                <w:szCs w:val="28"/>
              </w:rPr>
              <w:t xml:space="preserve">darbība </w:t>
            </w:r>
            <w:r w:rsidR="00BA44F7" w:rsidRPr="00DE7BFC">
              <w:rPr>
                <w:rFonts w:ascii="Times New Roman" w:hAnsi="Times New Roman"/>
                <w:sz w:val="28"/>
                <w:szCs w:val="28"/>
              </w:rPr>
              <w:t>ārpus formālās izglītības apgūtās profesionālās kompetences novērtēšanā neaptver augstākās izglītības posmu;</w:t>
            </w:r>
          </w:p>
          <w:p w:rsidR="00DE7BFC" w:rsidRPr="00DE7BFC" w:rsidRDefault="00DE7BFC" w:rsidP="00DE7BFC">
            <w:pPr>
              <w:pStyle w:val="ListParagraph"/>
              <w:numPr>
                <w:ilvl w:val="0"/>
                <w:numId w:val="13"/>
              </w:numPr>
              <w:spacing w:after="0" w:line="240" w:lineRule="auto"/>
              <w:ind w:left="0" w:firstLine="360"/>
              <w:jc w:val="both"/>
              <w:rPr>
                <w:rFonts w:ascii="Times New Roman" w:eastAsia="Times New Roman" w:hAnsi="Times New Roman" w:cs="Times New Roman"/>
                <w:sz w:val="28"/>
                <w:szCs w:val="28"/>
                <w:lang w:eastAsia="lv-LV"/>
              </w:rPr>
            </w:pPr>
            <w:r w:rsidRPr="00DE7BFC">
              <w:rPr>
                <w:rFonts w:ascii="Times New Roman" w:hAnsi="Times New Roman"/>
                <w:sz w:val="28"/>
                <w:szCs w:val="28"/>
              </w:rPr>
              <w:t>precizēt</w:t>
            </w:r>
            <w:r w:rsidR="003266F0" w:rsidRPr="00DE7BFC">
              <w:rPr>
                <w:rFonts w:ascii="Times New Roman" w:hAnsi="Times New Roman"/>
                <w:sz w:val="28"/>
                <w:szCs w:val="28"/>
              </w:rPr>
              <w:t xml:space="preserve"> </w:t>
            </w:r>
            <w:r w:rsidR="00742939" w:rsidRPr="00DE7BFC">
              <w:rPr>
                <w:rFonts w:ascii="Times New Roman" w:hAnsi="Times New Roman"/>
                <w:sz w:val="28"/>
                <w:szCs w:val="28"/>
              </w:rPr>
              <w:t>no</w:t>
            </w:r>
            <w:r w:rsidR="003266F0" w:rsidRPr="00DE7BFC">
              <w:rPr>
                <w:rFonts w:ascii="Times New Roman" w:hAnsi="Times New Roman"/>
                <w:sz w:val="28"/>
                <w:szCs w:val="28"/>
              </w:rPr>
              <w:t xml:space="preserve">teikumu </w:t>
            </w:r>
            <w:r w:rsidR="007E00E8" w:rsidRPr="00DE7BFC">
              <w:rPr>
                <w:rFonts w:ascii="Times New Roman" w:hAnsi="Times New Roman"/>
                <w:sz w:val="28"/>
                <w:szCs w:val="28"/>
              </w:rPr>
              <w:t>4.18.apakšpunktu</w:t>
            </w:r>
            <w:r w:rsidR="003266F0" w:rsidRPr="00DE7BFC">
              <w:rPr>
                <w:rFonts w:ascii="Times New Roman" w:hAnsi="Times New Roman"/>
                <w:sz w:val="28"/>
                <w:szCs w:val="28"/>
              </w:rPr>
              <w:t>, paredzot</w:t>
            </w:r>
            <w:r w:rsidR="007E00E8" w:rsidRPr="00DE7BFC">
              <w:rPr>
                <w:rFonts w:ascii="Times New Roman" w:hAnsi="Times New Roman"/>
                <w:sz w:val="28"/>
                <w:szCs w:val="28"/>
              </w:rPr>
              <w:t xml:space="preserve"> </w:t>
            </w:r>
            <w:r w:rsidR="003266F0" w:rsidRPr="00DE7BFC">
              <w:rPr>
                <w:rFonts w:ascii="Times New Roman" w:hAnsi="Times New Roman"/>
                <w:sz w:val="28"/>
                <w:szCs w:val="28"/>
              </w:rPr>
              <w:t>kvalitātes dienestam</w:t>
            </w:r>
            <w:r w:rsidR="007E00E8" w:rsidRPr="00DE7BFC">
              <w:rPr>
                <w:rFonts w:ascii="Times New Roman" w:hAnsi="Times New Roman"/>
                <w:sz w:val="28"/>
                <w:szCs w:val="28"/>
              </w:rPr>
              <w:t xml:space="preserve"> pienākumu izskatīt arī valsts un pašvaldīb</w:t>
            </w:r>
            <w:r w:rsidR="00E564FE">
              <w:rPr>
                <w:rFonts w:ascii="Times New Roman" w:hAnsi="Times New Roman"/>
                <w:sz w:val="28"/>
                <w:szCs w:val="28"/>
              </w:rPr>
              <w:t>u</w:t>
            </w:r>
            <w:r w:rsidR="007E00E8" w:rsidRPr="00DE7BFC">
              <w:rPr>
                <w:rFonts w:ascii="Times New Roman" w:hAnsi="Times New Roman"/>
                <w:sz w:val="28"/>
                <w:szCs w:val="28"/>
              </w:rPr>
              <w:t xml:space="preserve"> iestāžu </w:t>
            </w:r>
            <w:r w:rsidR="00742939" w:rsidRPr="00DE7BFC">
              <w:rPr>
                <w:rFonts w:ascii="Times New Roman" w:hAnsi="Times New Roman"/>
                <w:sz w:val="28"/>
                <w:szCs w:val="28"/>
              </w:rPr>
              <w:t>iesniegumus</w:t>
            </w:r>
            <w:r w:rsidR="003266F0" w:rsidRPr="00DE7BFC">
              <w:rPr>
                <w:rFonts w:ascii="Times New Roman" w:hAnsi="Times New Roman"/>
                <w:sz w:val="28"/>
                <w:szCs w:val="28"/>
              </w:rPr>
              <w:t>, jo izglītības iestādes ir arī valsts un pašvaldību dibinātas</w:t>
            </w:r>
            <w:r w:rsidR="00742939" w:rsidRPr="00DE7BFC">
              <w:rPr>
                <w:rFonts w:ascii="Times New Roman" w:hAnsi="Times New Roman"/>
                <w:sz w:val="28"/>
                <w:szCs w:val="28"/>
              </w:rPr>
              <w:t>;</w:t>
            </w:r>
          </w:p>
          <w:p w:rsidR="007E00E8" w:rsidRPr="00DE7BFC" w:rsidRDefault="00742939" w:rsidP="00E564FE">
            <w:pPr>
              <w:pStyle w:val="ListParagraph"/>
              <w:numPr>
                <w:ilvl w:val="0"/>
                <w:numId w:val="13"/>
              </w:numPr>
              <w:spacing w:after="0" w:line="240" w:lineRule="auto"/>
              <w:ind w:left="0" w:firstLine="360"/>
              <w:jc w:val="both"/>
              <w:rPr>
                <w:rFonts w:ascii="Times New Roman" w:eastAsia="Times New Roman" w:hAnsi="Times New Roman" w:cs="Times New Roman"/>
                <w:sz w:val="28"/>
                <w:szCs w:val="28"/>
                <w:lang w:eastAsia="lv-LV"/>
              </w:rPr>
            </w:pPr>
            <w:r w:rsidRPr="00DE7BFC">
              <w:rPr>
                <w:rFonts w:ascii="Times New Roman" w:hAnsi="Times New Roman"/>
                <w:sz w:val="28"/>
                <w:szCs w:val="28"/>
              </w:rPr>
              <w:t xml:space="preserve">papildināt </w:t>
            </w:r>
            <w:r w:rsidR="003266F0" w:rsidRPr="00DE7BFC">
              <w:rPr>
                <w:rFonts w:ascii="Times New Roman" w:hAnsi="Times New Roman"/>
                <w:sz w:val="28"/>
                <w:szCs w:val="28"/>
              </w:rPr>
              <w:t>noteikumu Nr.225</w:t>
            </w:r>
            <w:r w:rsidR="00AF74BF" w:rsidRPr="00DE7BFC">
              <w:rPr>
                <w:rFonts w:ascii="Times New Roman" w:hAnsi="Times New Roman"/>
                <w:sz w:val="28"/>
                <w:szCs w:val="28"/>
              </w:rPr>
              <w:t xml:space="preserve"> </w:t>
            </w:r>
            <w:r w:rsidR="007E00E8" w:rsidRPr="00DE7BFC">
              <w:rPr>
                <w:rFonts w:ascii="Times New Roman" w:hAnsi="Times New Roman"/>
                <w:sz w:val="28"/>
                <w:szCs w:val="28"/>
              </w:rPr>
              <w:t xml:space="preserve">4.punktu ar jaunu apakšpunktu, </w:t>
            </w:r>
            <w:r w:rsidR="003266F0" w:rsidRPr="00DE7BFC">
              <w:rPr>
                <w:rFonts w:ascii="Times New Roman" w:hAnsi="Times New Roman"/>
                <w:sz w:val="28"/>
                <w:szCs w:val="28"/>
              </w:rPr>
              <w:t>paredzot kvalitātes dienestam</w:t>
            </w:r>
            <w:r w:rsidR="007E00E8" w:rsidRPr="00DE7BFC">
              <w:rPr>
                <w:rFonts w:ascii="Times New Roman" w:hAnsi="Times New Roman"/>
                <w:sz w:val="28"/>
                <w:szCs w:val="28"/>
              </w:rPr>
              <w:t xml:space="preserve"> </w:t>
            </w:r>
            <w:r w:rsidR="00E564FE">
              <w:rPr>
                <w:rFonts w:ascii="Times New Roman" w:hAnsi="Times New Roman"/>
                <w:sz w:val="28"/>
                <w:szCs w:val="28"/>
              </w:rPr>
              <w:t xml:space="preserve">pienākumu </w:t>
            </w:r>
            <w:r w:rsidR="007E00E8" w:rsidRPr="00DE7BFC">
              <w:rPr>
                <w:rFonts w:ascii="Times New Roman" w:hAnsi="Times New Roman"/>
                <w:sz w:val="28"/>
                <w:szCs w:val="28"/>
              </w:rPr>
              <w:t>snie</w:t>
            </w:r>
            <w:r w:rsidR="003266F0" w:rsidRPr="00DE7BFC">
              <w:rPr>
                <w:rFonts w:ascii="Times New Roman" w:hAnsi="Times New Roman"/>
                <w:sz w:val="28"/>
                <w:szCs w:val="28"/>
              </w:rPr>
              <w:t>gt</w:t>
            </w:r>
            <w:r w:rsidR="007E00E8" w:rsidRPr="00DE7BFC">
              <w:rPr>
                <w:rFonts w:ascii="Times New Roman" w:hAnsi="Times New Roman"/>
                <w:sz w:val="28"/>
                <w:szCs w:val="28"/>
              </w:rPr>
              <w:t xml:space="preserve"> informāciju </w:t>
            </w:r>
            <w:r w:rsidR="003266F0" w:rsidRPr="00DE7BFC">
              <w:rPr>
                <w:rFonts w:ascii="Times New Roman" w:hAnsi="Times New Roman"/>
                <w:sz w:val="28"/>
                <w:szCs w:val="28"/>
              </w:rPr>
              <w:t xml:space="preserve">Izglītības un zinātnes </w:t>
            </w:r>
            <w:r w:rsidR="007E00E8" w:rsidRPr="00DE7BFC">
              <w:rPr>
                <w:rFonts w:ascii="Times New Roman" w:hAnsi="Times New Roman"/>
                <w:sz w:val="28"/>
                <w:szCs w:val="28"/>
              </w:rPr>
              <w:t>ministrijai un Akadēmiskās informācijas centram, ja ir konstatēti būtiski normatīvo aktu pārkāpumi a</w:t>
            </w:r>
            <w:r w:rsidR="002C1A51" w:rsidRPr="00DE7BFC">
              <w:rPr>
                <w:rFonts w:ascii="Times New Roman" w:hAnsi="Times New Roman"/>
                <w:sz w:val="28"/>
                <w:szCs w:val="28"/>
              </w:rPr>
              <w:t xml:space="preserve">ugstskolas vai koledžas darbībā, lai izglītības un zinātnes ministrs un Studiju programmu licencēšanas komisija </w:t>
            </w:r>
            <w:r w:rsidR="00DE7BFC" w:rsidRPr="00DE7BFC">
              <w:rPr>
                <w:rFonts w:ascii="Times New Roman" w:hAnsi="Times New Roman"/>
                <w:sz w:val="28"/>
                <w:szCs w:val="28"/>
              </w:rPr>
              <w:t>varētu</w:t>
            </w:r>
            <w:r w:rsidR="002C1A51" w:rsidRPr="00DE7BFC">
              <w:rPr>
                <w:rFonts w:ascii="Times New Roman" w:hAnsi="Times New Roman"/>
                <w:sz w:val="28"/>
                <w:szCs w:val="28"/>
              </w:rPr>
              <w:t xml:space="preserve"> pilnvērtīgi īstenot tiesības</w:t>
            </w:r>
            <w:r w:rsidR="00DE7BFC" w:rsidRPr="00DE7BFC">
              <w:rPr>
                <w:rFonts w:ascii="Times New Roman" w:hAnsi="Times New Roman"/>
                <w:sz w:val="28"/>
                <w:szCs w:val="28"/>
              </w:rPr>
              <w:t>, kas noteiktas Augstskolu likuma 9.panta trešajā daļā un 55.</w:t>
            </w:r>
            <w:r w:rsidR="00DE7BFC" w:rsidRPr="00DE7BFC">
              <w:rPr>
                <w:rFonts w:ascii="Times New Roman" w:hAnsi="Times New Roman"/>
                <w:sz w:val="28"/>
                <w:szCs w:val="28"/>
                <w:vertAlign w:val="superscript"/>
              </w:rPr>
              <w:t>2</w:t>
            </w:r>
            <w:r w:rsidR="00DE7BFC" w:rsidRPr="00DE7BFC">
              <w:rPr>
                <w:rFonts w:ascii="Times New Roman" w:hAnsi="Times New Roman"/>
                <w:sz w:val="28"/>
                <w:szCs w:val="28"/>
              </w:rPr>
              <w:t>panta sestās daļas 3.punktā (augstskolas vai koledžas ārkārtas akreditācijas ierosināšana, studiju programmu licenču anulēšana).</w:t>
            </w:r>
          </w:p>
        </w:tc>
      </w:tr>
      <w:tr w:rsidR="00DE7BFC" w:rsidRPr="00DE7BFC" w:rsidTr="001534C5">
        <w:trPr>
          <w:trHeight w:val="465"/>
        </w:trPr>
        <w:tc>
          <w:tcPr>
            <w:tcW w:w="382"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Projekta izstrādē iesaistītās institūcijas</w:t>
            </w:r>
          </w:p>
        </w:tc>
        <w:tc>
          <w:tcPr>
            <w:tcW w:w="3143"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xml:space="preserve">Noteikumu projekts šo jomu neskar. </w:t>
            </w:r>
          </w:p>
        </w:tc>
      </w:tr>
      <w:tr w:rsidR="00DE7BFC" w:rsidRPr="00DE7BFC" w:rsidTr="001534C5">
        <w:trPr>
          <w:trHeight w:val="648"/>
        </w:trPr>
        <w:tc>
          <w:tcPr>
            <w:tcW w:w="382"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lastRenderedPageBreak/>
              <w:t>4.</w:t>
            </w:r>
          </w:p>
        </w:tc>
        <w:tc>
          <w:tcPr>
            <w:tcW w:w="1475"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Cita informācija</w:t>
            </w:r>
          </w:p>
        </w:tc>
        <w:tc>
          <w:tcPr>
            <w:tcW w:w="3143"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before="100" w:beforeAutospacing="1" w:after="100" w:afterAutospacing="1" w:line="293" w:lineRule="atLeast"/>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Nav.</w:t>
            </w:r>
          </w:p>
        </w:tc>
      </w:tr>
    </w:tbl>
    <w:p w:rsidR="00B4271A" w:rsidRPr="00DE7BFC" w:rsidRDefault="00B4271A" w:rsidP="00B4271A">
      <w:pPr>
        <w:spacing w:after="0" w:line="360" w:lineRule="auto"/>
        <w:rPr>
          <w:rFonts w:ascii="Times New Roman" w:hAnsi="Times New Roman" w:cs="Times New Roman"/>
          <w:sz w:val="28"/>
          <w:szCs w:val="28"/>
        </w:rPr>
      </w:pPr>
    </w:p>
    <w:tbl>
      <w:tblPr>
        <w:tblW w:w="525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1"/>
        <w:gridCol w:w="2593"/>
        <w:gridCol w:w="5525"/>
      </w:tblGrid>
      <w:tr w:rsidR="00DE7BFC" w:rsidRPr="00DE7BFC" w:rsidTr="001534C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DE7BFC" w:rsidRDefault="00B4271A" w:rsidP="007F7C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E7BFC">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DE7BFC" w:rsidRPr="00DE7BFC" w:rsidTr="001534C5">
        <w:trPr>
          <w:trHeight w:val="465"/>
        </w:trPr>
        <w:tc>
          <w:tcPr>
            <w:tcW w:w="382"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xml:space="preserve">Sabiedrības </w:t>
            </w:r>
            <w:proofErr w:type="spellStart"/>
            <w:r w:rsidRPr="00DE7BFC">
              <w:rPr>
                <w:rFonts w:ascii="Times New Roman" w:eastAsia="Times New Roman" w:hAnsi="Times New Roman" w:cs="Times New Roman"/>
                <w:sz w:val="28"/>
                <w:szCs w:val="28"/>
                <w:lang w:eastAsia="lv-LV"/>
              </w:rPr>
              <w:t>mērķgrupas</w:t>
            </w:r>
            <w:proofErr w:type="spellEnd"/>
            <w:r w:rsidRPr="00DE7BFC">
              <w:rPr>
                <w:rFonts w:ascii="Times New Roman" w:eastAsia="Times New Roman" w:hAnsi="Times New Roman" w:cs="Times New Roman"/>
                <w:sz w:val="28"/>
                <w:szCs w:val="28"/>
                <w:lang w:eastAsia="lv-LV"/>
              </w:rPr>
              <w:t>, kuras tiesiskais regulējums ietekmē vai varētu ietekmēt</w:t>
            </w:r>
          </w:p>
        </w:tc>
        <w:tc>
          <w:tcPr>
            <w:tcW w:w="3143" w:type="pct"/>
            <w:tcBorders>
              <w:top w:val="outset" w:sz="6" w:space="0" w:color="414142"/>
              <w:left w:val="outset" w:sz="6" w:space="0" w:color="414142"/>
              <w:bottom w:val="outset" w:sz="6" w:space="0" w:color="414142"/>
              <w:right w:val="outset" w:sz="6" w:space="0" w:color="414142"/>
            </w:tcBorders>
            <w:hideMark/>
          </w:tcPr>
          <w:p w:rsidR="000B2880" w:rsidRPr="00DE7BFC" w:rsidRDefault="00B76701" w:rsidP="000B2880">
            <w:p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Noteikumu projektā iekļautās kvalitātes dienesta funkcijas</w:t>
            </w:r>
            <w:r w:rsidR="000B2880" w:rsidRPr="00DE7BFC">
              <w:rPr>
                <w:rFonts w:ascii="Times New Roman" w:eastAsia="Times New Roman" w:hAnsi="Times New Roman" w:cs="Times New Roman"/>
                <w:sz w:val="28"/>
                <w:szCs w:val="28"/>
                <w:lang w:eastAsia="lv-LV"/>
              </w:rPr>
              <w:t xml:space="preserve"> </w:t>
            </w:r>
            <w:r w:rsidRPr="00DE7BFC">
              <w:rPr>
                <w:rFonts w:ascii="Times New Roman" w:eastAsia="Times New Roman" w:hAnsi="Times New Roman" w:cs="Times New Roman"/>
                <w:sz w:val="28"/>
                <w:szCs w:val="28"/>
                <w:lang w:eastAsia="lv-LV"/>
              </w:rPr>
              <w:t xml:space="preserve">saistītas ar šādām sabiedrības </w:t>
            </w:r>
            <w:proofErr w:type="spellStart"/>
            <w:r w:rsidRPr="00DE7BFC">
              <w:rPr>
                <w:rFonts w:ascii="Times New Roman" w:eastAsia="Times New Roman" w:hAnsi="Times New Roman" w:cs="Times New Roman"/>
                <w:sz w:val="28"/>
                <w:szCs w:val="28"/>
                <w:lang w:eastAsia="lv-LV"/>
              </w:rPr>
              <w:t>mērķgrupām</w:t>
            </w:r>
            <w:proofErr w:type="spellEnd"/>
            <w:r w:rsidR="000B2880" w:rsidRPr="00DE7BFC">
              <w:rPr>
                <w:rFonts w:ascii="Times New Roman" w:eastAsia="Times New Roman" w:hAnsi="Times New Roman" w:cs="Times New Roman"/>
                <w:sz w:val="28"/>
                <w:szCs w:val="28"/>
                <w:lang w:eastAsia="lv-LV"/>
              </w:rPr>
              <w:t>:</w:t>
            </w:r>
          </w:p>
          <w:p w:rsidR="00B4271A" w:rsidRPr="00DE7BFC" w:rsidRDefault="00B4271A" w:rsidP="00126E02">
            <w:pPr>
              <w:pStyle w:val="ListParagraph"/>
              <w:numPr>
                <w:ilvl w:val="0"/>
                <w:numId w:val="3"/>
              </w:numPr>
              <w:spacing w:after="0" w:line="240" w:lineRule="auto"/>
              <w:ind w:left="392" w:hanging="392"/>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person</w:t>
            </w:r>
            <w:r w:rsidR="00B76701" w:rsidRPr="00DE7BFC">
              <w:rPr>
                <w:rFonts w:ascii="Times New Roman" w:eastAsia="Times New Roman" w:hAnsi="Times New Roman" w:cs="Times New Roman"/>
                <w:sz w:val="28"/>
                <w:szCs w:val="28"/>
                <w:lang w:eastAsia="lv-LV"/>
              </w:rPr>
              <w:t>as</w:t>
            </w:r>
            <w:r w:rsidRPr="00DE7BFC">
              <w:rPr>
                <w:rFonts w:ascii="Times New Roman" w:eastAsia="Times New Roman" w:hAnsi="Times New Roman" w:cs="Times New Roman"/>
                <w:sz w:val="28"/>
                <w:szCs w:val="28"/>
                <w:lang w:eastAsia="lv-LV"/>
              </w:rPr>
              <w:t>, kas sodītas par tīšu kriminālpārkāpumu vai mazāk smagu noziegumu, ja sodāmība ir dzēsta vai noņemta, un kuras vēlas strādāt par pedagogu, kā arī uz izglītības iestāžu vadītājiem, pedagogiem un izglītojamajiem, ar k</w:t>
            </w:r>
            <w:r w:rsidR="000B2880" w:rsidRPr="00DE7BFC">
              <w:rPr>
                <w:rFonts w:ascii="Times New Roman" w:eastAsia="Times New Roman" w:hAnsi="Times New Roman" w:cs="Times New Roman"/>
                <w:sz w:val="28"/>
                <w:szCs w:val="28"/>
                <w:lang w:eastAsia="lv-LV"/>
              </w:rPr>
              <w:t>uriem attiecīgā persona strādās;</w:t>
            </w:r>
          </w:p>
          <w:p w:rsidR="00D852F7" w:rsidRPr="00DE7BFC" w:rsidRDefault="000B2880" w:rsidP="00D852F7">
            <w:pPr>
              <w:pStyle w:val="ListParagraph"/>
              <w:numPr>
                <w:ilvl w:val="0"/>
                <w:numId w:val="3"/>
              </w:numPr>
              <w:spacing w:after="0" w:line="240" w:lineRule="auto"/>
              <w:ind w:left="392" w:hanging="392"/>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Izglītības iestāžu reģistrā reģistrēt</w:t>
            </w:r>
            <w:r w:rsidR="00B76701" w:rsidRPr="00DE7BFC">
              <w:rPr>
                <w:rFonts w:ascii="Times New Roman" w:eastAsia="Times New Roman" w:hAnsi="Times New Roman" w:cs="Times New Roman"/>
                <w:sz w:val="28"/>
                <w:szCs w:val="28"/>
                <w:lang w:eastAsia="lv-LV"/>
              </w:rPr>
              <w:t xml:space="preserve">as izglītības </w:t>
            </w:r>
            <w:r w:rsidRPr="00DE7BFC">
              <w:rPr>
                <w:rFonts w:ascii="Times New Roman" w:eastAsia="Times New Roman" w:hAnsi="Times New Roman" w:cs="Times New Roman"/>
                <w:sz w:val="28"/>
                <w:szCs w:val="28"/>
                <w:lang w:eastAsia="lv-LV"/>
              </w:rPr>
              <w:t>iestād</w:t>
            </w:r>
            <w:r w:rsidR="00B76701" w:rsidRPr="00DE7BFC">
              <w:rPr>
                <w:rFonts w:ascii="Times New Roman" w:eastAsia="Times New Roman" w:hAnsi="Times New Roman" w:cs="Times New Roman"/>
                <w:sz w:val="28"/>
                <w:szCs w:val="28"/>
                <w:lang w:eastAsia="lv-LV"/>
              </w:rPr>
              <w:t>es</w:t>
            </w:r>
            <w:r w:rsidRPr="00DE7BFC">
              <w:rPr>
                <w:rFonts w:ascii="Times New Roman" w:eastAsia="Times New Roman" w:hAnsi="Times New Roman" w:cs="Times New Roman"/>
                <w:sz w:val="28"/>
                <w:szCs w:val="28"/>
                <w:lang w:eastAsia="lv-LV"/>
              </w:rPr>
              <w:t xml:space="preserve"> </w:t>
            </w:r>
            <w:r w:rsidR="00D852F7" w:rsidRPr="00DE7BFC">
              <w:rPr>
                <w:rFonts w:ascii="Times New Roman" w:eastAsia="Times New Roman" w:hAnsi="Times New Roman" w:cs="Times New Roman"/>
                <w:sz w:val="28"/>
                <w:szCs w:val="28"/>
                <w:lang w:eastAsia="lv-LV"/>
              </w:rPr>
              <w:t>un to dibinātāji;</w:t>
            </w:r>
          </w:p>
          <w:p w:rsidR="00D852F7" w:rsidRPr="00DE7BFC" w:rsidRDefault="000B2880" w:rsidP="00D852F7">
            <w:pPr>
              <w:pStyle w:val="ListParagraph"/>
              <w:numPr>
                <w:ilvl w:val="0"/>
                <w:numId w:val="3"/>
              </w:numPr>
              <w:spacing w:after="0" w:line="240" w:lineRule="auto"/>
              <w:ind w:left="392" w:hanging="392"/>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izglītības iestāžu (izņemot augstskolas un koledžas) vadītāji</w:t>
            </w:r>
            <w:r w:rsidR="00D852F7" w:rsidRPr="00DE7BFC">
              <w:rPr>
                <w:rFonts w:ascii="Times New Roman" w:eastAsia="Times New Roman" w:hAnsi="Times New Roman" w:cs="Times New Roman"/>
                <w:sz w:val="28"/>
                <w:szCs w:val="28"/>
                <w:lang w:eastAsia="lv-LV"/>
              </w:rPr>
              <w:t>, kuriem</w:t>
            </w:r>
            <w:r w:rsidR="00AC3E82" w:rsidRPr="00DE7BFC">
              <w:rPr>
                <w:rFonts w:ascii="Times New Roman" w:eastAsia="Times New Roman" w:hAnsi="Times New Roman" w:cs="Times New Roman"/>
                <w:sz w:val="28"/>
                <w:szCs w:val="28"/>
                <w:lang w:eastAsia="lv-LV"/>
              </w:rPr>
              <w:t xml:space="preserve"> novērtē</w:t>
            </w:r>
            <w:r w:rsidR="00D852F7" w:rsidRPr="00DE7BFC">
              <w:rPr>
                <w:rFonts w:ascii="Times New Roman" w:eastAsia="Times New Roman" w:hAnsi="Times New Roman" w:cs="Times New Roman"/>
                <w:sz w:val="28"/>
                <w:szCs w:val="28"/>
                <w:lang w:eastAsia="lv-LV"/>
              </w:rPr>
              <w:t xml:space="preserve"> profesionāl</w:t>
            </w:r>
            <w:r w:rsidR="00AC3E82" w:rsidRPr="00DE7BFC">
              <w:rPr>
                <w:rFonts w:ascii="Times New Roman" w:eastAsia="Times New Roman" w:hAnsi="Times New Roman" w:cs="Times New Roman"/>
                <w:sz w:val="28"/>
                <w:szCs w:val="28"/>
                <w:lang w:eastAsia="lv-LV"/>
              </w:rPr>
              <w:t>o</w:t>
            </w:r>
            <w:r w:rsidR="00D852F7" w:rsidRPr="00DE7BFC">
              <w:rPr>
                <w:rFonts w:ascii="Times New Roman" w:eastAsia="Times New Roman" w:hAnsi="Times New Roman" w:cs="Times New Roman"/>
                <w:sz w:val="28"/>
                <w:szCs w:val="28"/>
                <w:lang w:eastAsia="lv-LV"/>
              </w:rPr>
              <w:t xml:space="preserve"> darbību;</w:t>
            </w:r>
          </w:p>
          <w:p w:rsidR="00024EAD" w:rsidRPr="00DE7BFC" w:rsidRDefault="00D852F7" w:rsidP="00D852F7">
            <w:pPr>
              <w:pStyle w:val="ListParagraph"/>
              <w:numPr>
                <w:ilvl w:val="0"/>
                <w:numId w:val="3"/>
              </w:numPr>
              <w:spacing w:after="0" w:line="240" w:lineRule="auto"/>
              <w:ind w:left="392" w:hanging="392"/>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xml:space="preserve">saistībā ar mācību kavējumiem – </w:t>
            </w:r>
            <w:r w:rsidR="00AC3E82" w:rsidRPr="00DE7BFC">
              <w:rPr>
                <w:rFonts w:ascii="Times New Roman" w:eastAsia="Times New Roman" w:hAnsi="Times New Roman" w:cs="Times New Roman"/>
                <w:sz w:val="28"/>
                <w:szCs w:val="28"/>
                <w:lang w:eastAsia="lv-LV"/>
              </w:rPr>
              <w:t>izglītojamie un to vecāki, kā arī pašvaldības.</w:t>
            </w:r>
          </w:p>
        </w:tc>
      </w:tr>
      <w:tr w:rsidR="00DE7BFC" w:rsidRPr="00DE7BFC" w:rsidTr="001534C5">
        <w:trPr>
          <w:trHeight w:val="510"/>
        </w:trPr>
        <w:tc>
          <w:tcPr>
            <w:tcW w:w="382"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Tiesiskā regulējuma ietekme uz tautsaimniecību un administratīvo slogu</w:t>
            </w:r>
          </w:p>
        </w:tc>
        <w:tc>
          <w:tcPr>
            <w:tcW w:w="3143" w:type="pct"/>
            <w:tcBorders>
              <w:top w:val="outset" w:sz="6" w:space="0" w:color="414142"/>
              <w:left w:val="outset" w:sz="6" w:space="0" w:color="414142"/>
              <w:bottom w:val="outset" w:sz="6" w:space="0" w:color="414142"/>
              <w:right w:val="outset" w:sz="6" w:space="0" w:color="414142"/>
            </w:tcBorders>
            <w:hideMark/>
          </w:tcPr>
          <w:p w:rsidR="00BD40E0" w:rsidRPr="00DE7BFC" w:rsidRDefault="00BD40E0" w:rsidP="00BD40E0">
            <w:p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Noteikumu projekts precizē kvalitātes dienesta funkcijas, kas noteiktas citos ārējos normatīvajos aktos saistībā ar:</w:t>
            </w:r>
          </w:p>
          <w:p w:rsidR="00BD40E0" w:rsidRPr="00DE7BFC" w:rsidRDefault="00BD40E0" w:rsidP="00BD40E0">
            <w:pPr>
              <w:pStyle w:val="ListParagraph"/>
              <w:numPr>
                <w:ilvl w:val="0"/>
                <w:numId w:val="12"/>
              </w:num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personu, kas bijusi sodīta par tīšu kriminālpārkāpumu vai mazāk smagu noziegumu, ja sodāmība ir dzēsta vai noņemta, nekaitēs izglītojamo interesēm, izvērtēšanu un attiecīgas atļaujas izsniegšanu;</w:t>
            </w:r>
          </w:p>
          <w:p w:rsidR="00BD40E0" w:rsidRPr="00DE7BFC" w:rsidRDefault="00BD40E0" w:rsidP="00BD40E0">
            <w:pPr>
              <w:pStyle w:val="ListParagraph"/>
              <w:numPr>
                <w:ilvl w:val="0"/>
                <w:numId w:val="12"/>
              </w:num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izglītības iestāžu vadītāju profesionālās darbības novērtējumu un atbilstību vai neatbilstību amatam;</w:t>
            </w:r>
          </w:p>
          <w:p w:rsidR="00BD40E0" w:rsidRPr="00DE7BFC" w:rsidRDefault="00BD40E0" w:rsidP="00BD40E0">
            <w:pPr>
              <w:pStyle w:val="ListParagraph"/>
              <w:numPr>
                <w:ilvl w:val="0"/>
                <w:numId w:val="12"/>
              </w:num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izglītības iestāžu vadītāju</w:t>
            </w:r>
            <w:r w:rsidRPr="00DE7BFC">
              <w:t xml:space="preserve"> </w:t>
            </w:r>
            <w:r w:rsidRPr="00DE7BFC">
              <w:rPr>
                <w:rFonts w:ascii="Times New Roman" w:eastAsia="Times New Roman" w:hAnsi="Times New Roman" w:cs="Times New Roman"/>
                <w:sz w:val="28"/>
                <w:szCs w:val="28"/>
                <w:lang w:eastAsia="lv-LV"/>
              </w:rPr>
              <w:t>un pedagogu vai viņu rīcības atbilstības izvērtēšanu Izglītības likuma prasībām un lēmuma par izglītības iestādes vadītāja vai pedagoga atstādināšanu no pienākumu pildīšanas pieņemšanu;</w:t>
            </w:r>
          </w:p>
          <w:p w:rsidR="00126E02" w:rsidRPr="00DE7BFC" w:rsidRDefault="00BD40E0" w:rsidP="00BD40E0">
            <w:pPr>
              <w:pStyle w:val="ListParagraph"/>
              <w:numPr>
                <w:ilvl w:val="0"/>
                <w:numId w:val="12"/>
              </w:num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xml:space="preserve">informācijas par izglītojamo </w:t>
            </w:r>
            <w:r w:rsidRPr="00DE7BFC">
              <w:rPr>
                <w:rFonts w:ascii="Times New Roman" w:eastAsia="Times New Roman" w:hAnsi="Times New Roman" w:cs="Times New Roman"/>
                <w:sz w:val="28"/>
                <w:szCs w:val="28"/>
                <w:lang w:eastAsia="lv-LV"/>
              </w:rPr>
              <w:lastRenderedPageBreak/>
              <w:t>neattaisnotiem mācību kavējumiem  apkopošanu un analizēšanu un darbībām priekšlaicīgas mācību pārtraukšanas risku mazināšanai.</w:t>
            </w:r>
          </w:p>
          <w:p w:rsidR="00BD40E0" w:rsidRPr="00DE7BFC" w:rsidRDefault="00BD40E0" w:rsidP="00081FAD">
            <w:p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 xml:space="preserve">Tiesiskā regulējuma ietekme uz tautsaimniecību un administratīvo slogu ir analizēta </w:t>
            </w:r>
            <w:r w:rsidR="00081FAD" w:rsidRPr="00DE7BFC">
              <w:rPr>
                <w:rFonts w:ascii="Times New Roman" w:eastAsia="Times New Roman" w:hAnsi="Times New Roman" w:cs="Times New Roman"/>
                <w:sz w:val="28"/>
                <w:szCs w:val="28"/>
                <w:lang w:eastAsia="lv-LV"/>
              </w:rPr>
              <w:t xml:space="preserve">Izglītības likuma grozījumu, MK noteikumu Nr.89, MK noteikumu Nr.831 un </w:t>
            </w:r>
            <w:r w:rsidRPr="00DE7BFC">
              <w:rPr>
                <w:rFonts w:ascii="Times New Roman" w:eastAsia="Times New Roman" w:hAnsi="Times New Roman" w:cs="Times New Roman"/>
                <w:sz w:val="28"/>
                <w:szCs w:val="28"/>
                <w:lang w:eastAsia="lv-LV"/>
              </w:rPr>
              <w:t>MK noteikumu Nr.195 izstrādes ietvaros</w:t>
            </w:r>
            <w:r w:rsidR="00081FAD" w:rsidRPr="00DE7BFC">
              <w:rPr>
                <w:rFonts w:ascii="Times New Roman" w:eastAsia="Times New Roman" w:hAnsi="Times New Roman" w:cs="Times New Roman"/>
                <w:sz w:val="28"/>
                <w:szCs w:val="28"/>
                <w:lang w:eastAsia="lv-LV"/>
              </w:rPr>
              <w:t xml:space="preserve"> (sk. minēto normatīvo aktu sākotnējās ietekmes novērtējuma ziņojumos).</w:t>
            </w:r>
          </w:p>
        </w:tc>
      </w:tr>
      <w:tr w:rsidR="00DE7BFC" w:rsidRPr="00DE7BFC" w:rsidTr="001534C5">
        <w:trPr>
          <w:trHeight w:val="969"/>
        </w:trPr>
        <w:tc>
          <w:tcPr>
            <w:tcW w:w="382"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Administratīvo izmaksu monetārs novērtējums</w:t>
            </w:r>
          </w:p>
        </w:tc>
        <w:tc>
          <w:tcPr>
            <w:tcW w:w="3143"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Noteikumu projekts šo jomu neskar.</w:t>
            </w:r>
          </w:p>
        </w:tc>
      </w:tr>
      <w:tr w:rsidR="00DE7BFC" w:rsidRPr="00DE7BFC" w:rsidTr="001534C5">
        <w:trPr>
          <w:trHeight w:val="345"/>
        </w:trPr>
        <w:tc>
          <w:tcPr>
            <w:tcW w:w="382"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4.</w:t>
            </w:r>
          </w:p>
        </w:tc>
        <w:tc>
          <w:tcPr>
            <w:tcW w:w="1475"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Cita informācija</w:t>
            </w:r>
          </w:p>
        </w:tc>
        <w:tc>
          <w:tcPr>
            <w:tcW w:w="3143"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Nav.</w:t>
            </w:r>
          </w:p>
        </w:tc>
      </w:tr>
    </w:tbl>
    <w:p w:rsidR="00B4271A" w:rsidRPr="00DE7BFC" w:rsidRDefault="00B4271A" w:rsidP="00B4271A">
      <w:pPr>
        <w:shd w:val="clear" w:color="auto" w:fill="FFFFFF"/>
        <w:spacing w:after="0" w:line="360" w:lineRule="auto"/>
        <w:ind w:firstLine="301"/>
        <w:rPr>
          <w:rFonts w:ascii="Times New Roman" w:eastAsia="Times New Roman" w:hAnsi="Times New Roman" w:cs="Times New Roman"/>
          <w:sz w:val="28"/>
          <w:szCs w:val="28"/>
          <w:lang w:eastAsia="lv-LV"/>
        </w:rPr>
      </w:pPr>
    </w:p>
    <w:tbl>
      <w:tblPr>
        <w:tblW w:w="5136" w:type="pct"/>
        <w:jc w:val="center"/>
        <w:tblInd w:w="-2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79"/>
        <w:gridCol w:w="1196"/>
        <w:gridCol w:w="1305"/>
        <w:gridCol w:w="1391"/>
        <w:gridCol w:w="1392"/>
        <w:gridCol w:w="1391"/>
      </w:tblGrid>
      <w:tr w:rsidR="00DE7BFC" w:rsidRPr="00DE7BFC" w:rsidTr="007F7CA4">
        <w:trPr>
          <w:trHeight w:val="652"/>
          <w:jc w:val="center"/>
        </w:trPr>
        <w:tc>
          <w:tcPr>
            <w:tcW w:w="5000" w:type="pct"/>
            <w:gridSpan w:val="6"/>
          </w:tcPr>
          <w:p w:rsidR="007F7CA4" w:rsidRPr="00DE7BFC" w:rsidRDefault="007F7CA4" w:rsidP="007F7CA4">
            <w:pPr>
              <w:pStyle w:val="naisnod"/>
              <w:spacing w:before="0" w:after="0"/>
              <w:jc w:val="center"/>
              <w:rPr>
                <w:b/>
                <w:i/>
                <w:sz w:val="28"/>
                <w:szCs w:val="28"/>
                <w:lang w:eastAsia="en-GB"/>
              </w:rPr>
            </w:pPr>
            <w:r w:rsidRPr="00DE7BFC">
              <w:rPr>
                <w:sz w:val="28"/>
                <w:szCs w:val="28"/>
              </w:rPr>
              <w:br w:type="page"/>
            </w:r>
            <w:r w:rsidRPr="00DE7BFC">
              <w:rPr>
                <w:b/>
                <w:sz w:val="28"/>
                <w:szCs w:val="28"/>
                <w:lang w:eastAsia="en-GB"/>
              </w:rPr>
              <w:t>III. Tiesību  akta projekta ietekme uz valsts budžetu un pašvaldību budžetiem</w:t>
            </w:r>
          </w:p>
        </w:tc>
      </w:tr>
      <w:tr w:rsidR="00DE7BFC" w:rsidRPr="00DE7BFC" w:rsidTr="007F7CA4">
        <w:trPr>
          <w:trHeight w:val="652"/>
          <w:jc w:val="center"/>
        </w:trPr>
        <w:tc>
          <w:tcPr>
            <w:tcW w:w="5000" w:type="pct"/>
            <w:gridSpan w:val="6"/>
          </w:tcPr>
          <w:p w:rsidR="007F7CA4" w:rsidRPr="00DE7BFC" w:rsidRDefault="007F7CA4" w:rsidP="007F7CA4">
            <w:pPr>
              <w:pStyle w:val="naisnod"/>
              <w:spacing w:before="0" w:after="0"/>
              <w:rPr>
                <w:sz w:val="28"/>
                <w:szCs w:val="28"/>
              </w:rPr>
            </w:pPr>
          </w:p>
        </w:tc>
      </w:tr>
      <w:tr w:rsidR="00DE7BFC" w:rsidRPr="00DE7BFC" w:rsidTr="007F7CA4">
        <w:trPr>
          <w:jc w:val="center"/>
        </w:trPr>
        <w:tc>
          <w:tcPr>
            <w:tcW w:w="1188" w:type="pct"/>
            <w:vMerge w:val="restart"/>
            <w:vAlign w:val="center"/>
          </w:tcPr>
          <w:p w:rsidR="007F7CA4" w:rsidRPr="00DE7BFC" w:rsidRDefault="007F7CA4" w:rsidP="007F7CA4">
            <w:pPr>
              <w:pStyle w:val="naisf"/>
              <w:spacing w:before="0" w:after="0"/>
              <w:jc w:val="center"/>
              <w:rPr>
                <w:b/>
                <w:sz w:val="28"/>
                <w:szCs w:val="28"/>
                <w:lang w:eastAsia="en-GB"/>
              </w:rPr>
            </w:pPr>
            <w:r w:rsidRPr="00DE7BFC">
              <w:rPr>
                <w:b/>
                <w:sz w:val="28"/>
                <w:szCs w:val="28"/>
                <w:lang w:eastAsia="en-GB"/>
              </w:rPr>
              <w:t>Rādītāji</w:t>
            </w:r>
          </w:p>
        </w:tc>
        <w:tc>
          <w:tcPr>
            <w:tcW w:w="1429" w:type="pct"/>
            <w:gridSpan w:val="2"/>
            <w:vMerge w:val="restart"/>
            <w:vAlign w:val="center"/>
          </w:tcPr>
          <w:p w:rsidR="007F7CA4" w:rsidRPr="00DE7BFC" w:rsidRDefault="007F7CA4" w:rsidP="007F7CA4">
            <w:pPr>
              <w:pStyle w:val="naisf"/>
              <w:spacing w:before="0" w:after="0"/>
              <w:jc w:val="center"/>
              <w:rPr>
                <w:b/>
                <w:sz w:val="28"/>
                <w:szCs w:val="28"/>
                <w:lang w:eastAsia="en-GB"/>
              </w:rPr>
            </w:pPr>
            <w:r w:rsidRPr="00DE7BFC">
              <w:rPr>
                <w:b/>
                <w:sz w:val="28"/>
                <w:szCs w:val="28"/>
                <w:lang w:eastAsia="en-GB"/>
              </w:rPr>
              <w:t>2017.gads</w:t>
            </w:r>
          </w:p>
        </w:tc>
        <w:tc>
          <w:tcPr>
            <w:tcW w:w="2384" w:type="pct"/>
            <w:gridSpan w:val="3"/>
            <w:vAlign w:val="center"/>
          </w:tcPr>
          <w:p w:rsidR="007F7CA4" w:rsidRPr="00DE7BFC" w:rsidRDefault="007F7CA4" w:rsidP="007F7CA4">
            <w:pPr>
              <w:pStyle w:val="naisf"/>
              <w:spacing w:before="0" w:after="0"/>
              <w:jc w:val="center"/>
              <w:rPr>
                <w:b/>
                <w:i/>
                <w:sz w:val="28"/>
                <w:szCs w:val="28"/>
                <w:lang w:eastAsia="en-GB"/>
              </w:rPr>
            </w:pPr>
            <w:r w:rsidRPr="00DE7BFC">
              <w:rPr>
                <w:sz w:val="28"/>
                <w:szCs w:val="28"/>
                <w:lang w:eastAsia="en-GB"/>
              </w:rPr>
              <w:t>Turpmākie trīs gadi (</w:t>
            </w:r>
            <w:proofErr w:type="spellStart"/>
            <w:r w:rsidRPr="00DE7BFC">
              <w:rPr>
                <w:i/>
                <w:sz w:val="28"/>
                <w:szCs w:val="28"/>
                <w:lang w:eastAsia="en-GB"/>
              </w:rPr>
              <w:t>euro</w:t>
            </w:r>
            <w:proofErr w:type="spellEnd"/>
            <w:r w:rsidRPr="00DE7BFC">
              <w:rPr>
                <w:sz w:val="28"/>
                <w:szCs w:val="28"/>
                <w:lang w:eastAsia="en-GB"/>
              </w:rPr>
              <w:t>)</w:t>
            </w:r>
          </w:p>
        </w:tc>
      </w:tr>
      <w:tr w:rsidR="00DE7BFC" w:rsidRPr="00DE7BFC" w:rsidTr="007F7CA4">
        <w:trPr>
          <w:trHeight w:val="326"/>
          <w:jc w:val="center"/>
        </w:trPr>
        <w:tc>
          <w:tcPr>
            <w:tcW w:w="1188" w:type="pct"/>
            <w:vMerge/>
            <w:vAlign w:val="center"/>
          </w:tcPr>
          <w:p w:rsidR="007F7CA4" w:rsidRPr="00DE7BFC" w:rsidRDefault="007F7CA4" w:rsidP="007F7CA4">
            <w:pPr>
              <w:spacing w:line="240" w:lineRule="auto"/>
              <w:rPr>
                <w:rFonts w:ascii="Times New Roman" w:hAnsi="Times New Roman" w:cs="Times New Roman"/>
                <w:b/>
                <w:sz w:val="28"/>
                <w:szCs w:val="28"/>
                <w:lang w:eastAsia="en-GB"/>
              </w:rPr>
            </w:pPr>
          </w:p>
        </w:tc>
        <w:tc>
          <w:tcPr>
            <w:tcW w:w="1429" w:type="pct"/>
            <w:gridSpan w:val="2"/>
            <w:vMerge/>
            <w:vAlign w:val="center"/>
          </w:tcPr>
          <w:p w:rsidR="007F7CA4" w:rsidRPr="00DE7BFC" w:rsidRDefault="007F7CA4" w:rsidP="007F7CA4">
            <w:pPr>
              <w:spacing w:line="240" w:lineRule="auto"/>
              <w:rPr>
                <w:rFonts w:ascii="Times New Roman" w:hAnsi="Times New Roman" w:cs="Times New Roman"/>
                <w:b/>
                <w:sz w:val="28"/>
                <w:szCs w:val="28"/>
                <w:lang w:eastAsia="en-GB"/>
              </w:rPr>
            </w:pPr>
          </w:p>
        </w:tc>
        <w:tc>
          <w:tcPr>
            <w:tcW w:w="795" w:type="pct"/>
            <w:vAlign w:val="center"/>
          </w:tcPr>
          <w:p w:rsidR="007F7CA4" w:rsidRPr="00DE7BFC" w:rsidRDefault="007F7CA4" w:rsidP="007F7CA4">
            <w:pPr>
              <w:pStyle w:val="naisf"/>
              <w:spacing w:before="0" w:after="0"/>
              <w:ind w:firstLine="0"/>
              <w:rPr>
                <w:b/>
                <w:i/>
                <w:sz w:val="28"/>
                <w:szCs w:val="28"/>
                <w:lang w:eastAsia="en-GB"/>
              </w:rPr>
            </w:pPr>
            <w:r w:rsidRPr="00DE7BFC">
              <w:rPr>
                <w:b/>
                <w:sz w:val="28"/>
                <w:szCs w:val="28"/>
                <w:lang w:eastAsia="en-GB"/>
              </w:rPr>
              <w:t>2018.gads</w:t>
            </w:r>
          </w:p>
        </w:tc>
        <w:tc>
          <w:tcPr>
            <w:tcW w:w="795" w:type="pct"/>
            <w:vAlign w:val="center"/>
          </w:tcPr>
          <w:p w:rsidR="007F7CA4" w:rsidRPr="00DE7BFC" w:rsidRDefault="007F7CA4" w:rsidP="007F7CA4">
            <w:pPr>
              <w:pStyle w:val="naisf"/>
              <w:spacing w:before="0" w:after="0"/>
              <w:ind w:firstLine="0"/>
              <w:rPr>
                <w:b/>
                <w:i/>
                <w:sz w:val="28"/>
                <w:szCs w:val="28"/>
                <w:lang w:eastAsia="en-GB"/>
              </w:rPr>
            </w:pPr>
            <w:r w:rsidRPr="00DE7BFC">
              <w:rPr>
                <w:b/>
                <w:sz w:val="28"/>
                <w:szCs w:val="28"/>
                <w:lang w:eastAsia="en-GB"/>
              </w:rPr>
              <w:t>2019.gads</w:t>
            </w:r>
          </w:p>
        </w:tc>
        <w:tc>
          <w:tcPr>
            <w:tcW w:w="795" w:type="pct"/>
            <w:vAlign w:val="center"/>
          </w:tcPr>
          <w:p w:rsidR="007F7CA4" w:rsidRPr="00DE7BFC" w:rsidRDefault="007F7CA4" w:rsidP="007F7CA4">
            <w:pPr>
              <w:pStyle w:val="naisf"/>
              <w:spacing w:before="0" w:after="0"/>
              <w:ind w:firstLine="0"/>
              <w:rPr>
                <w:b/>
                <w:i/>
                <w:sz w:val="28"/>
                <w:szCs w:val="28"/>
                <w:lang w:eastAsia="en-GB"/>
              </w:rPr>
            </w:pPr>
            <w:r w:rsidRPr="00DE7BFC">
              <w:rPr>
                <w:b/>
                <w:sz w:val="28"/>
                <w:szCs w:val="28"/>
                <w:lang w:eastAsia="en-GB"/>
              </w:rPr>
              <w:t>2020.gads</w:t>
            </w:r>
          </w:p>
        </w:tc>
      </w:tr>
      <w:tr w:rsidR="00DE7BFC" w:rsidRPr="00DE7BFC" w:rsidTr="007F7CA4">
        <w:trPr>
          <w:jc w:val="center"/>
        </w:trPr>
        <w:tc>
          <w:tcPr>
            <w:tcW w:w="1188" w:type="pct"/>
            <w:vMerge/>
            <w:vAlign w:val="center"/>
          </w:tcPr>
          <w:p w:rsidR="007F7CA4" w:rsidRPr="00DE7BFC" w:rsidRDefault="007F7CA4" w:rsidP="007F7CA4">
            <w:pPr>
              <w:spacing w:line="240" w:lineRule="auto"/>
              <w:rPr>
                <w:rFonts w:ascii="Times New Roman" w:hAnsi="Times New Roman" w:cs="Times New Roman"/>
                <w:b/>
                <w:sz w:val="28"/>
                <w:szCs w:val="28"/>
                <w:lang w:eastAsia="en-GB"/>
              </w:rPr>
            </w:pPr>
          </w:p>
        </w:tc>
        <w:tc>
          <w:tcPr>
            <w:tcW w:w="683" w:type="pct"/>
            <w:vAlign w:val="center"/>
          </w:tcPr>
          <w:p w:rsidR="007F7CA4" w:rsidRPr="00DE7BFC" w:rsidRDefault="007F7CA4" w:rsidP="007F7CA4">
            <w:pPr>
              <w:pStyle w:val="naisf"/>
              <w:spacing w:before="0" w:after="0"/>
              <w:ind w:firstLine="0"/>
              <w:rPr>
                <w:b/>
                <w:i/>
                <w:sz w:val="28"/>
                <w:szCs w:val="28"/>
                <w:lang w:eastAsia="en-GB"/>
              </w:rPr>
            </w:pPr>
            <w:r w:rsidRPr="00DE7BFC">
              <w:rPr>
                <w:sz w:val="28"/>
                <w:szCs w:val="28"/>
                <w:lang w:eastAsia="en-GB"/>
              </w:rPr>
              <w:t>Saskaņā ar valsts budžetu kārtējam gadam</w:t>
            </w:r>
          </w:p>
        </w:tc>
        <w:tc>
          <w:tcPr>
            <w:tcW w:w="745" w:type="pct"/>
            <w:vAlign w:val="center"/>
          </w:tcPr>
          <w:p w:rsidR="007F7CA4" w:rsidRPr="00DE7BFC" w:rsidRDefault="007F7CA4" w:rsidP="007F7CA4">
            <w:pPr>
              <w:pStyle w:val="naisf"/>
              <w:spacing w:before="0" w:after="0"/>
              <w:ind w:firstLine="0"/>
              <w:rPr>
                <w:b/>
                <w:i/>
                <w:sz w:val="28"/>
                <w:szCs w:val="28"/>
                <w:lang w:eastAsia="en-GB"/>
              </w:rPr>
            </w:pPr>
            <w:r w:rsidRPr="00DE7BFC">
              <w:rPr>
                <w:sz w:val="28"/>
                <w:szCs w:val="28"/>
                <w:lang w:eastAsia="en-GB"/>
              </w:rPr>
              <w:t>Izmaiņas kārtējā gadā, salīdzinot ar budžetu kārtējam gadam</w:t>
            </w:r>
          </w:p>
        </w:tc>
        <w:tc>
          <w:tcPr>
            <w:tcW w:w="795" w:type="pct"/>
            <w:vAlign w:val="center"/>
          </w:tcPr>
          <w:p w:rsidR="007F7CA4" w:rsidRPr="00DE7BFC" w:rsidRDefault="007F7CA4" w:rsidP="007F7CA4">
            <w:pPr>
              <w:pStyle w:val="naisf"/>
              <w:spacing w:before="0" w:after="0"/>
              <w:ind w:firstLine="0"/>
              <w:rPr>
                <w:b/>
                <w:i/>
                <w:sz w:val="28"/>
                <w:szCs w:val="28"/>
                <w:lang w:eastAsia="en-GB"/>
              </w:rPr>
            </w:pPr>
            <w:r w:rsidRPr="00DE7BFC">
              <w:rPr>
                <w:sz w:val="28"/>
                <w:szCs w:val="28"/>
                <w:lang w:eastAsia="en-GB"/>
              </w:rPr>
              <w:t>Izmaiņas, salīdzinot ar kārtējo 2017.gadu</w:t>
            </w:r>
          </w:p>
        </w:tc>
        <w:tc>
          <w:tcPr>
            <w:tcW w:w="795" w:type="pct"/>
            <w:vAlign w:val="center"/>
          </w:tcPr>
          <w:p w:rsidR="007F7CA4" w:rsidRPr="00DE7BFC" w:rsidRDefault="007F7CA4" w:rsidP="007F7CA4">
            <w:pPr>
              <w:pStyle w:val="naisf"/>
              <w:spacing w:before="0" w:after="0"/>
              <w:ind w:firstLine="0"/>
              <w:rPr>
                <w:b/>
                <w:i/>
                <w:sz w:val="28"/>
                <w:szCs w:val="28"/>
                <w:lang w:eastAsia="en-GB"/>
              </w:rPr>
            </w:pPr>
            <w:r w:rsidRPr="00DE7BFC">
              <w:rPr>
                <w:sz w:val="28"/>
                <w:szCs w:val="28"/>
                <w:lang w:eastAsia="en-GB"/>
              </w:rPr>
              <w:t>Izmaiņas, salīdzinot ar kārtējo 2017.gadu</w:t>
            </w:r>
          </w:p>
        </w:tc>
        <w:tc>
          <w:tcPr>
            <w:tcW w:w="795" w:type="pct"/>
            <w:vAlign w:val="center"/>
          </w:tcPr>
          <w:p w:rsidR="007F7CA4" w:rsidRPr="00DE7BFC" w:rsidRDefault="007F7CA4" w:rsidP="007F7CA4">
            <w:pPr>
              <w:pStyle w:val="naisf"/>
              <w:spacing w:before="0" w:after="0"/>
              <w:ind w:firstLine="0"/>
              <w:rPr>
                <w:b/>
                <w:i/>
                <w:sz w:val="28"/>
                <w:szCs w:val="28"/>
                <w:lang w:eastAsia="en-GB"/>
              </w:rPr>
            </w:pPr>
            <w:r w:rsidRPr="00DE7BFC">
              <w:rPr>
                <w:sz w:val="28"/>
                <w:szCs w:val="28"/>
                <w:lang w:eastAsia="en-GB"/>
              </w:rPr>
              <w:t>Izmaiņas, salīdzinot ar kārtējo 2017.gadu</w:t>
            </w:r>
          </w:p>
        </w:tc>
      </w:tr>
      <w:tr w:rsidR="00DE7BFC" w:rsidRPr="00DE7BFC" w:rsidTr="007F7CA4">
        <w:trPr>
          <w:jc w:val="center"/>
        </w:trPr>
        <w:tc>
          <w:tcPr>
            <w:tcW w:w="1188" w:type="pct"/>
            <w:vAlign w:val="center"/>
          </w:tcPr>
          <w:p w:rsidR="007F7CA4" w:rsidRPr="00DE7BFC" w:rsidRDefault="007F7CA4" w:rsidP="007F7CA4">
            <w:pPr>
              <w:pStyle w:val="naisf"/>
              <w:spacing w:before="0" w:after="0"/>
              <w:jc w:val="center"/>
              <w:rPr>
                <w:bCs/>
                <w:sz w:val="28"/>
                <w:szCs w:val="28"/>
                <w:lang w:eastAsia="en-GB"/>
              </w:rPr>
            </w:pPr>
            <w:r w:rsidRPr="00DE7BFC">
              <w:rPr>
                <w:bCs/>
                <w:sz w:val="28"/>
                <w:szCs w:val="28"/>
                <w:lang w:eastAsia="en-GB"/>
              </w:rPr>
              <w:t>1</w:t>
            </w:r>
          </w:p>
        </w:tc>
        <w:tc>
          <w:tcPr>
            <w:tcW w:w="683" w:type="pct"/>
            <w:vAlign w:val="center"/>
          </w:tcPr>
          <w:p w:rsidR="007F7CA4" w:rsidRPr="00DE7BFC" w:rsidRDefault="007F7CA4" w:rsidP="007F7CA4">
            <w:pPr>
              <w:pStyle w:val="naisf"/>
              <w:spacing w:before="0" w:after="0"/>
              <w:jc w:val="center"/>
              <w:rPr>
                <w:bCs/>
                <w:sz w:val="28"/>
                <w:szCs w:val="28"/>
                <w:lang w:eastAsia="en-GB"/>
              </w:rPr>
            </w:pPr>
            <w:r w:rsidRPr="00DE7BFC">
              <w:rPr>
                <w:bCs/>
                <w:sz w:val="28"/>
                <w:szCs w:val="28"/>
                <w:lang w:eastAsia="en-GB"/>
              </w:rPr>
              <w:t>2</w:t>
            </w:r>
          </w:p>
        </w:tc>
        <w:tc>
          <w:tcPr>
            <w:tcW w:w="745" w:type="pct"/>
            <w:vAlign w:val="center"/>
          </w:tcPr>
          <w:p w:rsidR="007F7CA4" w:rsidRPr="00DE7BFC" w:rsidRDefault="007F7CA4" w:rsidP="007F7CA4">
            <w:pPr>
              <w:pStyle w:val="naisf"/>
              <w:spacing w:before="0" w:after="0"/>
              <w:jc w:val="center"/>
              <w:rPr>
                <w:bCs/>
                <w:sz w:val="28"/>
                <w:szCs w:val="28"/>
                <w:lang w:eastAsia="en-GB"/>
              </w:rPr>
            </w:pPr>
            <w:r w:rsidRPr="00DE7BFC">
              <w:rPr>
                <w:bCs/>
                <w:sz w:val="28"/>
                <w:szCs w:val="28"/>
                <w:lang w:eastAsia="en-GB"/>
              </w:rPr>
              <w:t>3</w:t>
            </w:r>
          </w:p>
        </w:tc>
        <w:tc>
          <w:tcPr>
            <w:tcW w:w="795" w:type="pct"/>
            <w:vAlign w:val="center"/>
          </w:tcPr>
          <w:p w:rsidR="007F7CA4" w:rsidRPr="00DE7BFC" w:rsidRDefault="007F7CA4" w:rsidP="007F7CA4">
            <w:pPr>
              <w:pStyle w:val="naisf"/>
              <w:spacing w:before="0" w:after="0"/>
              <w:jc w:val="center"/>
              <w:rPr>
                <w:bCs/>
                <w:sz w:val="28"/>
                <w:szCs w:val="28"/>
                <w:lang w:eastAsia="en-GB"/>
              </w:rPr>
            </w:pPr>
            <w:r w:rsidRPr="00DE7BFC">
              <w:rPr>
                <w:bCs/>
                <w:sz w:val="28"/>
                <w:szCs w:val="28"/>
                <w:lang w:eastAsia="en-GB"/>
              </w:rPr>
              <w:t>4</w:t>
            </w:r>
          </w:p>
        </w:tc>
        <w:tc>
          <w:tcPr>
            <w:tcW w:w="795" w:type="pct"/>
            <w:vAlign w:val="center"/>
          </w:tcPr>
          <w:p w:rsidR="007F7CA4" w:rsidRPr="00DE7BFC" w:rsidRDefault="007F7CA4" w:rsidP="007F7CA4">
            <w:pPr>
              <w:pStyle w:val="naisf"/>
              <w:spacing w:before="0" w:after="0"/>
              <w:jc w:val="center"/>
              <w:rPr>
                <w:bCs/>
                <w:sz w:val="28"/>
                <w:szCs w:val="28"/>
                <w:lang w:eastAsia="en-GB"/>
              </w:rPr>
            </w:pPr>
            <w:r w:rsidRPr="00DE7BFC">
              <w:rPr>
                <w:bCs/>
                <w:sz w:val="28"/>
                <w:szCs w:val="28"/>
                <w:lang w:eastAsia="en-GB"/>
              </w:rPr>
              <w:t>5</w:t>
            </w:r>
          </w:p>
        </w:tc>
        <w:tc>
          <w:tcPr>
            <w:tcW w:w="795" w:type="pct"/>
            <w:vAlign w:val="center"/>
          </w:tcPr>
          <w:p w:rsidR="007F7CA4" w:rsidRPr="00DE7BFC" w:rsidRDefault="007F7CA4" w:rsidP="007F7CA4">
            <w:pPr>
              <w:pStyle w:val="naisf"/>
              <w:spacing w:before="0" w:after="0"/>
              <w:jc w:val="center"/>
              <w:rPr>
                <w:bCs/>
                <w:sz w:val="28"/>
                <w:szCs w:val="28"/>
                <w:lang w:eastAsia="en-GB"/>
              </w:rPr>
            </w:pPr>
            <w:r w:rsidRPr="00DE7BFC">
              <w:rPr>
                <w:bCs/>
                <w:sz w:val="28"/>
                <w:szCs w:val="28"/>
                <w:lang w:eastAsia="en-GB"/>
              </w:rPr>
              <w:t>6</w:t>
            </w:r>
          </w:p>
        </w:tc>
      </w:tr>
      <w:tr w:rsidR="00DE7BFC" w:rsidRPr="00DE7BFC" w:rsidTr="007F7CA4">
        <w:trPr>
          <w:jc w:val="center"/>
        </w:trPr>
        <w:tc>
          <w:tcPr>
            <w:tcW w:w="1188" w:type="pct"/>
          </w:tcPr>
          <w:p w:rsidR="007F7CA4" w:rsidRPr="00DE7BFC" w:rsidRDefault="007F7CA4" w:rsidP="007F7CA4">
            <w:pPr>
              <w:pStyle w:val="naisf"/>
              <w:spacing w:before="0" w:after="0"/>
              <w:jc w:val="left"/>
              <w:rPr>
                <w:i/>
                <w:sz w:val="28"/>
                <w:szCs w:val="28"/>
                <w:lang w:eastAsia="en-GB"/>
              </w:rPr>
            </w:pPr>
            <w:r w:rsidRPr="00DE7BFC">
              <w:rPr>
                <w:sz w:val="28"/>
                <w:szCs w:val="28"/>
                <w:lang w:eastAsia="en-GB"/>
              </w:rPr>
              <w:t>1. Budžeta ieņēmumi:</w:t>
            </w:r>
          </w:p>
        </w:tc>
        <w:tc>
          <w:tcPr>
            <w:tcW w:w="683"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4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r>
      <w:tr w:rsidR="00DE7BFC" w:rsidRPr="00DE7BFC" w:rsidTr="007F7CA4">
        <w:trPr>
          <w:jc w:val="center"/>
        </w:trPr>
        <w:tc>
          <w:tcPr>
            <w:tcW w:w="1188" w:type="pct"/>
          </w:tcPr>
          <w:p w:rsidR="007F7CA4" w:rsidRPr="00DE7BFC" w:rsidRDefault="007F7CA4" w:rsidP="007F7CA4">
            <w:pPr>
              <w:pStyle w:val="naisf"/>
              <w:spacing w:before="0" w:after="0"/>
              <w:jc w:val="left"/>
              <w:rPr>
                <w:i/>
                <w:sz w:val="28"/>
                <w:szCs w:val="28"/>
                <w:lang w:eastAsia="en-GB"/>
              </w:rPr>
            </w:pPr>
            <w:r w:rsidRPr="00DE7BFC">
              <w:rPr>
                <w:sz w:val="28"/>
                <w:szCs w:val="28"/>
                <w:lang w:eastAsia="en-GB"/>
              </w:rPr>
              <w:t>1.1. valsts pamatbudžets, tai skaitā ieņēmumi no maksas pakalpojumiem un citi pašu ieņēmumi</w:t>
            </w:r>
          </w:p>
        </w:tc>
        <w:tc>
          <w:tcPr>
            <w:tcW w:w="683"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pStyle w:val="naisf"/>
              <w:spacing w:before="0" w:after="0"/>
              <w:jc w:val="left"/>
              <w:rPr>
                <w:i/>
                <w:sz w:val="28"/>
                <w:szCs w:val="28"/>
                <w:lang w:eastAsia="en-GB"/>
              </w:rPr>
            </w:pPr>
            <w:r w:rsidRPr="00DE7BFC">
              <w:rPr>
                <w:sz w:val="28"/>
                <w:szCs w:val="28"/>
                <w:lang w:eastAsia="en-GB"/>
              </w:rPr>
              <w:t xml:space="preserve">1.2. valsts </w:t>
            </w:r>
            <w:r w:rsidRPr="00DE7BFC">
              <w:rPr>
                <w:sz w:val="28"/>
                <w:szCs w:val="28"/>
                <w:lang w:eastAsia="en-GB"/>
              </w:rPr>
              <w:lastRenderedPageBreak/>
              <w:t>speciālais budžets</w:t>
            </w:r>
          </w:p>
        </w:tc>
        <w:tc>
          <w:tcPr>
            <w:tcW w:w="683"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lastRenderedPageBreak/>
              <w:t>0</w:t>
            </w: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pStyle w:val="naisf"/>
              <w:spacing w:before="0" w:after="0"/>
              <w:jc w:val="left"/>
              <w:rPr>
                <w:i/>
                <w:sz w:val="28"/>
                <w:szCs w:val="28"/>
                <w:lang w:eastAsia="en-GB"/>
              </w:rPr>
            </w:pPr>
            <w:r w:rsidRPr="00DE7BFC">
              <w:rPr>
                <w:sz w:val="28"/>
                <w:szCs w:val="28"/>
                <w:lang w:eastAsia="en-GB"/>
              </w:rPr>
              <w:lastRenderedPageBreak/>
              <w:t>1.3. pašvaldību budžets</w:t>
            </w:r>
          </w:p>
        </w:tc>
        <w:tc>
          <w:tcPr>
            <w:tcW w:w="683"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2. Budžeta izdevumi:</w:t>
            </w:r>
          </w:p>
        </w:tc>
        <w:tc>
          <w:tcPr>
            <w:tcW w:w="683"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4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2.1. valsts pamatbudžets</w:t>
            </w:r>
          </w:p>
        </w:tc>
        <w:tc>
          <w:tcPr>
            <w:tcW w:w="683"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2.2. valsts speciālais budžets</w:t>
            </w:r>
          </w:p>
        </w:tc>
        <w:tc>
          <w:tcPr>
            <w:tcW w:w="683"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 xml:space="preserve">2.3. pašvaldību budžets </w:t>
            </w:r>
          </w:p>
        </w:tc>
        <w:tc>
          <w:tcPr>
            <w:tcW w:w="683"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3. Finansiālā ietekme:</w:t>
            </w:r>
          </w:p>
        </w:tc>
        <w:tc>
          <w:tcPr>
            <w:tcW w:w="683"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4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3.1. valsts pamatbudžets</w:t>
            </w:r>
          </w:p>
        </w:tc>
        <w:tc>
          <w:tcPr>
            <w:tcW w:w="683"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3.2. speciālais budžets</w:t>
            </w:r>
          </w:p>
        </w:tc>
        <w:tc>
          <w:tcPr>
            <w:tcW w:w="683"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 xml:space="preserve">3.3. pašvaldību budžets </w:t>
            </w:r>
          </w:p>
        </w:tc>
        <w:tc>
          <w:tcPr>
            <w:tcW w:w="683"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vMerge w:val="restar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4. Finanšu līdzekļi papildu izde</w:t>
            </w:r>
            <w:r w:rsidRPr="00DE7BFC">
              <w:rPr>
                <w:rFonts w:ascii="Times New Roman" w:hAnsi="Times New Roman" w:cs="Times New Roman"/>
                <w:sz w:val="28"/>
                <w:szCs w:val="28"/>
              </w:rPr>
              <w:softHyphen/>
              <w:t>vumu finansēšanai (kompensējošu izdevumu samazinājumu norāda ar "+" zīmi)</w:t>
            </w:r>
          </w:p>
        </w:tc>
        <w:tc>
          <w:tcPr>
            <w:tcW w:w="683" w:type="pct"/>
            <w:vMerge w:val="restart"/>
          </w:tcPr>
          <w:p w:rsidR="007F7CA4" w:rsidRPr="00DE7BFC" w:rsidRDefault="007F7CA4" w:rsidP="007F7CA4">
            <w:pPr>
              <w:pStyle w:val="naisf"/>
              <w:spacing w:before="0" w:after="0"/>
              <w:jc w:val="center"/>
              <w:rPr>
                <w:i/>
                <w:sz w:val="28"/>
                <w:szCs w:val="28"/>
                <w:lang w:eastAsia="en-GB"/>
              </w:rPr>
            </w:pPr>
            <w:r w:rsidRPr="00DE7BFC">
              <w:rPr>
                <w:sz w:val="28"/>
                <w:szCs w:val="28"/>
                <w:lang w:eastAsia="en-GB"/>
              </w:rPr>
              <w:t>X</w:t>
            </w:r>
          </w:p>
        </w:tc>
        <w:tc>
          <w:tcPr>
            <w:tcW w:w="74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r>
      <w:tr w:rsidR="00DE7BFC" w:rsidRPr="00DE7BFC" w:rsidTr="007F7CA4">
        <w:trPr>
          <w:jc w:val="center"/>
        </w:trPr>
        <w:tc>
          <w:tcPr>
            <w:tcW w:w="1188" w:type="pct"/>
            <w:vMerge/>
            <w:vAlign w:val="center"/>
          </w:tcPr>
          <w:p w:rsidR="007F7CA4" w:rsidRPr="00DE7BFC" w:rsidRDefault="007F7CA4" w:rsidP="007F7CA4">
            <w:pPr>
              <w:spacing w:line="240" w:lineRule="auto"/>
              <w:rPr>
                <w:rFonts w:ascii="Times New Roman" w:hAnsi="Times New Roman" w:cs="Times New Roman"/>
                <w:sz w:val="28"/>
                <w:szCs w:val="28"/>
              </w:rPr>
            </w:pPr>
          </w:p>
        </w:tc>
        <w:tc>
          <w:tcPr>
            <w:tcW w:w="683" w:type="pct"/>
            <w:vMerge/>
            <w:vAlign w:val="center"/>
          </w:tcPr>
          <w:p w:rsidR="007F7CA4" w:rsidRPr="00DE7BFC" w:rsidRDefault="007F7CA4" w:rsidP="007F7CA4">
            <w:pPr>
              <w:spacing w:line="240" w:lineRule="auto"/>
              <w:rPr>
                <w:rFonts w:ascii="Times New Roman" w:hAnsi="Times New Roman" w:cs="Times New Roman"/>
                <w:i/>
                <w:sz w:val="28"/>
                <w:szCs w:val="28"/>
                <w:lang w:eastAsia="en-GB"/>
              </w:rPr>
            </w:pP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vMerge/>
            <w:vAlign w:val="center"/>
          </w:tcPr>
          <w:p w:rsidR="007F7CA4" w:rsidRPr="00DE7BFC" w:rsidRDefault="007F7CA4" w:rsidP="007F7CA4">
            <w:pPr>
              <w:spacing w:line="240" w:lineRule="auto"/>
              <w:rPr>
                <w:rFonts w:ascii="Times New Roman" w:hAnsi="Times New Roman" w:cs="Times New Roman"/>
                <w:sz w:val="28"/>
                <w:szCs w:val="28"/>
              </w:rPr>
            </w:pPr>
          </w:p>
        </w:tc>
        <w:tc>
          <w:tcPr>
            <w:tcW w:w="683" w:type="pct"/>
            <w:vMerge/>
            <w:vAlign w:val="center"/>
          </w:tcPr>
          <w:p w:rsidR="007F7CA4" w:rsidRPr="00DE7BFC" w:rsidRDefault="007F7CA4" w:rsidP="007F7CA4">
            <w:pPr>
              <w:spacing w:line="240" w:lineRule="auto"/>
              <w:rPr>
                <w:rFonts w:ascii="Times New Roman" w:hAnsi="Times New Roman" w:cs="Times New Roman"/>
                <w:i/>
                <w:sz w:val="28"/>
                <w:szCs w:val="28"/>
                <w:lang w:eastAsia="en-GB"/>
              </w:rPr>
            </w:pP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5. Precizēta finansiālā ietekme:</w:t>
            </w:r>
          </w:p>
        </w:tc>
        <w:tc>
          <w:tcPr>
            <w:tcW w:w="683" w:type="pct"/>
            <w:vMerge w:val="restart"/>
          </w:tcPr>
          <w:p w:rsidR="007F7CA4" w:rsidRPr="00DE7BFC" w:rsidRDefault="007F7CA4" w:rsidP="007F7CA4">
            <w:pPr>
              <w:pStyle w:val="naisf"/>
              <w:spacing w:before="0" w:after="0"/>
              <w:jc w:val="center"/>
              <w:rPr>
                <w:i/>
                <w:sz w:val="28"/>
                <w:szCs w:val="28"/>
                <w:lang w:eastAsia="en-GB"/>
              </w:rPr>
            </w:pPr>
            <w:r w:rsidRPr="00DE7BFC">
              <w:rPr>
                <w:sz w:val="28"/>
                <w:szCs w:val="28"/>
                <w:lang w:eastAsia="en-GB"/>
              </w:rPr>
              <w:t>X</w:t>
            </w:r>
          </w:p>
        </w:tc>
        <w:tc>
          <w:tcPr>
            <w:tcW w:w="74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c>
          <w:tcPr>
            <w:tcW w:w="795" w:type="pct"/>
          </w:tcPr>
          <w:p w:rsidR="007F7CA4" w:rsidRPr="00DE7BFC" w:rsidRDefault="007F7CA4" w:rsidP="007F7CA4">
            <w:pPr>
              <w:pStyle w:val="naisf"/>
              <w:spacing w:before="0" w:after="0"/>
              <w:jc w:val="center"/>
              <w:rPr>
                <w:b/>
                <w:i/>
                <w:sz w:val="28"/>
                <w:szCs w:val="28"/>
                <w:lang w:eastAsia="en-GB"/>
              </w:rPr>
            </w:pPr>
            <w:r w:rsidRPr="00DE7BFC">
              <w:rPr>
                <w:b/>
                <w:i/>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5.1. valsts pamatbudžets</w:t>
            </w:r>
          </w:p>
        </w:tc>
        <w:tc>
          <w:tcPr>
            <w:tcW w:w="683" w:type="pct"/>
            <w:vMerge/>
            <w:vAlign w:val="center"/>
          </w:tcPr>
          <w:p w:rsidR="007F7CA4" w:rsidRPr="00DE7BFC" w:rsidRDefault="007F7CA4" w:rsidP="007F7CA4">
            <w:pPr>
              <w:spacing w:line="240" w:lineRule="auto"/>
              <w:rPr>
                <w:rFonts w:ascii="Times New Roman" w:hAnsi="Times New Roman" w:cs="Times New Roman"/>
                <w:i/>
                <w:sz w:val="28"/>
                <w:szCs w:val="28"/>
                <w:lang w:eastAsia="en-GB"/>
              </w:rPr>
            </w:pP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lastRenderedPageBreak/>
              <w:t>5.2. speciālais budžets</w:t>
            </w:r>
          </w:p>
        </w:tc>
        <w:tc>
          <w:tcPr>
            <w:tcW w:w="683" w:type="pct"/>
            <w:vMerge/>
            <w:vAlign w:val="center"/>
          </w:tcPr>
          <w:p w:rsidR="007F7CA4" w:rsidRPr="00DE7BFC" w:rsidRDefault="007F7CA4" w:rsidP="007F7CA4">
            <w:pPr>
              <w:spacing w:line="240" w:lineRule="auto"/>
              <w:rPr>
                <w:rFonts w:ascii="Times New Roman" w:hAnsi="Times New Roman" w:cs="Times New Roman"/>
                <w:i/>
                <w:sz w:val="28"/>
                <w:szCs w:val="28"/>
                <w:lang w:eastAsia="en-GB"/>
              </w:rPr>
            </w:pP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 xml:space="preserve">5.3. pašvaldību budžets </w:t>
            </w:r>
          </w:p>
        </w:tc>
        <w:tc>
          <w:tcPr>
            <w:tcW w:w="683" w:type="pct"/>
            <w:vMerge/>
            <w:vAlign w:val="center"/>
          </w:tcPr>
          <w:p w:rsidR="007F7CA4" w:rsidRPr="00DE7BFC" w:rsidRDefault="007F7CA4" w:rsidP="007F7CA4">
            <w:pPr>
              <w:spacing w:line="240" w:lineRule="auto"/>
              <w:rPr>
                <w:rFonts w:ascii="Times New Roman" w:hAnsi="Times New Roman" w:cs="Times New Roman"/>
                <w:i/>
                <w:sz w:val="28"/>
                <w:szCs w:val="28"/>
                <w:lang w:eastAsia="en-GB"/>
              </w:rPr>
            </w:pPr>
          </w:p>
        </w:tc>
        <w:tc>
          <w:tcPr>
            <w:tcW w:w="74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c>
          <w:tcPr>
            <w:tcW w:w="795" w:type="pct"/>
          </w:tcPr>
          <w:p w:rsidR="007F7CA4" w:rsidRPr="00DE7BFC" w:rsidRDefault="007F7CA4" w:rsidP="007F7CA4">
            <w:pPr>
              <w:pStyle w:val="naisf"/>
              <w:spacing w:before="0" w:after="0"/>
              <w:jc w:val="center"/>
              <w:rPr>
                <w:sz w:val="28"/>
                <w:szCs w:val="28"/>
                <w:lang w:eastAsia="en-GB"/>
              </w:rPr>
            </w:pPr>
            <w:r w:rsidRPr="00DE7BFC">
              <w:rPr>
                <w:sz w:val="28"/>
                <w:szCs w:val="28"/>
                <w:lang w:eastAsia="en-GB"/>
              </w:rPr>
              <w:t>0</w:t>
            </w: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6. Detalizēts ieņēmumu un izdevu</w:t>
            </w:r>
            <w:r w:rsidRPr="00DE7BFC">
              <w:rPr>
                <w:rFonts w:ascii="Times New Roman" w:hAnsi="Times New Roman" w:cs="Times New Roman"/>
                <w:sz w:val="28"/>
                <w:szCs w:val="28"/>
              </w:rPr>
              <w:softHyphen/>
              <w:t>mu aprēķins (ja nepieciešams, detalizētu ieņēmumu un izdevumu aprēķinu var pievienot anotācijas pielikumā):</w:t>
            </w:r>
          </w:p>
        </w:tc>
        <w:tc>
          <w:tcPr>
            <w:tcW w:w="3812" w:type="pct"/>
            <w:gridSpan w:val="5"/>
            <w:vMerge w:val="restart"/>
          </w:tcPr>
          <w:p w:rsidR="007F7CA4" w:rsidRPr="00DE7BFC" w:rsidRDefault="007F7CA4" w:rsidP="007F7CA4">
            <w:pPr>
              <w:pStyle w:val="naisf"/>
              <w:spacing w:before="0" w:after="0"/>
              <w:rPr>
                <w:sz w:val="28"/>
                <w:szCs w:val="28"/>
                <w:lang w:eastAsia="en-GB"/>
              </w:rPr>
            </w:pPr>
          </w:p>
        </w:tc>
      </w:tr>
      <w:tr w:rsidR="00DE7BFC" w:rsidRPr="00DE7BFC" w:rsidTr="007F7CA4">
        <w:trPr>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6.1. detalizēts ieņēmumu aprēķins</w:t>
            </w:r>
          </w:p>
        </w:tc>
        <w:tc>
          <w:tcPr>
            <w:tcW w:w="3812" w:type="pct"/>
            <w:gridSpan w:val="5"/>
            <w:vMerge/>
            <w:vAlign w:val="center"/>
          </w:tcPr>
          <w:p w:rsidR="007F7CA4" w:rsidRPr="00DE7BFC" w:rsidRDefault="007F7CA4" w:rsidP="007F7CA4">
            <w:pPr>
              <w:spacing w:line="240" w:lineRule="auto"/>
              <w:rPr>
                <w:rFonts w:ascii="Times New Roman" w:hAnsi="Times New Roman" w:cs="Times New Roman"/>
                <w:sz w:val="28"/>
                <w:szCs w:val="28"/>
                <w:lang w:eastAsia="en-GB"/>
              </w:rPr>
            </w:pPr>
          </w:p>
        </w:tc>
      </w:tr>
      <w:tr w:rsidR="00DE7BFC" w:rsidRPr="00DE7BFC" w:rsidTr="007F7CA4">
        <w:trPr>
          <w:trHeight w:val="1041"/>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6.2. detalizēts izdevumu aprēķins</w:t>
            </w:r>
          </w:p>
        </w:tc>
        <w:tc>
          <w:tcPr>
            <w:tcW w:w="3812" w:type="pct"/>
            <w:gridSpan w:val="5"/>
            <w:vMerge/>
            <w:vAlign w:val="center"/>
          </w:tcPr>
          <w:p w:rsidR="007F7CA4" w:rsidRPr="00DE7BFC" w:rsidRDefault="007F7CA4" w:rsidP="007F7CA4">
            <w:pPr>
              <w:spacing w:line="240" w:lineRule="auto"/>
              <w:rPr>
                <w:rFonts w:ascii="Times New Roman" w:hAnsi="Times New Roman" w:cs="Times New Roman"/>
                <w:sz w:val="28"/>
                <w:szCs w:val="28"/>
                <w:lang w:eastAsia="en-GB"/>
              </w:rPr>
            </w:pPr>
          </w:p>
        </w:tc>
      </w:tr>
      <w:tr w:rsidR="00DE7BFC" w:rsidRPr="00DE7BFC" w:rsidTr="007F7CA4">
        <w:trPr>
          <w:trHeight w:val="814"/>
          <w:jc w:val="center"/>
        </w:trPr>
        <w:tc>
          <w:tcPr>
            <w:tcW w:w="1188" w:type="pct"/>
          </w:tcPr>
          <w:p w:rsidR="007F7CA4" w:rsidRPr="00DE7BFC" w:rsidRDefault="007F7CA4" w:rsidP="007F7CA4">
            <w:pPr>
              <w:spacing w:line="240" w:lineRule="auto"/>
              <w:rPr>
                <w:rFonts w:ascii="Times New Roman" w:hAnsi="Times New Roman" w:cs="Times New Roman"/>
                <w:sz w:val="28"/>
                <w:szCs w:val="28"/>
              </w:rPr>
            </w:pPr>
            <w:r w:rsidRPr="00DE7BFC">
              <w:rPr>
                <w:rFonts w:ascii="Times New Roman" w:hAnsi="Times New Roman" w:cs="Times New Roman"/>
                <w:sz w:val="28"/>
                <w:szCs w:val="28"/>
              </w:rPr>
              <w:t>7. Cita informācija</w:t>
            </w:r>
          </w:p>
        </w:tc>
        <w:tc>
          <w:tcPr>
            <w:tcW w:w="3812" w:type="pct"/>
            <w:gridSpan w:val="5"/>
          </w:tcPr>
          <w:p w:rsidR="007F7CA4" w:rsidRPr="00DE7BFC" w:rsidRDefault="007F7CA4" w:rsidP="007F7CA4">
            <w:pPr>
              <w:pStyle w:val="NormalWeb"/>
              <w:spacing w:before="0" w:beforeAutospacing="0" w:after="0" w:afterAutospacing="0"/>
              <w:jc w:val="both"/>
              <w:rPr>
                <w:sz w:val="28"/>
                <w:szCs w:val="28"/>
              </w:rPr>
            </w:pPr>
            <w:r w:rsidRPr="00DE7BFC">
              <w:rPr>
                <w:sz w:val="28"/>
                <w:szCs w:val="28"/>
              </w:rPr>
              <w:t xml:space="preserve">Noteikumu projekta izpilde notiks Izglītības un zinātnes ministrijas valsts budžeta programmā 07.00.00 „Informācijas tehnoloģiju attīstība un uzturēšana izglītībā, Microsoft līguma un projektu nodrošināšana” piešķirto </w:t>
            </w:r>
            <w:r w:rsidR="004A0C65" w:rsidRPr="00DE7BFC">
              <w:rPr>
                <w:sz w:val="28"/>
                <w:szCs w:val="28"/>
              </w:rPr>
              <w:t xml:space="preserve">valsts budžeta </w:t>
            </w:r>
            <w:r w:rsidRPr="00DE7BFC">
              <w:rPr>
                <w:sz w:val="28"/>
                <w:szCs w:val="28"/>
              </w:rPr>
              <w:t xml:space="preserve">līdzekļu ietvaros, </w:t>
            </w:r>
            <w:r w:rsidR="004A0C65" w:rsidRPr="00DE7BFC">
              <w:rPr>
                <w:sz w:val="28"/>
                <w:szCs w:val="28"/>
              </w:rPr>
              <w:t>valsts</w:t>
            </w:r>
            <w:r w:rsidRPr="00DE7BFC">
              <w:rPr>
                <w:sz w:val="28"/>
                <w:szCs w:val="28"/>
              </w:rPr>
              <w:t xml:space="preserve"> </w:t>
            </w:r>
            <w:r w:rsidRPr="00DE7BFC">
              <w:rPr>
                <w:sz w:val="28"/>
                <w:szCs w:val="28"/>
                <w:lang w:eastAsia="en-GB"/>
              </w:rPr>
              <w:t>budžeta programmas</w:t>
            </w:r>
            <w:r w:rsidR="004A0C65" w:rsidRPr="00DE7BFC">
              <w:rPr>
                <w:sz w:val="28"/>
                <w:szCs w:val="28"/>
                <w:lang w:eastAsia="en-GB"/>
              </w:rPr>
              <w:t xml:space="preserve"> 42.00.00</w:t>
            </w:r>
            <w:r w:rsidRPr="00DE7BFC">
              <w:rPr>
                <w:sz w:val="28"/>
                <w:szCs w:val="28"/>
                <w:lang w:eastAsia="en-GB"/>
              </w:rPr>
              <w:t xml:space="preserve"> „Padotības iestādes un to pasākumi 42.00.00” apakšprogrammā 42.0</w:t>
            </w:r>
            <w:r w:rsidR="00066BB1" w:rsidRPr="00DE7BFC">
              <w:rPr>
                <w:sz w:val="28"/>
                <w:szCs w:val="28"/>
                <w:lang w:eastAsia="en-GB"/>
              </w:rPr>
              <w:t>7</w:t>
            </w:r>
            <w:r w:rsidRPr="00DE7BFC">
              <w:rPr>
                <w:sz w:val="28"/>
                <w:szCs w:val="28"/>
                <w:lang w:eastAsia="en-GB"/>
              </w:rPr>
              <w:t>.00 „</w:t>
            </w:r>
            <w:r w:rsidR="00066BB1" w:rsidRPr="00DE7BFC">
              <w:rPr>
                <w:sz w:val="28"/>
                <w:szCs w:val="28"/>
                <w:lang w:eastAsia="en-GB"/>
              </w:rPr>
              <w:t>Izglītības kvalitātes valsts dienesta darbības nodrošināšana</w:t>
            </w:r>
            <w:r w:rsidRPr="00DE7BFC">
              <w:rPr>
                <w:sz w:val="28"/>
                <w:szCs w:val="28"/>
                <w:lang w:eastAsia="en-GB"/>
              </w:rPr>
              <w:t>” piešķirto valsts budžeta līdzekļu ietvaros</w:t>
            </w:r>
            <w:r w:rsidR="004A0C65" w:rsidRPr="00DE7BFC">
              <w:rPr>
                <w:sz w:val="28"/>
                <w:szCs w:val="28"/>
                <w:lang w:eastAsia="en-GB"/>
              </w:rPr>
              <w:t xml:space="preserve">, </w:t>
            </w:r>
            <w:r w:rsidR="004A0C65" w:rsidRPr="00DE7BFC">
              <w:rPr>
                <w:sz w:val="28"/>
                <w:szCs w:val="28"/>
              </w:rPr>
              <w:t>kā arī esošo cilvēkresursu ietvaros</w:t>
            </w:r>
            <w:r w:rsidRPr="00DE7BFC">
              <w:rPr>
                <w:sz w:val="28"/>
                <w:szCs w:val="28"/>
              </w:rPr>
              <w:t>.</w:t>
            </w:r>
          </w:p>
          <w:p w:rsidR="007F7CA4" w:rsidRPr="00DE7BFC" w:rsidRDefault="007F7CA4" w:rsidP="007F7CA4">
            <w:pPr>
              <w:pStyle w:val="NormalWeb"/>
              <w:spacing w:before="0" w:beforeAutospacing="0" w:after="0" w:afterAutospacing="0"/>
              <w:jc w:val="both"/>
              <w:rPr>
                <w:sz w:val="28"/>
                <w:szCs w:val="28"/>
              </w:rPr>
            </w:pPr>
            <w:r w:rsidRPr="00DE7BFC">
              <w:rPr>
                <w:sz w:val="28"/>
                <w:szCs w:val="28"/>
              </w:rPr>
              <w:t>Tiesiskā regulējuma ietekme uz valsts budžetu ir atspoguļota Izglītības likuma grozījumu, MK noteikumu Nr.89, MK noteikumu Nr.831 un MK noteikumu Nr.195 izstrādes ietvaros (sk. minēto normatīvo aktu sākotnējās ietekmes novērtējuma ziņojumos).</w:t>
            </w:r>
          </w:p>
        </w:tc>
      </w:tr>
    </w:tbl>
    <w:p w:rsidR="003A2046" w:rsidRDefault="003A2046" w:rsidP="00B4271A">
      <w:pPr>
        <w:shd w:val="clear" w:color="auto" w:fill="FFFFFF"/>
        <w:spacing w:after="0" w:line="360" w:lineRule="auto"/>
        <w:ind w:firstLine="301"/>
        <w:rPr>
          <w:rFonts w:ascii="Times New Roman" w:eastAsia="Times New Roman" w:hAnsi="Times New Roman" w:cs="Times New Roman"/>
          <w:sz w:val="28"/>
          <w:szCs w:val="28"/>
          <w:lang w:eastAsia="lv-LV"/>
        </w:rPr>
      </w:pPr>
    </w:p>
    <w:p w:rsidR="00574701" w:rsidRPr="00DE7BFC" w:rsidRDefault="00574701" w:rsidP="00B4271A">
      <w:pPr>
        <w:shd w:val="clear" w:color="auto" w:fill="FFFFFF"/>
        <w:spacing w:after="0" w:line="360" w:lineRule="auto"/>
        <w:ind w:firstLine="301"/>
        <w:rPr>
          <w:rFonts w:ascii="Times New Roman" w:eastAsia="Times New Roman" w:hAnsi="Times New Roman" w:cs="Times New Roman"/>
          <w:sz w:val="28"/>
          <w:szCs w:val="28"/>
          <w:lang w:eastAsia="lv-LV"/>
        </w:rPr>
      </w:pPr>
    </w:p>
    <w:tbl>
      <w:tblPr>
        <w:tblW w:w="5302" w:type="pct"/>
        <w:jc w:val="center"/>
        <w:tblInd w:w="-38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04"/>
        <w:gridCol w:w="2510"/>
        <w:gridCol w:w="5557"/>
      </w:tblGrid>
      <w:tr w:rsidR="00DE7BFC" w:rsidRPr="00DE7BFC" w:rsidTr="007F7CA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DE7BFC" w:rsidRDefault="00B4271A" w:rsidP="007F7C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E7BFC">
              <w:rPr>
                <w:rFonts w:ascii="Times New Roman" w:eastAsia="Times New Roman" w:hAnsi="Times New Roman" w:cs="Times New Roman"/>
                <w:b/>
                <w:bCs/>
                <w:sz w:val="28"/>
                <w:szCs w:val="28"/>
                <w:lang w:eastAsia="lv-LV"/>
              </w:rPr>
              <w:lastRenderedPageBreak/>
              <w:t>VI. Sabiedrības līdzdalība un komunikācijas aktivitātes</w:t>
            </w:r>
          </w:p>
        </w:tc>
      </w:tr>
      <w:tr w:rsidR="00DE7BFC" w:rsidRPr="00DE7BFC" w:rsidTr="007F7CA4">
        <w:trPr>
          <w:trHeight w:val="2649"/>
          <w:jc w:val="center"/>
        </w:trPr>
        <w:tc>
          <w:tcPr>
            <w:tcW w:w="453"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1.</w:t>
            </w:r>
          </w:p>
        </w:tc>
        <w:tc>
          <w:tcPr>
            <w:tcW w:w="1415" w:type="pct"/>
            <w:tcBorders>
              <w:top w:val="outset" w:sz="6" w:space="0" w:color="414142"/>
              <w:left w:val="outset" w:sz="6" w:space="0" w:color="414142"/>
              <w:bottom w:val="outset" w:sz="6" w:space="0" w:color="414142"/>
              <w:right w:val="single" w:sz="4" w:space="0" w:color="auto"/>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Plānotās sabiedrības līdzdalības un komunikācijas aktivitātes saistībā ar projektu</w:t>
            </w:r>
          </w:p>
        </w:tc>
        <w:tc>
          <w:tcPr>
            <w:tcW w:w="3133" w:type="pct"/>
            <w:tcBorders>
              <w:top w:val="single" w:sz="4" w:space="0" w:color="auto"/>
              <w:left w:val="single" w:sz="4" w:space="0" w:color="auto"/>
              <w:bottom w:val="single" w:sz="4" w:space="0" w:color="auto"/>
              <w:right w:val="single" w:sz="4" w:space="0" w:color="auto"/>
            </w:tcBorders>
          </w:tcPr>
          <w:p w:rsidR="00081FAD" w:rsidRPr="00DE7BFC" w:rsidRDefault="00081FAD" w:rsidP="00081FAD">
            <w:pPr>
              <w:spacing w:after="0" w:line="240" w:lineRule="auto"/>
              <w:jc w:val="both"/>
              <w:rPr>
                <w:rFonts w:ascii="Times New Roman" w:hAnsi="Times New Roman" w:cs="Times New Roman"/>
                <w:sz w:val="28"/>
                <w:szCs w:val="28"/>
              </w:rPr>
            </w:pPr>
            <w:r w:rsidRPr="00DE7BFC">
              <w:rPr>
                <w:rFonts w:ascii="Times New Roman" w:hAnsi="Times New Roman" w:cs="Times New Roman"/>
                <w:sz w:val="28"/>
                <w:szCs w:val="28"/>
              </w:rPr>
              <w:t>Sabiedrības informēšanas pasākumi veikti I</w:t>
            </w:r>
            <w:r w:rsidRPr="00DE7BFC">
              <w:rPr>
                <w:rFonts w:ascii="Times New Roman" w:eastAsia="Times New Roman" w:hAnsi="Times New Roman" w:cs="Times New Roman"/>
                <w:sz w:val="28"/>
                <w:szCs w:val="28"/>
                <w:lang w:eastAsia="lv-LV"/>
              </w:rPr>
              <w:t>zglītības likuma grozījumu, MK noteikumu Nr.89</w:t>
            </w:r>
            <w:r w:rsidRPr="00DE7BFC">
              <w:rPr>
                <w:rFonts w:ascii="Times New Roman" w:hAnsi="Times New Roman" w:cs="Times New Roman"/>
                <w:sz w:val="28"/>
                <w:szCs w:val="28"/>
              </w:rPr>
              <w:t>, MK noteikumu Nr.831 un</w:t>
            </w:r>
            <w:r w:rsidRPr="00DE7BFC">
              <w:rPr>
                <w:rFonts w:ascii="Times New Roman" w:eastAsia="Times New Roman" w:hAnsi="Times New Roman" w:cs="Times New Roman"/>
                <w:sz w:val="28"/>
                <w:szCs w:val="28"/>
                <w:lang w:eastAsia="lv-LV"/>
              </w:rPr>
              <w:t xml:space="preserve"> MK noteikumu Nr.195 izstrādes ietvaros.</w:t>
            </w:r>
          </w:p>
          <w:p w:rsidR="00480A89" w:rsidRPr="00DE7BFC" w:rsidRDefault="00480A89" w:rsidP="00081FAD">
            <w:pPr>
              <w:pStyle w:val="ListParagraph"/>
              <w:spacing w:after="0" w:line="240" w:lineRule="auto"/>
              <w:ind w:left="343"/>
              <w:jc w:val="both"/>
              <w:rPr>
                <w:rFonts w:ascii="Times New Roman" w:hAnsi="Times New Roman" w:cs="Times New Roman"/>
                <w:sz w:val="28"/>
                <w:szCs w:val="28"/>
              </w:rPr>
            </w:pPr>
          </w:p>
          <w:p w:rsidR="00081FAD" w:rsidRPr="00DE7BFC" w:rsidRDefault="00081FAD" w:rsidP="00EE6361">
            <w:pPr>
              <w:spacing w:after="0" w:line="240" w:lineRule="auto"/>
              <w:jc w:val="both"/>
              <w:rPr>
                <w:rFonts w:ascii="Times New Roman" w:hAnsi="Times New Roman" w:cs="Times New Roman"/>
                <w:sz w:val="28"/>
                <w:szCs w:val="28"/>
              </w:rPr>
            </w:pPr>
            <w:r w:rsidRPr="00DE7BFC">
              <w:rPr>
                <w:rFonts w:ascii="Times New Roman" w:hAnsi="Times New Roman" w:cs="Times New Roman"/>
                <w:bCs/>
                <w:sz w:val="28"/>
                <w:szCs w:val="28"/>
              </w:rPr>
              <w:t xml:space="preserve">Noteikumu projekts kvalitātes dienesta tīmekļa vietnē </w:t>
            </w:r>
            <w:hyperlink r:id="rId9" w:history="1">
              <w:r w:rsidRPr="00DE7BFC">
                <w:rPr>
                  <w:rStyle w:val="Hyperlink"/>
                  <w:rFonts w:ascii="Times New Roman" w:hAnsi="Times New Roman" w:cs="Times New Roman"/>
                  <w:bCs/>
                  <w:color w:val="auto"/>
                  <w:sz w:val="28"/>
                  <w:szCs w:val="28"/>
                </w:rPr>
                <w:t>www.ikvd.gov.lv</w:t>
              </w:r>
            </w:hyperlink>
            <w:r w:rsidRPr="00DE7BFC">
              <w:rPr>
                <w:rFonts w:ascii="Times New Roman" w:hAnsi="Times New Roman" w:cs="Times New Roman"/>
                <w:bCs/>
                <w:sz w:val="28"/>
                <w:szCs w:val="28"/>
              </w:rPr>
              <w:t xml:space="preserve"> publicēts 2017.gada </w:t>
            </w:r>
            <w:r w:rsidR="00EE6361" w:rsidRPr="00DE7BFC">
              <w:rPr>
                <w:rFonts w:ascii="Times New Roman" w:hAnsi="Times New Roman" w:cs="Times New Roman"/>
                <w:bCs/>
                <w:sz w:val="28"/>
                <w:szCs w:val="28"/>
              </w:rPr>
              <w:t>17</w:t>
            </w:r>
            <w:r w:rsidRPr="00DE7BFC">
              <w:rPr>
                <w:rFonts w:ascii="Times New Roman" w:hAnsi="Times New Roman" w:cs="Times New Roman"/>
                <w:bCs/>
                <w:sz w:val="28"/>
                <w:szCs w:val="28"/>
              </w:rPr>
              <w:t>.janvārī.</w:t>
            </w:r>
          </w:p>
        </w:tc>
      </w:tr>
      <w:tr w:rsidR="00DE7BFC" w:rsidRPr="00DE7BFC" w:rsidTr="007F7CA4">
        <w:trPr>
          <w:trHeight w:val="1064"/>
          <w:jc w:val="center"/>
        </w:trPr>
        <w:tc>
          <w:tcPr>
            <w:tcW w:w="453"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2.</w:t>
            </w:r>
          </w:p>
        </w:tc>
        <w:tc>
          <w:tcPr>
            <w:tcW w:w="1415" w:type="pct"/>
            <w:tcBorders>
              <w:top w:val="outset" w:sz="6" w:space="0" w:color="414142"/>
              <w:left w:val="outset" w:sz="6" w:space="0" w:color="414142"/>
              <w:bottom w:val="outset" w:sz="6" w:space="0" w:color="414142"/>
              <w:right w:val="single" w:sz="4" w:space="0" w:color="auto"/>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Sabiedrības līdzdalība projekta izstrādē</w:t>
            </w:r>
          </w:p>
        </w:tc>
        <w:tc>
          <w:tcPr>
            <w:tcW w:w="3133" w:type="pct"/>
            <w:tcBorders>
              <w:top w:val="single" w:sz="4" w:space="0" w:color="auto"/>
              <w:left w:val="single" w:sz="4" w:space="0" w:color="auto"/>
              <w:bottom w:val="single" w:sz="4" w:space="0" w:color="auto"/>
              <w:right w:val="single" w:sz="4" w:space="0" w:color="auto"/>
            </w:tcBorders>
          </w:tcPr>
          <w:p w:rsidR="0063373F" w:rsidRPr="00DE7BFC" w:rsidRDefault="00081FAD" w:rsidP="00081FAD">
            <w:pPr>
              <w:spacing w:after="0" w:line="240" w:lineRule="auto"/>
              <w:jc w:val="both"/>
              <w:rPr>
                <w:rFonts w:ascii="Times New Roman" w:eastAsia="Times New Roman" w:hAnsi="Times New Roman" w:cs="Times New Roman"/>
                <w:sz w:val="28"/>
                <w:szCs w:val="28"/>
                <w:lang w:eastAsia="lv-LV"/>
              </w:rPr>
            </w:pPr>
            <w:r w:rsidRPr="00DE7BFC">
              <w:rPr>
                <w:rFonts w:ascii="Times New Roman" w:hAnsi="Times New Roman" w:cs="Times New Roman"/>
                <w:sz w:val="28"/>
                <w:szCs w:val="28"/>
              </w:rPr>
              <w:t xml:space="preserve">Par kvalitātes dienesta tīmekļa vietnē </w:t>
            </w:r>
            <w:hyperlink r:id="rId10" w:history="1">
              <w:r w:rsidRPr="00DE7BFC">
                <w:rPr>
                  <w:rStyle w:val="Hyperlink"/>
                  <w:rFonts w:ascii="Times New Roman" w:hAnsi="Times New Roman" w:cs="Times New Roman"/>
                  <w:color w:val="auto"/>
                  <w:sz w:val="28"/>
                  <w:szCs w:val="28"/>
                </w:rPr>
                <w:t>www.ikvd.gov.lv</w:t>
              </w:r>
            </w:hyperlink>
            <w:r w:rsidRPr="00DE7BFC">
              <w:rPr>
                <w:rFonts w:ascii="Times New Roman" w:hAnsi="Times New Roman" w:cs="Times New Roman"/>
                <w:sz w:val="28"/>
                <w:szCs w:val="28"/>
              </w:rPr>
              <w:t xml:space="preserve"> ievietoto noteikumu projektu sabiedrības viedokļi nav saņemti.</w:t>
            </w:r>
          </w:p>
        </w:tc>
      </w:tr>
      <w:tr w:rsidR="00DE7BFC" w:rsidRPr="00DE7BFC" w:rsidTr="007F7CA4">
        <w:trPr>
          <w:trHeight w:val="465"/>
          <w:jc w:val="center"/>
        </w:trPr>
        <w:tc>
          <w:tcPr>
            <w:tcW w:w="453"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3.</w:t>
            </w:r>
          </w:p>
        </w:tc>
        <w:tc>
          <w:tcPr>
            <w:tcW w:w="1415" w:type="pct"/>
            <w:tcBorders>
              <w:top w:val="outset" w:sz="6" w:space="0" w:color="414142"/>
              <w:left w:val="outset" w:sz="6" w:space="0" w:color="414142"/>
              <w:bottom w:val="outset" w:sz="6" w:space="0" w:color="414142"/>
              <w:right w:val="single" w:sz="4" w:space="0" w:color="auto"/>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Sabiedrības līdzdalības rezultāti</w:t>
            </w:r>
          </w:p>
        </w:tc>
        <w:tc>
          <w:tcPr>
            <w:tcW w:w="3133" w:type="pct"/>
            <w:tcBorders>
              <w:top w:val="single" w:sz="4" w:space="0" w:color="auto"/>
              <w:left w:val="single" w:sz="4" w:space="0" w:color="auto"/>
              <w:bottom w:val="single" w:sz="4" w:space="0" w:color="auto"/>
              <w:right w:val="single" w:sz="4" w:space="0" w:color="auto"/>
            </w:tcBorders>
          </w:tcPr>
          <w:p w:rsidR="000D2107" w:rsidRPr="00DE7BFC" w:rsidRDefault="00081FAD" w:rsidP="00081FAD">
            <w:pPr>
              <w:spacing w:after="0" w:line="240" w:lineRule="auto"/>
              <w:jc w:val="both"/>
              <w:rPr>
                <w:rFonts w:ascii="Times New Roman" w:eastAsia="Times New Roman" w:hAnsi="Times New Roman" w:cs="Times New Roman"/>
                <w:sz w:val="28"/>
                <w:szCs w:val="28"/>
                <w:lang w:eastAsia="lv-LV"/>
              </w:rPr>
            </w:pPr>
            <w:r w:rsidRPr="00DE7BFC">
              <w:rPr>
                <w:rFonts w:ascii="Times New Roman" w:hAnsi="Times New Roman" w:cs="Times New Roman"/>
                <w:sz w:val="28"/>
                <w:szCs w:val="28"/>
              </w:rPr>
              <w:t xml:space="preserve">Par kvalitātes dienesta tīmekļa vietnē </w:t>
            </w:r>
            <w:hyperlink r:id="rId11" w:history="1">
              <w:r w:rsidRPr="00DE7BFC">
                <w:rPr>
                  <w:rStyle w:val="Hyperlink"/>
                  <w:rFonts w:ascii="Times New Roman" w:hAnsi="Times New Roman" w:cs="Times New Roman"/>
                  <w:color w:val="auto"/>
                  <w:sz w:val="28"/>
                  <w:szCs w:val="28"/>
                </w:rPr>
                <w:t>www.ikvd.gov.lv</w:t>
              </w:r>
            </w:hyperlink>
            <w:r w:rsidRPr="00DE7BFC">
              <w:rPr>
                <w:rFonts w:ascii="Times New Roman" w:hAnsi="Times New Roman" w:cs="Times New Roman"/>
                <w:sz w:val="28"/>
                <w:szCs w:val="28"/>
              </w:rPr>
              <w:t xml:space="preserve"> ievietoto noteikumu projektu sabiedrības viedokļi nav saņemti.</w:t>
            </w:r>
          </w:p>
        </w:tc>
      </w:tr>
      <w:tr w:rsidR="00DE7BFC" w:rsidRPr="00DE7BFC" w:rsidTr="007F7CA4">
        <w:trPr>
          <w:trHeight w:val="465"/>
          <w:jc w:val="center"/>
        </w:trPr>
        <w:tc>
          <w:tcPr>
            <w:tcW w:w="453"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4.</w:t>
            </w:r>
          </w:p>
        </w:tc>
        <w:tc>
          <w:tcPr>
            <w:tcW w:w="1415"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Cita informācija</w:t>
            </w:r>
          </w:p>
        </w:tc>
        <w:tc>
          <w:tcPr>
            <w:tcW w:w="3133" w:type="pct"/>
            <w:tcBorders>
              <w:top w:val="single" w:sz="4" w:space="0" w:color="auto"/>
              <w:left w:val="outset" w:sz="6" w:space="0" w:color="414142"/>
              <w:bottom w:val="outset" w:sz="6" w:space="0" w:color="414142"/>
              <w:right w:val="outset" w:sz="6" w:space="0" w:color="414142"/>
            </w:tcBorders>
            <w:hideMark/>
          </w:tcPr>
          <w:p w:rsidR="00B4271A" w:rsidRPr="00DE7BFC" w:rsidRDefault="00352D71" w:rsidP="007F7CA4">
            <w:pPr>
              <w:spacing w:before="100" w:beforeAutospacing="1" w:after="100" w:afterAutospacing="1" w:line="293" w:lineRule="atLeast"/>
              <w:jc w:val="both"/>
              <w:rPr>
                <w:rFonts w:ascii="Times New Roman" w:hAnsi="Times New Roman" w:cs="Times New Roman"/>
                <w:sz w:val="28"/>
                <w:szCs w:val="28"/>
              </w:rPr>
            </w:pPr>
            <w:r w:rsidRPr="00DE7BFC">
              <w:rPr>
                <w:rFonts w:ascii="Times New Roman" w:hAnsi="Times New Roman" w:cs="Times New Roman"/>
                <w:sz w:val="28"/>
                <w:szCs w:val="28"/>
              </w:rPr>
              <w:t>Nav.</w:t>
            </w:r>
            <w:r w:rsidR="00B4271A" w:rsidRPr="00DE7BFC">
              <w:rPr>
                <w:rFonts w:ascii="Times New Roman" w:hAnsi="Times New Roman" w:cs="Times New Roman"/>
                <w:sz w:val="28"/>
                <w:szCs w:val="28"/>
              </w:rPr>
              <w:t xml:space="preserve"> </w:t>
            </w:r>
          </w:p>
        </w:tc>
      </w:tr>
    </w:tbl>
    <w:p w:rsidR="001F03E2" w:rsidRPr="00DE7BFC" w:rsidRDefault="001F03E2" w:rsidP="00B4271A">
      <w:pPr>
        <w:rPr>
          <w:rFonts w:ascii="Times New Roman" w:hAnsi="Times New Roman" w:cs="Times New Roman"/>
          <w:sz w:val="28"/>
          <w:szCs w:val="28"/>
        </w:rPr>
      </w:pPr>
    </w:p>
    <w:tbl>
      <w:tblPr>
        <w:tblW w:w="5152" w:type="pct"/>
        <w:jc w:val="center"/>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2"/>
        <w:gridCol w:w="3179"/>
        <w:gridCol w:w="4769"/>
      </w:tblGrid>
      <w:tr w:rsidR="00DE7BFC" w:rsidRPr="00DE7BFC" w:rsidTr="007F7CA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DE7BFC" w:rsidRDefault="00B4271A" w:rsidP="007F7C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E7BFC">
              <w:rPr>
                <w:rFonts w:ascii="Times New Roman" w:eastAsia="Times New Roman" w:hAnsi="Times New Roman" w:cs="Times New Roman"/>
                <w:b/>
                <w:bCs/>
                <w:sz w:val="28"/>
                <w:szCs w:val="28"/>
                <w:lang w:eastAsia="lv-LV"/>
              </w:rPr>
              <w:t>VII. Tiesību akta projekta izpildes nodrošināšana un tās ietekme uz institūcijām</w:t>
            </w:r>
          </w:p>
        </w:tc>
      </w:tr>
      <w:tr w:rsidR="00DE7BFC" w:rsidRPr="00DE7BFC" w:rsidTr="007F7CA4">
        <w:trPr>
          <w:trHeight w:val="420"/>
          <w:jc w:val="center"/>
        </w:trPr>
        <w:tc>
          <w:tcPr>
            <w:tcW w:w="390"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Projekta izpildē iesaistītās institūcijas</w:t>
            </w:r>
          </w:p>
        </w:tc>
        <w:tc>
          <w:tcPr>
            <w:tcW w:w="2766" w:type="pct"/>
            <w:tcBorders>
              <w:top w:val="outset" w:sz="6" w:space="0" w:color="414142"/>
              <w:left w:val="outset" w:sz="6" w:space="0" w:color="414142"/>
              <w:bottom w:val="outset" w:sz="6" w:space="0" w:color="414142"/>
              <w:right w:val="outset" w:sz="6" w:space="0" w:color="414142"/>
            </w:tcBorders>
            <w:hideMark/>
          </w:tcPr>
          <w:p w:rsidR="00B4271A" w:rsidRPr="00DE7BFC" w:rsidRDefault="007D18AE" w:rsidP="007D18AE">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K</w:t>
            </w:r>
            <w:r w:rsidR="00B4271A" w:rsidRPr="00DE7BFC">
              <w:rPr>
                <w:rFonts w:ascii="Times New Roman" w:eastAsia="Times New Roman" w:hAnsi="Times New Roman" w:cs="Times New Roman"/>
                <w:sz w:val="28"/>
                <w:szCs w:val="28"/>
                <w:lang w:eastAsia="lv-LV"/>
              </w:rPr>
              <w:t>valitātes dienests</w:t>
            </w:r>
            <w:r w:rsidR="00DE7BFC">
              <w:rPr>
                <w:rFonts w:ascii="Times New Roman" w:eastAsia="Times New Roman" w:hAnsi="Times New Roman" w:cs="Times New Roman"/>
                <w:sz w:val="28"/>
                <w:szCs w:val="28"/>
                <w:lang w:eastAsia="lv-LV"/>
              </w:rPr>
              <w:t>, Izglītības un zinātnes ministrija</w:t>
            </w:r>
          </w:p>
        </w:tc>
      </w:tr>
      <w:tr w:rsidR="00DE7BFC" w:rsidRPr="00DE7BFC" w:rsidTr="007F7CA4">
        <w:trPr>
          <w:trHeight w:val="450"/>
          <w:jc w:val="center"/>
        </w:trPr>
        <w:tc>
          <w:tcPr>
            <w:tcW w:w="390"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Projekta izpildes ietekme uz pārvaldes funkcijām un institucionālo struktūru.</w:t>
            </w:r>
          </w:p>
          <w:p w:rsidR="00B4271A" w:rsidRPr="00DE7BFC" w:rsidRDefault="00B4271A" w:rsidP="007F7CA4">
            <w:pPr>
              <w:spacing w:before="100" w:beforeAutospacing="1" w:after="100" w:afterAutospacing="1" w:line="293" w:lineRule="atLeast"/>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766" w:type="pct"/>
            <w:tcBorders>
              <w:top w:val="outset" w:sz="6" w:space="0" w:color="414142"/>
              <w:left w:val="outset" w:sz="6" w:space="0" w:color="414142"/>
              <w:bottom w:val="outset" w:sz="6" w:space="0" w:color="414142"/>
              <w:right w:val="outset" w:sz="6" w:space="0" w:color="414142"/>
            </w:tcBorders>
            <w:hideMark/>
          </w:tcPr>
          <w:p w:rsidR="00081FAD" w:rsidRPr="00DE7BFC" w:rsidRDefault="00081FAD" w:rsidP="00081FAD">
            <w:p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Noteikumu projekts precizē kvalitātes dienesta funkcijas, kas noteiktas citos ārējos normatīvajos aktos saistībā ar:</w:t>
            </w:r>
          </w:p>
          <w:p w:rsidR="00081FAD" w:rsidRPr="00DE7BFC" w:rsidRDefault="00081FAD" w:rsidP="00081FAD">
            <w:pPr>
              <w:pStyle w:val="ListParagraph"/>
              <w:numPr>
                <w:ilvl w:val="0"/>
                <w:numId w:val="12"/>
              </w:num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personu, kas biju</w:t>
            </w:r>
            <w:r w:rsidR="007E1783" w:rsidRPr="00DE7BFC">
              <w:rPr>
                <w:rFonts w:ascii="Times New Roman" w:eastAsia="Times New Roman" w:hAnsi="Times New Roman" w:cs="Times New Roman"/>
                <w:sz w:val="28"/>
                <w:szCs w:val="28"/>
                <w:lang w:eastAsia="lv-LV"/>
              </w:rPr>
              <w:t>šas</w:t>
            </w:r>
            <w:r w:rsidRPr="00DE7BFC">
              <w:rPr>
                <w:rFonts w:ascii="Times New Roman" w:eastAsia="Times New Roman" w:hAnsi="Times New Roman" w:cs="Times New Roman"/>
                <w:sz w:val="28"/>
                <w:szCs w:val="28"/>
                <w:lang w:eastAsia="lv-LV"/>
              </w:rPr>
              <w:t xml:space="preserve"> sodīta</w:t>
            </w:r>
            <w:r w:rsidR="007E1783" w:rsidRPr="00DE7BFC">
              <w:rPr>
                <w:rFonts w:ascii="Times New Roman" w:eastAsia="Times New Roman" w:hAnsi="Times New Roman" w:cs="Times New Roman"/>
                <w:sz w:val="28"/>
                <w:szCs w:val="28"/>
                <w:lang w:eastAsia="lv-LV"/>
              </w:rPr>
              <w:t>s</w:t>
            </w:r>
            <w:r w:rsidRPr="00DE7BFC">
              <w:rPr>
                <w:rFonts w:ascii="Times New Roman" w:eastAsia="Times New Roman" w:hAnsi="Times New Roman" w:cs="Times New Roman"/>
                <w:sz w:val="28"/>
                <w:szCs w:val="28"/>
                <w:lang w:eastAsia="lv-LV"/>
              </w:rPr>
              <w:t xml:space="preserve"> par tīšu kriminālpārkāpumu vai mazāk smagu noziegumu, ja sodāmība ir dzēsta vai noņemta, nekaitēs izglītojamo interesēm, izvērtēšanu un attiecīgas atļaujas izsniegšanu;</w:t>
            </w:r>
          </w:p>
          <w:p w:rsidR="00081FAD" w:rsidRPr="00DE7BFC" w:rsidRDefault="00081FAD" w:rsidP="00081FAD">
            <w:pPr>
              <w:pStyle w:val="ListParagraph"/>
              <w:numPr>
                <w:ilvl w:val="0"/>
                <w:numId w:val="12"/>
              </w:num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izglītības iestāžu vadītāju profesionālās darbības novērtējumu un atbilstību vai neatbilstību amatam;</w:t>
            </w:r>
          </w:p>
          <w:p w:rsidR="00081FAD" w:rsidRPr="00DE7BFC" w:rsidRDefault="00081FAD" w:rsidP="00081FAD">
            <w:pPr>
              <w:pStyle w:val="ListParagraph"/>
              <w:numPr>
                <w:ilvl w:val="0"/>
                <w:numId w:val="12"/>
              </w:num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izglītības iestāžu vadītāju</w:t>
            </w:r>
            <w:r w:rsidRPr="00DE7BFC">
              <w:rPr>
                <w:rFonts w:ascii="Times New Roman" w:hAnsi="Times New Roman" w:cs="Times New Roman"/>
              </w:rPr>
              <w:t xml:space="preserve"> </w:t>
            </w:r>
            <w:r w:rsidRPr="00DE7BFC">
              <w:rPr>
                <w:rFonts w:ascii="Times New Roman" w:eastAsia="Times New Roman" w:hAnsi="Times New Roman" w:cs="Times New Roman"/>
                <w:sz w:val="28"/>
                <w:szCs w:val="28"/>
                <w:lang w:eastAsia="lv-LV"/>
              </w:rPr>
              <w:t xml:space="preserve">un pedagogu vai viņu rīcības atbilstības izvērtēšanu Izglītības likuma prasībām un lēmuma par izglītības iestādes vadītāja vai </w:t>
            </w:r>
            <w:r w:rsidRPr="00DE7BFC">
              <w:rPr>
                <w:rFonts w:ascii="Times New Roman" w:eastAsia="Times New Roman" w:hAnsi="Times New Roman" w:cs="Times New Roman"/>
                <w:sz w:val="28"/>
                <w:szCs w:val="28"/>
                <w:lang w:eastAsia="lv-LV"/>
              </w:rPr>
              <w:lastRenderedPageBreak/>
              <w:t>pedagoga atstādināšanu no pienākumu pildīšanas pieņemšanu;</w:t>
            </w:r>
          </w:p>
          <w:p w:rsidR="00081FAD" w:rsidRPr="00DE7BFC" w:rsidRDefault="00081FAD" w:rsidP="00081FAD">
            <w:pPr>
              <w:pStyle w:val="ListParagraph"/>
              <w:numPr>
                <w:ilvl w:val="0"/>
                <w:numId w:val="12"/>
              </w:numPr>
              <w:spacing w:after="0" w:line="240" w:lineRule="auto"/>
              <w:jc w:val="both"/>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informācijas par izglītojamo neattaisnotiem mācību kavējumiem  apkopošanu un analizēšanu un darbībām priekšlaicīgas mācību pārtraukšanas risku mazināšanai.</w:t>
            </w:r>
          </w:p>
          <w:p w:rsidR="00E564FE" w:rsidRDefault="00DE7BFC" w:rsidP="00081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Vienlaikus noteikumu projekts precizē</w:t>
            </w:r>
            <w:r w:rsidR="00E564FE">
              <w:rPr>
                <w:rFonts w:ascii="Times New Roman" w:hAnsi="Times New Roman" w:cs="Times New Roman"/>
                <w:sz w:val="28"/>
                <w:szCs w:val="28"/>
              </w:rPr>
              <w:t>:</w:t>
            </w:r>
            <w:r>
              <w:rPr>
                <w:rFonts w:ascii="Times New Roman" w:hAnsi="Times New Roman" w:cs="Times New Roman"/>
                <w:sz w:val="28"/>
                <w:szCs w:val="28"/>
              </w:rPr>
              <w:t xml:space="preserve"> </w:t>
            </w:r>
          </w:p>
          <w:p w:rsidR="00081FAD" w:rsidRDefault="00E564FE" w:rsidP="00081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BFC">
              <w:rPr>
                <w:rFonts w:ascii="Times New Roman" w:hAnsi="Times New Roman" w:cs="Times New Roman"/>
                <w:sz w:val="28"/>
                <w:szCs w:val="28"/>
              </w:rPr>
              <w:t xml:space="preserve">kvalitātes dienesta darbību augstākās izglītības jomā, </w:t>
            </w:r>
          </w:p>
          <w:p w:rsidR="00E564FE" w:rsidRDefault="00E564FE" w:rsidP="00081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nosaka kvalitātes dienestam tiesības pārbaudīt reģistros iekļauto informāciju,</w:t>
            </w:r>
          </w:p>
          <w:p w:rsidR="00E564FE" w:rsidRDefault="00E564FE" w:rsidP="00081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nosaka kvalitātes dienestam pienākumu izskatīt valsts un pašvaldību iestāžu iesniegumus, kā arī </w:t>
            </w:r>
            <w:r w:rsidRPr="00DE7BFC">
              <w:rPr>
                <w:rFonts w:ascii="Times New Roman" w:hAnsi="Times New Roman"/>
                <w:sz w:val="28"/>
                <w:szCs w:val="28"/>
              </w:rPr>
              <w:t>sniegt informāciju Izglītības un zinātnes ministrijai un Akadēmiskās informācijas centram, ja ir konstatēti būtiski normatīvo aktu pārkāpumi augstskolas vai koledžas darbībā</w:t>
            </w:r>
            <w:r>
              <w:rPr>
                <w:rFonts w:ascii="Times New Roman" w:hAnsi="Times New Roman"/>
                <w:sz w:val="28"/>
                <w:szCs w:val="28"/>
              </w:rPr>
              <w:t>.</w:t>
            </w:r>
          </w:p>
          <w:p w:rsidR="00E564FE" w:rsidRPr="00DE7BFC" w:rsidRDefault="00E564FE" w:rsidP="00081FAD">
            <w:pPr>
              <w:spacing w:after="0" w:line="240" w:lineRule="auto"/>
              <w:jc w:val="both"/>
              <w:rPr>
                <w:rFonts w:ascii="Times New Roman" w:hAnsi="Times New Roman" w:cs="Times New Roman"/>
                <w:sz w:val="28"/>
                <w:szCs w:val="28"/>
              </w:rPr>
            </w:pPr>
          </w:p>
          <w:p w:rsidR="00081FAD" w:rsidRPr="00DE7BFC" w:rsidRDefault="00081FAD" w:rsidP="00081FAD">
            <w:pPr>
              <w:spacing w:after="0" w:line="240" w:lineRule="auto"/>
              <w:jc w:val="both"/>
              <w:rPr>
                <w:rFonts w:ascii="Times New Roman" w:hAnsi="Times New Roman" w:cs="Times New Roman"/>
                <w:sz w:val="28"/>
                <w:szCs w:val="28"/>
              </w:rPr>
            </w:pPr>
            <w:r w:rsidRPr="00DE7BFC">
              <w:rPr>
                <w:rFonts w:ascii="Times New Roman" w:hAnsi="Times New Roman" w:cs="Times New Roman"/>
                <w:sz w:val="28"/>
                <w:szCs w:val="28"/>
              </w:rPr>
              <w:t>Noteikumu projekta izpilde notiks esošo resursu ietvaros, nepalielinot nodarbināto skaitu.</w:t>
            </w:r>
          </w:p>
          <w:p w:rsidR="002E422E" w:rsidRPr="00DE7BFC" w:rsidRDefault="00081FAD" w:rsidP="00081FAD">
            <w:pPr>
              <w:spacing w:after="0" w:line="240" w:lineRule="auto"/>
              <w:jc w:val="both"/>
              <w:rPr>
                <w:rFonts w:ascii="Times New Roman" w:eastAsia="Times New Roman" w:hAnsi="Times New Roman" w:cs="Times New Roman"/>
                <w:sz w:val="28"/>
                <w:szCs w:val="28"/>
                <w:lang w:eastAsia="lv-LV"/>
              </w:rPr>
            </w:pPr>
            <w:r w:rsidRPr="00DE7BFC">
              <w:rPr>
                <w:rFonts w:ascii="Times New Roman" w:hAnsi="Times New Roman" w:cs="Times New Roman"/>
                <w:sz w:val="28"/>
                <w:szCs w:val="28"/>
              </w:rPr>
              <w:t>Jaunu institūciju izveide, esošu institūciju likvidācija vai reorganizācija nav nepieciešama.</w:t>
            </w:r>
          </w:p>
        </w:tc>
      </w:tr>
      <w:tr w:rsidR="00DE7BFC" w:rsidRPr="00DE7BFC" w:rsidTr="007F7CA4">
        <w:trPr>
          <w:trHeight w:val="390"/>
          <w:jc w:val="center"/>
        </w:trPr>
        <w:tc>
          <w:tcPr>
            <w:tcW w:w="390"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lastRenderedPageBreak/>
              <w:t>3.</w:t>
            </w:r>
          </w:p>
        </w:tc>
        <w:tc>
          <w:tcPr>
            <w:tcW w:w="1844"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after="0" w:line="240" w:lineRule="auto"/>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Cita informācija</w:t>
            </w:r>
          </w:p>
        </w:tc>
        <w:tc>
          <w:tcPr>
            <w:tcW w:w="2766" w:type="pct"/>
            <w:tcBorders>
              <w:top w:val="outset" w:sz="6" w:space="0" w:color="414142"/>
              <w:left w:val="outset" w:sz="6" w:space="0" w:color="414142"/>
              <w:bottom w:val="outset" w:sz="6" w:space="0" w:color="414142"/>
              <w:right w:val="outset" w:sz="6" w:space="0" w:color="414142"/>
            </w:tcBorders>
            <w:hideMark/>
          </w:tcPr>
          <w:p w:rsidR="00B4271A" w:rsidRPr="00DE7BFC" w:rsidRDefault="00B4271A" w:rsidP="007F7CA4">
            <w:pPr>
              <w:spacing w:before="100" w:beforeAutospacing="1" w:after="100" w:afterAutospacing="1" w:line="293" w:lineRule="atLeast"/>
              <w:rPr>
                <w:rFonts w:ascii="Times New Roman" w:eastAsia="Times New Roman" w:hAnsi="Times New Roman" w:cs="Times New Roman"/>
                <w:sz w:val="28"/>
                <w:szCs w:val="28"/>
                <w:lang w:eastAsia="lv-LV"/>
              </w:rPr>
            </w:pPr>
            <w:r w:rsidRPr="00DE7BFC">
              <w:rPr>
                <w:rFonts w:ascii="Times New Roman" w:eastAsia="Times New Roman" w:hAnsi="Times New Roman" w:cs="Times New Roman"/>
                <w:sz w:val="28"/>
                <w:szCs w:val="28"/>
                <w:lang w:eastAsia="lv-LV"/>
              </w:rPr>
              <w:t>Nav.</w:t>
            </w:r>
          </w:p>
        </w:tc>
      </w:tr>
    </w:tbl>
    <w:p w:rsidR="00574701" w:rsidRDefault="00574701" w:rsidP="007F7CA4">
      <w:pPr>
        <w:spacing w:after="0" w:line="240" w:lineRule="auto"/>
        <w:rPr>
          <w:rFonts w:ascii="Times New Roman" w:hAnsi="Times New Roman" w:cs="Times New Roman"/>
          <w:i/>
          <w:sz w:val="28"/>
          <w:szCs w:val="28"/>
        </w:rPr>
      </w:pPr>
    </w:p>
    <w:p w:rsidR="00B4271A" w:rsidRPr="00DE7BFC" w:rsidRDefault="00B4271A" w:rsidP="007F7CA4">
      <w:pPr>
        <w:spacing w:after="0" w:line="240" w:lineRule="auto"/>
        <w:rPr>
          <w:rFonts w:ascii="Times New Roman" w:hAnsi="Times New Roman" w:cs="Times New Roman"/>
          <w:i/>
          <w:sz w:val="28"/>
          <w:szCs w:val="28"/>
        </w:rPr>
      </w:pPr>
      <w:r w:rsidRPr="00DE7BFC">
        <w:rPr>
          <w:rFonts w:ascii="Times New Roman" w:hAnsi="Times New Roman" w:cs="Times New Roman"/>
          <w:i/>
          <w:sz w:val="28"/>
          <w:szCs w:val="28"/>
        </w:rPr>
        <w:t>Anotācijas</w:t>
      </w:r>
      <w:r w:rsidR="001F03E2" w:rsidRPr="00DE7BFC">
        <w:rPr>
          <w:rFonts w:ascii="Times New Roman" w:hAnsi="Times New Roman" w:cs="Times New Roman"/>
          <w:i/>
          <w:sz w:val="28"/>
          <w:szCs w:val="28"/>
        </w:rPr>
        <w:t xml:space="preserve"> IV,</w:t>
      </w:r>
      <w:r w:rsidRPr="00DE7BFC">
        <w:rPr>
          <w:rFonts w:ascii="Times New Roman" w:hAnsi="Times New Roman" w:cs="Times New Roman"/>
          <w:i/>
          <w:sz w:val="28"/>
          <w:szCs w:val="28"/>
        </w:rPr>
        <w:t xml:space="preserve"> V sadaļa – noteikumu projekts šo jomu neskar.</w:t>
      </w:r>
    </w:p>
    <w:p w:rsidR="003A2046" w:rsidRDefault="003A2046" w:rsidP="007F7CA4">
      <w:pPr>
        <w:spacing w:after="0" w:line="240" w:lineRule="auto"/>
        <w:rPr>
          <w:rFonts w:ascii="Times New Roman" w:hAnsi="Times New Roman" w:cs="Times New Roman"/>
          <w:sz w:val="28"/>
          <w:szCs w:val="28"/>
        </w:rPr>
      </w:pPr>
    </w:p>
    <w:p w:rsidR="00574701" w:rsidRPr="00DE7BFC" w:rsidRDefault="00574701" w:rsidP="007F7CA4">
      <w:pPr>
        <w:spacing w:after="0" w:line="240" w:lineRule="auto"/>
        <w:rPr>
          <w:rFonts w:ascii="Times New Roman" w:hAnsi="Times New Roman" w:cs="Times New Roman"/>
          <w:sz w:val="28"/>
          <w:szCs w:val="28"/>
        </w:rPr>
      </w:pPr>
    </w:p>
    <w:p w:rsidR="00574701" w:rsidRDefault="00574701" w:rsidP="007F7CA4">
      <w:pPr>
        <w:spacing w:after="0" w:line="240" w:lineRule="auto"/>
        <w:rPr>
          <w:rFonts w:ascii="Times New Roman" w:hAnsi="Times New Roman" w:cs="Times New Roman"/>
          <w:sz w:val="28"/>
          <w:szCs w:val="28"/>
        </w:rPr>
      </w:pPr>
    </w:p>
    <w:p w:rsidR="007F7CA4" w:rsidRPr="00DE7BFC" w:rsidRDefault="007F7CA4" w:rsidP="007F7CA4">
      <w:pPr>
        <w:spacing w:after="0" w:line="240" w:lineRule="auto"/>
        <w:rPr>
          <w:rFonts w:ascii="Times New Roman" w:hAnsi="Times New Roman" w:cs="Times New Roman"/>
          <w:sz w:val="28"/>
          <w:szCs w:val="28"/>
        </w:rPr>
      </w:pPr>
      <w:r w:rsidRPr="00DE7BFC">
        <w:rPr>
          <w:rFonts w:ascii="Times New Roman" w:hAnsi="Times New Roman" w:cs="Times New Roman"/>
          <w:sz w:val="28"/>
          <w:szCs w:val="28"/>
        </w:rPr>
        <w:t>Izglītības un zinātnes ministrs</w:t>
      </w:r>
      <w:r w:rsidRPr="00DE7BFC">
        <w:rPr>
          <w:rFonts w:ascii="Times New Roman" w:hAnsi="Times New Roman" w:cs="Times New Roman"/>
          <w:sz w:val="28"/>
          <w:szCs w:val="28"/>
        </w:rPr>
        <w:tab/>
      </w:r>
      <w:r w:rsidRPr="00DE7BFC">
        <w:rPr>
          <w:rFonts w:ascii="Times New Roman" w:hAnsi="Times New Roman" w:cs="Times New Roman"/>
          <w:sz w:val="28"/>
          <w:szCs w:val="28"/>
        </w:rPr>
        <w:tab/>
      </w:r>
      <w:r w:rsidRPr="00DE7BFC">
        <w:rPr>
          <w:rFonts w:ascii="Times New Roman" w:hAnsi="Times New Roman" w:cs="Times New Roman"/>
          <w:sz w:val="28"/>
          <w:szCs w:val="28"/>
        </w:rPr>
        <w:tab/>
      </w:r>
      <w:r w:rsidRPr="00DE7BFC">
        <w:rPr>
          <w:rFonts w:ascii="Times New Roman" w:hAnsi="Times New Roman" w:cs="Times New Roman"/>
          <w:sz w:val="28"/>
          <w:szCs w:val="28"/>
        </w:rPr>
        <w:tab/>
      </w:r>
      <w:r w:rsidRPr="00DE7BFC">
        <w:rPr>
          <w:rFonts w:ascii="Times New Roman" w:hAnsi="Times New Roman" w:cs="Times New Roman"/>
          <w:sz w:val="28"/>
          <w:szCs w:val="28"/>
        </w:rPr>
        <w:tab/>
      </w:r>
      <w:proofErr w:type="spellStart"/>
      <w:r w:rsidRPr="00DE7BFC">
        <w:rPr>
          <w:rFonts w:ascii="Times New Roman" w:hAnsi="Times New Roman" w:cs="Times New Roman"/>
          <w:sz w:val="28"/>
          <w:szCs w:val="28"/>
        </w:rPr>
        <w:t>K.Šadurskis</w:t>
      </w:r>
      <w:proofErr w:type="spellEnd"/>
    </w:p>
    <w:p w:rsidR="003A2046" w:rsidRDefault="003A2046" w:rsidP="007F7CA4">
      <w:pPr>
        <w:spacing w:after="0" w:line="240" w:lineRule="auto"/>
        <w:rPr>
          <w:rFonts w:ascii="Times New Roman" w:hAnsi="Times New Roman" w:cs="Times New Roman"/>
          <w:sz w:val="28"/>
          <w:szCs w:val="28"/>
        </w:rPr>
      </w:pPr>
    </w:p>
    <w:p w:rsidR="00574701" w:rsidRDefault="00574701" w:rsidP="007F7CA4">
      <w:pPr>
        <w:spacing w:after="0" w:line="240" w:lineRule="auto"/>
        <w:rPr>
          <w:rFonts w:ascii="Times New Roman" w:hAnsi="Times New Roman" w:cs="Times New Roman"/>
          <w:sz w:val="28"/>
          <w:szCs w:val="28"/>
        </w:rPr>
      </w:pPr>
    </w:p>
    <w:p w:rsidR="00574701" w:rsidRPr="00DE7BFC" w:rsidRDefault="00574701" w:rsidP="007F7CA4">
      <w:pPr>
        <w:spacing w:after="0" w:line="240" w:lineRule="auto"/>
        <w:rPr>
          <w:rFonts w:ascii="Times New Roman" w:hAnsi="Times New Roman" w:cs="Times New Roman"/>
          <w:sz w:val="28"/>
          <w:szCs w:val="28"/>
        </w:rPr>
      </w:pPr>
    </w:p>
    <w:p w:rsidR="007F7CA4" w:rsidRPr="00DE7BFC" w:rsidRDefault="007F7CA4" w:rsidP="007F7CA4">
      <w:pPr>
        <w:spacing w:after="0" w:line="240" w:lineRule="auto"/>
        <w:rPr>
          <w:rFonts w:ascii="Times New Roman" w:hAnsi="Times New Roman" w:cs="Times New Roman"/>
          <w:sz w:val="28"/>
          <w:szCs w:val="28"/>
        </w:rPr>
      </w:pPr>
      <w:r w:rsidRPr="00DE7BFC">
        <w:rPr>
          <w:rFonts w:ascii="Times New Roman" w:hAnsi="Times New Roman" w:cs="Times New Roman"/>
          <w:sz w:val="28"/>
          <w:szCs w:val="28"/>
        </w:rPr>
        <w:t>Vīza:</w:t>
      </w:r>
    </w:p>
    <w:p w:rsidR="00B4271A" w:rsidRDefault="007F7CA4" w:rsidP="007F7CA4">
      <w:pPr>
        <w:spacing w:after="0" w:line="240" w:lineRule="auto"/>
        <w:rPr>
          <w:rFonts w:ascii="Times New Roman" w:hAnsi="Times New Roman" w:cs="Times New Roman"/>
          <w:sz w:val="28"/>
          <w:szCs w:val="28"/>
        </w:rPr>
      </w:pPr>
      <w:r w:rsidRPr="00DE7BFC">
        <w:rPr>
          <w:rFonts w:ascii="Times New Roman" w:hAnsi="Times New Roman" w:cs="Times New Roman"/>
          <w:sz w:val="28"/>
          <w:szCs w:val="28"/>
        </w:rPr>
        <w:t>Valsts sekretāre</w:t>
      </w:r>
      <w:r w:rsidRPr="00DE7BFC">
        <w:rPr>
          <w:rFonts w:ascii="Times New Roman" w:hAnsi="Times New Roman" w:cs="Times New Roman"/>
          <w:sz w:val="28"/>
          <w:szCs w:val="28"/>
        </w:rPr>
        <w:tab/>
      </w:r>
      <w:r w:rsidRPr="00DE7BFC">
        <w:rPr>
          <w:rFonts w:ascii="Times New Roman" w:hAnsi="Times New Roman" w:cs="Times New Roman"/>
          <w:sz w:val="28"/>
          <w:szCs w:val="28"/>
        </w:rPr>
        <w:tab/>
      </w:r>
      <w:r w:rsidRPr="00DE7BFC">
        <w:rPr>
          <w:rFonts w:ascii="Times New Roman" w:hAnsi="Times New Roman" w:cs="Times New Roman"/>
          <w:sz w:val="28"/>
          <w:szCs w:val="28"/>
        </w:rPr>
        <w:tab/>
      </w:r>
      <w:r w:rsidRPr="00DE7BFC">
        <w:rPr>
          <w:rFonts w:ascii="Times New Roman" w:hAnsi="Times New Roman" w:cs="Times New Roman"/>
          <w:sz w:val="28"/>
          <w:szCs w:val="28"/>
        </w:rPr>
        <w:tab/>
      </w:r>
      <w:r w:rsidRPr="00DE7BFC">
        <w:rPr>
          <w:rFonts w:ascii="Times New Roman" w:hAnsi="Times New Roman" w:cs="Times New Roman"/>
          <w:sz w:val="28"/>
          <w:szCs w:val="28"/>
        </w:rPr>
        <w:tab/>
      </w:r>
      <w:r w:rsidRPr="00DE7BFC">
        <w:rPr>
          <w:rFonts w:ascii="Times New Roman" w:hAnsi="Times New Roman" w:cs="Times New Roman"/>
          <w:sz w:val="28"/>
          <w:szCs w:val="28"/>
        </w:rPr>
        <w:tab/>
      </w:r>
      <w:r w:rsidRPr="00DE7BFC">
        <w:rPr>
          <w:rFonts w:ascii="Times New Roman" w:hAnsi="Times New Roman" w:cs="Times New Roman"/>
          <w:sz w:val="28"/>
          <w:szCs w:val="28"/>
        </w:rPr>
        <w:tab/>
        <w:t>L.Lejiņa</w:t>
      </w:r>
    </w:p>
    <w:p w:rsidR="00E564FE" w:rsidRPr="00DE7BFC" w:rsidRDefault="00E564FE" w:rsidP="007F7CA4">
      <w:pPr>
        <w:spacing w:after="0" w:line="240" w:lineRule="auto"/>
        <w:rPr>
          <w:rFonts w:ascii="Times New Roman" w:hAnsi="Times New Roman" w:cs="Times New Roman"/>
          <w:sz w:val="28"/>
          <w:szCs w:val="28"/>
        </w:rPr>
      </w:pPr>
    </w:p>
    <w:p w:rsidR="00574701" w:rsidRDefault="00574701" w:rsidP="000F5D5F">
      <w:pPr>
        <w:spacing w:after="0" w:line="240" w:lineRule="auto"/>
        <w:rPr>
          <w:rFonts w:ascii="Times New Roman" w:hAnsi="Times New Roman" w:cs="Times New Roman"/>
          <w:sz w:val="20"/>
          <w:szCs w:val="20"/>
        </w:rPr>
      </w:pPr>
    </w:p>
    <w:p w:rsidR="00574701" w:rsidRDefault="00574701" w:rsidP="000F5D5F">
      <w:pPr>
        <w:spacing w:after="0" w:line="240" w:lineRule="auto"/>
        <w:rPr>
          <w:rFonts w:ascii="Times New Roman" w:hAnsi="Times New Roman" w:cs="Times New Roman"/>
          <w:sz w:val="20"/>
          <w:szCs w:val="20"/>
        </w:rPr>
      </w:pPr>
    </w:p>
    <w:p w:rsidR="00574701" w:rsidRDefault="00574701" w:rsidP="000F5D5F">
      <w:pPr>
        <w:spacing w:after="0" w:line="240" w:lineRule="auto"/>
        <w:rPr>
          <w:rFonts w:ascii="Times New Roman" w:hAnsi="Times New Roman" w:cs="Times New Roman"/>
          <w:sz w:val="20"/>
          <w:szCs w:val="20"/>
        </w:rPr>
      </w:pPr>
    </w:p>
    <w:p w:rsidR="000F5D5F" w:rsidRPr="000F5D5F" w:rsidRDefault="000F5D5F" w:rsidP="000F5D5F">
      <w:pPr>
        <w:spacing w:after="0" w:line="240" w:lineRule="auto"/>
        <w:rPr>
          <w:rFonts w:ascii="Times New Roman" w:hAnsi="Times New Roman" w:cs="Times New Roman"/>
          <w:sz w:val="20"/>
          <w:szCs w:val="20"/>
        </w:rPr>
      </w:pPr>
      <w:r w:rsidRPr="000F5D5F">
        <w:rPr>
          <w:rFonts w:ascii="Times New Roman" w:hAnsi="Times New Roman" w:cs="Times New Roman"/>
          <w:sz w:val="20"/>
          <w:szCs w:val="20"/>
        </w:rPr>
        <w:lastRenderedPageBreak/>
        <w:fldChar w:fldCharType="begin"/>
      </w:r>
      <w:r w:rsidRPr="000F5D5F">
        <w:rPr>
          <w:rFonts w:ascii="Times New Roman" w:hAnsi="Times New Roman" w:cs="Times New Roman"/>
          <w:sz w:val="20"/>
          <w:szCs w:val="20"/>
        </w:rPr>
        <w:instrText xml:space="preserve"> DATE  \@ "dd.MM.yyyy HH:mm"  \* MERGEFORMAT </w:instrText>
      </w:r>
      <w:r w:rsidRPr="000F5D5F">
        <w:rPr>
          <w:rFonts w:ascii="Times New Roman" w:hAnsi="Times New Roman" w:cs="Times New Roman"/>
          <w:sz w:val="20"/>
          <w:szCs w:val="20"/>
        </w:rPr>
        <w:fldChar w:fldCharType="separate"/>
      </w:r>
      <w:r w:rsidR="005A19F9">
        <w:rPr>
          <w:rFonts w:ascii="Times New Roman" w:hAnsi="Times New Roman" w:cs="Times New Roman"/>
          <w:noProof/>
          <w:sz w:val="20"/>
          <w:szCs w:val="20"/>
        </w:rPr>
        <w:t>17.07.2017 16:43</w:t>
      </w:r>
      <w:r w:rsidRPr="000F5D5F">
        <w:rPr>
          <w:rFonts w:ascii="Times New Roman" w:hAnsi="Times New Roman" w:cs="Times New Roman"/>
          <w:sz w:val="20"/>
          <w:szCs w:val="20"/>
        </w:rPr>
        <w:fldChar w:fldCharType="end"/>
      </w:r>
    </w:p>
    <w:p w:rsidR="00996088" w:rsidRPr="00DE7BFC" w:rsidRDefault="00404C38" w:rsidP="000F5D5F">
      <w:pPr>
        <w:spacing w:after="0" w:line="240" w:lineRule="auto"/>
        <w:jc w:val="both"/>
        <w:rPr>
          <w:rFonts w:ascii="Times New Roman" w:eastAsia="Times New Roman" w:hAnsi="Times New Roman" w:cs="Times New Roman"/>
          <w:sz w:val="20"/>
          <w:szCs w:val="20"/>
          <w:lang w:eastAsia="lv-LV"/>
        </w:rPr>
      </w:pPr>
      <w:r w:rsidRPr="00DE7BFC">
        <w:rPr>
          <w:rFonts w:ascii="Times New Roman" w:eastAsia="Times New Roman" w:hAnsi="Times New Roman" w:cs="Times New Roman"/>
          <w:sz w:val="20"/>
          <w:szCs w:val="20"/>
          <w:lang w:eastAsia="lv-LV"/>
        </w:rPr>
        <w:t>1</w:t>
      </w:r>
      <w:r w:rsidR="00574701">
        <w:rPr>
          <w:rFonts w:ascii="Times New Roman" w:eastAsia="Times New Roman" w:hAnsi="Times New Roman" w:cs="Times New Roman"/>
          <w:sz w:val="20"/>
          <w:szCs w:val="20"/>
          <w:lang w:eastAsia="lv-LV"/>
        </w:rPr>
        <w:t>782</w:t>
      </w:r>
    </w:p>
    <w:p w:rsidR="00996088" w:rsidRPr="00DE7BFC" w:rsidRDefault="00996088" w:rsidP="00996088">
      <w:pPr>
        <w:spacing w:after="0" w:line="240" w:lineRule="auto"/>
        <w:jc w:val="both"/>
        <w:rPr>
          <w:rFonts w:ascii="Times New Roman" w:eastAsia="Times New Roman" w:hAnsi="Times New Roman" w:cs="Times New Roman"/>
          <w:sz w:val="20"/>
          <w:szCs w:val="20"/>
          <w:lang w:eastAsia="lv-LV"/>
        </w:rPr>
      </w:pPr>
      <w:r w:rsidRPr="00DE7BFC">
        <w:rPr>
          <w:rFonts w:ascii="Times New Roman" w:eastAsia="Times New Roman" w:hAnsi="Times New Roman" w:cs="Times New Roman"/>
          <w:sz w:val="20"/>
          <w:szCs w:val="20"/>
          <w:lang w:eastAsia="lv-LV"/>
        </w:rPr>
        <w:t xml:space="preserve">I.Juhņēviča </w:t>
      </w:r>
    </w:p>
    <w:p w:rsidR="00996088" w:rsidRPr="00DE7BFC" w:rsidRDefault="00996088" w:rsidP="00996088">
      <w:pPr>
        <w:spacing w:after="0" w:line="240" w:lineRule="auto"/>
        <w:jc w:val="both"/>
        <w:rPr>
          <w:rFonts w:ascii="Times New Roman" w:eastAsia="Times New Roman" w:hAnsi="Times New Roman" w:cs="Times New Roman"/>
          <w:sz w:val="20"/>
          <w:szCs w:val="20"/>
          <w:u w:val="single"/>
          <w:lang w:eastAsia="lv-LV"/>
        </w:rPr>
      </w:pPr>
      <w:r w:rsidRPr="00DE7BFC">
        <w:rPr>
          <w:rFonts w:ascii="Times New Roman" w:eastAsia="Times New Roman" w:hAnsi="Times New Roman" w:cs="Times New Roman"/>
          <w:sz w:val="20"/>
          <w:szCs w:val="20"/>
          <w:lang w:eastAsia="lv-LV"/>
        </w:rPr>
        <w:t xml:space="preserve">67358078, </w:t>
      </w:r>
      <w:r w:rsidRPr="00DE7BFC">
        <w:rPr>
          <w:rFonts w:ascii="Times New Roman" w:eastAsia="Times New Roman" w:hAnsi="Times New Roman" w:cs="Times New Roman"/>
          <w:sz w:val="20"/>
          <w:szCs w:val="20"/>
          <w:u w:val="single"/>
          <w:lang w:eastAsia="lv-LV"/>
        </w:rPr>
        <w:t>inita.juhnevica@ikvd.gov.lv</w:t>
      </w:r>
    </w:p>
    <w:p w:rsidR="00996088" w:rsidRPr="00DE7BFC" w:rsidRDefault="00996088" w:rsidP="00996088">
      <w:pPr>
        <w:tabs>
          <w:tab w:val="left" w:pos="6663"/>
        </w:tabs>
        <w:spacing w:after="0" w:line="240" w:lineRule="auto"/>
        <w:jc w:val="both"/>
        <w:rPr>
          <w:rFonts w:ascii="Times New Roman" w:eastAsia="Times New Roman" w:hAnsi="Times New Roman" w:cs="Times New Roman"/>
          <w:sz w:val="20"/>
          <w:szCs w:val="20"/>
          <w:lang w:eastAsia="lv-LV"/>
        </w:rPr>
      </w:pPr>
      <w:proofErr w:type="spellStart"/>
      <w:r w:rsidRPr="00DE7BFC">
        <w:rPr>
          <w:rFonts w:ascii="Times New Roman" w:eastAsia="Times New Roman" w:hAnsi="Times New Roman" w:cs="Times New Roman"/>
          <w:sz w:val="20"/>
          <w:szCs w:val="20"/>
          <w:lang w:eastAsia="lv-LV"/>
        </w:rPr>
        <w:t>I.J.Mihailovs</w:t>
      </w:r>
      <w:proofErr w:type="spellEnd"/>
    </w:p>
    <w:p w:rsidR="00996088" w:rsidRPr="00DE7BFC" w:rsidRDefault="00996088" w:rsidP="00996088">
      <w:pPr>
        <w:tabs>
          <w:tab w:val="left" w:pos="6663"/>
        </w:tabs>
        <w:spacing w:after="0" w:line="240" w:lineRule="auto"/>
        <w:jc w:val="both"/>
        <w:rPr>
          <w:rFonts w:ascii="Times New Roman" w:eastAsia="Times New Roman" w:hAnsi="Times New Roman" w:cs="Times New Roman"/>
          <w:sz w:val="20"/>
          <w:szCs w:val="20"/>
          <w:u w:val="single"/>
          <w:lang w:eastAsia="lv-LV"/>
        </w:rPr>
      </w:pPr>
      <w:r w:rsidRPr="00DE7BFC">
        <w:rPr>
          <w:rFonts w:ascii="Times New Roman" w:eastAsia="Times New Roman" w:hAnsi="Times New Roman" w:cs="Times New Roman"/>
          <w:sz w:val="20"/>
          <w:szCs w:val="20"/>
          <w:lang w:eastAsia="lv-LV"/>
        </w:rPr>
        <w:t xml:space="preserve">67507833, </w:t>
      </w:r>
      <w:r w:rsidRPr="00DE7BFC">
        <w:rPr>
          <w:rFonts w:ascii="Times New Roman" w:eastAsia="Times New Roman" w:hAnsi="Times New Roman" w:cs="Times New Roman"/>
          <w:sz w:val="20"/>
          <w:szCs w:val="20"/>
          <w:u w:val="single"/>
          <w:lang w:eastAsia="lv-LV"/>
        </w:rPr>
        <w:t>janis.mihailovs@ikvd.gov.lv</w:t>
      </w:r>
    </w:p>
    <w:p w:rsidR="00996088" w:rsidRPr="00DE7BFC" w:rsidRDefault="00996088" w:rsidP="00996088">
      <w:pPr>
        <w:tabs>
          <w:tab w:val="left" w:pos="6663"/>
        </w:tabs>
        <w:spacing w:after="0" w:line="240" w:lineRule="auto"/>
        <w:jc w:val="both"/>
        <w:rPr>
          <w:rFonts w:ascii="Times New Roman" w:eastAsia="Times New Roman" w:hAnsi="Times New Roman" w:cs="Times New Roman"/>
          <w:sz w:val="20"/>
          <w:szCs w:val="20"/>
          <w:lang w:eastAsia="lv-LV"/>
        </w:rPr>
      </w:pPr>
      <w:r w:rsidRPr="00DE7BFC">
        <w:rPr>
          <w:rFonts w:ascii="Times New Roman" w:eastAsia="Times New Roman" w:hAnsi="Times New Roman" w:cs="Times New Roman"/>
          <w:sz w:val="20"/>
          <w:szCs w:val="20"/>
          <w:lang w:eastAsia="lv-LV"/>
        </w:rPr>
        <w:t>E.Uzare</w:t>
      </w:r>
    </w:p>
    <w:p w:rsidR="00996088" w:rsidRPr="00DE7BFC" w:rsidRDefault="00996088" w:rsidP="00996088">
      <w:pPr>
        <w:tabs>
          <w:tab w:val="left" w:pos="6663"/>
        </w:tabs>
        <w:spacing w:after="0" w:line="240" w:lineRule="auto"/>
        <w:jc w:val="both"/>
        <w:rPr>
          <w:rFonts w:ascii="Times New Roman" w:eastAsia="Times New Roman" w:hAnsi="Times New Roman" w:cs="Times New Roman"/>
          <w:sz w:val="20"/>
          <w:szCs w:val="20"/>
          <w:lang w:eastAsia="lv-LV"/>
        </w:rPr>
      </w:pPr>
      <w:r w:rsidRPr="00DE7BFC">
        <w:rPr>
          <w:rFonts w:ascii="Times New Roman" w:eastAsia="Times New Roman" w:hAnsi="Times New Roman" w:cs="Times New Roman"/>
          <w:sz w:val="20"/>
          <w:szCs w:val="20"/>
          <w:lang w:eastAsia="lv-LV"/>
        </w:rPr>
        <w:t xml:space="preserve">67387866, </w:t>
      </w:r>
      <w:r w:rsidRPr="00DE7BFC">
        <w:rPr>
          <w:rFonts w:ascii="Times New Roman" w:eastAsia="Times New Roman" w:hAnsi="Times New Roman" w:cs="Times New Roman"/>
          <w:sz w:val="20"/>
          <w:szCs w:val="20"/>
          <w:u w:val="single"/>
          <w:lang w:eastAsia="lv-LV"/>
        </w:rPr>
        <w:t>evija.uzare@ikvd.gov.lv</w:t>
      </w:r>
    </w:p>
    <w:p w:rsidR="00081FAD" w:rsidRPr="00DE7BFC" w:rsidRDefault="00081FAD" w:rsidP="00996088">
      <w:pPr>
        <w:spacing w:after="0" w:line="240" w:lineRule="auto"/>
        <w:jc w:val="both"/>
        <w:rPr>
          <w:rFonts w:ascii="Times New Roman" w:eastAsia="Times New Roman" w:hAnsi="Times New Roman" w:cs="Times New Roman"/>
          <w:sz w:val="20"/>
          <w:szCs w:val="20"/>
          <w:lang w:eastAsia="lv-LV"/>
        </w:rPr>
      </w:pPr>
      <w:r w:rsidRPr="00DE7BFC">
        <w:rPr>
          <w:rFonts w:ascii="Times New Roman" w:eastAsia="Times New Roman" w:hAnsi="Times New Roman" w:cs="Times New Roman"/>
          <w:sz w:val="20"/>
          <w:szCs w:val="20"/>
          <w:lang w:eastAsia="lv-LV"/>
        </w:rPr>
        <w:t>A.Lasmane,</w:t>
      </w:r>
    </w:p>
    <w:p w:rsidR="00081FAD" w:rsidRPr="00DE7BFC" w:rsidRDefault="007F7CA4" w:rsidP="00996088">
      <w:pPr>
        <w:spacing w:after="0" w:line="240" w:lineRule="auto"/>
        <w:jc w:val="both"/>
        <w:rPr>
          <w:rFonts w:ascii="Times New Roman" w:eastAsia="Times New Roman" w:hAnsi="Times New Roman" w:cs="Times New Roman"/>
          <w:sz w:val="20"/>
          <w:szCs w:val="20"/>
          <w:lang w:eastAsia="lv-LV"/>
        </w:rPr>
      </w:pPr>
      <w:r w:rsidRPr="00DE7BFC">
        <w:rPr>
          <w:rFonts w:ascii="Times New Roman" w:eastAsia="Times New Roman" w:hAnsi="Times New Roman" w:cs="Times New Roman"/>
          <w:sz w:val="20"/>
          <w:szCs w:val="20"/>
          <w:lang w:eastAsia="lv-LV"/>
        </w:rPr>
        <w:t xml:space="preserve">67367202, </w:t>
      </w:r>
      <w:hyperlink r:id="rId12" w:history="1">
        <w:r w:rsidR="00081FAD" w:rsidRPr="00DE7BFC">
          <w:rPr>
            <w:rStyle w:val="Hyperlink"/>
            <w:rFonts w:ascii="Times New Roman" w:eastAsia="Times New Roman" w:hAnsi="Times New Roman" w:cs="Times New Roman"/>
            <w:color w:val="auto"/>
            <w:sz w:val="20"/>
            <w:szCs w:val="20"/>
            <w:lang w:eastAsia="lv-LV"/>
          </w:rPr>
          <w:t>agnese.lasmane@ikvd.gov.lv</w:t>
        </w:r>
      </w:hyperlink>
      <w:r w:rsidR="00081FAD" w:rsidRPr="00DE7BFC">
        <w:rPr>
          <w:rFonts w:ascii="Times New Roman" w:eastAsia="Times New Roman" w:hAnsi="Times New Roman" w:cs="Times New Roman"/>
          <w:sz w:val="20"/>
          <w:szCs w:val="20"/>
          <w:lang w:eastAsia="lv-LV"/>
        </w:rPr>
        <w:t xml:space="preserve"> </w:t>
      </w:r>
    </w:p>
    <w:p w:rsidR="00996088" w:rsidRPr="00DE7BFC" w:rsidRDefault="00996088" w:rsidP="00996088">
      <w:pPr>
        <w:spacing w:after="0" w:line="240" w:lineRule="auto"/>
        <w:jc w:val="both"/>
        <w:rPr>
          <w:rFonts w:ascii="Times New Roman" w:eastAsia="Times New Roman" w:hAnsi="Times New Roman" w:cs="Times New Roman"/>
          <w:sz w:val="20"/>
          <w:szCs w:val="20"/>
          <w:lang w:eastAsia="lv-LV"/>
        </w:rPr>
      </w:pPr>
      <w:r w:rsidRPr="00DE7BFC">
        <w:rPr>
          <w:rFonts w:ascii="Times New Roman" w:eastAsia="Times New Roman" w:hAnsi="Times New Roman" w:cs="Times New Roman"/>
          <w:sz w:val="20"/>
          <w:szCs w:val="20"/>
          <w:lang w:eastAsia="lv-LV"/>
        </w:rPr>
        <w:t xml:space="preserve">A.Reča </w:t>
      </w:r>
    </w:p>
    <w:p w:rsidR="00996088" w:rsidRPr="00DE7BFC" w:rsidRDefault="00996088" w:rsidP="00996088">
      <w:pPr>
        <w:spacing w:after="0" w:line="240" w:lineRule="auto"/>
        <w:jc w:val="both"/>
        <w:rPr>
          <w:rFonts w:ascii="Times New Roman" w:eastAsia="Times New Roman" w:hAnsi="Times New Roman" w:cs="Times New Roman"/>
          <w:sz w:val="20"/>
          <w:szCs w:val="20"/>
          <w:lang w:eastAsia="lv-LV"/>
        </w:rPr>
      </w:pPr>
      <w:r w:rsidRPr="00DE7BFC">
        <w:rPr>
          <w:rFonts w:ascii="Times New Roman" w:eastAsia="Times New Roman" w:hAnsi="Times New Roman" w:cs="Times New Roman"/>
          <w:sz w:val="20"/>
          <w:szCs w:val="20"/>
          <w:lang w:eastAsia="lv-LV"/>
        </w:rPr>
        <w:t xml:space="preserve">67358076, </w:t>
      </w:r>
      <w:r w:rsidRPr="00DE7BFC">
        <w:rPr>
          <w:rFonts w:ascii="Times New Roman" w:eastAsia="Times New Roman" w:hAnsi="Times New Roman" w:cs="Times New Roman"/>
          <w:sz w:val="20"/>
          <w:szCs w:val="20"/>
          <w:u w:val="single"/>
          <w:lang w:eastAsia="lv-LV"/>
        </w:rPr>
        <w:t>agija.reca@ikvd.gov.lv</w:t>
      </w:r>
    </w:p>
    <w:sectPr w:rsidR="00996088" w:rsidRPr="00DE7BFC" w:rsidSect="007F7CA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276" w:left="1800" w:header="708" w:footer="6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6B" w:rsidRDefault="001E0F6B" w:rsidP="008D763F">
      <w:pPr>
        <w:spacing w:after="0" w:line="240" w:lineRule="auto"/>
      </w:pPr>
      <w:r>
        <w:separator/>
      </w:r>
    </w:p>
  </w:endnote>
  <w:endnote w:type="continuationSeparator" w:id="0">
    <w:p w:rsidR="001E0F6B" w:rsidRDefault="001E0F6B" w:rsidP="008D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21" w:rsidRDefault="009E1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A4" w:rsidRPr="008D763F" w:rsidRDefault="007F7CA4" w:rsidP="001534C5">
    <w:pPr>
      <w:shd w:val="clear" w:color="auto" w:fill="FFFFFF"/>
      <w:spacing w:after="0" w:line="240" w:lineRule="auto"/>
      <w:ind w:left="-284"/>
      <w:jc w:val="both"/>
      <w:outlineLvl w:val="2"/>
      <w:rPr>
        <w:rFonts w:ascii="Times New Roman" w:eastAsia="Times New Roman" w:hAnsi="Times New Roman" w:cs="Times New Roman"/>
        <w:bCs/>
        <w:sz w:val="20"/>
        <w:szCs w:val="20"/>
        <w:lang w:eastAsia="lv-LV"/>
      </w:rPr>
    </w:pPr>
    <w:r>
      <w:rPr>
        <w:rFonts w:ascii="Times New Roman" w:hAnsi="Times New Roman" w:cs="Times New Roman"/>
        <w:sz w:val="20"/>
        <w:szCs w:val="20"/>
      </w:rPr>
      <w:t>IZMA</w:t>
    </w:r>
    <w:r w:rsidRPr="00D75B63">
      <w:rPr>
        <w:rFonts w:ascii="Times New Roman" w:hAnsi="Times New Roman" w:cs="Times New Roman"/>
        <w:sz w:val="20"/>
        <w:szCs w:val="20"/>
      </w:rPr>
      <w:t>not_</w:t>
    </w:r>
    <w:r w:rsidR="009E1821">
      <w:rPr>
        <w:rFonts w:ascii="Times New Roman" w:hAnsi="Times New Roman" w:cs="Times New Roman"/>
        <w:sz w:val="20"/>
        <w:szCs w:val="20"/>
      </w:rPr>
      <w:t>1707</w:t>
    </w:r>
    <w:r>
      <w:rPr>
        <w:rFonts w:ascii="Times New Roman" w:hAnsi="Times New Roman" w:cs="Times New Roman"/>
        <w:sz w:val="20"/>
        <w:szCs w:val="20"/>
      </w:rPr>
      <w:t>17</w:t>
    </w:r>
    <w:r w:rsidRPr="00D75B63">
      <w:rPr>
        <w:rFonts w:ascii="Times New Roman" w:hAnsi="Times New Roman" w:cs="Times New Roman"/>
        <w:sz w:val="20"/>
        <w:szCs w:val="20"/>
      </w:rPr>
      <w:t>_</w:t>
    </w:r>
    <w:r>
      <w:rPr>
        <w:rFonts w:ascii="Times New Roman" w:hAnsi="Times New Roman" w:cs="Times New Roman"/>
        <w:sz w:val="20"/>
        <w:szCs w:val="20"/>
      </w:rPr>
      <w:t>Groz225</w:t>
    </w:r>
    <w:r w:rsidRPr="00D75B63">
      <w:rPr>
        <w:rFonts w:ascii="Times New Roman" w:hAnsi="Times New Roman" w:cs="Times New Roman"/>
        <w:sz w:val="20"/>
        <w:szCs w:val="20"/>
      </w:rPr>
      <w:t xml:space="preserve">; Ministru kabineta noteikumu projekta </w:t>
    </w:r>
    <w:r w:rsidRPr="00D75B63">
      <w:rPr>
        <w:rFonts w:ascii="Times New Roman" w:eastAsia="Times New Roman" w:hAnsi="Times New Roman" w:cs="Times New Roman"/>
        <w:bCs/>
        <w:sz w:val="20"/>
        <w:szCs w:val="20"/>
        <w:lang w:eastAsia="lv-LV"/>
      </w:rPr>
      <w:t>„</w:t>
    </w:r>
    <w:r w:rsidRPr="008D763F">
      <w:rPr>
        <w:rFonts w:ascii="Times New Roman" w:eastAsia="Times New Roman" w:hAnsi="Times New Roman" w:cs="Times New Roman"/>
        <w:bCs/>
        <w:sz w:val="20"/>
        <w:szCs w:val="20"/>
        <w:lang w:eastAsia="lv-LV"/>
      </w:rPr>
      <w:t>Grozījumi Ministru kabineta 2013.gada 23.aprīļa noteikumos Nr.225 „Izglītības kvalitātes valsts dienesta nolikums”</w:t>
    </w:r>
    <w:r w:rsidRPr="00D75B63">
      <w:rPr>
        <w:rFonts w:ascii="Times New Roman" w:eastAsia="Times New Roman" w:hAnsi="Times New Roman" w:cs="Times New Roman"/>
        <w:bCs/>
        <w:sz w:val="20"/>
        <w:szCs w:val="20"/>
        <w:lang w:eastAsia="lv-LV"/>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A4" w:rsidRPr="00D75B63" w:rsidRDefault="007F7CA4" w:rsidP="001534C5">
    <w:pPr>
      <w:shd w:val="clear" w:color="auto" w:fill="FFFFFF"/>
      <w:spacing w:after="0" w:line="240" w:lineRule="auto"/>
      <w:ind w:left="-284"/>
      <w:jc w:val="both"/>
      <w:outlineLvl w:val="2"/>
      <w:rPr>
        <w:rFonts w:ascii="Times New Roman" w:eastAsia="Times New Roman" w:hAnsi="Times New Roman" w:cs="Times New Roman"/>
        <w:bCs/>
        <w:sz w:val="20"/>
        <w:szCs w:val="20"/>
        <w:lang w:eastAsia="lv-LV"/>
      </w:rPr>
    </w:pPr>
    <w:r>
      <w:rPr>
        <w:rFonts w:ascii="Times New Roman" w:hAnsi="Times New Roman" w:cs="Times New Roman"/>
        <w:sz w:val="20"/>
        <w:szCs w:val="20"/>
      </w:rPr>
      <w:t>IZMA</w:t>
    </w:r>
    <w:r w:rsidRPr="00D75B63">
      <w:rPr>
        <w:rFonts w:ascii="Times New Roman" w:hAnsi="Times New Roman" w:cs="Times New Roman"/>
        <w:sz w:val="20"/>
        <w:szCs w:val="20"/>
      </w:rPr>
      <w:t>not_</w:t>
    </w:r>
    <w:r w:rsidR="009E1821">
      <w:rPr>
        <w:rFonts w:ascii="Times New Roman" w:hAnsi="Times New Roman" w:cs="Times New Roman"/>
        <w:sz w:val="20"/>
        <w:szCs w:val="20"/>
      </w:rPr>
      <w:t>1707</w:t>
    </w:r>
    <w:r>
      <w:rPr>
        <w:rFonts w:ascii="Times New Roman" w:hAnsi="Times New Roman" w:cs="Times New Roman"/>
        <w:sz w:val="20"/>
        <w:szCs w:val="20"/>
      </w:rPr>
      <w:t>17</w:t>
    </w:r>
    <w:r w:rsidRPr="00D75B63">
      <w:rPr>
        <w:rFonts w:ascii="Times New Roman" w:hAnsi="Times New Roman" w:cs="Times New Roman"/>
        <w:sz w:val="20"/>
        <w:szCs w:val="20"/>
      </w:rPr>
      <w:t>_</w:t>
    </w:r>
    <w:r>
      <w:rPr>
        <w:rFonts w:ascii="Times New Roman" w:hAnsi="Times New Roman" w:cs="Times New Roman"/>
        <w:sz w:val="20"/>
        <w:szCs w:val="20"/>
      </w:rPr>
      <w:t>Groz225</w:t>
    </w:r>
    <w:r w:rsidRPr="00D75B63">
      <w:rPr>
        <w:rFonts w:ascii="Times New Roman" w:hAnsi="Times New Roman" w:cs="Times New Roman"/>
        <w:sz w:val="20"/>
        <w:szCs w:val="20"/>
      </w:rPr>
      <w:t xml:space="preserve">; Ministru kabineta noteikumu projekta </w:t>
    </w:r>
    <w:r w:rsidRPr="00D75B63">
      <w:rPr>
        <w:rFonts w:ascii="Times New Roman" w:eastAsia="Times New Roman" w:hAnsi="Times New Roman" w:cs="Times New Roman"/>
        <w:bCs/>
        <w:sz w:val="20"/>
        <w:szCs w:val="20"/>
        <w:lang w:eastAsia="lv-LV"/>
      </w:rPr>
      <w:t>„</w:t>
    </w:r>
    <w:r w:rsidRPr="008D763F">
      <w:rPr>
        <w:rFonts w:ascii="Times New Roman" w:eastAsia="Times New Roman" w:hAnsi="Times New Roman" w:cs="Times New Roman"/>
        <w:bCs/>
        <w:sz w:val="20"/>
        <w:szCs w:val="20"/>
        <w:lang w:eastAsia="lv-LV"/>
      </w:rPr>
      <w:t>Grozījumi Ministru kabineta 2013.gada 23.aprīļa noteikumos Nr.225 „Izglītības kvalitātes valsts dienesta nolikums”</w:t>
    </w:r>
    <w:r w:rsidRPr="00D75B63">
      <w:rPr>
        <w:rFonts w:ascii="Times New Roman" w:eastAsia="Times New Roman" w:hAnsi="Times New Roman" w:cs="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6B" w:rsidRDefault="001E0F6B" w:rsidP="008D763F">
      <w:pPr>
        <w:spacing w:after="0" w:line="240" w:lineRule="auto"/>
      </w:pPr>
      <w:r>
        <w:separator/>
      </w:r>
    </w:p>
  </w:footnote>
  <w:footnote w:type="continuationSeparator" w:id="0">
    <w:p w:rsidR="001E0F6B" w:rsidRDefault="001E0F6B" w:rsidP="008D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21" w:rsidRDefault="009E1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75684"/>
      <w:docPartObj>
        <w:docPartGallery w:val="Page Numbers (Top of Page)"/>
        <w:docPartUnique/>
      </w:docPartObj>
    </w:sdtPr>
    <w:sdtEndPr>
      <w:rPr>
        <w:rFonts w:ascii="Times New Roman" w:hAnsi="Times New Roman" w:cs="Times New Roman"/>
        <w:noProof/>
        <w:sz w:val="24"/>
        <w:szCs w:val="24"/>
      </w:rPr>
    </w:sdtEndPr>
    <w:sdtContent>
      <w:p w:rsidR="007F7CA4" w:rsidRPr="00ED7DF8" w:rsidRDefault="00DE0BC6">
        <w:pPr>
          <w:pStyle w:val="Header"/>
          <w:jc w:val="center"/>
          <w:rPr>
            <w:rFonts w:ascii="Times New Roman" w:hAnsi="Times New Roman" w:cs="Times New Roman"/>
            <w:sz w:val="24"/>
            <w:szCs w:val="24"/>
          </w:rPr>
        </w:pPr>
        <w:r w:rsidRPr="00ED7DF8">
          <w:rPr>
            <w:rFonts w:ascii="Times New Roman" w:hAnsi="Times New Roman" w:cs="Times New Roman"/>
            <w:sz w:val="24"/>
            <w:szCs w:val="24"/>
          </w:rPr>
          <w:fldChar w:fldCharType="begin"/>
        </w:r>
        <w:r w:rsidR="007F7CA4" w:rsidRPr="00ED7DF8">
          <w:rPr>
            <w:rFonts w:ascii="Times New Roman" w:hAnsi="Times New Roman" w:cs="Times New Roman"/>
            <w:sz w:val="24"/>
            <w:szCs w:val="24"/>
          </w:rPr>
          <w:instrText xml:space="preserve"> PAGE   \* MERGEFORMAT </w:instrText>
        </w:r>
        <w:r w:rsidRPr="00ED7DF8">
          <w:rPr>
            <w:rFonts w:ascii="Times New Roman" w:hAnsi="Times New Roman" w:cs="Times New Roman"/>
            <w:sz w:val="24"/>
            <w:szCs w:val="24"/>
          </w:rPr>
          <w:fldChar w:fldCharType="separate"/>
        </w:r>
        <w:r w:rsidR="005A19F9">
          <w:rPr>
            <w:rFonts w:ascii="Times New Roman" w:hAnsi="Times New Roman" w:cs="Times New Roman"/>
            <w:noProof/>
            <w:sz w:val="24"/>
            <w:szCs w:val="24"/>
          </w:rPr>
          <w:t>11</w:t>
        </w:r>
        <w:r w:rsidRPr="00ED7DF8">
          <w:rPr>
            <w:rFonts w:ascii="Times New Roman" w:hAnsi="Times New Roman" w:cs="Times New Roman"/>
            <w:noProof/>
            <w:sz w:val="24"/>
            <w:szCs w:val="24"/>
          </w:rPr>
          <w:fldChar w:fldCharType="end"/>
        </w:r>
      </w:p>
    </w:sdtContent>
  </w:sdt>
  <w:p w:rsidR="007F7CA4" w:rsidRDefault="007F7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21" w:rsidRDefault="009E1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BD2"/>
    <w:multiLevelType w:val="hybridMultilevel"/>
    <w:tmpl w:val="4E5EE1B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2F4702"/>
    <w:multiLevelType w:val="hybridMultilevel"/>
    <w:tmpl w:val="6922C336"/>
    <w:lvl w:ilvl="0" w:tplc="04260011">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nsid w:val="0A214404"/>
    <w:multiLevelType w:val="hybridMultilevel"/>
    <w:tmpl w:val="BB10D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FC4DF7"/>
    <w:multiLevelType w:val="hybridMultilevel"/>
    <w:tmpl w:val="AB8CC78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4E1F61"/>
    <w:multiLevelType w:val="hybridMultilevel"/>
    <w:tmpl w:val="6922C3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740FBA"/>
    <w:multiLevelType w:val="hybridMultilevel"/>
    <w:tmpl w:val="0B5C3564"/>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nsid w:val="4AC52A49"/>
    <w:multiLevelType w:val="hybridMultilevel"/>
    <w:tmpl w:val="D6844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473214"/>
    <w:multiLevelType w:val="hybridMultilevel"/>
    <w:tmpl w:val="3E6ACF62"/>
    <w:lvl w:ilvl="0" w:tplc="04260011">
      <w:start w:val="1"/>
      <w:numFmt w:val="decimal"/>
      <w:lvlText w:val="%1)"/>
      <w:lvlJc w:val="left"/>
      <w:pPr>
        <w:ind w:left="4045" w:hanging="360"/>
      </w:pPr>
      <w:rPr>
        <w:rFonts w:hint="default"/>
      </w:rPr>
    </w:lvl>
    <w:lvl w:ilvl="1" w:tplc="04260019" w:tentative="1">
      <w:start w:val="1"/>
      <w:numFmt w:val="lowerLetter"/>
      <w:lvlText w:val="%2."/>
      <w:lvlJc w:val="left"/>
      <w:pPr>
        <w:ind w:left="4765" w:hanging="360"/>
      </w:pPr>
    </w:lvl>
    <w:lvl w:ilvl="2" w:tplc="0426001B" w:tentative="1">
      <w:start w:val="1"/>
      <w:numFmt w:val="lowerRoman"/>
      <w:lvlText w:val="%3."/>
      <w:lvlJc w:val="right"/>
      <w:pPr>
        <w:ind w:left="5485" w:hanging="180"/>
      </w:pPr>
    </w:lvl>
    <w:lvl w:ilvl="3" w:tplc="0426000F" w:tentative="1">
      <w:start w:val="1"/>
      <w:numFmt w:val="decimal"/>
      <w:lvlText w:val="%4."/>
      <w:lvlJc w:val="left"/>
      <w:pPr>
        <w:ind w:left="6205" w:hanging="360"/>
      </w:pPr>
    </w:lvl>
    <w:lvl w:ilvl="4" w:tplc="04260019" w:tentative="1">
      <w:start w:val="1"/>
      <w:numFmt w:val="lowerLetter"/>
      <w:lvlText w:val="%5."/>
      <w:lvlJc w:val="left"/>
      <w:pPr>
        <w:ind w:left="6925" w:hanging="360"/>
      </w:pPr>
    </w:lvl>
    <w:lvl w:ilvl="5" w:tplc="0426001B" w:tentative="1">
      <w:start w:val="1"/>
      <w:numFmt w:val="lowerRoman"/>
      <w:lvlText w:val="%6."/>
      <w:lvlJc w:val="right"/>
      <w:pPr>
        <w:ind w:left="7645" w:hanging="180"/>
      </w:pPr>
    </w:lvl>
    <w:lvl w:ilvl="6" w:tplc="0426000F" w:tentative="1">
      <w:start w:val="1"/>
      <w:numFmt w:val="decimal"/>
      <w:lvlText w:val="%7."/>
      <w:lvlJc w:val="left"/>
      <w:pPr>
        <w:ind w:left="8365" w:hanging="360"/>
      </w:pPr>
    </w:lvl>
    <w:lvl w:ilvl="7" w:tplc="04260019" w:tentative="1">
      <w:start w:val="1"/>
      <w:numFmt w:val="lowerLetter"/>
      <w:lvlText w:val="%8."/>
      <w:lvlJc w:val="left"/>
      <w:pPr>
        <w:ind w:left="9085" w:hanging="360"/>
      </w:pPr>
    </w:lvl>
    <w:lvl w:ilvl="8" w:tplc="0426001B" w:tentative="1">
      <w:start w:val="1"/>
      <w:numFmt w:val="lowerRoman"/>
      <w:lvlText w:val="%9."/>
      <w:lvlJc w:val="right"/>
      <w:pPr>
        <w:ind w:left="9805" w:hanging="180"/>
      </w:pPr>
    </w:lvl>
  </w:abstractNum>
  <w:abstractNum w:abstractNumId="8">
    <w:nsid w:val="4F7C03D0"/>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EB25D3"/>
    <w:multiLevelType w:val="hybridMultilevel"/>
    <w:tmpl w:val="E8A22C5C"/>
    <w:lvl w:ilvl="0" w:tplc="37DAEE1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145348"/>
    <w:multiLevelType w:val="hybridMultilevel"/>
    <w:tmpl w:val="4E5EE1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7C2223"/>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AC1E8E"/>
    <w:multiLevelType w:val="hybridMultilevel"/>
    <w:tmpl w:val="0C9C14B8"/>
    <w:lvl w:ilvl="0" w:tplc="04929C6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1"/>
  </w:num>
  <w:num w:numId="6">
    <w:abstractNumId w:val="5"/>
  </w:num>
  <w:num w:numId="7">
    <w:abstractNumId w:val="0"/>
  </w:num>
  <w:num w:numId="8">
    <w:abstractNumId w:val="10"/>
  </w:num>
  <w:num w:numId="9">
    <w:abstractNumId w:val="7"/>
  </w:num>
  <w:num w:numId="10">
    <w:abstractNumId w:val="3"/>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1A"/>
    <w:rsid w:val="00021D11"/>
    <w:rsid w:val="00024EAD"/>
    <w:rsid w:val="00031609"/>
    <w:rsid w:val="00044904"/>
    <w:rsid w:val="00066BB1"/>
    <w:rsid w:val="00081FAD"/>
    <w:rsid w:val="000B2880"/>
    <w:rsid w:val="000D2107"/>
    <w:rsid w:val="000F49F9"/>
    <w:rsid w:val="000F5D5F"/>
    <w:rsid w:val="00104E0F"/>
    <w:rsid w:val="001119CF"/>
    <w:rsid w:val="00126E02"/>
    <w:rsid w:val="00135945"/>
    <w:rsid w:val="001534C5"/>
    <w:rsid w:val="0018027A"/>
    <w:rsid w:val="00187D71"/>
    <w:rsid w:val="001A0DE6"/>
    <w:rsid w:val="001C7441"/>
    <w:rsid w:val="001E0F6B"/>
    <w:rsid w:val="001F03E2"/>
    <w:rsid w:val="00243DFA"/>
    <w:rsid w:val="002543BA"/>
    <w:rsid w:val="0027649E"/>
    <w:rsid w:val="002B691E"/>
    <w:rsid w:val="002C1A51"/>
    <w:rsid w:val="002C3DED"/>
    <w:rsid w:val="002E422E"/>
    <w:rsid w:val="003266F0"/>
    <w:rsid w:val="00352D71"/>
    <w:rsid w:val="00371223"/>
    <w:rsid w:val="00375C5A"/>
    <w:rsid w:val="003779EF"/>
    <w:rsid w:val="00387FA6"/>
    <w:rsid w:val="003A2046"/>
    <w:rsid w:val="003A5FD5"/>
    <w:rsid w:val="003B21D9"/>
    <w:rsid w:val="003C2646"/>
    <w:rsid w:val="003F1836"/>
    <w:rsid w:val="00404C38"/>
    <w:rsid w:val="0044231F"/>
    <w:rsid w:val="004574B9"/>
    <w:rsid w:val="00464A43"/>
    <w:rsid w:val="004747EA"/>
    <w:rsid w:val="00480A89"/>
    <w:rsid w:val="004A0474"/>
    <w:rsid w:val="004A0C65"/>
    <w:rsid w:val="00515A26"/>
    <w:rsid w:val="00524AB5"/>
    <w:rsid w:val="00573BD9"/>
    <w:rsid w:val="00574701"/>
    <w:rsid w:val="005A19F9"/>
    <w:rsid w:val="00603930"/>
    <w:rsid w:val="00614562"/>
    <w:rsid w:val="0063373F"/>
    <w:rsid w:val="00642624"/>
    <w:rsid w:val="006507BA"/>
    <w:rsid w:val="00650FED"/>
    <w:rsid w:val="00665475"/>
    <w:rsid w:val="00676F32"/>
    <w:rsid w:val="00687746"/>
    <w:rsid w:val="0069386F"/>
    <w:rsid w:val="00737CF0"/>
    <w:rsid w:val="00742939"/>
    <w:rsid w:val="007A0DEA"/>
    <w:rsid w:val="007D18AE"/>
    <w:rsid w:val="007D1D98"/>
    <w:rsid w:val="007E00E8"/>
    <w:rsid w:val="007E1783"/>
    <w:rsid w:val="007F7CA4"/>
    <w:rsid w:val="0081475E"/>
    <w:rsid w:val="008161F5"/>
    <w:rsid w:val="0086162D"/>
    <w:rsid w:val="00866EA7"/>
    <w:rsid w:val="0089206D"/>
    <w:rsid w:val="008B2841"/>
    <w:rsid w:val="008D323C"/>
    <w:rsid w:val="008D763F"/>
    <w:rsid w:val="00910035"/>
    <w:rsid w:val="0094318E"/>
    <w:rsid w:val="00982E68"/>
    <w:rsid w:val="00996088"/>
    <w:rsid w:val="009A7B49"/>
    <w:rsid w:val="009E1821"/>
    <w:rsid w:val="00A337DC"/>
    <w:rsid w:val="00A51FD1"/>
    <w:rsid w:val="00A759DD"/>
    <w:rsid w:val="00A76579"/>
    <w:rsid w:val="00AA6A37"/>
    <w:rsid w:val="00AC3E82"/>
    <w:rsid w:val="00AF74BF"/>
    <w:rsid w:val="00B24775"/>
    <w:rsid w:val="00B334C8"/>
    <w:rsid w:val="00B35EFC"/>
    <w:rsid w:val="00B41FE9"/>
    <w:rsid w:val="00B4271A"/>
    <w:rsid w:val="00B76701"/>
    <w:rsid w:val="00B92CC1"/>
    <w:rsid w:val="00BA44F7"/>
    <w:rsid w:val="00BB0D38"/>
    <w:rsid w:val="00BB394A"/>
    <w:rsid w:val="00BC7C69"/>
    <w:rsid w:val="00BD40E0"/>
    <w:rsid w:val="00BD5CD1"/>
    <w:rsid w:val="00BD6191"/>
    <w:rsid w:val="00BD64CF"/>
    <w:rsid w:val="00C123B8"/>
    <w:rsid w:val="00C231D4"/>
    <w:rsid w:val="00C949A8"/>
    <w:rsid w:val="00CA0522"/>
    <w:rsid w:val="00CC046E"/>
    <w:rsid w:val="00CF2D7A"/>
    <w:rsid w:val="00D67D58"/>
    <w:rsid w:val="00D81020"/>
    <w:rsid w:val="00D852F7"/>
    <w:rsid w:val="00DA20B7"/>
    <w:rsid w:val="00DD614B"/>
    <w:rsid w:val="00DE0BC6"/>
    <w:rsid w:val="00DE2D68"/>
    <w:rsid w:val="00DE5285"/>
    <w:rsid w:val="00DE7BFC"/>
    <w:rsid w:val="00E016DF"/>
    <w:rsid w:val="00E0789A"/>
    <w:rsid w:val="00E31C4E"/>
    <w:rsid w:val="00E4539A"/>
    <w:rsid w:val="00E564FE"/>
    <w:rsid w:val="00E60363"/>
    <w:rsid w:val="00EA21C2"/>
    <w:rsid w:val="00EE6361"/>
    <w:rsid w:val="00F01D68"/>
    <w:rsid w:val="00F049A6"/>
    <w:rsid w:val="00F07ED1"/>
    <w:rsid w:val="00F311AD"/>
    <w:rsid w:val="00F43504"/>
    <w:rsid w:val="00F87434"/>
    <w:rsid w:val="00FA25BB"/>
    <w:rsid w:val="00FC2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link w:val="naisfChar"/>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character" w:customStyle="1" w:styleId="apple-converted-space">
    <w:name w:val="apple-converted-space"/>
    <w:basedOn w:val="DefaultParagraphFont"/>
    <w:rsid w:val="004574B9"/>
  </w:style>
  <w:style w:type="paragraph" w:customStyle="1" w:styleId="tv20787921">
    <w:name w:val="tv207_87_921"/>
    <w:basedOn w:val="Normal"/>
    <w:rsid w:val="00BB394A"/>
    <w:pPr>
      <w:spacing w:after="567" w:line="360" w:lineRule="auto"/>
      <w:jc w:val="center"/>
    </w:pPr>
    <w:rPr>
      <w:rFonts w:ascii="Verdana" w:eastAsia="Times New Roman" w:hAnsi="Verdana" w:cs="Times New Roman"/>
      <w:b/>
      <w:bCs/>
      <w:sz w:val="28"/>
      <w:szCs w:val="28"/>
      <w:lang w:eastAsia="lv-LV"/>
    </w:rPr>
  </w:style>
  <w:style w:type="character" w:customStyle="1" w:styleId="naisfChar">
    <w:name w:val="naisf Char"/>
    <w:link w:val="naisf"/>
    <w:uiPriority w:val="99"/>
    <w:locked/>
    <w:rsid w:val="007F7CA4"/>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link w:val="naisfChar"/>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character" w:customStyle="1" w:styleId="apple-converted-space">
    <w:name w:val="apple-converted-space"/>
    <w:basedOn w:val="DefaultParagraphFont"/>
    <w:rsid w:val="004574B9"/>
  </w:style>
  <w:style w:type="paragraph" w:customStyle="1" w:styleId="tv20787921">
    <w:name w:val="tv207_87_921"/>
    <w:basedOn w:val="Normal"/>
    <w:rsid w:val="00BB394A"/>
    <w:pPr>
      <w:spacing w:after="567" w:line="360" w:lineRule="auto"/>
      <w:jc w:val="center"/>
    </w:pPr>
    <w:rPr>
      <w:rFonts w:ascii="Verdana" w:eastAsia="Times New Roman" w:hAnsi="Verdana" w:cs="Times New Roman"/>
      <w:b/>
      <w:bCs/>
      <w:sz w:val="28"/>
      <w:szCs w:val="28"/>
      <w:lang w:eastAsia="lv-LV"/>
    </w:rPr>
  </w:style>
  <w:style w:type="character" w:customStyle="1" w:styleId="naisfChar">
    <w:name w:val="naisf Char"/>
    <w:link w:val="naisf"/>
    <w:uiPriority w:val="99"/>
    <w:locked/>
    <w:rsid w:val="007F7CA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nese.lasmane@ikv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kvd.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E32B-B029-42AD-B126-3ECEB851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Ingrida.Majevska</cp:lastModifiedBy>
  <cp:revision>2</cp:revision>
  <cp:lastPrinted>2017-05-11T12:52:00Z</cp:lastPrinted>
  <dcterms:created xsi:type="dcterms:W3CDTF">2017-07-17T13:51:00Z</dcterms:created>
  <dcterms:modified xsi:type="dcterms:W3CDTF">2017-07-17T13:51:00Z</dcterms:modified>
</cp:coreProperties>
</file>