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98" w:rsidRPr="002E707F" w:rsidRDefault="00480A98" w:rsidP="00480A98">
      <w:pPr>
        <w:pStyle w:val="NormalWeb"/>
        <w:spacing w:before="0" w:beforeAutospacing="0" w:after="0" w:afterAutospacing="0"/>
        <w:jc w:val="center"/>
        <w:rPr>
          <w:rFonts w:ascii="Times New Roman" w:hAnsi="Times New Roman"/>
          <w:b/>
          <w:sz w:val="28"/>
          <w:szCs w:val="28"/>
          <w:lang w:val="lv-LV"/>
        </w:rPr>
      </w:pPr>
      <w:r w:rsidRPr="002E707F">
        <w:rPr>
          <w:rFonts w:ascii="Times New Roman" w:hAnsi="Times New Roman"/>
          <w:b/>
          <w:sz w:val="28"/>
          <w:szCs w:val="28"/>
          <w:lang w:val="lv-LV"/>
        </w:rPr>
        <w:t>Ministru kabineta noteikumu projekta</w:t>
      </w:r>
    </w:p>
    <w:p w:rsidR="00480A98" w:rsidRPr="002E707F" w:rsidRDefault="00480A98" w:rsidP="00480A98">
      <w:pPr>
        <w:pStyle w:val="Footer"/>
        <w:spacing w:after="0" w:line="240" w:lineRule="auto"/>
        <w:jc w:val="center"/>
        <w:rPr>
          <w:rFonts w:ascii="Times New Roman" w:hAnsi="Times New Roman"/>
          <w:b/>
          <w:sz w:val="28"/>
          <w:szCs w:val="28"/>
        </w:rPr>
      </w:pPr>
      <w:r w:rsidRPr="002E707F">
        <w:rPr>
          <w:rFonts w:ascii="Times New Roman" w:hAnsi="Times New Roman"/>
          <w:b/>
          <w:sz w:val="28"/>
          <w:szCs w:val="28"/>
        </w:rPr>
        <w:t xml:space="preserve">„Grozījumi Ministru kabineta 2014.gada 25.februāra noteikumos </w:t>
      </w:r>
    </w:p>
    <w:p w:rsidR="00480A98" w:rsidRPr="002E707F" w:rsidRDefault="00480A98" w:rsidP="00480A98">
      <w:pPr>
        <w:pStyle w:val="Footer"/>
        <w:spacing w:after="0" w:line="240" w:lineRule="auto"/>
        <w:jc w:val="center"/>
        <w:rPr>
          <w:rFonts w:ascii="Times New Roman" w:hAnsi="Times New Roman"/>
          <w:b/>
          <w:sz w:val="28"/>
          <w:szCs w:val="28"/>
        </w:rPr>
      </w:pPr>
      <w:r w:rsidRPr="002E707F">
        <w:rPr>
          <w:rFonts w:ascii="Times New Roman" w:hAnsi="Times New Roman"/>
          <w:b/>
          <w:sz w:val="28"/>
          <w:szCs w:val="28"/>
        </w:rPr>
        <w:t>Nr.116 „Būvkomersantu reģistrācijas noteikumi””</w:t>
      </w:r>
    </w:p>
    <w:p w:rsidR="00F92030" w:rsidRPr="002E707F" w:rsidRDefault="00480A98" w:rsidP="00627D28">
      <w:pPr>
        <w:pStyle w:val="Footer"/>
        <w:spacing w:after="0" w:line="240" w:lineRule="auto"/>
        <w:jc w:val="center"/>
        <w:rPr>
          <w:rStyle w:val="Strong"/>
          <w:rFonts w:ascii="Times New Roman" w:hAnsi="Times New Roman"/>
          <w:b w:val="0"/>
          <w:bCs w:val="0"/>
          <w:sz w:val="28"/>
          <w:szCs w:val="28"/>
        </w:rPr>
      </w:pPr>
      <w:r w:rsidRPr="002E707F">
        <w:rPr>
          <w:rFonts w:ascii="Times New Roman" w:hAnsi="Times New Roman"/>
          <w:b/>
          <w:sz w:val="28"/>
          <w:szCs w:val="28"/>
        </w:rPr>
        <w:t xml:space="preserve"> </w:t>
      </w:r>
      <w:r w:rsidRPr="002E707F">
        <w:rPr>
          <w:rFonts w:ascii="Times New Roman" w:hAnsi="Times New Roman"/>
          <w:b/>
          <w:bCs/>
          <w:sz w:val="28"/>
          <w:szCs w:val="28"/>
          <w:lang w:eastAsia="lv-LV"/>
        </w:rPr>
        <w:t>sākotnējās ietekmes novērtējuma ziņojums (anotācija)</w:t>
      </w:r>
    </w:p>
    <w:p w:rsidR="009D365E" w:rsidRPr="002E707F" w:rsidRDefault="00D1739C" w:rsidP="009911B4">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807"/>
        <w:gridCol w:w="5795"/>
      </w:tblGrid>
      <w:tr w:rsidR="00EE350B" w:rsidRPr="002E707F" w:rsidTr="004F656F">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34371" w:rsidRPr="002E707F" w:rsidRDefault="00734371" w:rsidP="004F656F">
            <w:pPr>
              <w:spacing w:after="0" w:line="240" w:lineRule="auto"/>
              <w:ind w:firstLine="300"/>
              <w:jc w:val="center"/>
              <w:rPr>
                <w:rFonts w:ascii="Times New Roman" w:eastAsia="Times New Roman" w:hAnsi="Times New Roman"/>
                <w:b/>
                <w:bCs/>
                <w:sz w:val="28"/>
                <w:szCs w:val="28"/>
                <w:lang w:eastAsia="lv-LV"/>
              </w:rPr>
            </w:pPr>
            <w:r w:rsidRPr="002E707F">
              <w:rPr>
                <w:rFonts w:ascii="Times New Roman" w:eastAsia="Times New Roman" w:hAnsi="Times New Roman"/>
                <w:b/>
                <w:bCs/>
                <w:sz w:val="28"/>
                <w:szCs w:val="28"/>
                <w:lang w:eastAsia="lv-LV"/>
              </w:rPr>
              <w:t>I. Tiesību akta projekta izstrādes nepieciešamība</w:t>
            </w:r>
          </w:p>
        </w:tc>
      </w:tr>
      <w:tr w:rsidR="00EE350B" w:rsidRPr="002E707F" w:rsidTr="0015149F">
        <w:trPr>
          <w:trHeight w:val="2507"/>
        </w:trPr>
        <w:tc>
          <w:tcPr>
            <w:tcW w:w="2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rsidP="004F656F">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rsidP="004F656F">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5"/>
            </w:tblGrid>
            <w:tr w:rsidR="00EE350B" w:rsidRPr="002E707F" w:rsidTr="0015149F">
              <w:trPr>
                <w:trHeight w:val="2364"/>
                <w:tblCellSpacing w:w="0" w:type="dxa"/>
              </w:trPr>
              <w:tc>
                <w:tcPr>
                  <w:tcW w:w="0" w:type="auto"/>
                  <w:shd w:val="clear" w:color="auto" w:fill="FFFFFF"/>
                  <w:tcMar>
                    <w:top w:w="0" w:type="dxa"/>
                    <w:left w:w="150" w:type="dxa"/>
                    <w:bottom w:w="0" w:type="dxa"/>
                    <w:right w:w="0" w:type="dxa"/>
                  </w:tcMar>
                  <w:vAlign w:val="center"/>
                  <w:hideMark/>
                </w:tcPr>
                <w:p w:rsidR="008C45C8" w:rsidRDefault="00FF745B" w:rsidP="00AC7AD7">
                  <w:pPr>
                    <w:framePr w:hSpace="180" w:wrap="around" w:vAnchor="text" w:hAnchor="text" w:y="1"/>
                    <w:spacing w:after="0" w:line="240" w:lineRule="auto"/>
                    <w:suppressOverlap/>
                    <w:jc w:val="both"/>
                    <w:rPr>
                      <w:rFonts w:ascii="Times New Roman" w:hAnsi="Times New Roman"/>
                      <w:sz w:val="28"/>
                      <w:szCs w:val="28"/>
                    </w:rPr>
                  </w:pPr>
                  <w:r w:rsidRPr="00FF745B">
                    <w:rPr>
                      <w:rFonts w:ascii="Times New Roman" w:hAnsi="Times New Roman"/>
                      <w:sz w:val="28"/>
                      <w:szCs w:val="28"/>
                    </w:rPr>
                    <w:t xml:space="preserve">Noteikumu projekts izstrādāts, pamatojoties uz Būvniecības likuma 5.panta pirmās daļas 7.punktu, kurā noteikts, ka kārtību un nosacījumus komersantu reģistrācijai un </w:t>
                  </w:r>
                  <w:proofErr w:type="spellStart"/>
                  <w:r w:rsidRPr="00FF745B">
                    <w:rPr>
                      <w:rFonts w:ascii="Times New Roman" w:hAnsi="Times New Roman"/>
                      <w:sz w:val="28"/>
                      <w:szCs w:val="28"/>
                    </w:rPr>
                    <w:t>pārreģistrācijai</w:t>
                  </w:r>
                  <w:proofErr w:type="spellEnd"/>
                  <w:r w:rsidRPr="00FF745B">
                    <w:rPr>
                      <w:rFonts w:ascii="Times New Roman" w:hAnsi="Times New Roman"/>
                      <w:sz w:val="28"/>
                      <w:szCs w:val="28"/>
                    </w:rPr>
                    <w:t xml:space="preserve"> būvkomersantu reģistrā, izslēgšanai no reģistra, kā arī reģistra datu saturu un izmantošanas kārtību, par reģistrācijas darbībām maksājamās valsts nodevas apmēru</w:t>
                  </w:r>
                  <w:r w:rsidR="00165C8E">
                    <w:rPr>
                      <w:rFonts w:ascii="Times New Roman" w:hAnsi="Times New Roman"/>
                      <w:sz w:val="28"/>
                      <w:szCs w:val="28"/>
                    </w:rPr>
                    <w:t>, atvieglojumus</w:t>
                  </w:r>
                  <w:r w:rsidRPr="00FF745B">
                    <w:rPr>
                      <w:rFonts w:ascii="Times New Roman" w:hAnsi="Times New Roman"/>
                      <w:sz w:val="28"/>
                      <w:szCs w:val="28"/>
                    </w:rPr>
                    <w:t xml:space="preserve"> un maksāšanas kārtību </w:t>
                  </w:r>
                  <w:r w:rsidR="00764828">
                    <w:rPr>
                      <w:rFonts w:ascii="Times New Roman" w:hAnsi="Times New Roman"/>
                      <w:sz w:val="28"/>
                      <w:szCs w:val="28"/>
                    </w:rPr>
                    <w:t>(g</w:t>
                  </w:r>
                  <w:r w:rsidR="00764828" w:rsidRPr="00764828">
                    <w:rPr>
                      <w:rFonts w:ascii="Times New Roman" w:hAnsi="Times New Roman"/>
                      <w:sz w:val="28"/>
                      <w:szCs w:val="28"/>
                    </w:rPr>
                    <w:t xml:space="preserve">rozījumi Būvniecības likumā </w:t>
                  </w:r>
                  <w:r w:rsidR="00764828">
                    <w:rPr>
                      <w:rFonts w:ascii="Times New Roman" w:hAnsi="Times New Roman"/>
                      <w:sz w:val="28"/>
                      <w:szCs w:val="28"/>
                    </w:rPr>
                    <w:t>22.06.2017., kas s</w:t>
                  </w:r>
                  <w:r w:rsidR="00764828" w:rsidRPr="00764828">
                    <w:rPr>
                      <w:rFonts w:ascii="Times New Roman" w:hAnsi="Times New Roman"/>
                      <w:sz w:val="28"/>
                      <w:szCs w:val="28"/>
                    </w:rPr>
                    <w:t>tājas spēkā 10.07.2017.</w:t>
                  </w:r>
                  <w:r w:rsidR="00764828">
                    <w:rPr>
                      <w:rFonts w:ascii="Times New Roman" w:hAnsi="Times New Roman"/>
                      <w:sz w:val="28"/>
                      <w:szCs w:val="28"/>
                    </w:rPr>
                    <w:t>)</w:t>
                  </w:r>
                  <w:r w:rsidR="00764828" w:rsidRPr="00764828">
                    <w:rPr>
                      <w:rFonts w:ascii="Times New Roman" w:hAnsi="Times New Roman"/>
                      <w:sz w:val="28"/>
                      <w:szCs w:val="28"/>
                    </w:rPr>
                    <w:t xml:space="preserve"> </w:t>
                  </w:r>
                  <w:r w:rsidR="008C45C8">
                    <w:rPr>
                      <w:rFonts w:ascii="Times New Roman" w:hAnsi="Times New Roman"/>
                      <w:sz w:val="28"/>
                      <w:szCs w:val="28"/>
                    </w:rPr>
                    <w:t>nosaka Ministru kabinets.</w:t>
                  </w:r>
                </w:p>
                <w:p w:rsidR="008C45C8" w:rsidRDefault="008C45C8" w:rsidP="00AC7AD7">
                  <w:pPr>
                    <w:framePr w:hSpace="180" w:wrap="around" w:vAnchor="text" w:hAnchor="text" w:y="1"/>
                    <w:spacing w:after="0" w:line="240" w:lineRule="auto"/>
                    <w:suppressOverlap/>
                    <w:jc w:val="both"/>
                    <w:rPr>
                      <w:rFonts w:ascii="Times New Roman" w:hAnsi="Times New Roman"/>
                      <w:sz w:val="28"/>
                      <w:szCs w:val="28"/>
                    </w:rPr>
                  </w:pPr>
                  <w:r w:rsidRPr="00B45201">
                    <w:rPr>
                      <w:rFonts w:ascii="Times New Roman" w:hAnsi="Times New Roman"/>
                      <w:sz w:val="28"/>
                      <w:szCs w:val="28"/>
                    </w:rPr>
                    <w:t xml:space="preserve">2014.gada 19.novembra </w:t>
                  </w:r>
                  <w:r>
                    <w:rPr>
                      <w:rFonts w:ascii="Times New Roman" w:hAnsi="Times New Roman"/>
                      <w:sz w:val="28"/>
                      <w:szCs w:val="28"/>
                    </w:rPr>
                    <w:t xml:space="preserve">Ministru kabineta sēdē </w:t>
                  </w:r>
                  <w:r w:rsidRPr="00B45201">
                    <w:rPr>
                      <w:rFonts w:ascii="Times New Roman" w:hAnsi="Times New Roman"/>
                      <w:sz w:val="28"/>
                      <w:szCs w:val="28"/>
                    </w:rPr>
                    <w:t xml:space="preserve"> </w:t>
                  </w:r>
                  <w:r>
                    <w:rPr>
                      <w:rFonts w:ascii="Times New Roman" w:hAnsi="Times New Roman"/>
                      <w:sz w:val="28"/>
                      <w:szCs w:val="28"/>
                    </w:rPr>
                    <w:t>(</w:t>
                  </w:r>
                  <w:r w:rsidRPr="00B45201">
                    <w:rPr>
                      <w:rFonts w:ascii="Times New Roman" w:hAnsi="Times New Roman"/>
                      <w:sz w:val="28"/>
                      <w:szCs w:val="28"/>
                    </w:rPr>
                    <w:t>protokola Nr.63, 22.§</w:t>
                  </w:r>
                  <w:r>
                    <w:rPr>
                      <w:rFonts w:ascii="Times New Roman" w:hAnsi="Times New Roman"/>
                      <w:sz w:val="28"/>
                      <w:szCs w:val="28"/>
                    </w:rPr>
                    <w:t xml:space="preserve">) tika izskatīts </w:t>
                  </w:r>
                  <w:r w:rsidRPr="00B45201">
                    <w:rPr>
                      <w:rFonts w:ascii="Times New Roman" w:hAnsi="Times New Roman"/>
                      <w:sz w:val="28"/>
                      <w:szCs w:val="28"/>
                    </w:rPr>
                    <w:t xml:space="preserve"> „Informatīvais ziņojums „Par valsts nodevu būvniecības pakalpojumiem””</w:t>
                  </w:r>
                  <w:r w:rsidR="00FF6658">
                    <w:rPr>
                      <w:rFonts w:ascii="Times New Roman" w:hAnsi="Times New Roman"/>
                      <w:sz w:val="28"/>
                      <w:szCs w:val="28"/>
                    </w:rPr>
                    <w:t>.</w:t>
                  </w:r>
                  <w:r>
                    <w:rPr>
                      <w:rFonts w:ascii="Times New Roman" w:hAnsi="Times New Roman"/>
                      <w:sz w:val="28"/>
                      <w:szCs w:val="28"/>
                    </w:rPr>
                    <w:t xml:space="preserve"> </w:t>
                  </w:r>
                  <w:r w:rsidR="00FF6658">
                    <w:rPr>
                      <w:rFonts w:ascii="Times New Roman" w:hAnsi="Times New Roman"/>
                      <w:sz w:val="28"/>
                      <w:szCs w:val="28"/>
                    </w:rPr>
                    <w:t>S</w:t>
                  </w:r>
                  <w:r>
                    <w:rPr>
                      <w:rFonts w:ascii="Times New Roman" w:hAnsi="Times New Roman"/>
                      <w:sz w:val="28"/>
                      <w:szCs w:val="28"/>
                    </w:rPr>
                    <w:t xml:space="preserve">askaņā ar  </w:t>
                  </w:r>
                  <w:r w:rsidR="00FF6658">
                    <w:rPr>
                      <w:rFonts w:ascii="Times New Roman" w:hAnsi="Times New Roman"/>
                      <w:sz w:val="28"/>
                      <w:szCs w:val="28"/>
                    </w:rPr>
                    <w:t xml:space="preserve">minētā </w:t>
                  </w:r>
                  <w:proofErr w:type="spellStart"/>
                  <w:r w:rsidR="00FF6658">
                    <w:rPr>
                      <w:rFonts w:ascii="Times New Roman" w:hAnsi="Times New Roman"/>
                      <w:sz w:val="28"/>
                      <w:szCs w:val="28"/>
                    </w:rPr>
                    <w:t>protokollēmuma</w:t>
                  </w:r>
                  <w:proofErr w:type="spellEnd"/>
                  <w:r w:rsidR="00FF6658">
                    <w:rPr>
                      <w:rFonts w:ascii="Times New Roman" w:hAnsi="Times New Roman"/>
                      <w:sz w:val="28"/>
                      <w:szCs w:val="28"/>
                    </w:rPr>
                    <w:t xml:space="preserve"> 2.punktu tika atbalstīts informatīvā ziņojuma secinājumu daļā ietvertais risinājums būvniecības nodevai aprakstīto </w:t>
                  </w:r>
                  <w:r w:rsidR="00FF6658" w:rsidRPr="00FF6658">
                    <w:rPr>
                      <w:rFonts w:ascii="Times New Roman" w:hAnsi="Times New Roman"/>
                      <w:sz w:val="28"/>
                      <w:szCs w:val="28"/>
                    </w:rPr>
                    <w:t>mērķu  sasniegšanai.</w:t>
                  </w:r>
                  <w:r w:rsidR="00FF6658">
                    <w:rPr>
                      <w:rFonts w:ascii="Times New Roman" w:hAnsi="Times New Roman"/>
                      <w:sz w:val="28"/>
                      <w:szCs w:val="28"/>
                    </w:rPr>
                    <w:t xml:space="preserve"> </w:t>
                  </w:r>
                  <w:r w:rsidR="00FF6658" w:rsidRPr="00FF6658">
                    <w:rPr>
                      <w:rFonts w:ascii="Times New Roman" w:hAnsi="Times New Roman"/>
                      <w:sz w:val="28"/>
                      <w:szCs w:val="28"/>
                    </w:rPr>
                    <w:t>Finansēšanai piedāvāts nodevu par reģistrācijas darbībām būvkomersantu reģistrā (</w:t>
                  </w:r>
                  <w:r w:rsidR="00FF6658" w:rsidRPr="0036712B">
                    <w:rPr>
                      <w:rFonts w:ascii="Times New Roman" w:hAnsi="Times New Roman"/>
                      <w:sz w:val="28"/>
                      <w:szCs w:val="28"/>
                    </w:rPr>
                    <w:t>Likums „Par nodokļiem un nodevām” 11.panta 23.</w:t>
                  </w:r>
                  <w:r w:rsidR="00FF6658" w:rsidRPr="0036712B">
                    <w:rPr>
                      <w:rFonts w:ascii="Times New Roman" w:hAnsi="Times New Roman"/>
                      <w:sz w:val="28"/>
                      <w:szCs w:val="28"/>
                      <w:vertAlign w:val="superscript"/>
                    </w:rPr>
                    <w:t>1</w:t>
                  </w:r>
                  <w:r w:rsidR="00FF6658" w:rsidRPr="0036712B">
                    <w:rPr>
                      <w:rFonts w:ascii="Times New Roman" w:hAnsi="Times New Roman"/>
                      <w:sz w:val="28"/>
                      <w:szCs w:val="28"/>
                    </w:rPr>
                    <w:t>.punkts</w:t>
                  </w:r>
                  <w:r w:rsidR="00FF6658" w:rsidRPr="00FF6658">
                    <w:rPr>
                      <w:rFonts w:ascii="Times New Roman" w:hAnsi="Times New Roman"/>
                      <w:sz w:val="28"/>
                      <w:szCs w:val="28"/>
                    </w:rPr>
                    <w:t xml:space="preserve">) paredzēt kā ikgadēju un piesaistīt to būvkomersantu apgrozījumam. </w:t>
                  </w:r>
                  <w:r w:rsidR="00FF6658">
                    <w:rPr>
                      <w:rFonts w:ascii="Times New Roman" w:hAnsi="Times New Roman"/>
                      <w:sz w:val="28"/>
                      <w:szCs w:val="28"/>
                    </w:rPr>
                    <w:t xml:space="preserve">Saskaņā ar </w:t>
                  </w:r>
                  <w:proofErr w:type="spellStart"/>
                  <w:r w:rsidR="00FF6658">
                    <w:rPr>
                      <w:rFonts w:ascii="Times New Roman" w:hAnsi="Times New Roman"/>
                      <w:sz w:val="28"/>
                      <w:szCs w:val="28"/>
                    </w:rPr>
                    <w:t>protokollēmuma</w:t>
                  </w:r>
                  <w:proofErr w:type="spellEnd"/>
                  <w:r w:rsidR="00FF6658">
                    <w:rPr>
                      <w:rFonts w:ascii="Times New Roman" w:hAnsi="Times New Roman"/>
                      <w:sz w:val="28"/>
                      <w:szCs w:val="28"/>
                    </w:rPr>
                    <w:t xml:space="preserve"> 3.un 4.punktu tika palielināti izdevumi budžeta programmā 20.00.00 “Būvniecība” un budžeta programmā 97.00.00 “Nozaru vadība un politikas plānošana”</w:t>
                  </w:r>
                  <w:r w:rsidR="00BC39A5">
                    <w:rPr>
                      <w:rFonts w:ascii="Times New Roman" w:hAnsi="Times New Roman"/>
                      <w:sz w:val="28"/>
                      <w:szCs w:val="28"/>
                    </w:rPr>
                    <w:t>, paredzot finansēt no nozares regulējuma izrietošo uzdevumu izpildei nepieciešamos pasākumus, kā arī būvniecības kontroles sistēmas izveidi un nodrošināšanu.</w:t>
                  </w:r>
                </w:p>
                <w:p w:rsidR="0091253A" w:rsidRPr="00FF745B" w:rsidRDefault="00FF6658" w:rsidP="00AC7AD7">
                  <w:pPr>
                    <w:framePr w:hSpace="180" w:wrap="around" w:vAnchor="text" w:hAnchor="text" w:y="1"/>
                    <w:spacing w:after="0" w:line="240" w:lineRule="auto"/>
                    <w:suppressOverlap/>
                    <w:jc w:val="both"/>
                    <w:rPr>
                      <w:rFonts w:ascii="Times New Roman" w:hAnsi="Times New Roman"/>
                      <w:sz w:val="28"/>
                      <w:szCs w:val="28"/>
                    </w:rPr>
                  </w:pPr>
                  <w:r w:rsidRPr="00FF745B">
                    <w:rPr>
                      <w:rFonts w:ascii="Times New Roman" w:hAnsi="Times New Roman"/>
                      <w:sz w:val="28"/>
                      <w:szCs w:val="28"/>
                    </w:rPr>
                    <w:t>Ministru kabineta</w:t>
                  </w:r>
                  <w:r>
                    <w:rPr>
                      <w:rFonts w:ascii="Times New Roman" w:hAnsi="Times New Roman"/>
                      <w:sz w:val="28"/>
                      <w:szCs w:val="28"/>
                    </w:rPr>
                    <w:t xml:space="preserve"> </w:t>
                  </w:r>
                  <w:r w:rsidRPr="00FF745B">
                    <w:rPr>
                      <w:rFonts w:ascii="Times New Roman" w:hAnsi="Times New Roman"/>
                      <w:sz w:val="28"/>
                      <w:szCs w:val="28"/>
                    </w:rPr>
                    <w:t xml:space="preserve">2016.gada 31.maija sēdes protokola Nr.26, 39.§ “Informatīvais ziņojums "Par valsts budžeta izdevumu pārskatīšanas 2017., 2018. un 2019.gadam rezultātiem un priekšlikumi par šo rezultātu izmantošanu likumprojekta "Par vidēja termiņa budžeta 2017., 2018. un </w:t>
                  </w:r>
                  <w:r w:rsidRPr="00FF745B">
                    <w:rPr>
                      <w:rFonts w:ascii="Times New Roman" w:hAnsi="Times New Roman"/>
                      <w:sz w:val="28"/>
                      <w:szCs w:val="28"/>
                    </w:rPr>
                    <w:lastRenderedPageBreak/>
                    <w:t>2019.gadam" un likumprojekta "Par valsts budžetu 2017.gadam" izstrādes procesā" 6.3.punktu Ekonomikas ministrijai uzdots veikt papildu pasākumus, lai nodrošinātu plānoto ieņēmumu no valsts nodevas par reģistrācijas darbībām būvkomersantu reģistrā izpildi 2</w:t>
                  </w:r>
                  <w:r>
                    <w:rPr>
                      <w:rFonts w:ascii="Times New Roman" w:hAnsi="Times New Roman"/>
                      <w:sz w:val="28"/>
                      <w:szCs w:val="28"/>
                    </w:rPr>
                    <w:t>017. un 2018.gadā.”</w:t>
                  </w:r>
                </w:p>
              </w:tc>
            </w:tr>
            <w:tr w:rsidR="00165C8E" w:rsidRPr="002E707F" w:rsidTr="00927F07">
              <w:trPr>
                <w:tblCellSpacing w:w="0" w:type="dxa"/>
              </w:trPr>
              <w:tc>
                <w:tcPr>
                  <w:tcW w:w="0" w:type="auto"/>
                  <w:shd w:val="clear" w:color="auto" w:fill="FFFFFF"/>
                  <w:tcMar>
                    <w:top w:w="0" w:type="dxa"/>
                    <w:left w:w="150" w:type="dxa"/>
                    <w:bottom w:w="0" w:type="dxa"/>
                    <w:right w:w="0" w:type="dxa"/>
                  </w:tcMar>
                  <w:vAlign w:val="center"/>
                </w:tcPr>
                <w:p w:rsidR="00165C8E" w:rsidRPr="00FF745B" w:rsidRDefault="00165C8E" w:rsidP="00AC7AD7">
                  <w:pPr>
                    <w:framePr w:hSpace="180" w:wrap="around" w:vAnchor="text" w:hAnchor="text" w:y="1"/>
                    <w:spacing w:after="0" w:line="240" w:lineRule="auto"/>
                    <w:suppressOverlap/>
                    <w:jc w:val="both"/>
                    <w:rPr>
                      <w:rFonts w:ascii="Times New Roman" w:hAnsi="Times New Roman"/>
                      <w:sz w:val="28"/>
                      <w:szCs w:val="28"/>
                    </w:rPr>
                  </w:pPr>
                </w:p>
              </w:tc>
            </w:tr>
            <w:tr w:rsidR="00EE350B" w:rsidRPr="002E707F" w:rsidTr="0015149F">
              <w:trPr>
                <w:trHeight w:val="68"/>
                <w:tblCellSpacing w:w="0" w:type="dxa"/>
              </w:trPr>
              <w:tc>
                <w:tcPr>
                  <w:tcW w:w="0" w:type="auto"/>
                  <w:shd w:val="clear" w:color="auto" w:fill="FFFFFF"/>
                  <w:tcMar>
                    <w:top w:w="0" w:type="dxa"/>
                    <w:left w:w="150" w:type="dxa"/>
                    <w:bottom w:w="0" w:type="dxa"/>
                    <w:right w:w="0" w:type="dxa"/>
                  </w:tcMar>
                  <w:vAlign w:val="center"/>
                  <w:hideMark/>
                </w:tcPr>
                <w:p w:rsidR="00927F07" w:rsidRPr="00FF745B" w:rsidRDefault="00927F07" w:rsidP="00AC7AD7">
                  <w:pPr>
                    <w:framePr w:hSpace="180" w:wrap="around" w:vAnchor="text" w:hAnchor="text" w:y="1"/>
                    <w:spacing w:after="0" w:line="240" w:lineRule="auto"/>
                    <w:suppressOverlap/>
                    <w:jc w:val="both"/>
                    <w:rPr>
                      <w:rFonts w:ascii="Times New Roman" w:hAnsi="Times New Roman"/>
                      <w:sz w:val="28"/>
                      <w:szCs w:val="28"/>
                    </w:rPr>
                  </w:pPr>
                </w:p>
              </w:tc>
            </w:tr>
          </w:tbl>
          <w:p w:rsidR="00734371" w:rsidRPr="002E707F" w:rsidRDefault="00734371" w:rsidP="004F4463">
            <w:pPr>
              <w:spacing w:after="0" w:line="240" w:lineRule="auto"/>
              <w:jc w:val="both"/>
              <w:rPr>
                <w:rFonts w:ascii="Times New Roman" w:eastAsia="Times New Roman" w:hAnsi="Times New Roman"/>
                <w:sz w:val="28"/>
                <w:szCs w:val="28"/>
                <w:lang w:eastAsia="lv-LV"/>
              </w:rPr>
            </w:pPr>
          </w:p>
        </w:tc>
      </w:tr>
      <w:tr w:rsidR="00EE350B" w:rsidRPr="002E707F" w:rsidTr="004F656F">
        <w:trPr>
          <w:trHeight w:val="658"/>
        </w:trPr>
        <w:tc>
          <w:tcPr>
            <w:tcW w:w="2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rsidP="004F656F">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rsidP="004F656F">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tcPr>
          <w:p w:rsidR="00960A3C" w:rsidRDefault="00960A3C" w:rsidP="004F4463">
            <w:pPr>
              <w:spacing w:after="0" w:line="240" w:lineRule="auto"/>
              <w:jc w:val="both"/>
              <w:rPr>
                <w:rFonts w:ascii="Times New Roman" w:hAnsi="Times New Roman"/>
                <w:sz w:val="28"/>
                <w:szCs w:val="28"/>
              </w:rPr>
            </w:pPr>
            <w:r>
              <w:rPr>
                <w:rFonts w:ascii="Times New Roman" w:hAnsi="Times New Roman"/>
                <w:sz w:val="28"/>
                <w:szCs w:val="28"/>
              </w:rPr>
              <w:t>Ministru kabineta 2014.gada 25.februāra noteikumi</w:t>
            </w:r>
            <w:r w:rsidRPr="00960A3C">
              <w:rPr>
                <w:rFonts w:ascii="Times New Roman" w:hAnsi="Times New Roman"/>
                <w:sz w:val="28"/>
                <w:szCs w:val="28"/>
              </w:rPr>
              <w:t xml:space="preserve"> Nr.116 „Būvkomersantu reģistrācijas noteikumi”</w:t>
            </w:r>
            <w:r>
              <w:rPr>
                <w:rFonts w:ascii="Times New Roman" w:hAnsi="Times New Roman"/>
                <w:sz w:val="28"/>
                <w:szCs w:val="28"/>
              </w:rPr>
              <w:t xml:space="preserve">, nosaka </w:t>
            </w:r>
            <w:r w:rsidRPr="00960A3C">
              <w:rPr>
                <w:rFonts w:ascii="Times New Roman" w:hAnsi="Times New Roman"/>
                <w:sz w:val="28"/>
                <w:szCs w:val="28"/>
              </w:rPr>
              <w:t xml:space="preserve">kārtību un nosacījumus komersantu reģistrācijai </w:t>
            </w:r>
            <w:r>
              <w:rPr>
                <w:rFonts w:ascii="Times New Roman" w:hAnsi="Times New Roman"/>
                <w:sz w:val="28"/>
                <w:szCs w:val="28"/>
              </w:rPr>
              <w:t>un izslēgšanai no būvkomersantu reģistra</w:t>
            </w:r>
            <w:r w:rsidRPr="00960A3C">
              <w:rPr>
                <w:rFonts w:ascii="Times New Roman" w:hAnsi="Times New Roman"/>
                <w:sz w:val="28"/>
                <w:szCs w:val="28"/>
              </w:rPr>
              <w:t>, reģi</w:t>
            </w:r>
            <w:r>
              <w:rPr>
                <w:rFonts w:ascii="Times New Roman" w:hAnsi="Times New Roman"/>
                <w:sz w:val="28"/>
                <w:szCs w:val="28"/>
              </w:rPr>
              <w:t>stra datu saturu un izmantošanu</w:t>
            </w:r>
            <w:r w:rsidRPr="00960A3C">
              <w:rPr>
                <w:rFonts w:ascii="Times New Roman" w:hAnsi="Times New Roman"/>
                <w:sz w:val="28"/>
                <w:szCs w:val="28"/>
              </w:rPr>
              <w:t>, par reģistrācijas darbībām maksājamās valsts nodevas apmēru un maksāšanas kārtību.</w:t>
            </w:r>
            <w:r>
              <w:rPr>
                <w:rFonts w:ascii="Times New Roman" w:hAnsi="Times New Roman"/>
                <w:sz w:val="28"/>
                <w:szCs w:val="28"/>
              </w:rPr>
              <w:t xml:space="preserve"> </w:t>
            </w:r>
          </w:p>
          <w:p w:rsidR="004E2F47" w:rsidRDefault="004E2F47" w:rsidP="004F4463">
            <w:pPr>
              <w:spacing w:after="0" w:line="240" w:lineRule="auto"/>
              <w:jc w:val="both"/>
              <w:rPr>
                <w:rFonts w:ascii="Times New Roman" w:hAnsi="Times New Roman"/>
                <w:sz w:val="28"/>
                <w:szCs w:val="28"/>
              </w:rPr>
            </w:pPr>
          </w:p>
          <w:p w:rsidR="00BC2F75" w:rsidRDefault="004E2F47" w:rsidP="004F4463">
            <w:pPr>
              <w:spacing w:after="0" w:line="240" w:lineRule="auto"/>
              <w:jc w:val="both"/>
              <w:rPr>
                <w:rFonts w:ascii="Times New Roman" w:hAnsi="Times New Roman"/>
                <w:sz w:val="28"/>
                <w:szCs w:val="28"/>
              </w:rPr>
            </w:pPr>
            <w:r>
              <w:rPr>
                <w:rFonts w:ascii="Times New Roman" w:hAnsi="Times New Roman"/>
                <w:sz w:val="28"/>
                <w:szCs w:val="28"/>
              </w:rPr>
              <w:t xml:space="preserve">Grozījumi </w:t>
            </w:r>
            <w:r w:rsidR="00BC2F75">
              <w:rPr>
                <w:rFonts w:ascii="Times New Roman" w:hAnsi="Times New Roman"/>
                <w:sz w:val="28"/>
                <w:szCs w:val="28"/>
              </w:rPr>
              <w:t>sagatavoti, lai:</w:t>
            </w:r>
          </w:p>
          <w:p w:rsidR="004E2F47" w:rsidRPr="00BC2F75" w:rsidRDefault="00BC2F75" w:rsidP="004F4463">
            <w:pPr>
              <w:pStyle w:val="ListParagraph"/>
              <w:numPr>
                <w:ilvl w:val="0"/>
                <w:numId w:val="13"/>
              </w:numPr>
              <w:spacing w:after="0" w:line="240" w:lineRule="auto"/>
              <w:jc w:val="both"/>
              <w:rPr>
                <w:rFonts w:ascii="Times New Roman" w:hAnsi="Times New Roman"/>
                <w:sz w:val="28"/>
                <w:szCs w:val="28"/>
              </w:rPr>
            </w:pPr>
            <w:r w:rsidRPr="00BC2F75">
              <w:rPr>
                <w:rFonts w:ascii="Times New Roman" w:hAnsi="Times New Roman"/>
                <w:sz w:val="28"/>
                <w:szCs w:val="28"/>
              </w:rPr>
              <w:t>nodrošinātu  Ministru kabineta 2016.gada 31.maija sēdes protokola Nr.26, 39.§ 6.3.punkta izpildi;</w:t>
            </w:r>
          </w:p>
          <w:p w:rsidR="00BC2F75" w:rsidRDefault="00BC2F75" w:rsidP="004F4463">
            <w:pPr>
              <w:pStyle w:val="ListParagraph"/>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vienādotu </w:t>
            </w:r>
            <w:r w:rsidR="00BC39A5">
              <w:rPr>
                <w:rFonts w:ascii="Times New Roman" w:hAnsi="Times New Roman"/>
                <w:sz w:val="28"/>
                <w:szCs w:val="28"/>
              </w:rPr>
              <w:t xml:space="preserve">nodevas piemērošanu </w:t>
            </w:r>
            <w:r>
              <w:rPr>
                <w:rFonts w:ascii="Times New Roman" w:hAnsi="Times New Roman"/>
                <w:sz w:val="28"/>
                <w:szCs w:val="28"/>
              </w:rPr>
              <w:t>attiecībā uz visiem būvkomersantiem;</w:t>
            </w:r>
          </w:p>
          <w:p w:rsidR="00BC2F75" w:rsidRDefault="00BC2F75" w:rsidP="004F4463">
            <w:pPr>
              <w:pStyle w:val="ListParagraph"/>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noteiktu pārbaudāmu lielumu, no kura tiek </w:t>
            </w:r>
            <w:proofErr w:type="spellStart"/>
            <w:r>
              <w:rPr>
                <w:rFonts w:ascii="Times New Roman" w:hAnsi="Times New Roman"/>
                <w:sz w:val="28"/>
                <w:szCs w:val="28"/>
              </w:rPr>
              <w:t>aprēkināta</w:t>
            </w:r>
            <w:proofErr w:type="spellEnd"/>
            <w:r>
              <w:rPr>
                <w:rFonts w:ascii="Times New Roman" w:hAnsi="Times New Roman"/>
                <w:sz w:val="28"/>
                <w:szCs w:val="28"/>
              </w:rPr>
              <w:t xml:space="preserve"> būvkomersantu nodeva;</w:t>
            </w:r>
          </w:p>
          <w:p w:rsidR="00BC2F75" w:rsidRDefault="00BC2F75" w:rsidP="004F4463">
            <w:pPr>
              <w:pStyle w:val="ListParagraph"/>
              <w:numPr>
                <w:ilvl w:val="0"/>
                <w:numId w:val="13"/>
              </w:numPr>
              <w:spacing w:after="0" w:line="240" w:lineRule="auto"/>
              <w:jc w:val="both"/>
              <w:rPr>
                <w:rFonts w:ascii="Times New Roman" w:hAnsi="Times New Roman"/>
                <w:sz w:val="28"/>
                <w:szCs w:val="28"/>
              </w:rPr>
            </w:pPr>
            <w:r>
              <w:rPr>
                <w:rFonts w:ascii="Times New Roman" w:hAnsi="Times New Roman"/>
                <w:sz w:val="28"/>
                <w:szCs w:val="28"/>
              </w:rPr>
              <w:t>noteiktu būvkomersantu nodevas maksāšanas atvieglojumus atbilstoši Būvniecības likuma deleģējumam;</w:t>
            </w:r>
          </w:p>
          <w:p w:rsidR="00BC2F75" w:rsidRPr="00BC2F75" w:rsidRDefault="00BC2F75" w:rsidP="004F4463">
            <w:pPr>
              <w:pStyle w:val="ListParagraph"/>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novērstu noteikumu piemērošanas laikā konstatēto nepilnību attiecībā uz </w:t>
            </w:r>
            <w:proofErr w:type="spellStart"/>
            <w:r>
              <w:rPr>
                <w:rFonts w:ascii="Times New Roman" w:hAnsi="Times New Roman"/>
                <w:sz w:val="28"/>
                <w:szCs w:val="28"/>
              </w:rPr>
              <w:t>būvspeciālistu</w:t>
            </w:r>
            <w:proofErr w:type="spellEnd"/>
            <w:r>
              <w:rPr>
                <w:rFonts w:ascii="Times New Roman" w:hAnsi="Times New Roman"/>
                <w:sz w:val="28"/>
                <w:szCs w:val="28"/>
              </w:rPr>
              <w:t xml:space="preserve"> nodarbināšanas ierobežojumiem</w:t>
            </w:r>
            <w:r w:rsidR="0055171B">
              <w:rPr>
                <w:rFonts w:ascii="Times New Roman" w:hAnsi="Times New Roman"/>
                <w:sz w:val="28"/>
                <w:szCs w:val="28"/>
              </w:rPr>
              <w:t>.</w:t>
            </w:r>
          </w:p>
          <w:p w:rsidR="00960A3C" w:rsidRPr="00960A3C" w:rsidRDefault="00960A3C" w:rsidP="004F4463">
            <w:pPr>
              <w:spacing w:after="0" w:line="240" w:lineRule="auto"/>
              <w:jc w:val="both"/>
              <w:rPr>
                <w:rFonts w:ascii="Times New Roman" w:hAnsi="Times New Roman"/>
                <w:sz w:val="28"/>
                <w:szCs w:val="28"/>
              </w:rPr>
            </w:pPr>
          </w:p>
          <w:p w:rsidR="0055171B" w:rsidRDefault="0055171B" w:rsidP="004F4463">
            <w:pPr>
              <w:pStyle w:val="ListParagraph"/>
              <w:numPr>
                <w:ilvl w:val="0"/>
                <w:numId w:val="15"/>
              </w:numPr>
              <w:spacing w:after="0" w:line="240" w:lineRule="auto"/>
              <w:ind w:left="102" w:firstLine="142"/>
              <w:jc w:val="both"/>
              <w:rPr>
                <w:rFonts w:ascii="Times New Roman" w:hAnsi="Times New Roman"/>
                <w:sz w:val="28"/>
                <w:szCs w:val="28"/>
              </w:rPr>
            </w:pPr>
            <w:r w:rsidRPr="0055171B">
              <w:rPr>
                <w:rFonts w:ascii="Times New Roman" w:hAnsi="Times New Roman"/>
                <w:sz w:val="28"/>
                <w:szCs w:val="28"/>
              </w:rPr>
              <w:t>Investīciju samazināšanās, kas saistīta ar Eiropas Savienības struktūrfondu un Kohēzija</w:t>
            </w:r>
            <w:r>
              <w:rPr>
                <w:rFonts w:ascii="Times New Roman" w:hAnsi="Times New Roman"/>
                <w:sz w:val="28"/>
                <w:szCs w:val="28"/>
              </w:rPr>
              <w:t>s fondu ieguldījumu samazinājumu</w:t>
            </w:r>
            <w:r w:rsidRPr="0055171B">
              <w:rPr>
                <w:rFonts w:ascii="Times New Roman" w:hAnsi="Times New Roman"/>
                <w:sz w:val="28"/>
                <w:szCs w:val="28"/>
              </w:rPr>
              <w:t xml:space="preserve"> starp 2007.-2013.gada un 2014.-2020.gada plānošanas periodiem radījis būtisku ietekmi uz būvniecības nozari (saskaņā ar Centrālās statistikas pārvaldes datiem </w:t>
            </w:r>
            <w:r w:rsidRPr="0055171B">
              <w:rPr>
                <w:rFonts w:ascii="Times New Roman" w:hAnsi="Times New Roman"/>
                <w:bCs/>
                <w:sz w:val="28"/>
                <w:szCs w:val="28"/>
              </w:rPr>
              <w:t>2016.gadā, salīdzinot ar 2015.gadu, būvniecības produkcijas apjoms pēc kalendāri izlīdzinātiem datiem samazinājās par 17.8 %)</w:t>
            </w:r>
            <w:r w:rsidRPr="0055171B">
              <w:rPr>
                <w:rFonts w:ascii="Times New Roman" w:hAnsi="Times New Roman"/>
                <w:sz w:val="28"/>
                <w:szCs w:val="28"/>
              </w:rPr>
              <w:t xml:space="preserve">, līdz ar to arī valsts pamatbudžeta ieņēmumu kontā </w:t>
            </w:r>
            <w:r w:rsidRPr="0055171B">
              <w:rPr>
                <w:rFonts w:ascii="Times New Roman" w:hAnsi="Times New Roman"/>
                <w:sz w:val="28"/>
                <w:szCs w:val="28"/>
              </w:rPr>
              <w:lastRenderedPageBreak/>
              <w:t xml:space="preserve">Valsts kasē iemaksātās ikgadējās valsts nodevas par būvkomersantu reģistrācijas darbībām nav sasniegušas prognozētos rādītājus. Būvkomersanti ikgadējo informācijas atjaunošanu un būvkomersantu nodevas samaksu veic līdz kārtējā gada 31.maijam. Līdz 2017.gada 10.jūlijam būvkomersantu nodeva ir samaksāta 1,636 </w:t>
            </w:r>
            <w:proofErr w:type="spellStart"/>
            <w:r w:rsidRPr="0055171B">
              <w:rPr>
                <w:rFonts w:ascii="Times New Roman" w:hAnsi="Times New Roman"/>
                <w:sz w:val="28"/>
                <w:szCs w:val="28"/>
              </w:rPr>
              <w:t>milj.</w:t>
            </w:r>
            <w:r w:rsidRPr="0055171B">
              <w:rPr>
                <w:rFonts w:ascii="Times New Roman" w:hAnsi="Times New Roman"/>
                <w:i/>
                <w:sz w:val="28"/>
                <w:szCs w:val="28"/>
              </w:rPr>
              <w:t>euro</w:t>
            </w:r>
            <w:proofErr w:type="spellEnd"/>
            <w:r w:rsidRPr="0055171B">
              <w:rPr>
                <w:rFonts w:ascii="Times New Roman" w:hAnsi="Times New Roman"/>
                <w:sz w:val="28"/>
                <w:szCs w:val="28"/>
              </w:rPr>
              <w:t xml:space="preserve">  apmērā, kas ir mazāk par, valsts nodevu ieviešot, sākotnēji plānotiem - 2 185 700 </w:t>
            </w:r>
            <w:proofErr w:type="spellStart"/>
            <w:r w:rsidRPr="0055171B">
              <w:rPr>
                <w:rFonts w:ascii="Times New Roman" w:hAnsi="Times New Roman"/>
                <w:i/>
                <w:sz w:val="28"/>
                <w:szCs w:val="28"/>
              </w:rPr>
              <w:t>euro</w:t>
            </w:r>
            <w:proofErr w:type="spellEnd"/>
            <w:r w:rsidRPr="0055171B">
              <w:rPr>
                <w:rFonts w:ascii="Times New Roman" w:hAnsi="Times New Roman"/>
                <w:i/>
                <w:sz w:val="28"/>
                <w:szCs w:val="28"/>
              </w:rPr>
              <w:t xml:space="preserve"> </w:t>
            </w:r>
            <w:r w:rsidRPr="0055171B">
              <w:rPr>
                <w:rFonts w:ascii="Times New Roman" w:eastAsia="Times New Roman" w:hAnsi="Times New Roman"/>
                <w:sz w:val="28"/>
                <w:szCs w:val="28"/>
                <w:lang w:eastAsia="lv-LV"/>
              </w:rPr>
              <w:t>(MK 19.11.2014. sēdes protokols Nr.63 22.§)</w:t>
            </w:r>
            <w:r w:rsidRPr="0055171B">
              <w:rPr>
                <w:rFonts w:ascii="Times New Roman" w:hAnsi="Times New Roman"/>
                <w:sz w:val="28"/>
                <w:szCs w:val="28"/>
              </w:rPr>
              <w:t>.</w:t>
            </w:r>
          </w:p>
          <w:p w:rsidR="00577D84" w:rsidRPr="00433A0F" w:rsidRDefault="00577D84" w:rsidP="004F4463">
            <w:pPr>
              <w:spacing w:after="0" w:line="240" w:lineRule="auto"/>
              <w:ind w:firstLine="567"/>
              <w:jc w:val="both"/>
              <w:rPr>
                <w:rFonts w:ascii="Times New Roman" w:hAnsi="Times New Roman"/>
                <w:sz w:val="28"/>
                <w:szCs w:val="28"/>
              </w:rPr>
            </w:pPr>
            <w:r>
              <w:rPr>
                <w:rFonts w:ascii="Times New Roman" w:hAnsi="Times New Roman"/>
                <w:sz w:val="28"/>
                <w:szCs w:val="28"/>
              </w:rPr>
              <w:t>Šobrīd v</w:t>
            </w:r>
            <w:r w:rsidRPr="00D662F3">
              <w:rPr>
                <w:rFonts w:ascii="Times New Roman" w:hAnsi="Times New Roman"/>
                <w:sz w:val="28"/>
                <w:szCs w:val="28"/>
              </w:rPr>
              <w:t xml:space="preserve">alsts nodeva ir diferencēta atkarībā no </w:t>
            </w:r>
            <w:r w:rsidRPr="00433A0F">
              <w:rPr>
                <w:rFonts w:ascii="Times New Roman" w:hAnsi="Times New Roman"/>
                <w:sz w:val="28"/>
                <w:szCs w:val="28"/>
              </w:rPr>
              <w:t xml:space="preserve">būvkomersanta </w:t>
            </w:r>
            <w:r w:rsidRPr="004A4701">
              <w:rPr>
                <w:rFonts w:ascii="Times New Roman" w:hAnsi="Times New Roman"/>
                <w:b/>
                <w:sz w:val="28"/>
                <w:szCs w:val="28"/>
              </w:rPr>
              <w:t>pašu spēkiem</w:t>
            </w:r>
            <w:r w:rsidRPr="00433A0F">
              <w:rPr>
                <w:rFonts w:ascii="Times New Roman" w:hAnsi="Times New Roman"/>
                <w:sz w:val="28"/>
                <w:szCs w:val="28"/>
              </w:rPr>
              <w:t xml:space="preserve"> sniegto pakalpojumu apjoma Latvijā konkrētajā gadā</w:t>
            </w:r>
            <w:r>
              <w:rPr>
                <w:rFonts w:ascii="Times New Roman" w:hAnsi="Times New Roman"/>
                <w:sz w:val="28"/>
                <w:szCs w:val="28"/>
              </w:rPr>
              <w:t xml:space="preserve"> šādā apmērā</w:t>
            </w:r>
            <w:r w:rsidRPr="00433A0F">
              <w:rPr>
                <w:rFonts w:ascii="Times New Roman" w:hAnsi="Times New Roman"/>
                <w:sz w:val="28"/>
                <w:szCs w:val="28"/>
              </w:rPr>
              <w:t xml:space="preserve">: </w:t>
            </w:r>
          </w:p>
          <w:p w:rsidR="00577D84" w:rsidRPr="00433A0F" w:rsidRDefault="00577D84" w:rsidP="004F4463">
            <w:pPr>
              <w:spacing w:after="0" w:line="240" w:lineRule="auto"/>
              <w:ind w:firstLine="301"/>
              <w:rPr>
                <w:rFonts w:ascii="Times New Roman" w:hAnsi="Times New Roman"/>
                <w:sz w:val="28"/>
                <w:szCs w:val="28"/>
              </w:rPr>
            </w:pPr>
            <w:r w:rsidRPr="00433A0F">
              <w:rPr>
                <w:rFonts w:ascii="Times New Roman" w:hAnsi="Times New Roman"/>
                <w:sz w:val="28"/>
                <w:szCs w:val="28"/>
              </w:rPr>
              <w:t xml:space="preserve">no 0 līdz 50 000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 100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77D84" w:rsidRPr="00433A0F" w:rsidRDefault="00577D84" w:rsidP="004F4463">
            <w:pPr>
              <w:spacing w:after="0" w:line="240" w:lineRule="auto"/>
              <w:ind w:firstLine="301"/>
              <w:rPr>
                <w:rFonts w:ascii="Times New Roman" w:hAnsi="Times New Roman"/>
                <w:sz w:val="28"/>
                <w:szCs w:val="28"/>
              </w:rPr>
            </w:pPr>
            <w:r w:rsidRPr="00433A0F">
              <w:rPr>
                <w:rFonts w:ascii="Times New Roman" w:hAnsi="Times New Roman"/>
                <w:sz w:val="28"/>
                <w:szCs w:val="28"/>
              </w:rPr>
              <w:t xml:space="preserve">no 50 001 līdz 500 000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 500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77D84" w:rsidRPr="00433A0F" w:rsidRDefault="00577D84" w:rsidP="004F4463">
            <w:pPr>
              <w:spacing w:after="0" w:line="240" w:lineRule="auto"/>
              <w:ind w:firstLine="301"/>
              <w:rPr>
                <w:rFonts w:ascii="Times New Roman" w:hAnsi="Times New Roman"/>
                <w:sz w:val="28"/>
                <w:szCs w:val="28"/>
              </w:rPr>
            </w:pPr>
            <w:r w:rsidRPr="00433A0F">
              <w:rPr>
                <w:rFonts w:ascii="Times New Roman" w:hAnsi="Times New Roman"/>
                <w:sz w:val="28"/>
                <w:szCs w:val="28"/>
              </w:rPr>
              <w:t xml:space="preserve">no 500 001 līdz 1 000 000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–1000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77D84" w:rsidRPr="00433A0F" w:rsidRDefault="00577D84" w:rsidP="004F4463">
            <w:pPr>
              <w:spacing w:after="0" w:line="240" w:lineRule="auto"/>
              <w:ind w:firstLine="301"/>
              <w:rPr>
                <w:rFonts w:ascii="Times New Roman" w:hAnsi="Times New Roman"/>
                <w:sz w:val="28"/>
                <w:szCs w:val="28"/>
              </w:rPr>
            </w:pPr>
            <w:r w:rsidRPr="00433A0F">
              <w:rPr>
                <w:rFonts w:ascii="Times New Roman" w:hAnsi="Times New Roman"/>
                <w:sz w:val="28"/>
                <w:szCs w:val="28"/>
              </w:rPr>
              <w:t xml:space="preserve">no 1 000 001 līdz 5 000 000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 2000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77D84" w:rsidRPr="00433A0F" w:rsidRDefault="00577D84" w:rsidP="004F4463">
            <w:pPr>
              <w:spacing w:after="0" w:line="240" w:lineRule="auto"/>
              <w:ind w:firstLine="301"/>
              <w:rPr>
                <w:rFonts w:ascii="Times New Roman" w:hAnsi="Times New Roman"/>
                <w:sz w:val="28"/>
                <w:szCs w:val="28"/>
              </w:rPr>
            </w:pPr>
            <w:r w:rsidRPr="00433A0F">
              <w:rPr>
                <w:rFonts w:ascii="Times New Roman" w:hAnsi="Times New Roman"/>
                <w:sz w:val="28"/>
                <w:szCs w:val="28"/>
              </w:rPr>
              <w:t xml:space="preserve">no 5 000 001 līdz 10 000 000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 3000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77D84" w:rsidRPr="00433A0F" w:rsidRDefault="00577D84" w:rsidP="004F4463">
            <w:pPr>
              <w:spacing w:after="0" w:line="240" w:lineRule="auto"/>
              <w:ind w:firstLine="301"/>
              <w:rPr>
                <w:rFonts w:ascii="Times New Roman" w:hAnsi="Times New Roman"/>
                <w:sz w:val="28"/>
                <w:szCs w:val="28"/>
              </w:rPr>
            </w:pPr>
            <w:r w:rsidRPr="00433A0F">
              <w:rPr>
                <w:rFonts w:ascii="Times New Roman" w:hAnsi="Times New Roman"/>
                <w:sz w:val="28"/>
                <w:szCs w:val="28"/>
              </w:rPr>
              <w:t xml:space="preserve">vairāk par 10 000 000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 5000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5171B" w:rsidRPr="00D662F3" w:rsidRDefault="004A4701" w:rsidP="004F4463">
            <w:pPr>
              <w:spacing w:after="0" w:line="240" w:lineRule="auto"/>
              <w:ind w:firstLine="567"/>
              <w:jc w:val="both"/>
              <w:rPr>
                <w:rFonts w:ascii="Times New Roman" w:hAnsi="Times New Roman"/>
                <w:sz w:val="28"/>
                <w:szCs w:val="28"/>
              </w:rPr>
            </w:pPr>
            <w:r>
              <w:rPr>
                <w:rFonts w:ascii="Times New Roman" w:hAnsi="Times New Roman"/>
                <w:sz w:val="28"/>
                <w:szCs w:val="28"/>
              </w:rPr>
              <w:t>Minētais nosacījums lielāko slogu uzliek apakšuzņēmumiem, kuru apgrozījumu lielākoties veido tieši pašu spēkiem veiktie būvdarbi. Galven</w:t>
            </w:r>
            <w:r w:rsidR="0077777A">
              <w:rPr>
                <w:rFonts w:ascii="Times New Roman" w:hAnsi="Times New Roman"/>
                <w:sz w:val="28"/>
                <w:szCs w:val="28"/>
              </w:rPr>
              <w:t>o</w:t>
            </w:r>
            <w:r>
              <w:rPr>
                <w:rFonts w:ascii="Times New Roman" w:hAnsi="Times New Roman"/>
                <w:sz w:val="28"/>
                <w:szCs w:val="28"/>
              </w:rPr>
              <w:t xml:space="preserve"> būvdarbu veic</w:t>
            </w:r>
            <w:r w:rsidR="0077777A">
              <w:rPr>
                <w:rFonts w:ascii="Times New Roman" w:hAnsi="Times New Roman"/>
                <w:sz w:val="28"/>
                <w:szCs w:val="28"/>
              </w:rPr>
              <w:t>ēju</w:t>
            </w:r>
            <w:r w:rsidR="00250E71">
              <w:rPr>
                <w:rFonts w:ascii="Times New Roman" w:hAnsi="Times New Roman"/>
                <w:sz w:val="28"/>
                <w:szCs w:val="28"/>
              </w:rPr>
              <w:t xml:space="preserve"> pašu spēkiem veiktie darbi </w:t>
            </w:r>
            <w:r w:rsidR="00435DD2">
              <w:rPr>
                <w:rFonts w:ascii="Times New Roman" w:hAnsi="Times New Roman"/>
                <w:sz w:val="28"/>
                <w:szCs w:val="28"/>
              </w:rPr>
              <w:t>pamatā</w:t>
            </w:r>
            <w:r w:rsidR="00250E71">
              <w:rPr>
                <w:rFonts w:ascii="Times New Roman" w:hAnsi="Times New Roman"/>
                <w:sz w:val="28"/>
                <w:szCs w:val="28"/>
              </w:rPr>
              <w:t xml:space="preserve">, sastāda mazu daļu no kopējā apgrozījuma. </w:t>
            </w:r>
            <w:r w:rsidR="0077777A">
              <w:rPr>
                <w:rFonts w:ascii="Times New Roman" w:hAnsi="Times New Roman"/>
                <w:sz w:val="28"/>
                <w:szCs w:val="28"/>
              </w:rPr>
              <w:t xml:space="preserve">Līdz ar to veidojas </w:t>
            </w:r>
            <w:proofErr w:type="spellStart"/>
            <w:r w:rsidR="0077777A">
              <w:rPr>
                <w:rFonts w:ascii="Times New Roman" w:hAnsi="Times New Roman"/>
                <w:sz w:val="28"/>
                <w:szCs w:val="28"/>
              </w:rPr>
              <w:t>sistuācija</w:t>
            </w:r>
            <w:proofErr w:type="spellEnd"/>
            <w:r w:rsidR="0077777A">
              <w:rPr>
                <w:rFonts w:ascii="Times New Roman" w:hAnsi="Times New Roman"/>
                <w:sz w:val="28"/>
                <w:szCs w:val="28"/>
              </w:rPr>
              <w:t xml:space="preserve">, ka valsts nodevas apmēra procentuāla attiecība pret kopējo būvkomersanta apgrozījumu var </w:t>
            </w:r>
            <w:proofErr w:type="spellStart"/>
            <w:r w:rsidR="0077777A">
              <w:rPr>
                <w:rFonts w:ascii="Times New Roman" w:hAnsi="Times New Roman"/>
                <w:sz w:val="28"/>
                <w:szCs w:val="28"/>
              </w:rPr>
              <w:t>svarstīties</w:t>
            </w:r>
            <w:proofErr w:type="spellEnd"/>
            <w:r w:rsidR="0077777A">
              <w:rPr>
                <w:rFonts w:ascii="Times New Roman" w:hAnsi="Times New Roman"/>
                <w:sz w:val="28"/>
                <w:szCs w:val="28"/>
              </w:rPr>
              <w:t xml:space="preserve"> no  0.01% līdz 1%. </w:t>
            </w:r>
          </w:p>
          <w:p w:rsidR="0055171B" w:rsidRPr="0061209E" w:rsidRDefault="0055171B" w:rsidP="004F4463">
            <w:pPr>
              <w:spacing w:after="0" w:line="240" w:lineRule="auto"/>
              <w:ind w:firstLine="541"/>
              <w:jc w:val="both"/>
              <w:rPr>
                <w:rFonts w:ascii="Times New Roman" w:hAnsi="Times New Roman"/>
                <w:sz w:val="28"/>
                <w:szCs w:val="28"/>
              </w:rPr>
            </w:pPr>
            <w:r w:rsidRPr="0061209E">
              <w:rPr>
                <w:rFonts w:ascii="Times New Roman" w:hAnsi="Times New Roman"/>
                <w:sz w:val="28"/>
                <w:szCs w:val="28"/>
              </w:rPr>
              <w:t>Noteikumu proje</w:t>
            </w:r>
            <w:r>
              <w:rPr>
                <w:rFonts w:ascii="Times New Roman" w:hAnsi="Times New Roman"/>
                <w:sz w:val="28"/>
                <w:szCs w:val="28"/>
              </w:rPr>
              <w:t xml:space="preserve">ktā paredzēts, ka  turpmāk valsts nodevu par ikgadējās informācijas iekļaušanu būvkomersantu reģistrā būvkomersants maksās </w:t>
            </w:r>
            <w:r w:rsidRPr="00DC355B">
              <w:rPr>
                <w:rFonts w:ascii="Times New Roman" w:hAnsi="Times New Roman"/>
                <w:b/>
                <w:sz w:val="28"/>
                <w:szCs w:val="28"/>
              </w:rPr>
              <w:t xml:space="preserve">no </w:t>
            </w:r>
            <w:r w:rsidRPr="00DC355B">
              <w:rPr>
                <w:rFonts w:ascii="Times New Roman" w:eastAsia="Times New Roman" w:hAnsi="Times New Roman"/>
                <w:b/>
                <w:sz w:val="28"/>
                <w:szCs w:val="28"/>
                <w:lang w:eastAsia="lv-LV"/>
              </w:rPr>
              <w:t>iepriekšējā kalendāra gada neto apgrozījuma</w:t>
            </w:r>
            <w:r w:rsidRPr="0067716D">
              <w:rPr>
                <w:rFonts w:ascii="Times New Roman" w:eastAsia="Times New Roman" w:hAnsi="Times New Roman"/>
                <w:sz w:val="28"/>
                <w:szCs w:val="28"/>
                <w:lang w:eastAsia="lv-LV"/>
              </w:rPr>
              <w:t xml:space="preserve"> </w:t>
            </w:r>
            <w:r>
              <w:rPr>
                <w:rFonts w:ascii="Times New Roman" w:hAnsi="Times New Roman"/>
                <w:sz w:val="28"/>
                <w:szCs w:val="28"/>
              </w:rPr>
              <w:t>šādā apmērā</w:t>
            </w:r>
            <w:r w:rsidRPr="0061209E">
              <w:rPr>
                <w:rFonts w:ascii="Times New Roman" w:hAnsi="Times New Roman"/>
                <w:sz w:val="28"/>
                <w:szCs w:val="28"/>
              </w:rPr>
              <w:t>:</w:t>
            </w:r>
          </w:p>
          <w:p w:rsidR="0055171B" w:rsidRPr="00433A0F" w:rsidRDefault="0055171B" w:rsidP="004F4463">
            <w:pPr>
              <w:spacing w:after="0" w:line="240" w:lineRule="auto"/>
              <w:rPr>
                <w:rFonts w:ascii="Times New Roman" w:hAnsi="Times New Roman"/>
                <w:sz w:val="28"/>
                <w:szCs w:val="28"/>
              </w:rPr>
            </w:pPr>
            <w:r w:rsidRPr="00433A0F">
              <w:rPr>
                <w:rFonts w:ascii="Times New Roman" w:hAnsi="Times New Roman"/>
                <w:sz w:val="28"/>
                <w:szCs w:val="28"/>
              </w:rPr>
              <w:t xml:space="preserve">no 0 līdz </w:t>
            </w:r>
            <w:r w:rsidRPr="0061209E">
              <w:rPr>
                <w:rFonts w:ascii="Times New Roman" w:hAnsi="Times New Roman"/>
                <w:sz w:val="28"/>
                <w:szCs w:val="28"/>
              </w:rPr>
              <w:t>10</w:t>
            </w:r>
            <w:r w:rsidRPr="00433A0F">
              <w:rPr>
                <w:rFonts w:ascii="Times New Roman" w:hAnsi="Times New Roman"/>
                <w:sz w:val="28"/>
                <w:szCs w:val="28"/>
              </w:rPr>
              <w:t xml:space="preserve">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 </w:t>
            </w:r>
            <w:r w:rsidRPr="0061209E">
              <w:rPr>
                <w:rFonts w:ascii="Times New Roman" w:hAnsi="Times New Roman"/>
                <w:sz w:val="28"/>
                <w:szCs w:val="28"/>
              </w:rPr>
              <w:t>2</w:t>
            </w:r>
            <w:r w:rsidRPr="00433A0F">
              <w:rPr>
                <w:rFonts w:ascii="Times New Roman" w:hAnsi="Times New Roman"/>
                <w:sz w:val="28"/>
                <w:szCs w:val="28"/>
              </w:rPr>
              <w:t xml:space="preserve">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5171B" w:rsidRPr="00433A0F" w:rsidRDefault="0055171B" w:rsidP="004F4463">
            <w:pPr>
              <w:spacing w:after="0" w:line="240" w:lineRule="auto"/>
              <w:rPr>
                <w:rFonts w:ascii="Times New Roman" w:hAnsi="Times New Roman"/>
                <w:sz w:val="28"/>
                <w:szCs w:val="28"/>
              </w:rPr>
            </w:pPr>
            <w:r w:rsidRPr="00433A0F">
              <w:rPr>
                <w:rFonts w:ascii="Times New Roman" w:hAnsi="Times New Roman"/>
                <w:sz w:val="28"/>
                <w:szCs w:val="28"/>
              </w:rPr>
              <w:t xml:space="preserve">no </w:t>
            </w:r>
            <w:r w:rsidRPr="0061209E">
              <w:rPr>
                <w:rFonts w:ascii="Times New Roman" w:hAnsi="Times New Roman"/>
                <w:sz w:val="28"/>
                <w:szCs w:val="28"/>
              </w:rPr>
              <w:t>10</w:t>
            </w:r>
            <w:r w:rsidRPr="00433A0F">
              <w:rPr>
                <w:rFonts w:ascii="Times New Roman" w:hAnsi="Times New Roman"/>
                <w:sz w:val="28"/>
                <w:szCs w:val="28"/>
              </w:rPr>
              <w:t xml:space="preserve">0 001 līdz 500 000 </w:t>
            </w:r>
            <w:proofErr w:type="spellStart"/>
            <w:r w:rsidRPr="003D4554">
              <w:rPr>
                <w:rFonts w:ascii="Times New Roman" w:hAnsi="Times New Roman"/>
                <w:i/>
                <w:sz w:val="28"/>
                <w:szCs w:val="28"/>
              </w:rPr>
              <w:t>euro</w:t>
            </w:r>
            <w:proofErr w:type="spellEnd"/>
            <w:r w:rsidRPr="003D4554">
              <w:rPr>
                <w:rFonts w:ascii="Times New Roman" w:hAnsi="Times New Roman"/>
                <w:i/>
                <w:sz w:val="28"/>
                <w:szCs w:val="28"/>
              </w:rPr>
              <w:t xml:space="preserve"> </w:t>
            </w:r>
            <w:r w:rsidRPr="00433A0F">
              <w:rPr>
                <w:rFonts w:ascii="Times New Roman" w:hAnsi="Times New Roman"/>
                <w:sz w:val="28"/>
                <w:szCs w:val="28"/>
              </w:rPr>
              <w:t xml:space="preserve">– </w:t>
            </w:r>
            <w:r w:rsidRPr="0061209E">
              <w:rPr>
                <w:rFonts w:ascii="Times New Roman" w:hAnsi="Times New Roman"/>
                <w:sz w:val="28"/>
                <w:szCs w:val="28"/>
              </w:rPr>
              <w:t>7</w:t>
            </w:r>
            <w:r w:rsidRPr="00433A0F">
              <w:rPr>
                <w:rFonts w:ascii="Times New Roman" w:hAnsi="Times New Roman"/>
                <w:sz w:val="28"/>
                <w:szCs w:val="28"/>
              </w:rPr>
              <w:t xml:space="preserve">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5171B" w:rsidRPr="00433A0F" w:rsidRDefault="0055171B" w:rsidP="004F4463">
            <w:pPr>
              <w:spacing w:after="0" w:line="240" w:lineRule="auto"/>
              <w:rPr>
                <w:rFonts w:ascii="Times New Roman" w:hAnsi="Times New Roman"/>
                <w:sz w:val="28"/>
                <w:szCs w:val="28"/>
              </w:rPr>
            </w:pPr>
            <w:r w:rsidRPr="00433A0F">
              <w:rPr>
                <w:rFonts w:ascii="Times New Roman" w:hAnsi="Times New Roman"/>
                <w:sz w:val="28"/>
                <w:szCs w:val="28"/>
              </w:rPr>
              <w:t xml:space="preserve">no 500 001 līdz 1 000 000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–1</w:t>
            </w:r>
            <w:r w:rsidRPr="0061209E">
              <w:rPr>
                <w:rFonts w:ascii="Times New Roman" w:hAnsi="Times New Roman"/>
                <w:sz w:val="28"/>
                <w:szCs w:val="28"/>
              </w:rPr>
              <w:t>5</w:t>
            </w:r>
            <w:r w:rsidRPr="00433A0F">
              <w:rPr>
                <w:rFonts w:ascii="Times New Roman" w:hAnsi="Times New Roman"/>
                <w:sz w:val="28"/>
                <w:szCs w:val="28"/>
              </w:rPr>
              <w:t xml:space="preserve">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5171B" w:rsidRPr="00433A0F" w:rsidRDefault="0055171B" w:rsidP="004F4463">
            <w:pPr>
              <w:spacing w:after="0" w:line="240" w:lineRule="auto"/>
              <w:rPr>
                <w:rFonts w:ascii="Times New Roman" w:hAnsi="Times New Roman"/>
                <w:sz w:val="28"/>
                <w:szCs w:val="28"/>
              </w:rPr>
            </w:pPr>
            <w:r w:rsidRPr="00433A0F">
              <w:rPr>
                <w:rFonts w:ascii="Times New Roman" w:hAnsi="Times New Roman"/>
                <w:sz w:val="28"/>
                <w:szCs w:val="28"/>
              </w:rPr>
              <w:t xml:space="preserve">no 1 000 001 līdz 5 000 000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 2</w:t>
            </w:r>
            <w:r w:rsidRPr="0061209E">
              <w:rPr>
                <w:rFonts w:ascii="Times New Roman" w:hAnsi="Times New Roman"/>
                <w:sz w:val="28"/>
                <w:szCs w:val="28"/>
              </w:rPr>
              <w:t>5</w:t>
            </w:r>
            <w:r w:rsidRPr="00433A0F">
              <w:rPr>
                <w:rFonts w:ascii="Times New Roman" w:hAnsi="Times New Roman"/>
                <w:sz w:val="28"/>
                <w:szCs w:val="28"/>
              </w:rPr>
              <w:t xml:space="preserve">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5171B" w:rsidRDefault="0055171B" w:rsidP="004F4463">
            <w:pPr>
              <w:spacing w:after="0" w:line="240" w:lineRule="auto"/>
              <w:rPr>
                <w:rFonts w:ascii="Times New Roman" w:hAnsi="Times New Roman"/>
                <w:sz w:val="28"/>
                <w:szCs w:val="28"/>
              </w:rPr>
            </w:pPr>
            <w:r w:rsidRPr="00433A0F">
              <w:rPr>
                <w:rFonts w:ascii="Times New Roman" w:hAnsi="Times New Roman"/>
                <w:sz w:val="28"/>
                <w:szCs w:val="28"/>
              </w:rPr>
              <w:t xml:space="preserve">no 5 000 001 līdz 10 000 000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 3</w:t>
            </w:r>
            <w:r w:rsidRPr="0061209E">
              <w:rPr>
                <w:rFonts w:ascii="Times New Roman" w:hAnsi="Times New Roman"/>
                <w:sz w:val="28"/>
                <w:szCs w:val="28"/>
              </w:rPr>
              <w:t>5</w:t>
            </w:r>
            <w:r w:rsidRPr="00433A0F">
              <w:rPr>
                <w:rFonts w:ascii="Times New Roman" w:hAnsi="Times New Roman"/>
                <w:sz w:val="28"/>
                <w:szCs w:val="28"/>
              </w:rPr>
              <w:t xml:space="preserve">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5171B" w:rsidRPr="00433A0F" w:rsidRDefault="0055171B" w:rsidP="004F4463">
            <w:pPr>
              <w:spacing w:after="0" w:line="240" w:lineRule="auto"/>
              <w:rPr>
                <w:rFonts w:ascii="Times New Roman" w:hAnsi="Times New Roman"/>
                <w:sz w:val="28"/>
                <w:szCs w:val="28"/>
              </w:rPr>
            </w:pPr>
            <w:r w:rsidRPr="00433A0F">
              <w:rPr>
                <w:rFonts w:ascii="Times New Roman" w:hAnsi="Times New Roman"/>
                <w:sz w:val="28"/>
                <w:szCs w:val="28"/>
              </w:rPr>
              <w:t xml:space="preserve">no </w:t>
            </w:r>
            <w:r>
              <w:rPr>
                <w:rFonts w:ascii="Times New Roman" w:hAnsi="Times New Roman"/>
                <w:sz w:val="28"/>
                <w:szCs w:val="28"/>
              </w:rPr>
              <w:t>10</w:t>
            </w:r>
            <w:r w:rsidRPr="00433A0F">
              <w:rPr>
                <w:rFonts w:ascii="Times New Roman" w:hAnsi="Times New Roman"/>
                <w:sz w:val="28"/>
                <w:szCs w:val="28"/>
              </w:rPr>
              <w:t xml:space="preserve"> 000 001 līdz </w:t>
            </w:r>
            <w:r>
              <w:rPr>
                <w:rFonts w:ascii="Times New Roman" w:hAnsi="Times New Roman"/>
                <w:sz w:val="28"/>
                <w:szCs w:val="28"/>
              </w:rPr>
              <w:t>25</w:t>
            </w:r>
            <w:r w:rsidRPr="00433A0F">
              <w:rPr>
                <w:rFonts w:ascii="Times New Roman" w:hAnsi="Times New Roman"/>
                <w:sz w:val="28"/>
                <w:szCs w:val="28"/>
              </w:rPr>
              <w:t xml:space="preserve"> 000 000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 xml:space="preserve"> – </w:t>
            </w:r>
            <w:r>
              <w:rPr>
                <w:rFonts w:ascii="Times New Roman" w:hAnsi="Times New Roman"/>
                <w:sz w:val="28"/>
                <w:szCs w:val="28"/>
              </w:rPr>
              <w:t>70</w:t>
            </w:r>
            <w:r w:rsidRPr="00433A0F">
              <w:rPr>
                <w:rFonts w:ascii="Times New Roman" w:hAnsi="Times New Roman"/>
                <w:sz w:val="28"/>
                <w:szCs w:val="28"/>
              </w:rPr>
              <w:t xml:space="preserve">00 </w:t>
            </w:r>
            <w:proofErr w:type="spellStart"/>
            <w:r w:rsidRPr="003D4554">
              <w:rPr>
                <w:rFonts w:ascii="Times New Roman" w:hAnsi="Times New Roman"/>
                <w:i/>
                <w:sz w:val="28"/>
                <w:szCs w:val="28"/>
              </w:rPr>
              <w:t>euro</w:t>
            </w:r>
            <w:proofErr w:type="spellEnd"/>
            <w:r w:rsidRPr="00433A0F">
              <w:rPr>
                <w:rFonts w:ascii="Times New Roman" w:hAnsi="Times New Roman"/>
                <w:sz w:val="28"/>
                <w:szCs w:val="28"/>
              </w:rPr>
              <w:t>;</w:t>
            </w:r>
          </w:p>
          <w:p w:rsidR="0055171B" w:rsidRDefault="0055171B" w:rsidP="004F4463">
            <w:pPr>
              <w:spacing w:after="0" w:line="240" w:lineRule="auto"/>
              <w:rPr>
                <w:rFonts w:ascii="Times New Roman" w:hAnsi="Times New Roman"/>
                <w:sz w:val="28"/>
                <w:szCs w:val="28"/>
              </w:rPr>
            </w:pPr>
            <w:r w:rsidRPr="00433A0F">
              <w:rPr>
                <w:rFonts w:ascii="Times New Roman" w:hAnsi="Times New Roman"/>
                <w:sz w:val="28"/>
                <w:szCs w:val="28"/>
              </w:rPr>
              <w:t xml:space="preserve">vairāk </w:t>
            </w:r>
            <w:r>
              <w:rPr>
                <w:rFonts w:ascii="Times New Roman" w:hAnsi="Times New Roman"/>
                <w:sz w:val="28"/>
                <w:szCs w:val="28"/>
              </w:rPr>
              <w:t xml:space="preserve">par 25 000 000 </w:t>
            </w:r>
            <w:proofErr w:type="spellStart"/>
            <w:r w:rsidRPr="003D4554">
              <w:rPr>
                <w:rFonts w:ascii="Times New Roman" w:hAnsi="Times New Roman"/>
                <w:i/>
                <w:sz w:val="28"/>
                <w:szCs w:val="28"/>
              </w:rPr>
              <w:t>euro</w:t>
            </w:r>
            <w:proofErr w:type="spellEnd"/>
            <w:r>
              <w:rPr>
                <w:rFonts w:ascii="Times New Roman" w:hAnsi="Times New Roman"/>
                <w:sz w:val="28"/>
                <w:szCs w:val="28"/>
              </w:rPr>
              <w:t xml:space="preserve"> – 10000 </w:t>
            </w:r>
            <w:proofErr w:type="spellStart"/>
            <w:r w:rsidRPr="003D4554">
              <w:rPr>
                <w:rFonts w:ascii="Times New Roman" w:hAnsi="Times New Roman"/>
                <w:i/>
                <w:sz w:val="28"/>
                <w:szCs w:val="28"/>
              </w:rPr>
              <w:t>euro</w:t>
            </w:r>
            <w:proofErr w:type="spellEnd"/>
            <w:r>
              <w:rPr>
                <w:rFonts w:ascii="Times New Roman" w:hAnsi="Times New Roman"/>
                <w:sz w:val="28"/>
                <w:szCs w:val="28"/>
              </w:rPr>
              <w:t>;</w:t>
            </w:r>
          </w:p>
          <w:p w:rsidR="0055171B" w:rsidRDefault="00577D84" w:rsidP="004F4463">
            <w:pPr>
              <w:spacing w:after="0" w:line="240" w:lineRule="auto"/>
              <w:ind w:firstLine="527"/>
              <w:jc w:val="both"/>
              <w:rPr>
                <w:rFonts w:ascii="Times New Roman" w:hAnsi="Times New Roman"/>
                <w:sz w:val="28"/>
                <w:szCs w:val="28"/>
              </w:rPr>
            </w:pPr>
            <w:proofErr w:type="spellStart"/>
            <w:r>
              <w:rPr>
                <w:rFonts w:ascii="Times New Roman" w:hAnsi="Times New Roman"/>
                <w:sz w:val="28"/>
                <w:szCs w:val="28"/>
              </w:rPr>
              <w:t>Predzēts</w:t>
            </w:r>
            <w:proofErr w:type="spellEnd"/>
            <w:r>
              <w:rPr>
                <w:rFonts w:ascii="Times New Roman" w:hAnsi="Times New Roman"/>
                <w:sz w:val="28"/>
                <w:szCs w:val="28"/>
              </w:rPr>
              <w:t xml:space="preserve">, ka nodevas apmērs </w:t>
            </w:r>
            <w:r w:rsidR="00C13ED9" w:rsidRPr="00DC355B">
              <w:rPr>
                <w:rFonts w:ascii="Times New Roman" w:hAnsi="Times New Roman"/>
                <w:sz w:val="28"/>
                <w:szCs w:val="28"/>
                <w:u w:val="single"/>
              </w:rPr>
              <w:t>nepārsniedz 0,2% no apgrozījuma augšējās robežvērtības</w:t>
            </w:r>
            <w:r w:rsidR="00C13ED9">
              <w:rPr>
                <w:rFonts w:ascii="Times New Roman" w:hAnsi="Times New Roman"/>
                <w:sz w:val="28"/>
                <w:szCs w:val="28"/>
              </w:rPr>
              <w:t xml:space="preserve">, pie </w:t>
            </w:r>
            <w:r w:rsidR="00C13ED9">
              <w:rPr>
                <w:rFonts w:ascii="Times New Roman" w:hAnsi="Times New Roman"/>
                <w:sz w:val="28"/>
                <w:szCs w:val="28"/>
              </w:rPr>
              <w:lastRenderedPageBreak/>
              <w:t xml:space="preserve">attiecīgās piemērojamās nodevas apmēra. </w:t>
            </w:r>
            <w:r w:rsidR="0055171B" w:rsidRPr="00577D84">
              <w:rPr>
                <w:rFonts w:ascii="Times New Roman" w:hAnsi="Times New Roman"/>
                <w:sz w:val="28"/>
                <w:szCs w:val="28"/>
              </w:rPr>
              <w:t xml:space="preserve">Nodevas ir diferencētas atkarībā no būvkomersanta </w:t>
            </w:r>
            <w:r w:rsidR="00BC39A5" w:rsidRPr="00577D84">
              <w:rPr>
                <w:rFonts w:ascii="Times New Roman" w:hAnsi="Times New Roman"/>
                <w:sz w:val="28"/>
                <w:szCs w:val="28"/>
              </w:rPr>
              <w:t>apgrozījuma</w:t>
            </w:r>
            <w:r w:rsidR="0055171B" w:rsidRPr="00577D84">
              <w:rPr>
                <w:rFonts w:ascii="Times New Roman" w:hAnsi="Times New Roman"/>
                <w:sz w:val="28"/>
                <w:szCs w:val="28"/>
              </w:rPr>
              <w:t xml:space="preserve"> konkrētajā gadā, tādējādi nodrošinot taisnīgu pieeju nozares finansēšanas jautājumā t.i. komersantam ar lielāku apgrozījumu nosakot lielāku maksājamo nodevu, savukārt komersantam ar mazāku apgrozījumu – attiecīgi mazāku maksājamo nodevu.</w:t>
            </w:r>
          </w:p>
          <w:p w:rsidR="00883F11" w:rsidRPr="00C870B6" w:rsidRDefault="00C870B6" w:rsidP="004F4463">
            <w:pPr>
              <w:spacing w:after="0" w:line="240" w:lineRule="auto"/>
              <w:ind w:firstLine="541"/>
              <w:jc w:val="both"/>
              <w:rPr>
                <w:rFonts w:ascii="Times New Roman" w:eastAsia="Times New Roman" w:hAnsi="Times New Roman"/>
                <w:color w:val="000000" w:themeColor="text1"/>
                <w:sz w:val="28"/>
                <w:szCs w:val="28"/>
                <w:lang w:eastAsia="lv-LV"/>
              </w:rPr>
            </w:pPr>
            <w:r w:rsidRPr="00C870B6">
              <w:rPr>
                <w:rFonts w:ascii="Times New Roman" w:eastAsia="Times New Roman" w:hAnsi="Times New Roman"/>
                <w:color w:val="000000" w:themeColor="text1"/>
                <w:sz w:val="28"/>
                <w:szCs w:val="28"/>
                <w:lang w:eastAsia="lv-LV"/>
              </w:rPr>
              <w:t xml:space="preserve">Visus nodevas ieņēmumus var </w:t>
            </w:r>
            <w:r w:rsidR="00883F11" w:rsidRPr="00C870B6">
              <w:rPr>
                <w:rFonts w:ascii="Times New Roman" w:eastAsia="Times New Roman" w:hAnsi="Times New Roman"/>
                <w:color w:val="000000" w:themeColor="text1"/>
                <w:sz w:val="28"/>
                <w:szCs w:val="28"/>
                <w:lang w:eastAsia="lv-LV"/>
              </w:rPr>
              <w:t xml:space="preserve">izlietot </w:t>
            </w:r>
            <w:r w:rsidRPr="00C870B6">
              <w:rPr>
                <w:rFonts w:ascii="Times New Roman" w:eastAsia="Times New Roman" w:hAnsi="Times New Roman"/>
                <w:color w:val="000000" w:themeColor="text1"/>
                <w:sz w:val="28"/>
                <w:szCs w:val="28"/>
                <w:lang w:eastAsia="lv-LV"/>
              </w:rPr>
              <w:t xml:space="preserve">tikai </w:t>
            </w:r>
            <w:r w:rsidR="00883F11" w:rsidRPr="00C870B6">
              <w:rPr>
                <w:rFonts w:ascii="Times New Roman" w:eastAsia="Times New Roman" w:hAnsi="Times New Roman"/>
                <w:color w:val="000000" w:themeColor="text1"/>
                <w:sz w:val="28"/>
                <w:szCs w:val="28"/>
                <w:lang w:eastAsia="lv-LV"/>
              </w:rPr>
              <w:t>būvniecības politikas izstrādei un ieviešanai (</w:t>
            </w:r>
            <w:r w:rsidR="00F37F05">
              <w:rPr>
                <w:rFonts w:ascii="Times New Roman" w:eastAsia="Times New Roman" w:hAnsi="Times New Roman"/>
                <w:color w:val="000000" w:themeColor="text1"/>
                <w:sz w:val="28"/>
                <w:szCs w:val="28"/>
                <w:lang w:eastAsia="lv-LV"/>
              </w:rPr>
              <w:t xml:space="preserve">t.sk. </w:t>
            </w:r>
            <w:r w:rsidR="00883F11" w:rsidRPr="00C870B6">
              <w:rPr>
                <w:rFonts w:ascii="Times New Roman" w:eastAsia="Times New Roman" w:hAnsi="Times New Roman"/>
                <w:color w:val="000000" w:themeColor="text1"/>
                <w:sz w:val="28"/>
                <w:szCs w:val="28"/>
                <w:lang w:eastAsia="lv-LV"/>
              </w:rPr>
              <w:t xml:space="preserve">Ekonomikas ministrijas Būvniecības politikas departamenta, Būvniecības valsts kontroles biroja izdevumu segšanai), t.sk. atlīdzībai un precēm un pakalpojumiem atbilstoši nodevas mērķim valsts budžeta izdevumu segšana būvniecības valsts kontroles sistēmas uzturēšanai un nodrošināšanai,  būvniecības politikas izstrādes nodrošināšanai,  nozares izpētes pasākumiem, </w:t>
            </w:r>
            <w:r w:rsidR="00A631BC">
              <w:rPr>
                <w:rFonts w:ascii="Times New Roman" w:eastAsia="Times New Roman" w:hAnsi="Times New Roman"/>
                <w:color w:val="000000" w:themeColor="text1"/>
                <w:sz w:val="28"/>
                <w:szCs w:val="28"/>
                <w:lang w:eastAsia="lv-LV"/>
              </w:rPr>
              <w:t>nozares reputācijas un konkurētspējas celšanas pasākumiem</w:t>
            </w:r>
            <w:r w:rsidR="00883F11" w:rsidRPr="00C870B6">
              <w:rPr>
                <w:rFonts w:ascii="Times New Roman" w:eastAsia="Times New Roman" w:hAnsi="Times New Roman"/>
                <w:color w:val="000000" w:themeColor="text1"/>
                <w:sz w:val="28"/>
                <w:szCs w:val="28"/>
                <w:lang w:eastAsia="lv-LV"/>
              </w:rPr>
              <w:t>. Minēto mērķu realizācija kopumā nodrošinās drošu un kvalitatīvu būvniecību, kā arī administratīvā sloga mazināšanu, būvniecības nozares produktivitātes celšanu. Normatīvo aktu pilnveidošana ietekmēs visus būvniecības dalībniekus, nodrošinot kvalitatīvu būvniecības pakalpojumu saņemšanu.</w:t>
            </w:r>
          </w:p>
          <w:p w:rsidR="00C870B6" w:rsidRDefault="00C870B6" w:rsidP="004F4463">
            <w:pPr>
              <w:spacing w:after="0" w:line="240" w:lineRule="auto"/>
              <w:ind w:firstLine="541"/>
              <w:jc w:val="both"/>
              <w:rPr>
                <w:rFonts w:ascii="Times New Roman" w:eastAsia="Times New Roman" w:hAnsi="Times New Roman"/>
                <w:color w:val="000000" w:themeColor="text1"/>
                <w:sz w:val="28"/>
                <w:szCs w:val="28"/>
                <w:lang w:eastAsia="lv-LV"/>
              </w:rPr>
            </w:pPr>
            <w:r w:rsidRPr="00BF184E">
              <w:rPr>
                <w:rFonts w:ascii="Times New Roman" w:eastAsia="Times New Roman" w:hAnsi="Times New Roman"/>
                <w:color w:val="000000" w:themeColor="text1"/>
                <w:sz w:val="28"/>
                <w:szCs w:val="28"/>
                <w:lang w:eastAsia="lv-LV"/>
              </w:rPr>
              <w:t xml:space="preserve">Gatavojot likumprojektu “Par vidējā termiņa budžeta ietvaru 2019., 2020. un 2021.gadam” </w:t>
            </w:r>
            <w:r w:rsidR="00BF184E" w:rsidRPr="00BF184E">
              <w:rPr>
                <w:rFonts w:ascii="Times New Roman" w:eastAsia="Times New Roman" w:hAnsi="Times New Roman"/>
                <w:color w:val="000000" w:themeColor="text1"/>
                <w:sz w:val="28"/>
                <w:szCs w:val="28"/>
                <w:lang w:eastAsia="lv-LV"/>
              </w:rPr>
              <w:t xml:space="preserve">  atbilstoši Centrālās statistikas pārvaldes informācijai par pašu spēkiem veikto būvdarbu pieaugumu </w:t>
            </w:r>
            <w:r w:rsidR="00F37F05">
              <w:rPr>
                <w:rFonts w:ascii="Times New Roman" w:eastAsia="Times New Roman" w:hAnsi="Times New Roman"/>
                <w:color w:val="000000" w:themeColor="text1"/>
                <w:sz w:val="28"/>
                <w:szCs w:val="28"/>
                <w:lang w:eastAsia="lv-LV"/>
              </w:rPr>
              <w:t xml:space="preserve">kārtējā gada </w:t>
            </w:r>
            <w:r w:rsidR="00BF184E" w:rsidRPr="00BF184E">
              <w:rPr>
                <w:rFonts w:ascii="Times New Roman" w:eastAsia="Times New Roman" w:hAnsi="Times New Roman"/>
                <w:color w:val="000000" w:themeColor="text1"/>
                <w:sz w:val="28"/>
                <w:szCs w:val="28"/>
                <w:lang w:eastAsia="lv-LV"/>
              </w:rPr>
              <w:t xml:space="preserve">pirmajā pusgadā salīdzinājumā ar iepriekšējo periodu, </w:t>
            </w:r>
            <w:r w:rsidRPr="00BF184E">
              <w:rPr>
                <w:rFonts w:ascii="Times New Roman" w:eastAsia="Times New Roman" w:hAnsi="Times New Roman"/>
                <w:color w:val="000000" w:themeColor="text1"/>
                <w:sz w:val="28"/>
                <w:szCs w:val="28"/>
                <w:lang w:eastAsia="lv-LV"/>
              </w:rPr>
              <w:t>precizēt valsts nodevas par reģistrācijas darbībām būvkomersantu reģistrā apmēru</w:t>
            </w:r>
            <w:r w:rsidR="00BF184E">
              <w:rPr>
                <w:rFonts w:ascii="Times New Roman" w:eastAsia="Times New Roman" w:hAnsi="Times New Roman"/>
                <w:color w:val="000000" w:themeColor="text1"/>
                <w:sz w:val="28"/>
                <w:szCs w:val="28"/>
                <w:lang w:eastAsia="lv-LV"/>
              </w:rPr>
              <w:t xml:space="preserve"> </w:t>
            </w:r>
            <w:r w:rsidRPr="00BF184E">
              <w:rPr>
                <w:rFonts w:ascii="Times New Roman" w:eastAsia="Times New Roman" w:hAnsi="Times New Roman"/>
                <w:color w:val="000000" w:themeColor="text1"/>
                <w:sz w:val="28"/>
                <w:szCs w:val="28"/>
                <w:lang w:eastAsia="lv-LV"/>
              </w:rPr>
              <w:t>un Ekonomikas ministrijas bāzes izdevumus</w:t>
            </w:r>
            <w:r w:rsidR="00BF184E" w:rsidRPr="00BF184E">
              <w:rPr>
                <w:rFonts w:ascii="Times New Roman" w:eastAsia="Times New Roman" w:hAnsi="Times New Roman"/>
                <w:color w:val="000000" w:themeColor="text1"/>
                <w:sz w:val="28"/>
                <w:szCs w:val="28"/>
                <w:lang w:eastAsia="lv-LV"/>
              </w:rPr>
              <w:t>.</w:t>
            </w:r>
            <w:r w:rsidRPr="00BF184E">
              <w:rPr>
                <w:rFonts w:ascii="Times New Roman" w:eastAsia="Times New Roman" w:hAnsi="Times New Roman"/>
                <w:color w:val="000000" w:themeColor="text1"/>
                <w:sz w:val="28"/>
                <w:szCs w:val="28"/>
                <w:lang w:eastAsia="lv-LV"/>
              </w:rPr>
              <w:t xml:space="preserve"> </w:t>
            </w:r>
          </w:p>
          <w:p w:rsidR="0055171B" w:rsidRDefault="0055171B" w:rsidP="004F4463">
            <w:pPr>
              <w:spacing w:after="0" w:line="240" w:lineRule="auto"/>
              <w:ind w:firstLine="541"/>
              <w:jc w:val="both"/>
              <w:rPr>
                <w:rFonts w:ascii="Times New Roman" w:hAnsi="Times New Roman"/>
                <w:sz w:val="28"/>
                <w:szCs w:val="28"/>
              </w:rPr>
            </w:pPr>
          </w:p>
          <w:p w:rsidR="0099170C" w:rsidRPr="0099170C" w:rsidRDefault="0099170C" w:rsidP="004F4463">
            <w:pPr>
              <w:pStyle w:val="ListParagraph"/>
              <w:numPr>
                <w:ilvl w:val="0"/>
                <w:numId w:val="15"/>
              </w:numPr>
              <w:spacing w:after="0" w:line="240" w:lineRule="auto"/>
              <w:ind w:left="102" w:firstLine="284"/>
              <w:jc w:val="both"/>
              <w:rPr>
                <w:rFonts w:ascii="Times New Roman" w:eastAsia="Times New Roman" w:hAnsi="Times New Roman"/>
                <w:color w:val="000000" w:themeColor="text1"/>
                <w:sz w:val="28"/>
                <w:szCs w:val="28"/>
                <w:lang w:eastAsia="lv-LV"/>
              </w:rPr>
            </w:pPr>
            <w:r w:rsidRPr="0099170C">
              <w:rPr>
                <w:rFonts w:ascii="Times New Roman" w:hAnsi="Times New Roman"/>
                <w:sz w:val="28"/>
                <w:szCs w:val="28"/>
              </w:rPr>
              <w:t xml:space="preserve">Saskaņā ar Būvniecības likuma 22.pantu, lai veiktu komercdarbību vienā vai vairākās būvniecības jomās, kā arī arhitektūras vai elektroenerģētikas jomā, komersants reģistrējas būvkomersantu reģistrā, iesniedzot informāciju par visiem uz darba līguma pamata nodarbinātajiem </w:t>
            </w:r>
            <w:proofErr w:type="spellStart"/>
            <w:r w:rsidRPr="0099170C">
              <w:rPr>
                <w:rFonts w:ascii="Times New Roman" w:hAnsi="Times New Roman"/>
                <w:sz w:val="28"/>
                <w:szCs w:val="28"/>
              </w:rPr>
              <w:t>būvspeciālistiem</w:t>
            </w:r>
            <w:proofErr w:type="spellEnd"/>
            <w:r w:rsidRPr="0099170C">
              <w:rPr>
                <w:rFonts w:ascii="Times New Roman" w:hAnsi="Times New Roman"/>
                <w:sz w:val="28"/>
                <w:szCs w:val="28"/>
              </w:rPr>
              <w:t xml:space="preserve">. </w:t>
            </w:r>
          </w:p>
          <w:p w:rsidR="0099170C" w:rsidRDefault="0099170C" w:rsidP="004F4463">
            <w:pPr>
              <w:spacing w:after="0" w:line="240" w:lineRule="auto"/>
              <w:ind w:left="26" w:firstLine="502"/>
              <w:jc w:val="both"/>
              <w:rPr>
                <w:rFonts w:ascii="Times New Roman" w:hAnsi="Times New Roman"/>
                <w:sz w:val="28"/>
                <w:szCs w:val="28"/>
              </w:rPr>
            </w:pPr>
            <w:r w:rsidRPr="0099170C">
              <w:rPr>
                <w:rFonts w:ascii="Times New Roman" w:hAnsi="Times New Roman"/>
                <w:sz w:val="28"/>
                <w:szCs w:val="28"/>
              </w:rPr>
              <w:lastRenderedPageBreak/>
              <w:t>Attiecīgi reģistrācija būvkomersantu reģistrā ir priekšnosacījums, lai veiktu komercdarbību projektēšanā un būvniecībā.</w:t>
            </w:r>
            <w:r>
              <w:rPr>
                <w:rFonts w:ascii="Times New Roman" w:hAnsi="Times New Roman"/>
                <w:sz w:val="28"/>
                <w:szCs w:val="28"/>
              </w:rPr>
              <w:t xml:space="preserve"> </w:t>
            </w:r>
          </w:p>
          <w:p w:rsidR="00BC39A5" w:rsidRDefault="00940BFA" w:rsidP="004F4463">
            <w:pPr>
              <w:spacing w:after="0" w:line="240" w:lineRule="auto"/>
              <w:ind w:left="26" w:firstLine="502"/>
              <w:jc w:val="both"/>
              <w:rPr>
                <w:rFonts w:ascii="Times New Roman" w:hAnsi="Times New Roman"/>
                <w:sz w:val="28"/>
                <w:szCs w:val="28"/>
              </w:rPr>
            </w:pPr>
            <w:r>
              <w:rPr>
                <w:rFonts w:ascii="Times New Roman" w:hAnsi="Times New Roman"/>
                <w:sz w:val="28"/>
                <w:szCs w:val="28"/>
              </w:rPr>
              <w:t xml:space="preserve">Atbilstoši spēkā esošajam regulējumam būvkomersanti, kas veic būvdarbus vai sniedz būvuzraudzības pakalpojumus, maksā nodevu, savukārt būvkomersanti, kas sniedz arhitektūras (projektēšanas) pakalpojumus, nodevu nemaksā. </w:t>
            </w:r>
            <w:r w:rsidR="0099170C">
              <w:rPr>
                <w:rFonts w:ascii="Times New Roman" w:hAnsi="Times New Roman"/>
                <w:sz w:val="28"/>
                <w:szCs w:val="28"/>
              </w:rPr>
              <w:t xml:space="preserve">Ņemot vērā Būvniecības likumā  noteikto, </w:t>
            </w:r>
            <w:r w:rsidR="0099170C" w:rsidRPr="0099170C">
              <w:rPr>
                <w:rFonts w:ascii="Times New Roman" w:hAnsi="Times New Roman"/>
                <w:sz w:val="28"/>
                <w:szCs w:val="28"/>
              </w:rPr>
              <w:t xml:space="preserve">nav pamata </w:t>
            </w:r>
            <w:r w:rsidR="0099170C">
              <w:rPr>
                <w:rFonts w:ascii="Times New Roman" w:hAnsi="Times New Roman"/>
                <w:sz w:val="28"/>
                <w:szCs w:val="28"/>
              </w:rPr>
              <w:t xml:space="preserve">atbrīvot no būvkomersantu nodevas nomaksas daļu no būvkomersantiem. </w:t>
            </w:r>
            <w:r w:rsidR="0099170C" w:rsidRPr="0099170C">
              <w:rPr>
                <w:rFonts w:ascii="Times New Roman" w:hAnsi="Times New Roman"/>
                <w:sz w:val="28"/>
                <w:szCs w:val="28"/>
              </w:rPr>
              <w:t xml:space="preserve">Šāds izņēmums nenodrošina vienlīdzīgus nosacījumus starp visiem būvkomersantiem, </w:t>
            </w:r>
            <w:r w:rsidR="0099170C">
              <w:rPr>
                <w:rFonts w:ascii="Times New Roman" w:hAnsi="Times New Roman"/>
                <w:sz w:val="28"/>
                <w:szCs w:val="28"/>
              </w:rPr>
              <w:t>ka arī neatbilst Būvniecības likuma deleģējumam</w:t>
            </w:r>
            <w:r w:rsidR="0099170C" w:rsidRPr="0099170C">
              <w:rPr>
                <w:rFonts w:ascii="Times New Roman" w:hAnsi="Times New Roman"/>
                <w:sz w:val="28"/>
                <w:szCs w:val="28"/>
              </w:rPr>
              <w:t xml:space="preserve">. </w:t>
            </w:r>
            <w:r w:rsidR="0055171B" w:rsidRPr="0099170C">
              <w:rPr>
                <w:rFonts w:ascii="Times New Roman" w:hAnsi="Times New Roman"/>
                <w:sz w:val="28"/>
                <w:szCs w:val="28"/>
              </w:rPr>
              <w:t xml:space="preserve">Noteikumu projekts paredz, ka turpmāk būvkomersantu ikgadējo valsts nodevu būs jāmaksā visiem būvkomersantu reģistrā reģistrētajiem komersantiem. </w:t>
            </w:r>
          </w:p>
          <w:p w:rsidR="00BE2CD3" w:rsidRPr="0099170C" w:rsidRDefault="00BE2CD3" w:rsidP="004F4463">
            <w:pPr>
              <w:spacing w:after="0" w:line="240" w:lineRule="auto"/>
              <w:ind w:left="26" w:firstLine="502"/>
              <w:jc w:val="both"/>
              <w:rPr>
                <w:rFonts w:ascii="Times New Roman" w:eastAsia="Times New Roman" w:hAnsi="Times New Roman"/>
                <w:color w:val="000000" w:themeColor="text1"/>
                <w:sz w:val="28"/>
                <w:szCs w:val="28"/>
                <w:lang w:eastAsia="lv-LV"/>
              </w:rPr>
            </w:pPr>
            <w:r>
              <w:rPr>
                <w:rFonts w:ascii="Times New Roman" w:hAnsi="Times New Roman"/>
                <w:sz w:val="28"/>
                <w:szCs w:val="28"/>
              </w:rPr>
              <w:t xml:space="preserve">Tiek plānots veikt izmaiņas Būvniecības likuma deleģējumā, nosakot plašāku personu loku, kam saimnieciskās darbības veikšanai būvniecībā jāreģistrējas </w:t>
            </w:r>
            <w:proofErr w:type="spellStart"/>
            <w:r>
              <w:rPr>
                <w:rFonts w:ascii="Times New Roman" w:hAnsi="Times New Roman"/>
                <w:sz w:val="28"/>
                <w:szCs w:val="28"/>
              </w:rPr>
              <w:t>būvkmersantu</w:t>
            </w:r>
            <w:proofErr w:type="spellEnd"/>
            <w:r>
              <w:rPr>
                <w:rFonts w:ascii="Times New Roman" w:hAnsi="Times New Roman"/>
                <w:sz w:val="28"/>
                <w:szCs w:val="28"/>
              </w:rPr>
              <w:t xml:space="preserve"> reģistrā. Pēc grozījumu </w:t>
            </w:r>
          </w:p>
          <w:p w:rsidR="00BC39A5" w:rsidRDefault="00BE2CD3" w:rsidP="004F4463">
            <w:pPr>
              <w:spacing w:after="0" w:line="240" w:lineRule="auto"/>
              <w:ind w:left="26"/>
              <w:jc w:val="both"/>
              <w:rPr>
                <w:rFonts w:ascii="Times New Roman" w:eastAsia="Times New Roman" w:hAnsi="Times New Roman"/>
                <w:color w:val="000000" w:themeColor="text1"/>
                <w:sz w:val="28"/>
                <w:szCs w:val="28"/>
                <w:lang w:eastAsia="lv-LV"/>
              </w:rPr>
            </w:pPr>
            <w:r>
              <w:rPr>
                <w:rFonts w:ascii="Times New Roman" w:eastAsia="Times New Roman" w:hAnsi="Times New Roman"/>
                <w:color w:val="000000" w:themeColor="text1"/>
                <w:sz w:val="28"/>
                <w:szCs w:val="28"/>
                <w:lang w:eastAsia="lv-LV"/>
              </w:rPr>
              <w:t xml:space="preserve">stāšanās spēkā tiks pārskatīts </w:t>
            </w:r>
            <w:r w:rsidRPr="0099170C">
              <w:rPr>
                <w:rFonts w:ascii="Times New Roman" w:hAnsi="Times New Roman"/>
                <w:sz w:val="28"/>
                <w:szCs w:val="28"/>
              </w:rPr>
              <w:t xml:space="preserve"> būvkomersantu ikgadēj</w:t>
            </w:r>
            <w:r>
              <w:rPr>
                <w:rFonts w:ascii="Times New Roman" w:hAnsi="Times New Roman"/>
                <w:sz w:val="28"/>
                <w:szCs w:val="28"/>
              </w:rPr>
              <w:t>ās</w:t>
            </w:r>
            <w:r w:rsidRPr="0099170C">
              <w:rPr>
                <w:rFonts w:ascii="Times New Roman" w:hAnsi="Times New Roman"/>
                <w:sz w:val="28"/>
                <w:szCs w:val="28"/>
              </w:rPr>
              <w:t xml:space="preserve"> valsts nodev</w:t>
            </w:r>
            <w:r>
              <w:rPr>
                <w:rFonts w:ascii="Times New Roman" w:hAnsi="Times New Roman"/>
                <w:sz w:val="28"/>
                <w:szCs w:val="28"/>
              </w:rPr>
              <w:t>as apmērs.</w:t>
            </w:r>
          </w:p>
          <w:p w:rsidR="00BE2CD3" w:rsidRPr="00BC39A5" w:rsidRDefault="00BE2CD3" w:rsidP="004F4463">
            <w:pPr>
              <w:spacing w:after="0" w:line="240" w:lineRule="auto"/>
              <w:ind w:left="26"/>
              <w:jc w:val="both"/>
              <w:rPr>
                <w:rFonts w:ascii="Times New Roman" w:eastAsia="Times New Roman" w:hAnsi="Times New Roman"/>
                <w:color w:val="000000" w:themeColor="text1"/>
                <w:sz w:val="28"/>
                <w:szCs w:val="28"/>
                <w:lang w:eastAsia="lv-LV"/>
              </w:rPr>
            </w:pPr>
          </w:p>
          <w:p w:rsidR="00BC39A5" w:rsidRDefault="0099170C" w:rsidP="004F4463">
            <w:pPr>
              <w:pStyle w:val="ListParagraph"/>
              <w:numPr>
                <w:ilvl w:val="0"/>
                <w:numId w:val="15"/>
              </w:numPr>
              <w:spacing w:after="0" w:line="240" w:lineRule="auto"/>
              <w:ind w:left="102" w:firstLine="284"/>
              <w:jc w:val="both"/>
              <w:rPr>
                <w:rFonts w:ascii="Times New Roman" w:eastAsia="Times New Roman" w:hAnsi="Times New Roman"/>
                <w:color w:val="000000" w:themeColor="text1"/>
                <w:sz w:val="28"/>
                <w:szCs w:val="28"/>
                <w:lang w:eastAsia="lv-LV"/>
              </w:rPr>
            </w:pPr>
            <w:r>
              <w:rPr>
                <w:rFonts w:ascii="Times New Roman" w:eastAsia="Times New Roman" w:hAnsi="Times New Roman"/>
                <w:color w:val="000000" w:themeColor="text1"/>
                <w:sz w:val="28"/>
                <w:szCs w:val="28"/>
                <w:lang w:eastAsia="lv-LV"/>
              </w:rPr>
              <w:t>Pa</w:t>
            </w:r>
            <w:r w:rsidR="001D0C2E">
              <w:rPr>
                <w:rFonts w:ascii="Times New Roman" w:eastAsia="Times New Roman" w:hAnsi="Times New Roman"/>
                <w:color w:val="000000" w:themeColor="text1"/>
                <w:sz w:val="28"/>
                <w:szCs w:val="28"/>
                <w:lang w:eastAsia="lv-LV"/>
              </w:rPr>
              <w:t>š</w:t>
            </w:r>
            <w:r>
              <w:rPr>
                <w:rFonts w:ascii="Times New Roman" w:eastAsia="Times New Roman" w:hAnsi="Times New Roman"/>
                <w:color w:val="000000" w:themeColor="text1"/>
                <w:sz w:val="28"/>
                <w:szCs w:val="28"/>
                <w:lang w:eastAsia="lv-LV"/>
              </w:rPr>
              <w:t xml:space="preserve">u spēkiem veikto būvdarbu apjomu būvkomersantu reģistrā ievada pats būvkomersants. Šāds rādītājs netiek norādīts citās valsts datu bāzēs un nav pārbaudāms lielums. </w:t>
            </w:r>
            <w:r w:rsidR="00BC39A5">
              <w:rPr>
                <w:rFonts w:ascii="Times New Roman" w:eastAsia="Times New Roman" w:hAnsi="Times New Roman"/>
                <w:color w:val="000000" w:themeColor="text1"/>
                <w:sz w:val="28"/>
                <w:szCs w:val="28"/>
                <w:lang w:eastAsia="lv-LV"/>
              </w:rPr>
              <w:t>Neto apgrozījuma summa, no kuras turpmāk paredzēts aprēķināt valsts nodevas apmēru ir pārbaudāms rādī</w:t>
            </w:r>
            <w:r>
              <w:rPr>
                <w:rFonts w:ascii="Times New Roman" w:eastAsia="Times New Roman" w:hAnsi="Times New Roman"/>
                <w:color w:val="000000" w:themeColor="text1"/>
                <w:sz w:val="28"/>
                <w:szCs w:val="28"/>
                <w:lang w:eastAsia="lv-LV"/>
              </w:rPr>
              <w:t>tājs citās valsts datu sistēmas</w:t>
            </w:r>
            <w:r w:rsidR="00BC39A5">
              <w:rPr>
                <w:rFonts w:ascii="Times New Roman" w:eastAsia="Times New Roman" w:hAnsi="Times New Roman"/>
                <w:color w:val="000000" w:themeColor="text1"/>
                <w:sz w:val="28"/>
                <w:szCs w:val="28"/>
                <w:lang w:eastAsia="lv-LV"/>
              </w:rPr>
              <w:t>.</w:t>
            </w:r>
            <w:r>
              <w:rPr>
                <w:rFonts w:ascii="Times New Roman" w:eastAsia="Times New Roman" w:hAnsi="Times New Roman"/>
                <w:color w:val="000000" w:themeColor="text1"/>
                <w:sz w:val="28"/>
                <w:szCs w:val="28"/>
                <w:lang w:eastAsia="lv-LV"/>
              </w:rPr>
              <w:t xml:space="preserve"> Latvij</w:t>
            </w:r>
            <w:r w:rsidR="001D0C2E">
              <w:rPr>
                <w:rFonts w:ascii="Times New Roman" w:eastAsia="Times New Roman" w:hAnsi="Times New Roman"/>
                <w:color w:val="000000" w:themeColor="text1"/>
                <w:sz w:val="28"/>
                <w:szCs w:val="28"/>
                <w:lang w:eastAsia="lv-LV"/>
              </w:rPr>
              <w:t>a</w:t>
            </w:r>
            <w:r>
              <w:rPr>
                <w:rFonts w:ascii="Times New Roman" w:eastAsia="Times New Roman" w:hAnsi="Times New Roman"/>
                <w:color w:val="000000" w:themeColor="text1"/>
                <w:sz w:val="28"/>
                <w:szCs w:val="28"/>
                <w:lang w:eastAsia="lv-LV"/>
              </w:rPr>
              <w:t xml:space="preserve">s Būvniecības padome </w:t>
            </w:r>
            <w:r w:rsidR="001D0C2E">
              <w:rPr>
                <w:rFonts w:ascii="Times New Roman" w:eastAsia="Times New Roman" w:hAnsi="Times New Roman"/>
                <w:color w:val="000000" w:themeColor="text1"/>
                <w:sz w:val="28"/>
                <w:szCs w:val="28"/>
                <w:lang w:eastAsia="lv-LV"/>
              </w:rPr>
              <w:t>2017.gada 9.maija ārkārtas sēdē piekrita, ka nodevas apmērs būtu nosakāms no būvkomersanta neto apgrozījuma.</w:t>
            </w:r>
          </w:p>
          <w:p w:rsidR="00BC39A5" w:rsidRPr="00BC39A5" w:rsidRDefault="00BC39A5" w:rsidP="004F4463">
            <w:pPr>
              <w:pStyle w:val="ListParagraph"/>
              <w:spacing w:after="0" w:line="240" w:lineRule="auto"/>
              <w:rPr>
                <w:rFonts w:ascii="Times New Roman" w:eastAsia="Times New Roman" w:hAnsi="Times New Roman"/>
                <w:color w:val="000000" w:themeColor="text1"/>
                <w:sz w:val="28"/>
                <w:szCs w:val="28"/>
                <w:lang w:eastAsia="lv-LV"/>
              </w:rPr>
            </w:pPr>
          </w:p>
          <w:p w:rsidR="0055171B" w:rsidRDefault="001D0C2E" w:rsidP="004F4463">
            <w:pPr>
              <w:pStyle w:val="ListParagraph"/>
              <w:numPr>
                <w:ilvl w:val="0"/>
                <w:numId w:val="15"/>
              </w:numPr>
              <w:spacing w:after="0" w:line="240" w:lineRule="auto"/>
              <w:ind w:left="102" w:firstLine="284"/>
              <w:jc w:val="both"/>
              <w:rPr>
                <w:rFonts w:ascii="Times New Roman" w:eastAsia="Times New Roman" w:hAnsi="Times New Roman"/>
                <w:color w:val="000000" w:themeColor="text1"/>
                <w:sz w:val="28"/>
                <w:szCs w:val="28"/>
                <w:lang w:eastAsia="lv-LV"/>
              </w:rPr>
            </w:pPr>
            <w:r>
              <w:rPr>
                <w:rFonts w:ascii="Times New Roman" w:hAnsi="Times New Roman"/>
                <w:sz w:val="28"/>
                <w:szCs w:val="28"/>
              </w:rPr>
              <w:t>2017.gada 10.jūlijā spēkā stājās grozījumi Būvniecības likumā, kas cita starpā papildināja  deleģējumu Ministru kabinetam noteikt atvieglojumus būvkomersantu nodevas maksāšanai. Izstrādātais Ministru kabineta noteikumu projekts paredz, ka t</w:t>
            </w:r>
            <w:r w:rsidR="0055171B" w:rsidRPr="00BC39A5">
              <w:rPr>
                <w:rFonts w:ascii="Times New Roman" w:hAnsi="Times New Roman"/>
                <w:sz w:val="28"/>
                <w:szCs w:val="28"/>
              </w:rPr>
              <w:t xml:space="preserve">iem </w:t>
            </w:r>
            <w:r w:rsidR="0055171B" w:rsidRPr="00BC39A5">
              <w:rPr>
                <w:rFonts w:ascii="Times New Roman" w:hAnsi="Times New Roman"/>
                <w:sz w:val="28"/>
                <w:szCs w:val="28"/>
              </w:rPr>
              <w:lastRenderedPageBreak/>
              <w:t xml:space="preserve">būvkomersantiem, kuri </w:t>
            </w:r>
            <w:r w:rsidR="0055171B" w:rsidRPr="00BC39A5">
              <w:rPr>
                <w:rFonts w:ascii="Times New Roman" w:eastAsia="Times New Roman" w:hAnsi="Times New Roman"/>
                <w:color w:val="000000" w:themeColor="text1"/>
                <w:sz w:val="28"/>
                <w:szCs w:val="28"/>
                <w:lang w:eastAsia="lv-LV"/>
              </w:rPr>
              <w:t xml:space="preserve">būs parakstījuši nozares darba koplīgumu  Darba likuma izpratnē, pēc tā  stāšanās spēkā, ikgadējā valsts nodeva būs jāmaksā 50% procentu apmērā no noteiktā. </w:t>
            </w:r>
            <w:r w:rsidR="00C95D04">
              <w:rPr>
                <w:rFonts w:ascii="Times New Roman" w:eastAsia="Times New Roman" w:hAnsi="Times New Roman"/>
                <w:color w:val="000000" w:themeColor="text1"/>
                <w:sz w:val="28"/>
                <w:szCs w:val="28"/>
                <w:lang w:eastAsia="lv-LV"/>
              </w:rPr>
              <w:t xml:space="preserve">Atvieglojuma mērķis ir veicināt pašas nozares aktīvu iesaistīšanos nozares pilnveidošanā un turpmākā attīstībā, </w:t>
            </w:r>
            <w:proofErr w:type="spellStart"/>
            <w:r w:rsidR="00C95D04">
              <w:rPr>
                <w:rFonts w:ascii="Times New Roman" w:eastAsia="Times New Roman" w:hAnsi="Times New Roman"/>
                <w:color w:val="000000" w:themeColor="text1"/>
                <w:sz w:val="28"/>
                <w:szCs w:val="28"/>
                <w:lang w:eastAsia="lv-LV"/>
              </w:rPr>
              <w:t>predzot</w:t>
            </w:r>
            <w:proofErr w:type="spellEnd"/>
            <w:r w:rsidR="00C95D04">
              <w:rPr>
                <w:rFonts w:ascii="Times New Roman" w:eastAsia="Times New Roman" w:hAnsi="Times New Roman"/>
                <w:color w:val="000000" w:themeColor="text1"/>
                <w:sz w:val="28"/>
                <w:szCs w:val="28"/>
                <w:lang w:eastAsia="lv-LV"/>
              </w:rPr>
              <w:t xml:space="preserve"> būtisku nodarbināto sociālās </w:t>
            </w:r>
            <w:proofErr w:type="spellStart"/>
            <w:r w:rsidR="00C95D04">
              <w:rPr>
                <w:rFonts w:ascii="Times New Roman" w:eastAsia="Times New Roman" w:hAnsi="Times New Roman"/>
                <w:color w:val="000000" w:themeColor="text1"/>
                <w:sz w:val="28"/>
                <w:szCs w:val="28"/>
                <w:lang w:eastAsia="lv-LV"/>
              </w:rPr>
              <w:t>aizsardzīgas</w:t>
            </w:r>
            <w:proofErr w:type="spellEnd"/>
            <w:r w:rsidR="00C95D04">
              <w:rPr>
                <w:rFonts w:ascii="Times New Roman" w:eastAsia="Times New Roman" w:hAnsi="Times New Roman"/>
                <w:color w:val="000000" w:themeColor="text1"/>
                <w:sz w:val="28"/>
                <w:szCs w:val="28"/>
                <w:lang w:eastAsia="lv-LV"/>
              </w:rPr>
              <w:t xml:space="preserve"> līmeņa </w:t>
            </w:r>
            <w:proofErr w:type="spellStart"/>
            <w:r w:rsidR="00C95D04">
              <w:rPr>
                <w:rFonts w:ascii="Times New Roman" w:eastAsia="Times New Roman" w:hAnsi="Times New Roman"/>
                <w:color w:val="000000" w:themeColor="text1"/>
                <w:sz w:val="28"/>
                <w:szCs w:val="28"/>
                <w:lang w:eastAsia="lv-LV"/>
              </w:rPr>
              <w:t>paaustināšanu</w:t>
            </w:r>
            <w:proofErr w:type="spellEnd"/>
            <w:r w:rsidR="00C95D04">
              <w:rPr>
                <w:rFonts w:ascii="Times New Roman" w:eastAsia="Times New Roman" w:hAnsi="Times New Roman"/>
                <w:color w:val="000000" w:themeColor="text1"/>
                <w:sz w:val="28"/>
                <w:szCs w:val="28"/>
                <w:lang w:eastAsia="lv-LV"/>
              </w:rPr>
              <w:t xml:space="preserve">. Kā rāda Skandināvijas un Ziemeļvalstu pieredze </w:t>
            </w:r>
            <w:proofErr w:type="spellStart"/>
            <w:r w:rsidR="00C95D04">
              <w:rPr>
                <w:rFonts w:ascii="Times New Roman" w:eastAsia="Times New Roman" w:hAnsi="Times New Roman"/>
                <w:color w:val="000000" w:themeColor="text1"/>
                <w:sz w:val="28"/>
                <w:szCs w:val="28"/>
                <w:lang w:eastAsia="lv-LV"/>
              </w:rPr>
              <w:t>ģenerālvienošanās</w:t>
            </w:r>
            <w:proofErr w:type="spellEnd"/>
            <w:r w:rsidR="00C95D04">
              <w:rPr>
                <w:rFonts w:ascii="Times New Roman" w:eastAsia="Times New Roman" w:hAnsi="Times New Roman"/>
                <w:color w:val="000000" w:themeColor="text1"/>
                <w:sz w:val="28"/>
                <w:szCs w:val="28"/>
                <w:lang w:eastAsia="lv-LV"/>
              </w:rPr>
              <w:t xml:space="preserve"> noslēgšana būtiski uzlabo nozares konkurētspēju, ierobežo ēnu ekonomiku, dodot lielu ieguldījumu apgrozījuma un attiecīgi arī nodokļu ieņēmumu pieaugumam. </w:t>
            </w:r>
            <w:r w:rsidR="0055171B" w:rsidRPr="00BC39A5">
              <w:rPr>
                <w:rFonts w:ascii="Times New Roman" w:eastAsia="Times New Roman" w:hAnsi="Times New Roman"/>
                <w:color w:val="000000" w:themeColor="text1"/>
                <w:sz w:val="28"/>
                <w:szCs w:val="28"/>
                <w:lang w:eastAsia="lv-LV"/>
              </w:rPr>
              <w:t xml:space="preserve">Nozares </w:t>
            </w:r>
            <w:proofErr w:type="spellStart"/>
            <w:r w:rsidR="0055171B" w:rsidRPr="00BC39A5">
              <w:rPr>
                <w:rFonts w:ascii="Times New Roman" w:eastAsia="Times New Roman" w:hAnsi="Times New Roman"/>
                <w:color w:val="000000" w:themeColor="text1"/>
                <w:sz w:val="28"/>
                <w:szCs w:val="28"/>
                <w:lang w:eastAsia="lv-LV"/>
              </w:rPr>
              <w:t>ģenerālvienošanās</w:t>
            </w:r>
            <w:proofErr w:type="spellEnd"/>
            <w:r w:rsidR="0055171B" w:rsidRPr="00BC39A5">
              <w:rPr>
                <w:rFonts w:ascii="Times New Roman" w:eastAsia="Times New Roman" w:hAnsi="Times New Roman"/>
                <w:color w:val="000000" w:themeColor="text1"/>
                <w:sz w:val="28"/>
                <w:szCs w:val="28"/>
                <w:lang w:eastAsia="lv-LV"/>
              </w:rPr>
              <w:t xml:space="preserve"> parakstīšana un stāšanās spēkā valsts budžetā nodokļu ieņēmumos dos </w:t>
            </w:r>
            <w:r>
              <w:rPr>
                <w:rFonts w:ascii="Times New Roman" w:eastAsia="Times New Roman" w:hAnsi="Times New Roman"/>
                <w:color w:val="000000" w:themeColor="text1"/>
                <w:sz w:val="28"/>
                <w:szCs w:val="28"/>
                <w:lang w:eastAsia="lv-LV"/>
              </w:rPr>
              <w:t>ievērojamu</w:t>
            </w:r>
            <w:r w:rsidR="0055171B" w:rsidRPr="00BC39A5">
              <w:rPr>
                <w:rFonts w:ascii="Times New Roman" w:eastAsia="Times New Roman" w:hAnsi="Times New Roman"/>
                <w:color w:val="000000" w:themeColor="text1"/>
                <w:sz w:val="28"/>
                <w:szCs w:val="28"/>
                <w:lang w:eastAsia="lv-LV"/>
              </w:rPr>
              <w:t xml:space="preserve"> ieguvumu un kompensēs būvkomersantu nodevas samazinājumu.</w:t>
            </w:r>
          </w:p>
          <w:p w:rsidR="001D0C2E" w:rsidRPr="001D0C2E" w:rsidRDefault="001D0C2E" w:rsidP="004F4463">
            <w:pPr>
              <w:pStyle w:val="ListParagraph"/>
              <w:spacing w:after="0" w:line="240" w:lineRule="auto"/>
              <w:rPr>
                <w:rFonts w:ascii="Times New Roman" w:eastAsia="Times New Roman" w:hAnsi="Times New Roman"/>
                <w:color w:val="000000" w:themeColor="text1"/>
                <w:sz w:val="28"/>
                <w:szCs w:val="28"/>
                <w:lang w:eastAsia="lv-LV"/>
              </w:rPr>
            </w:pPr>
          </w:p>
          <w:p w:rsidR="001D0C2E" w:rsidRPr="001D0C2E" w:rsidRDefault="001D0C2E" w:rsidP="004F4463">
            <w:pPr>
              <w:pStyle w:val="ListParagraph"/>
              <w:numPr>
                <w:ilvl w:val="0"/>
                <w:numId w:val="15"/>
              </w:numPr>
              <w:spacing w:after="0" w:line="240" w:lineRule="auto"/>
              <w:ind w:left="102" w:firstLine="284"/>
              <w:jc w:val="both"/>
              <w:rPr>
                <w:rFonts w:ascii="Times New Roman" w:hAnsi="Times New Roman"/>
                <w:sz w:val="28"/>
                <w:szCs w:val="28"/>
              </w:rPr>
            </w:pPr>
            <w:r w:rsidRPr="001D0C2E">
              <w:rPr>
                <w:rFonts w:ascii="Times New Roman" w:hAnsi="Times New Roman"/>
                <w:sz w:val="28"/>
                <w:szCs w:val="28"/>
              </w:rPr>
              <w:t xml:space="preserve">Ar 2010.gada 9.marta Ministru kabineta noteikumiem Nr.238 „Grozījumi Ministru kabineta 2005.gada 28.jūnija noteikumos Nr.453 „Būvkomersantu reģistrācijas noteikumi”” (spēkā līdz 19.10.2011.) tika noteikta prasība, ka sertificētais speciālists vienlaikus var būt nodarbināts ne vairāk kā pie trīs būvkomersantiem. Prasības mērķis </w:t>
            </w:r>
            <w:r w:rsidR="00A96E44">
              <w:rPr>
                <w:rFonts w:ascii="Times New Roman" w:hAnsi="Times New Roman"/>
                <w:sz w:val="28"/>
                <w:szCs w:val="28"/>
              </w:rPr>
              <w:t xml:space="preserve">samazināt risku, ka </w:t>
            </w:r>
            <w:proofErr w:type="spellStart"/>
            <w:r w:rsidR="00A96E44">
              <w:rPr>
                <w:rFonts w:ascii="Times New Roman" w:hAnsi="Times New Roman"/>
                <w:sz w:val="28"/>
                <w:szCs w:val="28"/>
              </w:rPr>
              <w:t>būvspeciālists</w:t>
            </w:r>
            <w:proofErr w:type="spellEnd"/>
            <w:r w:rsidR="00A96E44">
              <w:rPr>
                <w:rFonts w:ascii="Times New Roman" w:hAnsi="Times New Roman"/>
                <w:sz w:val="28"/>
                <w:szCs w:val="28"/>
              </w:rPr>
              <w:t xml:space="preserve"> vienlaicīgi iesaistās vairākos būvniecības procesos, pildot savus pienākumus nepilnvērtīgi, apdraudot kopējā būvniecības procesa kvalitāti un efektivitāti. Šādi tiktu </w:t>
            </w:r>
            <w:r w:rsidRPr="001D0C2E">
              <w:rPr>
                <w:rFonts w:ascii="Times New Roman" w:hAnsi="Times New Roman"/>
                <w:sz w:val="28"/>
                <w:szCs w:val="28"/>
              </w:rPr>
              <w:t xml:space="preserve"> </w:t>
            </w:r>
            <w:proofErr w:type="spellStart"/>
            <w:r w:rsidRPr="001D0C2E">
              <w:rPr>
                <w:rFonts w:ascii="Times New Roman" w:hAnsi="Times New Roman"/>
                <w:sz w:val="28"/>
                <w:szCs w:val="28"/>
              </w:rPr>
              <w:t>veicinātāt</w:t>
            </w:r>
            <w:r w:rsidR="00A96E44">
              <w:rPr>
                <w:rFonts w:ascii="Times New Roman" w:hAnsi="Times New Roman"/>
                <w:sz w:val="28"/>
                <w:szCs w:val="28"/>
              </w:rPr>
              <w:t>a</w:t>
            </w:r>
            <w:proofErr w:type="spellEnd"/>
            <w:r w:rsidRPr="001D0C2E">
              <w:rPr>
                <w:rFonts w:ascii="Times New Roman" w:hAnsi="Times New Roman"/>
                <w:sz w:val="28"/>
                <w:szCs w:val="28"/>
              </w:rPr>
              <w:t xml:space="preserve"> </w:t>
            </w:r>
            <w:r w:rsidR="00A96E44" w:rsidRPr="001D0C2E">
              <w:rPr>
                <w:rFonts w:ascii="Times New Roman" w:hAnsi="Times New Roman"/>
                <w:sz w:val="28"/>
                <w:szCs w:val="28"/>
              </w:rPr>
              <w:t>godīg</w:t>
            </w:r>
            <w:r w:rsidR="00A96E44">
              <w:rPr>
                <w:rFonts w:ascii="Times New Roman" w:hAnsi="Times New Roman"/>
                <w:sz w:val="28"/>
                <w:szCs w:val="28"/>
              </w:rPr>
              <w:t>a</w:t>
            </w:r>
            <w:r w:rsidR="00A96E44" w:rsidRPr="001D0C2E">
              <w:rPr>
                <w:rFonts w:ascii="Times New Roman" w:hAnsi="Times New Roman"/>
                <w:sz w:val="28"/>
                <w:szCs w:val="28"/>
              </w:rPr>
              <w:t xml:space="preserve"> konkurenc</w:t>
            </w:r>
            <w:r w:rsidR="00A96E44">
              <w:rPr>
                <w:rFonts w:ascii="Times New Roman" w:hAnsi="Times New Roman"/>
                <w:sz w:val="28"/>
                <w:szCs w:val="28"/>
              </w:rPr>
              <w:t xml:space="preserve">e, tai skaitā </w:t>
            </w:r>
            <w:r w:rsidR="00A96E44" w:rsidRPr="001D0C2E">
              <w:rPr>
                <w:rFonts w:ascii="Times New Roman" w:hAnsi="Times New Roman"/>
                <w:sz w:val="28"/>
                <w:szCs w:val="28"/>
              </w:rPr>
              <w:t xml:space="preserve"> </w:t>
            </w:r>
            <w:r w:rsidRPr="001D0C2E">
              <w:rPr>
                <w:rFonts w:ascii="Times New Roman" w:hAnsi="Times New Roman"/>
                <w:sz w:val="28"/>
                <w:szCs w:val="28"/>
              </w:rPr>
              <w:t>publiskajos iepirkumos, novērst nelegālo nodarbinātību un nodokļu nemaksāšanu.</w:t>
            </w:r>
          </w:p>
          <w:p w:rsidR="001D0C2E" w:rsidRDefault="001D0C2E" w:rsidP="004F4463">
            <w:pPr>
              <w:spacing w:after="0" w:line="240" w:lineRule="auto"/>
              <w:ind w:firstLine="386"/>
              <w:jc w:val="both"/>
              <w:rPr>
                <w:rFonts w:ascii="Times New Roman" w:hAnsi="Times New Roman"/>
                <w:sz w:val="28"/>
                <w:szCs w:val="28"/>
              </w:rPr>
            </w:pPr>
            <w:r>
              <w:rPr>
                <w:rFonts w:ascii="Times New Roman" w:hAnsi="Times New Roman"/>
                <w:sz w:val="28"/>
                <w:szCs w:val="28"/>
              </w:rPr>
              <w:t xml:space="preserve"> </w:t>
            </w:r>
            <w:r w:rsidR="00B52063">
              <w:rPr>
                <w:rFonts w:ascii="Times New Roman" w:hAnsi="Times New Roman"/>
                <w:sz w:val="28"/>
                <w:szCs w:val="28"/>
              </w:rPr>
              <w:t xml:space="preserve">Līdzīga norma tika iestrādāta arī </w:t>
            </w:r>
            <w:r>
              <w:rPr>
                <w:rFonts w:ascii="Times New Roman" w:hAnsi="Times New Roman"/>
                <w:sz w:val="28"/>
                <w:szCs w:val="28"/>
              </w:rPr>
              <w:t xml:space="preserve"> </w:t>
            </w:r>
            <w:r w:rsidRPr="00BE3594">
              <w:rPr>
                <w:rFonts w:ascii="Times New Roman" w:hAnsi="Times New Roman"/>
                <w:sz w:val="28"/>
                <w:szCs w:val="28"/>
              </w:rPr>
              <w:t>Ministru kabineta 2014.gada 25.februāra noteikum</w:t>
            </w:r>
            <w:r>
              <w:rPr>
                <w:rFonts w:ascii="Times New Roman" w:hAnsi="Times New Roman"/>
                <w:sz w:val="28"/>
                <w:szCs w:val="28"/>
              </w:rPr>
              <w:t>u</w:t>
            </w:r>
            <w:r w:rsidRPr="00BE3594">
              <w:rPr>
                <w:rFonts w:ascii="Times New Roman" w:hAnsi="Times New Roman"/>
                <w:sz w:val="28"/>
                <w:szCs w:val="28"/>
              </w:rPr>
              <w:t xml:space="preserve"> Nr.116 „Būvkomersantu reģistrācijas noteikumi</w:t>
            </w:r>
            <w:r>
              <w:rPr>
                <w:rFonts w:ascii="Times New Roman" w:hAnsi="Times New Roman"/>
                <w:sz w:val="28"/>
                <w:szCs w:val="28"/>
              </w:rPr>
              <w:t>” 5.2.</w:t>
            </w:r>
            <w:r w:rsidR="00B52063">
              <w:rPr>
                <w:rFonts w:ascii="Times New Roman" w:hAnsi="Times New Roman"/>
                <w:sz w:val="28"/>
                <w:szCs w:val="28"/>
              </w:rPr>
              <w:t xml:space="preserve">apakšpunktā, saskaņā ar kuru </w:t>
            </w:r>
            <w:r>
              <w:rPr>
                <w:rFonts w:ascii="Times New Roman" w:hAnsi="Times New Roman"/>
                <w:sz w:val="28"/>
                <w:szCs w:val="28"/>
              </w:rPr>
              <w:t xml:space="preserve">komersants var pretendēt uz reģistrāciju būvkomersantu reģistrā, ja </w:t>
            </w:r>
            <w:r w:rsidRPr="00BE3594">
              <w:rPr>
                <w:rFonts w:ascii="Times New Roman" w:hAnsi="Times New Roman"/>
                <w:sz w:val="28"/>
                <w:szCs w:val="28"/>
              </w:rPr>
              <w:t xml:space="preserve">tā nodarbinātais </w:t>
            </w:r>
            <w:proofErr w:type="spellStart"/>
            <w:r w:rsidRPr="00BE3594">
              <w:rPr>
                <w:rFonts w:ascii="Times New Roman" w:hAnsi="Times New Roman"/>
                <w:sz w:val="28"/>
                <w:szCs w:val="28"/>
              </w:rPr>
              <w:t>būvspeciālists</w:t>
            </w:r>
            <w:proofErr w:type="spellEnd"/>
            <w:r w:rsidRPr="00BE3594">
              <w:rPr>
                <w:rFonts w:ascii="Times New Roman" w:hAnsi="Times New Roman"/>
                <w:sz w:val="28"/>
                <w:szCs w:val="28"/>
              </w:rPr>
              <w:t xml:space="preserve"> vienlaikus kā </w:t>
            </w:r>
            <w:proofErr w:type="spellStart"/>
            <w:r w:rsidRPr="00BE3594">
              <w:rPr>
                <w:rFonts w:ascii="Times New Roman" w:hAnsi="Times New Roman"/>
                <w:sz w:val="28"/>
                <w:szCs w:val="28"/>
              </w:rPr>
              <w:t>būvspeciālists</w:t>
            </w:r>
            <w:proofErr w:type="spellEnd"/>
            <w:r w:rsidRPr="00BE3594">
              <w:rPr>
                <w:rFonts w:ascii="Times New Roman" w:hAnsi="Times New Roman"/>
                <w:sz w:val="28"/>
                <w:szCs w:val="28"/>
              </w:rPr>
              <w:t xml:space="preserve"> n</w:t>
            </w:r>
            <w:r>
              <w:rPr>
                <w:rFonts w:ascii="Times New Roman" w:hAnsi="Times New Roman"/>
                <w:sz w:val="28"/>
                <w:szCs w:val="28"/>
              </w:rPr>
              <w:t>av</w:t>
            </w:r>
            <w:r w:rsidRPr="00BE3594">
              <w:rPr>
                <w:rFonts w:ascii="Times New Roman" w:hAnsi="Times New Roman"/>
                <w:sz w:val="28"/>
                <w:szCs w:val="28"/>
              </w:rPr>
              <w:t xml:space="preserve"> darba tiesiskajās attiecībās ar vairāk nekā diviem citiem komersantiem, kas reģistrēti reģistrā</w:t>
            </w:r>
            <w:r>
              <w:rPr>
                <w:rFonts w:ascii="Times New Roman" w:hAnsi="Times New Roman"/>
                <w:sz w:val="28"/>
                <w:szCs w:val="28"/>
              </w:rPr>
              <w:t>.</w:t>
            </w:r>
            <w:r w:rsidR="00577D84">
              <w:rPr>
                <w:rFonts w:ascii="Times New Roman" w:hAnsi="Times New Roman"/>
                <w:sz w:val="28"/>
                <w:szCs w:val="28"/>
              </w:rPr>
              <w:t xml:space="preserve"> </w:t>
            </w:r>
            <w:r w:rsidR="00B52063">
              <w:rPr>
                <w:rFonts w:ascii="Times New Roman" w:hAnsi="Times New Roman"/>
                <w:sz w:val="28"/>
                <w:szCs w:val="28"/>
              </w:rPr>
              <w:t xml:space="preserve">Analizējot izveidojušos praksi, ir </w:t>
            </w:r>
            <w:r w:rsidR="00B52063">
              <w:rPr>
                <w:rFonts w:ascii="Times New Roman" w:hAnsi="Times New Roman"/>
                <w:sz w:val="28"/>
                <w:szCs w:val="28"/>
              </w:rPr>
              <w:lastRenderedPageBreak/>
              <w:t>secināts, ka normatīvajos aktos noteiktais ierob</w:t>
            </w:r>
            <w:r w:rsidR="002A331D">
              <w:rPr>
                <w:rFonts w:ascii="Times New Roman" w:hAnsi="Times New Roman"/>
                <w:sz w:val="28"/>
                <w:szCs w:val="28"/>
              </w:rPr>
              <w:t>ežojums nav sasniedzis savu mērķ</w:t>
            </w:r>
            <w:r w:rsidR="00B52063">
              <w:rPr>
                <w:rFonts w:ascii="Times New Roman" w:hAnsi="Times New Roman"/>
                <w:sz w:val="28"/>
                <w:szCs w:val="28"/>
              </w:rPr>
              <w:t xml:space="preserve">i, jo tas nenovērš risku attiecībā uz </w:t>
            </w:r>
            <w:proofErr w:type="spellStart"/>
            <w:r w:rsidR="00B52063">
              <w:rPr>
                <w:rFonts w:ascii="Times New Roman" w:hAnsi="Times New Roman"/>
                <w:sz w:val="28"/>
                <w:szCs w:val="28"/>
              </w:rPr>
              <w:t>būvspeciālista</w:t>
            </w:r>
            <w:proofErr w:type="spellEnd"/>
            <w:r w:rsidR="00B52063">
              <w:rPr>
                <w:rFonts w:ascii="Times New Roman" w:hAnsi="Times New Roman"/>
                <w:sz w:val="28"/>
                <w:szCs w:val="28"/>
              </w:rPr>
              <w:t xml:space="preserve"> noslodzes riskiem un fiktīvi sniegtā pakalpojuma riskiem. </w:t>
            </w:r>
            <w:r w:rsidR="00577D84">
              <w:rPr>
                <w:rFonts w:ascii="Times New Roman" w:hAnsi="Times New Roman"/>
                <w:sz w:val="28"/>
                <w:szCs w:val="28"/>
              </w:rPr>
              <w:t xml:space="preserve">Ņemot vērā, ka sertificētie speciālisti var noslēgt, piemēram, </w:t>
            </w:r>
            <w:r w:rsidR="00577D84" w:rsidRPr="00DC355B">
              <w:rPr>
                <w:rFonts w:ascii="Times New Roman" w:hAnsi="Times New Roman"/>
                <w:sz w:val="28"/>
                <w:szCs w:val="28"/>
              </w:rPr>
              <w:t xml:space="preserve">pakalpojuma līgumus ar citiem būvkomersantiem, </w:t>
            </w:r>
            <w:r w:rsidR="00B52063">
              <w:rPr>
                <w:rFonts w:ascii="Times New Roman" w:hAnsi="Times New Roman"/>
                <w:sz w:val="28"/>
                <w:szCs w:val="28"/>
              </w:rPr>
              <w:t xml:space="preserve"> joprojām saglabājas risks, ka viens </w:t>
            </w:r>
            <w:proofErr w:type="spellStart"/>
            <w:r w:rsidR="00B52063">
              <w:rPr>
                <w:rFonts w:ascii="Times New Roman" w:hAnsi="Times New Roman"/>
                <w:sz w:val="28"/>
                <w:szCs w:val="28"/>
              </w:rPr>
              <w:t>būspeciālists</w:t>
            </w:r>
            <w:proofErr w:type="spellEnd"/>
            <w:r w:rsidR="00B52063">
              <w:rPr>
                <w:rFonts w:ascii="Times New Roman" w:hAnsi="Times New Roman"/>
                <w:sz w:val="28"/>
                <w:szCs w:val="28"/>
              </w:rPr>
              <w:t xml:space="preserve"> var tikt nodarbināts lielā objektu skaitā, kas liedz viņam veikt savus pienākumus pietiekamā kvalitātē. </w:t>
            </w:r>
            <w:r w:rsidR="00577D84">
              <w:rPr>
                <w:rFonts w:ascii="Times New Roman" w:hAnsi="Times New Roman"/>
                <w:sz w:val="28"/>
                <w:szCs w:val="28"/>
              </w:rPr>
              <w:t xml:space="preserve"> </w:t>
            </w:r>
            <w:r w:rsidR="00B52063">
              <w:rPr>
                <w:rFonts w:ascii="Times New Roman" w:hAnsi="Times New Roman"/>
                <w:sz w:val="28"/>
                <w:szCs w:val="28"/>
              </w:rPr>
              <w:t xml:space="preserve"> </w:t>
            </w:r>
            <w:r w:rsidRPr="00577D84">
              <w:rPr>
                <w:rFonts w:ascii="Times New Roman" w:hAnsi="Times New Roman"/>
                <w:sz w:val="28"/>
                <w:szCs w:val="28"/>
              </w:rPr>
              <w:t>Ņemot vērā minēto, noteikumu projektā minēt</w:t>
            </w:r>
            <w:r w:rsidR="00577D84">
              <w:rPr>
                <w:rFonts w:ascii="Times New Roman" w:hAnsi="Times New Roman"/>
                <w:sz w:val="28"/>
                <w:szCs w:val="28"/>
              </w:rPr>
              <w:t>o</w:t>
            </w:r>
            <w:r w:rsidRPr="00577D84">
              <w:rPr>
                <w:rFonts w:ascii="Times New Roman" w:hAnsi="Times New Roman"/>
                <w:sz w:val="28"/>
                <w:szCs w:val="28"/>
              </w:rPr>
              <w:t xml:space="preserve"> ierobežojum</w:t>
            </w:r>
            <w:r w:rsidR="00577D84">
              <w:rPr>
                <w:rFonts w:ascii="Times New Roman" w:hAnsi="Times New Roman"/>
                <w:sz w:val="28"/>
                <w:szCs w:val="28"/>
              </w:rPr>
              <w:t>u</w:t>
            </w:r>
            <w:r w:rsidRPr="00577D84">
              <w:rPr>
                <w:rFonts w:ascii="Times New Roman" w:hAnsi="Times New Roman"/>
                <w:sz w:val="28"/>
                <w:szCs w:val="28"/>
              </w:rPr>
              <w:t xml:space="preserve"> </w:t>
            </w:r>
            <w:r w:rsidR="00577D84">
              <w:rPr>
                <w:rFonts w:ascii="Times New Roman" w:hAnsi="Times New Roman"/>
                <w:sz w:val="28"/>
                <w:szCs w:val="28"/>
              </w:rPr>
              <w:t>paredzēts</w:t>
            </w:r>
            <w:r w:rsidRPr="00577D84">
              <w:rPr>
                <w:rFonts w:ascii="Times New Roman" w:hAnsi="Times New Roman"/>
                <w:sz w:val="28"/>
                <w:szCs w:val="28"/>
              </w:rPr>
              <w:t xml:space="preserve"> atcelts. Pēc grozījumu stāšanās spēkā </w:t>
            </w:r>
            <w:proofErr w:type="spellStart"/>
            <w:r w:rsidRPr="00577D84">
              <w:rPr>
                <w:rFonts w:ascii="Times New Roman" w:hAnsi="Times New Roman"/>
                <w:sz w:val="28"/>
                <w:szCs w:val="28"/>
              </w:rPr>
              <w:t>būvspeciālistu</w:t>
            </w:r>
            <w:proofErr w:type="spellEnd"/>
            <w:r w:rsidRPr="00577D84">
              <w:rPr>
                <w:rFonts w:ascii="Times New Roman" w:hAnsi="Times New Roman"/>
                <w:sz w:val="28"/>
                <w:szCs w:val="28"/>
              </w:rPr>
              <w:t xml:space="preserve"> profesionālās darbības kontrole tiks nodrošināta Būvniecības informācijas sistēmā</w:t>
            </w:r>
            <w:r w:rsidR="00B52063">
              <w:rPr>
                <w:rFonts w:ascii="Times New Roman" w:hAnsi="Times New Roman"/>
                <w:sz w:val="28"/>
                <w:szCs w:val="28"/>
              </w:rPr>
              <w:t>, tai skaitā izmantojot elektroniskā darba laika uzskaites datus.</w:t>
            </w:r>
            <w:r>
              <w:rPr>
                <w:rFonts w:ascii="Times New Roman" w:hAnsi="Times New Roman"/>
                <w:sz w:val="28"/>
                <w:szCs w:val="28"/>
              </w:rPr>
              <w:t xml:space="preserve"> </w:t>
            </w:r>
          </w:p>
          <w:p w:rsidR="0055171B" w:rsidRDefault="0055171B" w:rsidP="004F4463">
            <w:pPr>
              <w:spacing w:after="0" w:line="240" w:lineRule="auto"/>
              <w:jc w:val="both"/>
              <w:rPr>
                <w:rFonts w:ascii="Times New Roman" w:eastAsia="Times New Roman" w:hAnsi="Times New Roman"/>
                <w:color w:val="000000" w:themeColor="text1"/>
                <w:sz w:val="28"/>
                <w:szCs w:val="28"/>
                <w:lang w:eastAsia="lv-LV"/>
              </w:rPr>
            </w:pPr>
          </w:p>
          <w:p w:rsidR="006F348C" w:rsidRPr="002E707F" w:rsidRDefault="00EC2FCA" w:rsidP="004F4463">
            <w:pPr>
              <w:spacing w:after="0" w:line="240" w:lineRule="auto"/>
              <w:ind w:firstLine="541"/>
              <w:jc w:val="both"/>
              <w:rPr>
                <w:rFonts w:ascii="Times New Roman" w:hAnsi="Times New Roman"/>
                <w:bCs/>
                <w:iCs/>
                <w:sz w:val="28"/>
                <w:szCs w:val="28"/>
              </w:rPr>
            </w:pPr>
            <w:r>
              <w:rPr>
                <w:rFonts w:ascii="Times New Roman" w:eastAsia="Times New Roman" w:hAnsi="Times New Roman"/>
                <w:color w:val="000000" w:themeColor="text1"/>
                <w:sz w:val="28"/>
                <w:szCs w:val="28"/>
                <w:lang w:eastAsia="lv-LV"/>
              </w:rPr>
              <w:t xml:space="preserve">Izmaiņas </w:t>
            </w:r>
            <w:r w:rsidR="006F348C">
              <w:rPr>
                <w:rFonts w:ascii="Times New Roman" w:eastAsia="Times New Roman" w:hAnsi="Times New Roman"/>
                <w:color w:val="000000" w:themeColor="text1"/>
                <w:sz w:val="28"/>
                <w:szCs w:val="28"/>
                <w:lang w:eastAsia="lv-LV"/>
              </w:rPr>
              <w:t>stāsies spēkā no 2018.gada 1.janvāra.</w:t>
            </w:r>
          </w:p>
        </w:tc>
      </w:tr>
      <w:tr w:rsidR="00EE350B" w:rsidRPr="002E707F" w:rsidTr="004F656F">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rsidP="004F656F">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rsidP="004F656F">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734371" w:rsidRPr="002E707F" w:rsidRDefault="00FF745B" w:rsidP="004F656F">
            <w:pPr>
              <w:rPr>
                <w:rFonts w:ascii="Times New Roman" w:eastAsia="Times New Roman" w:hAnsi="Times New Roman"/>
                <w:sz w:val="28"/>
                <w:szCs w:val="28"/>
                <w:lang w:eastAsia="lv-LV"/>
              </w:rPr>
            </w:pPr>
            <w:r>
              <w:rPr>
                <w:rFonts w:ascii="Times New Roman" w:eastAsia="Times New Roman" w:hAnsi="Times New Roman"/>
                <w:sz w:val="28"/>
                <w:szCs w:val="28"/>
                <w:lang w:eastAsia="lv-LV"/>
              </w:rPr>
              <w:t>Nav</w:t>
            </w:r>
          </w:p>
        </w:tc>
      </w:tr>
      <w:tr w:rsidR="00EE350B" w:rsidRPr="002E707F" w:rsidTr="004F656F">
        <w:tc>
          <w:tcPr>
            <w:tcW w:w="2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rsidP="004F656F">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rsidP="004F656F">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rsidP="004F656F">
            <w:pPr>
              <w:spacing w:after="0" w:line="240" w:lineRule="auto"/>
              <w:jc w:val="both"/>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Nav</w:t>
            </w:r>
          </w:p>
        </w:tc>
      </w:tr>
      <w:tr w:rsidR="002E707F" w:rsidRPr="002E707F" w:rsidTr="004F656F">
        <w:trPr>
          <w:trHeight w:val="128"/>
        </w:trPr>
        <w:tc>
          <w:tcPr>
            <w:tcW w:w="5000" w:type="pct"/>
            <w:gridSpan w:val="3"/>
            <w:tcBorders>
              <w:top w:val="outset" w:sz="6" w:space="0" w:color="414142"/>
              <w:left w:val="nil"/>
              <w:bottom w:val="outset" w:sz="6" w:space="0" w:color="414142"/>
              <w:right w:val="nil"/>
            </w:tcBorders>
            <w:hideMark/>
          </w:tcPr>
          <w:p w:rsidR="00734371" w:rsidRPr="002E707F" w:rsidRDefault="00734371" w:rsidP="004F656F">
            <w:pPr>
              <w:tabs>
                <w:tab w:val="left" w:pos="990"/>
              </w:tabs>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ab/>
            </w:r>
          </w:p>
        </w:tc>
      </w:tr>
    </w:tbl>
    <w:p w:rsidR="00734371" w:rsidRPr="002E707F" w:rsidRDefault="00975AA9" w:rsidP="00734371">
      <w:pPr>
        <w:spacing w:after="0" w:line="240" w:lineRule="auto"/>
        <w:rPr>
          <w:rFonts w:ascii="Times New Roman" w:eastAsia="Times New Roman" w:hAnsi="Times New Roman"/>
          <w:vanish/>
          <w:sz w:val="28"/>
          <w:szCs w:val="28"/>
          <w:lang w:eastAsia="lv-LV"/>
        </w:rPr>
      </w:pPr>
      <w:r>
        <w:rPr>
          <w:rFonts w:ascii="Times New Roman" w:eastAsia="Times New Roman" w:hAnsi="Times New Roman"/>
          <w:vanish/>
          <w:sz w:val="28"/>
          <w:szCs w:val="28"/>
          <w:lang w:eastAsia="lv-LV"/>
        </w:rPr>
        <w:br w:type="textWrapping" w:clear="all"/>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807"/>
        <w:gridCol w:w="5795"/>
      </w:tblGrid>
      <w:tr w:rsidR="00EE350B" w:rsidRPr="002E707F" w:rsidTr="00734371">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734371" w:rsidRPr="002E707F" w:rsidRDefault="00734371">
            <w:pPr>
              <w:spacing w:after="0" w:line="240" w:lineRule="auto"/>
              <w:ind w:firstLine="300"/>
              <w:jc w:val="center"/>
              <w:rPr>
                <w:rFonts w:ascii="Times New Roman" w:eastAsia="Times New Roman" w:hAnsi="Times New Roman"/>
                <w:b/>
                <w:bCs/>
                <w:sz w:val="28"/>
                <w:szCs w:val="28"/>
                <w:lang w:eastAsia="lv-LV"/>
              </w:rPr>
            </w:pPr>
            <w:r w:rsidRPr="002E707F">
              <w:rPr>
                <w:rFonts w:ascii="Times New Roman" w:eastAsia="Times New Roman" w:hAnsi="Times New Roman"/>
                <w:b/>
                <w:bCs/>
                <w:sz w:val="28"/>
                <w:szCs w:val="28"/>
                <w:lang w:eastAsia="lv-LV"/>
              </w:rPr>
              <w:t>II. Tiesību akta projekta ietekme uz sabiedrību, tautsaimniecības attīstību un administratīvo slogu</w:t>
            </w:r>
          </w:p>
        </w:tc>
      </w:tr>
      <w:tr w:rsidR="00EE350B" w:rsidRPr="002E707F" w:rsidTr="0073437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xml:space="preserve">Sabiedrības </w:t>
            </w:r>
            <w:proofErr w:type="spellStart"/>
            <w:r w:rsidRPr="002E707F">
              <w:rPr>
                <w:rFonts w:ascii="Times New Roman" w:eastAsia="Times New Roman" w:hAnsi="Times New Roman"/>
                <w:sz w:val="28"/>
                <w:szCs w:val="28"/>
                <w:lang w:eastAsia="lv-LV"/>
              </w:rPr>
              <w:t>mērķgrupas</w:t>
            </w:r>
            <w:proofErr w:type="spellEnd"/>
            <w:r w:rsidRPr="002E707F">
              <w:rPr>
                <w:rFonts w:ascii="Times New Roman" w:eastAsia="Times New Roman" w:hAnsi="Times New Roman"/>
                <w:sz w:val="28"/>
                <w:szCs w:val="28"/>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0810F2" w:rsidRPr="002E707F" w:rsidRDefault="00734371" w:rsidP="00FF745B">
            <w:pPr>
              <w:spacing w:after="0" w:line="240" w:lineRule="auto"/>
              <w:ind w:firstLine="284"/>
              <w:jc w:val="both"/>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Ti</w:t>
            </w:r>
            <w:r w:rsidR="000F62C7" w:rsidRPr="002E707F">
              <w:rPr>
                <w:rFonts w:ascii="Times New Roman" w:eastAsia="Times New Roman" w:hAnsi="Times New Roman"/>
                <w:sz w:val="28"/>
                <w:szCs w:val="28"/>
                <w:lang w:eastAsia="lv-LV"/>
              </w:rPr>
              <w:t xml:space="preserve">esiskais regulējums attiecināms </w:t>
            </w:r>
            <w:r w:rsidR="00F97A18" w:rsidRPr="002E707F">
              <w:rPr>
                <w:rFonts w:ascii="Times New Roman" w:eastAsia="Times New Roman" w:hAnsi="Times New Roman"/>
                <w:sz w:val="28"/>
                <w:szCs w:val="28"/>
                <w:lang w:eastAsia="lv-LV"/>
              </w:rPr>
              <w:t xml:space="preserve">uz </w:t>
            </w:r>
            <w:r w:rsidR="008C3D3E" w:rsidRPr="002E707F">
              <w:rPr>
                <w:rFonts w:ascii="Times New Roman" w:eastAsia="Times New Roman" w:hAnsi="Times New Roman"/>
                <w:sz w:val="28"/>
                <w:szCs w:val="28"/>
                <w:lang w:eastAsia="lv-LV"/>
              </w:rPr>
              <w:t xml:space="preserve">būvkomersantu </w:t>
            </w:r>
            <w:r w:rsidR="00F97A18" w:rsidRPr="002E707F">
              <w:rPr>
                <w:rFonts w:ascii="Times New Roman" w:eastAsia="Times New Roman" w:hAnsi="Times New Roman"/>
                <w:sz w:val="28"/>
                <w:szCs w:val="28"/>
                <w:lang w:eastAsia="lv-LV"/>
              </w:rPr>
              <w:t>reģistrā jau reģistrētajiem</w:t>
            </w:r>
            <w:r w:rsidR="008C3D3E" w:rsidRPr="002E707F">
              <w:rPr>
                <w:rFonts w:ascii="Times New Roman" w:eastAsia="Times New Roman" w:hAnsi="Times New Roman"/>
                <w:sz w:val="28"/>
                <w:szCs w:val="28"/>
                <w:lang w:eastAsia="lv-LV"/>
              </w:rPr>
              <w:t xml:space="preserve"> būvkomersantiem</w:t>
            </w:r>
            <w:r w:rsidR="00FF745B">
              <w:rPr>
                <w:rFonts w:ascii="Times New Roman" w:eastAsia="Times New Roman" w:hAnsi="Times New Roman"/>
                <w:sz w:val="28"/>
                <w:szCs w:val="28"/>
                <w:lang w:eastAsia="lv-LV"/>
              </w:rPr>
              <w:t xml:space="preserve">, gan </w:t>
            </w:r>
            <w:r w:rsidR="00FF745B" w:rsidRPr="00FF745B">
              <w:rPr>
                <w:rFonts w:ascii="Times New Roman" w:eastAsia="Times New Roman" w:hAnsi="Times New Roman"/>
                <w:sz w:val="28"/>
                <w:szCs w:val="28"/>
                <w:lang w:eastAsia="lv-LV"/>
              </w:rPr>
              <w:t>arī uz tiem komersantiem, kas reģistrēsies būvkomersantu reģistrā.</w:t>
            </w:r>
            <w:r w:rsidR="00FF745B">
              <w:rPr>
                <w:rFonts w:ascii="Times New Roman" w:eastAsia="Times New Roman" w:hAnsi="Times New Roman"/>
                <w:sz w:val="24"/>
                <w:szCs w:val="24"/>
                <w:lang w:eastAsia="lv-LV"/>
              </w:rPr>
              <w:t xml:space="preserve"> </w:t>
            </w:r>
            <w:r w:rsidR="00F97A18" w:rsidRPr="002E707F">
              <w:rPr>
                <w:rFonts w:ascii="Times New Roman" w:eastAsia="Times New Roman" w:hAnsi="Times New Roman"/>
                <w:sz w:val="28"/>
                <w:szCs w:val="28"/>
                <w:lang w:eastAsia="lv-LV"/>
              </w:rPr>
              <w:t xml:space="preserve"> Šobrīd </w:t>
            </w:r>
            <w:r w:rsidR="00094279" w:rsidRPr="002E707F">
              <w:rPr>
                <w:rFonts w:ascii="Times New Roman" w:eastAsia="Times New Roman" w:hAnsi="Times New Roman"/>
                <w:sz w:val="28"/>
                <w:szCs w:val="28"/>
                <w:lang w:eastAsia="lv-LV"/>
              </w:rPr>
              <w:t xml:space="preserve">būvkomersantu reģistrā </w:t>
            </w:r>
            <w:r w:rsidR="00F97A18" w:rsidRPr="002E707F">
              <w:rPr>
                <w:rFonts w:ascii="Times New Roman" w:eastAsia="Times New Roman" w:hAnsi="Times New Roman"/>
                <w:sz w:val="28"/>
                <w:szCs w:val="28"/>
                <w:lang w:eastAsia="lv-LV"/>
              </w:rPr>
              <w:t>ir reģistrēt</w:t>
            </w:r>
            <w:r w:rsidR="00E06BA1" w:rsidRPr="002E707F">
              <w:rPr>
                <w:rFonts w:ascii="Times New Roman" w:eastAsia="Times New Roman" w:hAnsi="Times New Roman"/>
                <w:sz w:val="28"/>
                <w:szCs w:val="28"/>
                <w:lang w:eastAsia="lv-LV"/>
              </w:rPr>
              <w:t>i</w:t>
            </w:r>
            <w:r w:rsidR="00F97A18" w:rsidRPr="002E707F">
              <w:rPr>
                <w:rFonts w:ascii="Times New Roman" w:eastAsia="Times New Roman" w:hAnsi="Times New Roman"/>
                <w:sz w:val="28"/>
                <w:szCs w:val="28"/>
                <w:lang w:eastAsia="lv-LV"/>
              </w:rPr>
              <w:t xml:space="preserve"> </w:t>
            </w:r>
            <w:r w:rsidR="009A2F05" w:rsidRPr="002E707F">
              <w:rPr>
                <w:rFonts w:ascii="Times New Roman" w:eastAsia="Times New Roman" w:hAnsi="Times New Roman"/>
                <w:sz w:val="28"/>
                <w:szCs w:val="28"/>
                <w:lang w:eastAsia="lv-LV"/>
              </w:rPr>
              <w:t>5</w:t>
            </w:r>
            <w:r w:rsidR="00A06228">
              <w:rPr>
                <w:rFonts w:ascii="Times New Roman" w:eastAsia="Times New Roman" w:hAnsi="Times New Roman"/>
                <w:sz w:val="28"/>
                <w:szCs w:val="28"/>
                <w:lang w:eastAsia="lv-LV"/>
              </w:rPr>
              <w:t>1</w:t>
            </w:r>
            <w:r w:rsidR="00E96C52">
              <w:rPr>
                <w:rFonts w:ascii="Times New Roman" w:eastAsia="Times New Roman" w:hAnsi="Times New Roman"/>
                <w:sz w:val="28"/>
                <w:szCs w:val="28"/>
                <w:lang w:eastAsia="lv-LV"/>
              </w:rPr>
              <w:t>95</w:t>
            </w:r>
            <w:r w:rsidR="00573716" w:rsidRPr="002E707F">
              <w:rPr>
                <w:rFonts w:ascii="Times New Roman" w:eastAsia="Times New Roman" w:hAnsi="Times New Roman"/>
                <w:sz w:val="28"/>
                <w:szCs w:val="28"/>
                <w:lang w:eastAsia="lv-LV"/>
              </w:rPr>
              <w:t xml:space="preserve"> </w:t>
            </w:r>
            <w:r w:rsidR="008C4520" w:rsidRPr="002E707F">
              <w:rPr>
                <w:rFonts w:ascii="Times New Roman" w:eastAsia="Times New Roman" w:hAnsi="Times New Roman"/>
                <w:sz w:val="28"/>
                <w:szCs w:val="28"/>
                <w:lang w:eastAsia="lv-LV"/>
              </w:rPr>
              <w:t>būvkomersanti</w:t>
            </w:r>
            <w:r w:rsidR="00573716" w:rsidRPr="002E707F">
              <w:rPr>
                <w:rFonts w:ascii="Times New Roman" w:eastAsia="Times New Roman" w:hAnsi="Times New Roman"/>
                <w:sz w:val="28"/>
                <w:szCs w:val="28"/>
                <w:lang w:eastAsia="lv-LV"/>
              </w:rPr>
              <w:t xml:space="preserve">. </w:t>
            </w:r>
          </w:p>
        </w:tc>
      </w:tr>
      <w:tr w:rsidR="00EE350B" w:rsidRPr="002E707F" w:rsidTr="00734371">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AF422C" w:rsidRDefault="00E96C52" w:rsidP="00DB0AD2">
            <w:pPr>
              <w:spacing w:after="0" w:line="240" w:lineRule="auto"/>
              <w:jc w:val="both"/>
              <w:rPr>
                <w:rFonts w:ascii="Times New Roman" w:eastAsia="Times New Roman" w:hAnsi="Times New Roman"/>
                <w:sz w:val="28"/>
                <w:szCs w:val="28"/>
                <w:lang w:eastAsia="lv-LV"/>
              </w:rPr>
            </w:pPr>
            <w:r w:rsidRPr="00E96C52">
              <w:rPr>
                <w:rFonts w:ascii="Times New Roman" w:eastAsia="Times New Roman" w:hAnsi="Times New Roman"/>
                <w:sz w:val="28"/>
                <w:szCs w:val="28"/>
                <w:lang w:eastAsia="lv-LV"/>
              </w:rPr>
              <w:t>Administratīvais slogs netiek palielināts</w:t>
            </w:r>
            <w:r w:rsidR="0043328B">
              <w:rPr>
                <w:rFonts w:ascii="Times New Roman" w:eastAsia="Times New Roman" w:hAnsi="Times New Roman"/>
                <w:sz w:val="28"/>
                <w:szCs w:val="28"/>
                <w:lang w:eastAsia="lv-LV"/>
              </w:rPr>
              <w:t>.</w:t>
            </w:r>
            <w:r w:rsidR="00B52063">
              <w:rPr>
                <w:rFonts w:ascii="Times New Roman" w:eastAsia="Times New Roman" w:hAnsi="Times New Roman"/>
                <w:sz w:val="28"/>
                <w:szCs w:val="28"/>
                <w:lang w:eastAsia="lv-LV"/>
              </w:rPr>
              <w:t xml:space="preserve"> Attiecībā uz uzņēmumiem ar lielu pašu spēkiem veiktā darbu apjomu kopējā apgrozījumā, tas tiek samazināts. Tiek nodrošināti vienlīdzīgi un </w:t>
            </w:r>
            <w:r w:rsidR="008B3DC8">
              <w:rPr>
                <w:rFonts w:ascii="Times New Roman" w:eastAsia="Times New Roman" w:hAnsi="Times New Roman"/>
                <w:sz w:val="28"/>
                <w:szCs w:val="28"/>
                <w:lang w:eastAsia="lv-LV"/>
              </w:rPr>
              <w:t>taisnīgi nosacījumi nodevas aprēķināšanai un samaksai.</w:t>
            </w:r>
          </w:p>
          <w:p w:rsidR="00691DBA" w:rsidRPr="002E707F" w:rsidRDefault="00691DBA" w:rsidP="00DB0AD2">
            <w:pPr>
              <w:spacing w:after="0" w:line="240" w:lineRule="auto"/>
              <w:jc w:val="both"/>
              <w:rPr>
                <w:rFonts w:ascii="Times New Roman" w:hAnsi="Times New Roman"/>
                <w:bCs/>
                <w:iCs/>
                <w:sz w:val="28"/>
                <w:szCs w:val="28"/>
              </w:rPr>
            </w:pPr>
            <w:r>
              <w:rPr>
                <w:rFonts w:ascii="Times New Roman" w:eastAsia="Times New Roman" w:hAnsi="Times New Roman"/>
                <w:sz w:val="28"/>
                <w:szCs w:val="28"/>
                <w:lang w:eastAsia="lv-LV"/>
              </w:rPr>
              <w:t xml:space="preserve">Tie atcelts ierobežojums </w:t>
            </w:r>
            <w:proofErr w:type="spellStart"/>
            <w:r w:rsidRPr="00211617">
              <w:rPr>
                <w:rFonts w:ascii="Times New Roman" w:eastAsia="Times New Roman" w:hAnsi="Times New Roman"/>
                <w:sz w:val="28"/>
                <w:szCs w:val="28"/>
                <w:lang w:eastAsia="lv-LV"/>
              </w:rPr>
              <w:t>būvspeciālist</w:t>
            </w:r>
            <w:r w:rsidRPr="00691DBA">
              <w:rPr>
                <w:rFonts w:ascii="Times New Roman" w:eastAsia="Times New Roman" w:hAnsi="Times New Roman"/>
                <w:sz w:val="28"/>
                <w:szCs w:val="28"/>
                <w:lang w:eastAsia="lv-LV"/>
              </w:rPr>
              <w:t>a</w:t>
            </w:r>
            <w:proofErr w:type="spellEnd"/>
            <w:r w:rsidRPr="00691DBA">
              <w:rPr>
                <w:rFonts w:ascii="Times New Roman" w:eastAsia="Times New Roman" w:hAnsi="Times New Roman"/>
                <w:sz w:val="28"/>
                <w:szCs w:val="28"/>
                <w:lang w:eastAsia="lv-LV"/>
              </w:rPr>
              <w:t xml:space="preserve"> nodarbinātībai ne vairāk kā pie trīs </w:t>
            </w:r>
            <w:r w:rsidRPr="00211617">
              <w:rPr>
                <w:rFonts w:ascii="Times New Roman" w:eastAsia="Times New Roman" w:hAnsi="Times New Roman"/>
                <w:sz w:val="28"/>
                <w:szCs w:val="28"/>
                <w:lang w:eastAsia="lv-LV"/>
              </w:rPr>
              <w:t xml:space="preserve"> </w:t>
            </w:r>
            <w:r w:rsidRPr="00691DBA">
              <w:rPr>
                <w:rFonts w:ascii="Times New Roman" w:eastAsia="Times New Roman" w:hAnsi="Times New Roman"/>
                <w:sz w:val="28"/>
                <w:szCs w:val="28"/>
                <w:lang w:eastAsia="lv-LV"/>
              </w:rPr>
              <w:t>būv</w:t>
            </w:r>
            <w:r w:rsidRPr="00211617">
              <w:rPr>
                <w:rFonts w:ascii="Times New Roman" w:eastAsia="Times New Roman" w:hAnsi="Times New Roman"/>
                <w:sz w:val="28"/>
                <w:szCs w:val="28"/>
                <w:lang w:eastAsia="lv-LV"/>
              </w:rPr>
              <w:t>komersantiem</w:t>
            </w:r>
            <w:r>
              <w:rPr>
                <w:rFonts w:ascii="Times New Roman" w:eastAsia="Times New Roman" w:hAnsi="Times New Roman"/>
                <w:sz w:val="28"/>
                <w:szCs w:val="28"/>
                <w:lang w:eastAsia="lv-LV"/>
              </w:rPr>
              <w:t>.</w:t>
            </w:r>
          </w:p>
        </w:tc>
      </w:tr>
      <w:tr w:rsidR="00EE350B" w:rsidRPr="002E707F" w:rsidTr="00734371">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734371" w:rsidRPr="002E707F" w:rsidRDefault="001132BE" w:rsidP="001365EE">
            <w:pPr>
              <w:spacing w:after="0" w:line="240" w:lineRule="auto"/>
              <w:jc w:val="both"/>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Projekts šo jomu neskar.</w:t>
            </w:r>
          </w:p>
        </w:tc>
      </w:tr>
      <w:tr w:rsidR="002E707F" w:rsidRPr="002E707F" w:rsidTr="00734371">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734371" w:rsidRPr="002E707F" w:rsidRDefault="00734371">
            <w:pPr>
              <w:spacing w:after="0" w:line="240" w:lineRule="auto"/>
              <w:ind w:firstLine="284"/>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Nav.</w:t>
            </w:r>
          </w:p>
        </w:tc>
      </w:tr>
    </w:tbl>
    <w:p w:rsidR="001E4659" w:rsidRPr="002E707F" w:rsidRDefault="001E4659" w:rsidP="00734371">
      <w:pPr>
        <w:spacing w:after="0" w:line="240" w:lineRule="auto"/>
        <w:rPr>
          <w:rFonts w:ascii="Times New Roman" w:eastAsia="Times New Roman" w:hAnsi="Times New Roman"/>
          <w:vanish/>
          <w:sz w:val="28"/>
          <w:szCs w:val="28"/>
          <w:lang w:eastAsia="lv-LV"/>
        </w:rPr>
      </w:pPr>
    </w:p>
    <w:p w:rsidR="00734371" w:rsidRPr="002E707F" w:rsidRDefault="00734371" w:rsidP="00734371">
      <w:pPr>
        <w:spacing w:after="0" w:line="240" w:lineRule="auto"/>
        <w:rPr>
          <w:rFonts w:ascii="Times New Roman" w:eastAsia="Times New Roman" w:hAnsi="Times New Roman"/>
          <w:sz w:val="28"/>
          <w:szCs w:val="28"/>
          <w:lang w:eastAsia="lv-LV"/>
        </w:r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449"/>
        <w:gridCol w:w="1956"/>
        <w:gridCol w:w="759"/>
        <w:gridCol w:w="660"/>
        <w:gridCol w:w="1133"/>
        <w:gridCol w:w="1276"/>
        <w:gridCol w:w="1417"/>
        <w:gridCol w:w="1407"/>
      </w:tblGrid>
      <w:tr w:rsidR="00EE350B" w:rsidRPr="002E707F" w:rsidTr="007137D2">
        <w:trPr>
          <w:trHeight w:val="360"/>
        </w:trPr>
        <w:tc>
          <w:tcPr>
            <w:tcW w:w="5000" w:type="pct"/>
            <w:gridSpan w:val="9"/>
            <w:shd w:val="clear" w:color="auto" w:fill="auto"/>
            <w:hideMark/>
          </w:tcPr>
          <w:p w:rsidR="00B75596" w:rsidRPr="002E707F" w:rsidRDefault="004E4274" w:rsidP="00F526D6">
            <w:pPr>
              <w:spacing w:after="0" w:line="240" w:lineRule="auto"/>
              <w:ind w:firstLine="300"/>
              <w:jc w:val="center"/>
              <w:rPr>
                <w:rFonts w:ascii="Times New Roman" w:eastAsia="Times New Roman" w:hAnsi="Times New Roman"/>
                <w:b/>
                <w:bCs/>
                <w:sz w:val="28"/>
                <w:szCs w:val="28"/>
                <w:lang w:eastAsia="lv-LV"/>
              </w:rPr>
            </w:pPr>
            <w:r w:rsidRPr="002E707F">
              <w:rPr>
                <w:rFonts w:ascii="Times New Roman" w:eastAsia="Times New Roman" w:hAnsi="Times New Roman"/>
                <w:sz w:val="28"/>
                <w:szCs w:val="28"/>
                <w:lang w:eastAsia="ru-RU"/>
              </w:rPr>
              <w:t> </w:t>
            </w:r>
            <w:r w:rsidR="00B75596" w:rsidRPr="002E707F">
              <w:rPr>
                <w:rFonts w:ascii="Times New Roman" w:eastAsia="Times New Roman" w:hAnsi="Times New Roman"/>
                <w:b/>
                <w:bCs/>
                <w:sz w:val="28"/>
                <w:szCs w:val="28"/>
                <w:lang w:eastAsia="lv-LV"/>
              </w:rPr>
              <w:t>III. Tiesību akta projekta ietekme uz valsts budžetu un pašvaldību budžetiem</w:t>
            </w:r>
          </w:p>
        </w:tc>
      </w:tr>
      <w:tr w:rsidR="00EE350B" w:rsidRPr="002E707F" w:rsidTr="007137D2">
        <w:tc>
          <w:tcPr>
            <w:tcW w:w="1330" w:type="pct"/>
            <w:gridSpan w:val="3"/>
            <w:vMerge w:val="restart"/>
            <w:shd w:val="clear" w:color="auto" w:fill="auto"/>
            <w:hideMark/>
          </w:tcPr>
          <w:p w:rsidR="00B75596" w:rsidRPr="002E707F" w:rsidRDefault="00B75596" w:rsidP="00F526D6">
            <w:pPr>
              <w:spacing w:before="100" w:beforeAutospacing="1" w:after="100" w:afterAutospacing="1" w:line="360" w:lineRule="auto"/>
              <w:ind w:firstLine="300"/>
              <w:jc w:val="center"/>
              <w:rPr>
                <w:rFonts w:ascii="Times New Roman" w:eastAsia="Times New Roman" w:hAnsi="Times New Roman"/>
                <w:b/>
                <w:bCs/>
                <w:sz w:val="28"/>
                <w:szCs w:val="28"/>
                <w:lang w:eastAsia="lv-LV"/>
              </w:rPr>
            </w:pPr>
            <w:r w:rsidRPr="002E707F">
              <w:rPr>
                <w:rFonts w:ascii="Times New Roman" w:eastAsia="Times New Roman" w:hAnsi="Times New Roman"/>
                <w:b/>
                <w:bCs/>
                <w:sz w:val="28"/>
                <w:szCs w:val="28"/>
                <w:lang w:eastAsia="lv-LV"/>
              </w:rPr>
              <w:t>Rādītāji</w:t>
            </w:r>
          </w:p>
        </w:tc>
        <w:tc>
          <w:tcPr>
            <w:tcW w:w="1408" w:type="pct"/>
            <w:gridSpan w:val="3"/>
            <w:vMerge w:val="restart"/>
            <w:shd w:val="clear" w:color="auto" w:fill="auto"/>
            <w:hideMark/>
          </w:tcPr>
          <w:p w:rsidR="00B75596" w:rsidRPr="002E707F" w:rsidRDefault="00B75596" w:rsidP="007F3A45">
            <w:pPr>
              <w:spacing w:after="0" w:line="240" w:lineRule="auto"/>
              <w:ind w:firstLine="300"/>
              <w:jc w:val="center"/>
              <w:rPr>
                <w:rFonts w:ascii="Times New Roman" w:eastAsia="Times New Roman" w:hAnsi="Times New Roman"/>
                <w:b/>
                <w:bCs/>
                <w:sz w:val="28"/>
                <w:szCs w:val="28"/>
                <w:lang w:eastAsia="lv-LV"/>
              </w:rPr>
            </w:pPr>
            <w:r w:rsidRPr="002E707F">
              <w:rPr>
                <w:rFonts w:ascii="Times New Roman" w:eastAsia="Times New Roman" w:hAnsi="Times New Roman"/>
                <w:b/>
                <w:bCs/>
                <w:sz w:val="28"/>
                <w:szCs w:val="28"/>
                <w:lang w:eastAsia="lv-LV"/>
              </w:rPr>
              <w:t>201</w:t>
            </w:r>
            <w:r w:rsidR="007F3A45">
              <w:rPr>
                <w:rFonts w:ascii="Times New Roman" w:eastAsia="Times New Roman" w:hAnsi="Times New Roman"/>
                <w:b/>
                <w:bCs/>
                <w:sz w:val="28"/>
                <w:szCs w:val="28"/>
                <w:lang w:eastAsia="lv-LV"/>
              </w:rPr>
              <w:t>7</w:t>
            </w:r>
          </w:p>
        </w:tc>
        <w:tc>
          <w:tcPr>
            <w:tcW w:w="2262" w:type="pct"/>
            <w:gridSpan w:val="3"/>
            <w:shd w:val="clear" w:color="auto" w:fill="auto"/>
            <w:hideMark/>
          </w:tcPr>
          <w:p w:rsidR="00B75596" w:rsidRPr="002E707F" w:rsidRDefault="00B75596" w:rsidP="00F526D6">
            <w:pPr>
              <w:spacing w:after="0" w:line="240" w:lineRule="auto"/>
              <w:ind w:firstLine="300"/>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Turpmākie trīs gadi (</w:t>
            </w:r>
            <w:proofErr w:type="spellStart"/>
            <w:r w:rsidRPr="002E707F">
              <w:rPr>
                <w:rFonts w:ascii="Times New Roman" w:eastAsia="Times New Roman" w:hAnsi="Times New Roman"/>
                <w:i/>
                <w:iCs/>
                <w:sz w:val="28"/>
                <w:szCs w:val="28"/>
                <w:lang w:eastAsia="lv-LV"/>
              </w:rPr>
              <w:t>euro</w:t>
            </w:r>
            <w:proofErr w:type="spellEnd"/>
            <w:r w:rsidRPr="002E707F">
              <w:rPr>
                <w:rFonts w:ascii="Times New Roman" w:eastAsia="Times New Roman" w:hAnsi="Times New Roman"/>
                <w:sz w:val="28"/>
                <w:szCs w:val="28"/>
                <w:lang w:eastAsia="lv-LV"/>
              </w:rPr>
              <w:t>)</w:t>
            </w:r>
          </w:p>
        </w:tc>
      </w:tr>
      <w:tr w:rsidR="00EE350B" w:rsidRPr="002E707F" w:rsidTr="007137D2">
        <w:tc>
          <w:tcPr>
            <w:tcW w:w="1330" w:type="pct"/>
            <w:gridSpan w:val="3"/>
            <w:vMerge/>
            <w:shd w:val="clear" w:color="auto" w:fill="auto"/>
            <w:hideMark/>
          </w:tcPr>
          <w:p w:rsidR="00B75596" w:rsidRPr="002E707F" w:rsidRDefault="00B75596" w:rsidP="00F526D6">
            <w:pPr>
              <w:spacing w:after="0" w:line="240" w:lineRule="auto"/>
              <w:rPr>
                <w:rFonts w:ascii="Times New Roman" w:eastAsia="Times New Roman" w:hAnsi="Times New Roman"/>
                <w:b/>
                <w:bCs/>
                <w:sz w:val="28"/>
                <w:szCs w:val="28"/>
                <w:lang w:eastAsia="lv-LV"/>
              </w:rPr>
            </w:pPr>
          </w:p>
        </w:tc>
        <w:tc>
          <w:tcPr>
            <w:tcW w:w="1408" w:type="pct"/>
            <w:gridSpan w:val="3"/>
            <w:vMerge/>
            <w:shd w:val="clear" w:color="auto" w:fill="auto"/>
            <w:hideMark/>
          </w:tcPr>
          <w:p w:rsidR="00B75596" w:rsidRPr="002E707F" w:rsidRDefault="00B75596" w:rsidP="00F526D6">
            <w:pPr>
              <w:spacing w:after="0" w:line="240" w:lineRule="auto"/>
              <w:rPr>
                <w:rFonts w:ascii="Times New Roman" w:eastAsia="Times New Roman" w:hAnsi="Times New Roman"/>
                <w:b/>
                <w:bCs/>
                <w:sz w:val="28"/>
                <w:szCs w:val="28"/>
                <w:lang w:eastAsia="lv-LV"/>
              </w:rPr>
            </w:pPr>
          </w:p>
        </w:tc>
        <w:tc>
          <w:tcPr>
            <w:tcW w:w="704" w:type="pct"/>
            <w:shd w:val="clear" w:color="auto" w:fill="auto"/>
            <w:hideMark/>
          </w:tcPr>
          <w:p w:rsidR="00B75596" w:rsidRPr="002E707F" w:rsidRDefault="00B75596" w:rsidP="007F3A45">
            <w:pPr>
              <w:spacing w:after="0" w:line="240" w:lineRule="auto"/>
              <w:ind w:firstLine="300"/>
              <w:jc w:val="center"/>
              <w:rPr>
                <w:rFonts w:ascii="Times New Roman" w:eastAsia="Times New Roman" w:hAnsi="Times New Roman"/>
                <w:b/>
                <w:bCs/>
                <w:sz w:val="28"/>
                <w:szCs w:val="28"/>
                <w:lang w:eastAsia="lv-LV"/>
              </w:rPr>
            </w:pPr>
            <w:r w:rsidRPr="002E707F">
              <w:rPr>
                <w:rFonts w:ascii="Times New Roman" w:eastAsia="Times New Roman" w:hAnsi="Times New Roman"/>
                <w:b/>
                <w:bCs/>
                <w:sz w:val="28"/>
                <w:szCs w:val="28"/>
                <w:lang w:eastAsia="lv-LV"/>
              </w:rPr>
              <w:t>201</w:t>
            </w:r>
            <w:r w:rsidR="007F3A45">
              <w:rPr>
                <w:rFonts w:ascii="Times New Roman" w:eastAsia="Times New Roman" w:hAnsi="Times New Roman"/>
                <w:b/>
                <w:bCs/>
                <w:sz w:val="28"/>
                <w:szCs w:val="28"/>
                <w:lang w:eastAsia="lv-LV"/>
              </w:rPr>
              <w:t>8</w:t>
            </w:r>
          </w:p>
        </w:tc>
        <w:tc>
          <w:tcPr>
            <w:tcW w:w="782" w:type="pct"/>
            <w:shd w:val="clear" w:color="auto" w:fill="auto"/>
            <w:hideMark/>
          </w:tcPr>
          <w:p w:rsidR="00B75596" w:rsidRPr="002E707F" w:rsidRDefault="00B75596" w:rsidP="007F3A45">
            <w:pPr>
              <w:spacing w:after="0" w:line="240" w:lineRule="auto"/>
              <w:ind w:firstLine="300"/>
              <w:jc w:val="center"/>
              <w:rPr>
                <w:rFonts w:ascii="Times New Roman" w:eastAsia="Times New Roman" w:hAnsi="Times New Roman"/>
                <w:b/>
                <w:bCs/>
                <w:sz w:val="28"/>
                <w:szCs w:val="28"/>
                <w:lang w:eastAsia="lv-LV"/>
              </w:rPr>
            </w:pPr>
            <w:r w:rsidRPr="002E707F">
              <w:rPr>
                <w:rFonts w:ascii="Times New Roman" w:eastAsia="Times New Roman" w:hAnsi="Times New Roman"/>
                <w:b/>
                <w:bCs/>
                <w:sz w:val="28"/>
                <w:szCs w:val="28"/>
                <w:lang w:eastAsia="lv-LV"/>
              </w:rPr>
              <w:t>201</w:t>
            </w:r>
            <w:r w:rsidR="007F3A45">
              <w:rPr>
                <w:rFonts w:ascii="Times New Roman" w:eastAsia="Times New Roman" w:hAnsi="Times New Roman"/>
                <w:b/>
                <w:bCs/>
                <w:sz w:val="28"/>
                <w:szCs w:val="28"/>
                <w:lang w:eastAsia="lv-LV"/>
              </w:rPr>
              <w:t>9</w:t>
            </w:r>
          </w:p>
        </w:tc>
        <w:tc>
          <w:tcPr>
            <w:tcW w:w="777" w:type="pct"/>
            <w:shd w:val="clear" w:color="auto" w:fill="auto"/>
            <w:hideMark/>
          </w:tcPr>
          <w:p w:rsidR="00B75596" w:rsidRPr="002E707F" w:rsidRDefault="00B75596" w:rsidP="007F3A45">
            <w:pPr>
              <w:spacing w:after="0" w:line="240" w:lineRule="auto"/>
              <w:ind w:firstLine="300"/>
              <w:jc w:val="center"/>
              <w:rPr>
                <w:rFonts w:ascii="Times New Roman" w:eastAsia="Times New Roman" w:hAnsi="Times New Roman"/>
                <w:b/>
                <w:bCs/>
                <w:sz w:val="28"/>
                <w:szCs w:val="28"/>
                <w:lang w:eastAsia="lv-LV"/>
              </w:rPr>
            </w:pPr>
            <w:r w:rsidRPr="002E707F">
              <w:rPr>
                <w:rFonts w:ascii="Times New Roman" w:eastAsia="Times New Roman" w:hAnsi="Times New Roman"/>
                <w:b/>
                <w:bCs/>
                <w:sz w:val="28"/>
                <w:szCs w:val="28"/>
                <w:lang w:eastAsia="lv-LV"/>
              </w:rPr>
              <w:t>20</w:t>
            </w:r>
            <w:r w:rsidR="007F3A45">
              <w:rPr>
                <w:rFonts w:ascii="Times New Roman" w:eastAsia="Times New Roman" w:hAnsi="Times New Roman"/>
                <w:b/>
                <w:bCs/>
                <w:sz w:val="28"/>
                <w:szCs w:val="28"/>
                <w:lang w:eastAsia="lv-LV"/>
              </w:rPr>
              <w:t>20</w:t>
            </w:r>
          </w:p>
        </w:tc>
      </w:tr>
      <w:tr w:rsidR="00EE350B" w:rsidRPr="002E707F" w:rsidTr="007137D2">
        <w:tc>
          <w:tcPr>
            <w:tcW w:w="1330" w:type="pct"/>
            <w:gridSpan w:val="3"/>
            <w:vMerge/>
            <w:shd w:val="clear" w:color="auto" w:fill="auto"/>
            <w:hideMark/>
          </w:tcPr>
          <w:p w:rsidR="00B75596" w:rsidRPr="002E707F" w:rsidRDefault="00B75596" w:rsidP="00F526D6">
            <w:pPr>
              <w:spacing w:after="0" w:line="240" w:lineRule="auto"/>
              <w:rPr>
                <w:rFonts w:ascii="Times New Roman" w:eastAsia="Times New Roman" w:hAnsi="Times New Roman"/>
                <w:b/>
                <w:bCs/>
                <w:sz w:val="28"/>
                <w:szCs w:val="28"/>
                <w:lang w:eastAsia="lv-LV"/>
              </w:rPr>
            </w:pPr>
          </w:p>
        </w:tc>
        <w:tc>
          <w:tcPr>
            <w:tcW w:w="783" w:type="pct"/>
            <w:gridSpan w:val="2"/>
            <w:shd w:val="clear" w:color="auto" w:fill="auto"/>
            <w:hideMark/>
          </w:tcPr>
          <w:p w:rsidR="00B75596" w:rsidRPr="002E707F" w:rsidRDefault="00B75596" w:rsidP="00F526D6">
            <w:pPr>
              <w:spacing w:after="0" w:line="240" w:lineRule="auto"/>
              <w:ind w:firstLine="2"/>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saskaņā ar valsts budžetu kārtējam gadam</w:t>
            </w:r>
          </w:p>
        </w:tc>
        <w:tc>
          <w:tcPr>
            <w:tcW w:w="625" w:type="pct"/>
            <w:shd w:val="clear" w:color="auto" w:fill="auto"/>
            <w:hideMark/>
          </w:tcPr>
          <w:p w:rsidR="007137D2" w:rsidRDefault="00B75596" w:rsidP="00F526D6">
            <w:pPr>
              <w:spacing w:after="0" w:line="240" w:lineRule="auto"/>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izmaiņas kārtējā gadā, salīdzi</w:t>
            </w:r>
            <w:r w:rsidR="007137D2">
              <w:rPr>
                <w:rFonts w:ascii="Times New Roman" w:eastAsia="Times New Roman" w:hAnsi="Times New Roman"/>
                <w:sz w:val="28"/>
                <w:szCs w:val="28"/>
                <w:lang w:eastAsia="lv-LV"/>
              </w:rPr>
              <w:t>-</w:t>
            </w:r>
          </w:p>
          <w:p w:rsidR="007137D2" w:rsidRDefault="00B75596" w:rsidP="00F526D6">
            <w:pPr>
              <w:spacing w:after="0" w:line="240" w:lineRule="auto"/>
              <w:jc w:val="center"/>
              <w:rPr>
                <w:rFonts w:ascii="Times New Roman" w:eastAsia="Times New Roman" w:hAnsi="Times New Roman"/>
                <w:sz w:val="28"/>
                <w:szCs w:val="28"/>
                <w:lang w:eastAsia="lv-LV"/>
              </w:rPr>
            </w:pPr>
            <w:proofErr w:type="spellStart"/>
            <w:r w:rsidRPr="002E707F">
              <w:rPr>
                <w:rFonts w:ascii="Times New Roman" w:eastAsia="Times New Roman" w:hAnsi="Times New Roman"/>
                <w:sz w:val="28"/>
                <w:szCs w:val="28"/>
                <w:lang w:eastAsia="lv-LV"/>
              </w:rPr>
              <w:t>not</w:t>
            </w:r>
            <w:proofErr w:type="spellEnd"/>
            <w:r w:rsidRPr="002E707F">
              <w:rPr>
                <w:rFonts w:ascii="Times New Roman" w:eastAsia="Times New Roman" w:hAnsi="Times New Roman"/>
                <w:sz w:val="28"/>
                <w:szCs w:val="28"/>
                <w:lang w:eastAsia="lv-LV"/>
              </w:rPr>
              <w:t xml:space="preserve"> ar valsts budžetu </w:t>
            </w:r>
            <w:proofErr w:type="spellStart"/>
            <w:r w:rsidRPr="002E707F">
              <w:rPr>
                <w:rFonts w:ascii="Times New Roman" w:eastAsia="Times New Roman" w:hAnsi="Times New Roman"/>
                <w:sz w:val="28"/>
                <w:szCs w:val="28"/>
                <w:lang w:eastAsia="lv-LV"/>
              </w:rPr>
              <w:t>kārtē</w:t>
            </w:r>
            <w:proofErr w:type="spellEnd"/>
            <w:r w:rsidR="007137D2">
              <w:rPr>
                <w:rFonts w:ascii="Times New Roman" w:eastAsia="Times New Roman" w:hAnsi="Times New Roman"/>
                <w:sz w:val="28"/>
                <w:szCs w:val="28"/>
                <w:lang w:eastAsia="lv-LV"/>
              </w:rPr>
              <w:t>-</w:t>
            </w:r>
          </w:p>
          <w:p w:rsidR="00B75596" w:rsidRPr="002E707F" w:rsidRDefault="00B75596" w:rsidP="00F526D6">
            <w:pPr>
              <w:spacing w:after="0" w:line="240" w:lineRule="auto"/>
              <w:jc w:val="center"/>
              <w:rPr>
                <w:rFonts w:ascii="Times New Roman" w:eastAsia="Times New Roman" w:hAnsi="Times New Roman"/>
                <w:sz w:val="28"/>
                <w:szCs w:val="28"/>
                <w:lang w:eastAsia="lv-LV"/>
              </w:rPr>
            </w:pPr>
            <w:proofErr w:type="spellStart"/>
            <w:r w:rsidRPr="002E707F">
              <w:rPr>
                <w:rFonts w:ascii="Times New Roman" w:eastAsia="Times New Roman" w:hAnsi="Times New Roman"/>
                <w:sz w:val="28"/>
                <w:szCs w:val="28"/>
                <w:lang w:eastAsia="lv-LV"/>
              </w:rPr>
              <w:t>jam</w:t>
            </w:r>
            <w:proofErr w:type="spellEnd"/>
            <w:r w:rsidRPr="002E707F">
              <w:rPr>
                <w:rFonts w:ascii="Times New Roman" w:eastAsia="Times New Roman" w:hAnsi="Times New Roman"/>
                <w:sz w:val="28"/>
                <w:szCs w:val="28"/>
                <w:lang w:eastAsia="lv-LV"/>
              </w:rPr>
              <w:t xml:space="preserve"> gadam</w:t>
            </w:r>
          </w:p>
        </w:tc>
        <w:tc>
          <w:tcPr>
            <w:tcW w:w="704" w:type="pct"/>
            <w:shd w:val="clear" w:color="auto" w:fill="auto"/>
            <w:hideMark/>
          </w:tcPr>
          <w:p w:rsidR="00B75596" w:rsidRPr="002E707F" w:rsidRDefault="00B75596" w:rsidP="007F3A45">
            <w:pPr>
              <w:spacing w:after="0" w:line="240" w:lineRule="auto"/>
              <w:ind w:hanging="9"/>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izmaiņas, salīdzinot ar 201</w:t>
            </w:r>
            <w:r w:rsidR="007F3A45">
              <w:rPr>
                <w:rFonts w:ascii="Times New Roman" w:eastAsia="Times New Roman" w:hAnsi="Times New Roman"/>
                <w:sz w:val="28"/>
                <w:szCs w:val="28"/>
                <w:lang w:eastAsia="lv-LV"/>
              </w:rPr>
              <w:t>7</w:t>
            </w:r>
            <w:r w:rsidRPr="002E707F">
              <w:rPr>
                <w:rFonts w:ascii="Times New Roman" w:eastAsia="Times New Roman" w:hAnsi="Times New Roman"/>
                <w:sz w:val="28"/>
                <w:szCs w:val="28"/>
                <w:lang w:eastAsia="lv-LV"/>
              </w:rPr>
              <w:t>.gadu</w:t>
            </w:r>
          </w:p>
        </w:tc>
        <w:tc>
          <w:tcPr>
            <w:tcW w:w="782" w:type="pct"/>
            <w:shd w:val="clear" w:color="auto" w:fill="auto"/>
            <w:hideMark/>
          </w:tcPr>
          <w:p w:rsidR="00B75596" w:rsidRPr="002E707F" w:rsidRDefault="00B75596" w:rsidP="007F3A45">
            <w:pPr>
              <w:spacing w:after="0" w:line="240" w:lineRule="auto"/>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izmaiņas, salīdzinot ar 201</w:t>
            </w:r>
            <w:r w:rsidR="007F3A45">
              <w:rPr>
                <w:rFonts w:ascii="Times New Roman" w:eastAsia="Times New Roman" w:hAnsi="Times New Roman"/>
                <w:sz w:val="28"/>
                <w:szCs w:val="28"/>
                <w:lang w:eastAsia="lv-LV"/>
              </w:rPr>
              <w:t>7</w:t>
            </w:r>
            <w:r w:rsidRPr="002E707F">
              <w:rPr>
                <w:rFonts w:ascii="Times New Roman" w:eastAsia="Times New Roman" w:hAnsi="Times New Roman"/>
                <w:sz w:val="28"/>
                <w:szCs w:val="28"/>
                <w:lang w:eastAsia="lv-LV"/>
              </w:rPr>
              <w:t>.gadu</w:t>
            </w:r>
          </w:p>
        </w:tc>
        <w:tc>
          <w:tcPr>
            <w:tcW w:w="777" w:type="pct"/>
            <w:shd w:val="clear" w:color="auto" w:fill="auto"/>
            <w:hideMark/>
          </w:tcPr>
          <w:p w:rsidR="00B75596" w:rsidRPr="002E707F" w:rsidRDefault="00B75596" w:rsidP="007F3A45">
            <w:pPr>
              <w:spacing w:after="0" w:line="240" w:lineRule="auto"/>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izmaiņas, salīdzinot ar 201</w:t>
            </w:r>
            <w:r w:rsidR="007F3A45">
              <w:rPr>
                <w:rFonts w:ascii="Times New Roman" w:eastAsia="Times New Roman" w:hAnsi="Times New Roman"/>
                <w:sz w:val="28"/>
                <w:szCs w:val="28"/>
                <w:lang w:eastAsia="lv-LV"/>
              </w:rPr>
              <w:t>7</w:t>
            </w:r>
            <w:r w:rsidRPr="002E707F">
              <w:rPr>
                <w:rFonts w:ascii="Times New Roman" w:eastAsia="Times New Roman" w:hAnsi="Times New Roman"/>
                <w:sz w:val="28"/>
                <w:szCs w:val="28"/>
                <w:lang w:eastAsia="lv-LV"/>
              </w:rPr>
              <w:t>.gadu</w:t>
            </w:r>
          </w:p>
        </w:tc>
      </w:tr>
      <w:tr w:rsidR="00EE350B" w:rsidRPr="002E707F" w:rsidTr="007137D2">
        <w:trPr>
          <w:trHeight w:val="249"/>
        </w:trPr>
        <w:tc>
          <w:tcPr>
            <w:tcW w:w="1330" w:type="pct"/>
            <w:gridSpan w:val="3"/>
            <w:shd w:val="clear" w:color="auto" w:fill="auto"/>
            <w:hideMark/>
          </w:tcPr>
          <w:p w:rsidR="00B75596" w:rsidRPr="002E707F" w:rsidRDefault="00B75596" w:rsidP="00F526D6">
            <w:pPr>
              <w:spacing w:after="0" w:line="240" w:lineRule="auto"/>
              <w:ind w:firstLine="301"/>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1</w:t>
            </w:r>
          </w:p>
        </w:tc>
        <w:tc>
          <w:tcPr>
            <w:tcW w:w="783" w:type="pct"/>
            <w:gridSpan w:val="2"/>
            <w:shd w:val="clear" w:color="auto" w:fill="auto"/>
            <w:hideMark/>
          </w:tcPr>
          <w:p w:rsidR="00B75596" w:rsidRPr="002E707F" w:rsidRDefault="00B75596" w:rsidP="00F526D6">
            <w:pPr>
              <w:spacing w:after="0" w:line="240" w:lineRule="auto"/>
              <w:ind w:firstLine="301"/>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2</w:t>
            </w:r>
          </w:p>
        </w:tc>
        <w:tc>
          <w:tcPr>
            <w:tcW w:w="625" w:type="pct"/>
            <w:shd w:val="clear" w:color="auto" w:fill="auto"/>
            <w:hideMark/>
          </w:tcPr>
          <w:p w:rsidR="00B75596" w:rsidRPr="002E707F" w:rsidRDefault="00B75596" w:rsidP="00F526D6">
            <w:pPr>
              <w:spacing w:after="0" w:line="240" w:lineRule="auto"/>
              <w:ind w:firstLine="301"/>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3</w:t>
            </w:r>
          </w:p>
        </w:tc>
        <w:tc>
          <w:tcPr>
            <w:tcW w:w="704" w:type="pct"/>
            <w:shd w:val="clear" w:color="auto" w:fill="auto"/>
            <w:hideMark/>
          </w:tcPr>
          <w:p w:rsidR="00B75596" w:rsidRPr="002E707F" w:rsidRDefault="00B75596" w:rsidP="00F526D6">
            <w:pPr>
              <w:spacing w:after="0" w:line="240" w:lineRule="auto"/>
              <w:ind w:firstLine="301"/>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4</w:t>
            </w:r>
          </w:p>
        </w:tc>
        <w:tc>
          <w:tcPr>
            <w:tcW w:w="782" w:type="pct"/>
            <w:shd w:val="clear" w:color="auto" w:fill="auto"/>
            <w:hideMark/>
          </w:tcPr>
          <w:p w:rsidR="00B75596" w:rsidRPr="002E707F" w:rsidRDefault="00B75596" w:rsidP="00F526D6">
            <w:pPr>
              <w:spacing w:after="0" w:line="240" w:lineRule="auto"/>
              <w:ind w:firstLine="301"/>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5</w:t>
            </w:r>
          </w:p>
        </w:tc>
        <w:tc>
          <w:tcPr>
            <w:tcW w:w="777" w:type="pct"/>
            <w:shd w:val="clear" w:color="auto" w:fill="auto"/>
            <w:hideMark/>
          </w:tcPr>
          <w:p w:rsidR="00B75596" w:rsidRPr="002E707F" w:rsidRDefault="00B75596" w:rsidP="00F526D6">
            <w:pPr>
              <w:spacing w:after="0" w:line="240" w:lineRule="auto"/>
              <w:ind w:firstLine="301"/>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6</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1. Budžeta ieņēmumi:</w:t>
            </w:r>
          </w:p>
        </w:tc>
        <w:tc>
          <w:tcPr>
            <w:tcW w:w="783" w:type="pct"/>
            <w:gridSpan w:val="2"/>
            <w:shd w:val="clear" w:color="auto" w:fill="auto"/>
            <w:hideMark/>
          </w:tcPr>
          <w:p w:rsidR="00B75596" w:rsidRPr="00BD7C55" w:rsidRDefault="007137D2" w:rsidP="00FB059B">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1490895</w:t>
            </w:r>
          </w:p>
        </w:tc>
        <w:tc>
          <w:tcPr>
            <w:tcW w:w="625" w:type="pct"/>
            <w:shd w:val="clear" w:color="auto" w:fill="auto"/>
            <w:hideMark/>
          </w:tcPr>
          <w:p w:rsidR="00B75596" w:rsidRPr="00BD7C55" w:rsidRDefault="00B75596" w:rsidP="00F526D6">
            <w:pPr>
              <w:spacing w:after="0" w:line="240" w:lineRule="auto"/>
              <w:rPr>
                <w:rFonts w:ascii="Times New Roman" w:eastAsia="Times New Roman" w:hAnsi="Times New Roman"/>
                <w:sz w:val="28"/>
                <w:szCs w:val="28"/>
                <w:lang w:eastAsia="lv-LV"/>
              </w:rPr>
            </w:pPr>
            <w:r w:rsidRPr="00BD7C55">
              <w:rPr>
                <w:rFonts w:ascii="Times New Roman" w:eastAsia="Times New Roman" w:hAnsi="Times New Roman"/>
                <w:sz w:val="28"/>
                <w:szCs w:val="28"/>
                <w:lang w:eastAsia="lv-LV"/>
              </w:rPr>
              <w:t> </w:t>
            </w:r>
            <w:r w:rsidR="004F7675" w:rsidRPr="00BD7C55">
              <w:rPr>
                <w:rFonts w:ascii="Times New Roman" w:eastAsia="Times New Roman" w:hAnsi="Times New Roman"/>
                <w:sz w:val="28"/>
                <w:szCs w:val="28"/>
                <w:lang w:eastAsia="lv-LV"/>
              </w:rPr>
              <w:t>0</w:t>
            </w:r>
          </w:p>
        </w:tc>
        <w:tc>
          <w:tcPr>
            <w:tcW w:w="704" w:type="pct"/>
            <w:shd w:val="clear" w:color="auto" w:fill="auto"/>
            <w:hideMark/>
          </w:tcPr>
          <w:p w:rsidR="00B75596" w:rsidRPr="00BD7C55" w:rsidRDefault="0030416E" w:rsidP="00F526D6">
            <w:pPr>
              <w:spacing w:after="0" w:line="240" w:lineRule="auto"/>
              <w:rPr>
                <w:rFonts w:ascii="Times New Roman" w:eastAsia="Times New Roman" w:hAnsi="Times New Roman"/>
                <w:sz w:val="28"/>
                <w:szCs w:val="28"/>
                <w:lang w:eastAsia="lv-LV"/>
              </w:rPr>
            </w:pPr>
            <w:r w:rsidRPr="00BD7C55">
              <w:rPr>
                <w:rFonts w:ascii="Times New Roman" w:eastAsia="Times New Roman" w:hAnsi="Times New Roman"/>
                <w:sz w:val="28"/>
                <w:szCs w:val="28"/>
                <w:lang w:eastAsia="lv-LV"/>
              </w:rPr>
              <w:t>1160905</w:t>
            </w:r>
          </w:p>
        </w:tc>
        <w:tc>
          <w:tcPr>
            <w:tcW w:w="782" w:type="pct"/>
            <w:shd w:val="clear" w:color="auto" w:fill="auto"/>
            <w:hideMark/>
          </w:tcPr>
          <w:p w:rsidR="00B75596" w:rsidRPr="00BD7C55" w:rsidRDefault="00A5538E" w:rsidP="00F526D6">
            <w:pPr>
              <w:spacing w:after="0" w:line="240" w:lineRule="auto"/>
              <w:rPr>
                <w:rFonts w:ascii="Times New Roman" w:eastAsia="Times New Roman" w:hAnsi="Times New Roman"/>
                <w:sz w:val="28"/>
                <w:szCs w:val="28"/>
                <w:lang w:eastAsia="lv-LV"/>
              </w:rPr>
            </w:pPr>
            <w:r w:rsidRPr="00BD7C55">
              <w:rPr>
                <w:rFonts w:ascii="Times New Roman" w:eastAsia="Times New Roman" w:hAnsi="Times New Roman"/>
                <w:sz w:val="28"/>
                <w:szCs w:val="28"/>
                <w:lang w:eastAsia="lv-LV"/>
              </w:rPr>
              <w:t>1160905</w:t>
            </w:r>
          </w:p>
        </w:tc>
        <w:tc>
          <w:tcPr>
            <w:tcW w:w="777" w:type="pct"/>
            <w:shd w:val="clear" w:color="auto" w:fill="auto"/>
            <w:hideMark/>
          </w:tcPr>
          <w:p w:rsidR="00B75596" w:rsidRPr="00BD7C55" w:rsidRDefault="00B75596" w:rsidP="004F7675">
            <w:pPr>
              <w:spacing w:after="0" w:line="240" w:lineRule="auto"/>
              <w:rPr>
                <w:rFonts w:ascii="Times New Roman" w:eastAsia="Times New Roman" w:hAnsi="Times New Roman"/>
                <w:sz w:val="28"/>
                <w:szCs w:val="28"/>
                <w:lang w:eastAsia="lv-LV"/>
              </w:rPr>
            </w:pPr>
            <w:r w:rsidRPr="00BD7C55">
              <w:rPr>
                <w:rFonts w:ascii="Times New Roman" w:eastAsia="Times New Roman" w:hAnsi="Times New Roman"/>
                <w:sz w:val="28"/>
                <w:szCs w:val="28"/>
                <w:lang w:eastAsia="lv-LV"/>
              </w:rPr>
              <w:t> </w:t>
            </w:r>
            <w:r w:rsidR="00A5538E" w:rsidRPr="00BD7C55">
              <w:rPr>
                <w:rFonts w:ascii="Times New Roman" w:eastAsia="Times New Roman" w:hAnsi="Times New Roman"/>
                <w:sz w:val="28"/>
                <w:szCs w:val="28"/>
                <w:lang w:eastAsia="lv-LV"/>
              </w:rPr>
              <w:t>1160905</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1.1. valsts pamatbudžets, tai skaitā ieņēmumi no maksas pakalpojumiem un citi pašu ieņēmumi</w:t>
            </w:r>
          </w:p>
        </w:tc>
        <w:tc>
          <w:tcPr>
            <w:tcW w:w="783" w:type="pct"/>
            <w:gridSpan w:val="2"/>
            <w:shd w:val="clear" w:color="auto" w:fill="auto"/>
            <w:hideMark/>
          </w:tcPr>
          <w:p w:rsidR="00B75596" w:rsidRPr="00BD7C55" w:rsidRDefault="007137D2" w:rsidP="00FB059B">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1490895</w:t>
            </w:r>
          </w:p>
        </w:tc>
        <w:tc>
          <w:tcPr>
            <w:tcW w:w="625" w:type="pct"/>
            <w:shd w:val="clear" w:color="auto" w:fill="auto"/>
            <w:hideMark/>
          </w:tcPr>
          <w:p w:rsidR="00B75596" w:rsidRPr="00BD7C55" w:rsidRDefault="00B75596" w:rsidP="00F526D6">
            <w:pPr>
              <w:spacing w:after="0" w:line="240" w:lineRule="auto"/>
              <w:rPr>
                <w:rFonts w:ascii="Times New Roman" w:eastAsia="Times New Roman" w:hAnsi="Times New Roman"/>
                <w:sz w:val="28"/>
                <w:szCs w:val="28"/>
                <w:lang w:eastAsia="lv-LV"/>
              </w:rPr>
            </w:pPr>
            <w:r w:rsidRPr="00BD7C55">
              <w:rPr>
                <w:rFonts w:ascii="Times New Roman" w:eastAsia="Times New Roman" w:hAnsi="Times New Roman"/>
                <w:sz w:val="28"/>
                <w:szCs w:val="28"/>
                <w:lang w:eastAsia="lv-LV"/>
              </w:rPr>
              <w:t> </w:t>
            </w:r>
            <w:r w:rsidR="004F7675" w:rsidRPr="00BD7C55">
              <w:rPr>
                <w:rFonts w:ascii="Times New Roman" w:eastAsia="Times New Roman" w:hAnsi="Times New Roman"/>
                <w:sz w:val="28"/>
                <w:szCs w:val="28"/>
                <w:lang w:eastAsia="lv-LV"/>
              </w:rPr>
              <w:t>0</w:t>
            </w:r>
          </w:p>
        </w:tc>
        <w:tc>
          <w:tcPr>
            <w:tcW w:w="704" w:type="pct"/>
            <w:shd w:val="clear" w:color="auto" w:fill="auto"/>
            <w:hideMark/>
          </w:tcPr>
          <w:p w:rsidR="00B75596" w:rsidRPr="00BD7C55" w:rsidRDefault="0030416E" w:rsidP="004F7675">
            <w:pPr>
              <w:spacing w:after="0" w:line="240" w:lineRule="auto"/>
              <w:rPr>
                <w:rFonts w:ascii="Times New Roman" w:eastAsia="Times New Roman" w:hAnsi="Times New Roman"/>
                <w:sz w:val="28"/>
                <w:szCs w:val="28"/>
                <w:lang w:eastAsia="lv-LV"/>
              </w:rPr>
            </w:pPr>
            <w:r w:rsidRPr="00BD7C55">
              <w:rPr>
                <w:rFonts w:ascii="Times New Roman" w:eastAsia="Times New Roman" w:hAnsi="Times New Roman"/>
                <w:sz w:val="28"/>
                <w:szCs w:val="28"/>
                <w:lang w:eastAsia="lv-LV"/>
              </w:rPr>
              <w:t>1160905</w:t>
            </w:r>
          </w:p>
        </w:tc>
        <w:tc>
          <w:tcPr>
            <w:tcW w:w="782" w:type="pct"/>
            <w:shd w:val="clear" w:color="auto" w:fill="auto"/>
            <w:hideMark/>
          </w:tcPr>
          <w:p w:rsidR="00B75596" w:rsidRPr="00BD7C55" w:rsidRDefault="00A5538E" w:rsidP="004F7675">
            <w:pPr>
              <w:spacing w:after="0" w:line="240" w:lineRule="auto"/>
              <w:rPr>
                <w:rFonts w:ascii="Times New Roman" w:eastAsia="Times New Roman" w:hAnsi="Times New Roman"/>
                <w:sz w:val="28"/>
                <w:szCs w:val="28"/>
                <w:lang w:eastAsia="lv-LV"/>
              </w:rPr>
            </w:pPr>
            <w:r w:rsidRPr="00BD7C55">
              <w:rPr>
                <w:rFonts w:ascii="Times New Roman" w:eastAsia="Times New Roman" w:hAnsi="Times New Roman"/>
                <w:sz w:val="28"/>
                <w:szCs w:val="28"/>
                <w:lang w:eastAsia="lv-LV"/>
              </w:rPr>
              <w:t>1160905</w:t>
            </w:r>
          </w:p>
        </w:tc>
        <w:tc>
          <w:tcPr>
            <w:tcW w:w="777" w:type="pct"/>
            <w:shd w:val="clear" w:color="auto" w:fill="auto"/>
            <w:hideMark/>
          </w:tcPr>
          <w:p w:rsidR="00B75596" w:rsidRPr="00BD7C55" w:rsidRDefault="00B75596" w:rsidP="004F7675">
            <w:pPr>
              <w:spacing w:after="0" w:line="240" w:lineRule="auto"/>
              <w:rPr>
                <w:rFonts w:ascii="Times New Roman" w:eastAsia="Times New Roman" w:hAnsi="Times New Roman"/>
                <w:sz w:val="28"/>
                <w:szCs w:val="28"/>
                <w:lang w:eastAsia="lv-LV"/>
              </w:rPr>
            </w:pPr>
            <w:r w:rsidRPr="00BD7C55">
              <w:rPr>
                <w:rFonts w:ascii="Times New Roman" w:eastAsia="Times New Roman" w:hAnsi="Times New Roman"/>
                <w:sz w:val="28"/>
                <w:szCs w:val="28"/>
                <w:lang w:eastAsia="lv-LV"/>
              </w:rPr>
              <w:t> </w:t>
            </w:r>
            <w:r w:rsidR="00A5538E" w:rsidRPr="00BD7C55">
              <w:rPr>
                <w:rFonts w:ascii="Times New Roman" w:eastAsia="Times New Roman" w:hAnsi="Times New Roman"/>
                <w:sz w:val="28"/>
                <w:szCs w:val="28"/>
                <w:lang w:eastAsia="lv-LV"/>
              </w:rPr>
              <w:t>1160905</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1.2. valsts speciālais budžets</w:t>
            </w:r>
          </w:p>
        </w:tc>
        <w:tc>
          <w:tcPr>
            <w:tcW w:w="783" w:type="pct"/>
            <w:gridSpan w:val="2"/>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82"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77"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1.3. pašvaldību budžets</w:t>
            </w:r>
          </w:p>
        </w:tc>
        <w:tc>
          <w:tcPr>
            <w:tcW w:w="783" w:type="pct"/>
            <w:gridSpan w:val="2"/>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82"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77"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2. Budžeta izdevumi:</w:t>
            </w:r>
          </w:p>
        </w:tc>
        <w:tc>
          <w:tcPr>
            <w:tcW w:w="783" w:type="pct"/>
            <w:gridSpan w:val="2"/>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B6337F">
              <w:rPr>
                <w:rFonts w:ascii="Times New Roman" w:eastAsia="Times New Roman" w:hAnsi="Times New Roman"/>
                <w:sz w:val="28"/>
                <w:szCs w:val="28"/>
                <w:lang w:eastAsia="lv-LV"/>
              </w:rPr>
              <w:t>2167933</w:t>
            </w:r>
          </w:p>
        </w:tc>
        <w:tc>
          <w:tcPr>
            <w:tcW w:w="625" w:type="pct"/>
            <w:shd w:val="clear" w:color="auto" w:fill="auto"/>
          </w:tcPr>
          <w:p w:rsidR="00B75596" w:rsidRPr="002E707F" w:rsidRDefault="00B75596" w:rsidP="00F526D6">
            <w:pPr>
              <w:spacing w:after="0" w:line="240" w:lineRule="auto"/>
              <w:rPr>
                <w:rFonts w:ascii="Times New Roman" w:eastAsia="Times New Roman" w:hAnsi="Times New Roman"/>
                <w:sz w:val="28"/>
                <w:szCs w:val="28"/>
                <w:lang w:eastAsia="lv-LV"/>
              </w:rPr>
            </w:pPr>
          </w:p>
        </w:tc>
        <w:tc>
          <w:tcPr>
            <w:tcW w:w="704" w:type="pct"/>
            <w:shd w:val="clear" w:color="auto" w:fill="auto"/>
          </w:tcPr>
          <w:p w:rsidR="00B75596" w:rsidRPr="002E707F" w:rsidRDefault="006A14C1"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466100</w:t>
            </w:r>
          </w:p>
        </w:tc>
        <w:tc>
          <w:tcPr>
            <w:tcW w:w="782" w:type="pct"/>
            <w:shd w:val="clear" w:color="auto" w:fill="auto"/>
          </w:tcPr>
          <w:p w:rsidR="00B75596" w:rsidRPr="002E707F" w:rsidRDefault="00A5538E"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466100</w:t>
            </w:r>
          </w:p>
        </w:tc>
        <w:tc>
          <w:tcPr>
            <w:tcW w:w="777" w:type="pct"/>
            <w:shd w:val="clear" w:color="auto" w:fill="auto"/>
          </w:tcPr>
          <w:p w:rsidR="00B75596" w:rsidRPr="002E707F" w:rsidRDefault="00A5538E"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466100</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2.1. valsts pamatbudžets</w:t>
            </w:r>
          </w:p>
        </w:tc>
        <w:tc>
          <w:tcPr>
            <w:tcW w:w="783" w:type="pct"/>
            <w:gridSpan w:val="2"/>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B6337F">
              <w:rPr>
                <w:rFonts w:ascii="Times New Roman" w:eastAsia="Times New Roman" w:hAnsi="Times New Roman"/>
                <w:sz w:val="28"/>
                <w:szCs w:val="28"/>
                <w:lang w:eastAsia="lv-LV"/>
              </w:rPr>
              <w:t>2167933</w:t>
            </w:r>
          </w:p>
        </w:tc>
        <w:tc>
          <w:tcPr>
            <w:tcW w:w="625" w:type="pct"/>
            <w:shd w:val="clear" w:color="auto" w:fill="auto"/>
          </w:tcPr>
          <w:p w:rsidR="00B75596" w:rsidRPr="002E707F" w:rsidRDefault="00B75596" w:rsidP="00F526D6">
            <w:pPr>
              <w:spacing w:after="0" w:line="240" w:lineRule="auto"/>
              <w:rPr>
                <w:rFonts w:ascii="Times New Roman" w:eastAsia="Times New Roman" w:hAnsi="Times New Roman"/>
                <w:sz w:val="28"/>
                <w:szCs w:val="28"/>
                <w:lang w:eastAsia="lv-LV"/>
              </w:rPr>
            </w:pPr>
          </w:p>
        </w:tc>
        <w:tc>
          <w:tcPr>
            <w:tcW w:w="704" w:type="pct"/>
            <w:shd w:val="clear" w:color="auto" w:fill="auto"/>
          </w:tcPr>
          <w:p w:rsidR="00B75596" w:rsidRPr="002E707F" w:rsidRDefault="006A14C1"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466100</w:t>
            </w:r>
          </w:p>
        </w:tc>
        <w:tc>
          <w:tcPr>
            <w:tcW w:w="782" w:type="pct"/>
            <w:shd w:val="clear" w:color="auto" w:fill="auto"/>
          </w:tcPr>
          <w:p w:rsidR="00B75596" w:rsidRPr="002E707F" w:rsidRDefault="00A5538E"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466100</w:t>
            </w:r>
          </w:p>
        </w:tc>
        <w:tc>
          <w:tcPr>
            <w:tcW w:w="777" w:type="pct"/>
            <w:shd w:val="clear" w:color="auto" w:fill="auto"/>
          </w:tcPr>
          <w:p w:rsidR="00B75596" w:rsidRPr="002E707F" w:rsidRDefault="00A5538E"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466100</w:t>
            </w:r>
          </w:p>
        </w:tc>
      </w:tr>
      <w:tr w:rsidR="00EE350B" w:rsidRPr="002E707F" w:rsidTr="007137D2">
        <w:tc>
          <w:tcPr>
            <w:tcW w:w="1330" w:type="pct"/>
            <w:gridSpan w:val="3"/>
            <w:shd w:val="clear" w:color="auto" w:fill="auto"/>
            <w:hideMark/>
          </w:tcPr>
          <w:p w:rsidR="00B75596" w:rsidRPr="002E707F" w:rsidRDefault="00727BE4"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w:t>
            </w:r>
            <w:r w:rsidR="00B75596" w:rsidRPr="002E707F">
              <w:rPr>
                <w:rFonts w:ascii="Times New Roman" w:eastAsia="Times New Roman" w:hAnsi="Times New Roman"/>
                <w:sz w:val="28"/>
                <w:szCs w:val="28"/>
                <w:lang w:eastAsia="lv-LV"/>
              </w:rPr>
              <w:t>2.2. valsts speciālais budžets</w:t>
            </w:r>
          </w:p>
        </w:tc>
        <w:tc>
          <w:tcPr>
            <w:tcW w:w="783" w:type="pct"/>
            <w:gridSpan w:val="2"/>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82"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77"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2.3. pašvaldību budžets</w:t>
            </w:r>
          </w:p>
        </w:tc>
        <w:tc>
          <w:tcPr>
            <w:tcW w:w="783" w:type="pct"/>
            <w:gridSpan w:val="2"/>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82"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77"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3. Finansiālā ietekme:</w:t>
            </w:r>
          </w:p>
        </w:tc>
        <w:tc>
          <w:tcPr>
            <w:tcW w:w="783" w:type="pct"/>
            <w:gridSpan w:val="2"/>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8A092A">
              <w:rPr>
                <w:rFonts w:ascii="Times New Roman" w:eastAsia="Times New Roman" w:hAnsi="Times New Roman"/>
                <w:sz w:val="28"/>
                <w:szCs w:val="28"/>
                <w:lang w:eastAsia="lv-LV"/>
              </w:rPr>
              <w:t>X</w:t>
            </w: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6A14C1">
              <w:rPr>
                <w:rFonts w:ascii="Times New Roman" w:eastAsia="Times New Roman" w:hAnsi="Times New Roman"/>
                <w:sz w:val="28"/>
                <w:szCs w:val="28"/>
                <w:lang w:eastAsia="lv-LV"/>
              </w:rPr>
              <w:t>694 805</w:t>
            </w:r>
          </w:p>
        </w:tc>
        <w:tc>
          <w:tcPr>
            <w:tcW w:w="782" w:type="pct"/>
            <w:shd w:val="clear" w:color="auto" w:fill="auto"/>
            <w:hideMark/>
          </w:tcPr>
          <w:p w:rsidR="00B75596" w:rsidRPr="002E707F" w:rsidRDefault="006A14C1"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694 805</w:t>
            </w:r>
          </w:p>
        </w:tc>
        <w:tc>
          <w:tcPr>
            <w:tcW w:w="777" w:type="pct"/>
            <w:shd w:val="clear" w:color="auto" w:fill="auto"/>
            <w:hideMark/>
          </w:tcPr>
          <w:p w:rsidR="00B75596" w:rsidRPr="002E707F" w:rsidRDefault="006A14C1"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694 805</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3.1. valsts pamatbudžets</w:t>
            </w:r>
          </w:p>
        </w:tc>
        <w:tc>
          <w:tcPr>
            <w:tcW w:w="783" w:type="pct"/>
            <w:gridSpan w:val="2"/>
            <w:shd w:val="clear" w:color="auto" w:fill="auto"/>
            <w:hideMark/>
          </w:tcPr>
          <w:p w:rsidR="00B75596" w:rsidRPr="002E707F" w:rsidRDefault="008A092A"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X</w:t>
            </w:r>
            <w:r w:rsidR="006A7E8C" w:rsidRPr="002E707F">
              <w:rPr>
                <w:rFonts w:ascii="Times New Roman" w:eastAsia="Times New Roman" w:hAnsi="Times New Roman"/>
                <w:sz w:val="28"/>
                <w:szCs w:val="28"/>
                <w:lang w:eastAsia="lv-LV"/>
              </w:rPr>
              <w:t> </w:t>
            </w: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6A14C1">
              <w:rPr>
                <w:rFonts w:ascii="Times New Roman" w:eastAsia="Times New Roman" w:hAnsi="Times New Roman"/>
                <w:sz w:val="28"/>
                <w:szCs w:val="28"/>
                <w:lang w:eastAsia="lv-LV"/>
              </w:rPr>
              <w:t>694 805</w:t>
            </w:r>
          </w:p>
        </w:tc>
        <w:tc>
          <w:tcPr>
            <w:tcW w:w="782" w:type="pct"/>
            <w:shd w:val="clear" w:color="auto" w:fill="auto"/>
            <w:hideMark/>
          </w:tcPr>
          <w:p w:rsidR="00B75596" w:rsidRPr="002E707F" w:rsidRDefault="006A14C1"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694 805</w:t>
            </w:r>
          </w:p>
        </w:tc>
        <w:tc>
          <w:tcPr>
            <w:tcW w:w="777"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6A14C1">
              <w:rPr>
                <w:rFonts w:ascii="Times New Roman" w:eastAsia="Times New Roman" w:hAnsi="Times New Roman"/>
                <w:sz w:val="28"/>
                <w:szCs w:val="28"/>
                <w:lang w:eastAsia="lv-LV"/>
              </w:rPr>
              <w:t>694 805</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lastRenderedPageBreak/>
              <w:t>3.2. speciālais budžets</w:t>
            </w:r>
          </w:p>
        </w:tc>
        <w:tc>
          <w:tcPr>
            <w:tcW w:w="783" w:type="pct"/>
            <w:gridSpan w:val="2"/>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625"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04"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82"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77"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3.3. pašvaldību budžets</w:t>
            </w:r>
          </w:p>
        </w:tc>
        <w:tc>
          <w:tcPr>
            <w:tcW w:w="783" w:type="pct"/>
            <w:gridSpan w:val="2"/>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625"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04"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82"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77"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r>
      <w:tr w:rsidR="00EE350B" w:rsidRPr="002E707F" w:rsidTr="007137D2">
        <w:tc>
          <w:tcPr>
            <w:tcW w:w="1330" w:type="pct"/>
            <w:gridSpan w:val="3"/>
            <w:vMerge w:val="restar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4. Finanšu līdzekļi papildu izdevumu finansēšanai (kompensējošu izdevumu samazinājumu norāda ar "+" zīmi)</w:t>
            </w:r>
          </w:p>
        </w:tc>
        <w:tc>
          <w:tcPr>
            <w:tcW w:w="783" w:type="pct"/>
            <w:gridSpan w:val="2"/>
            <w:vMerge w:val="restart"/>
            <w:shd w:val="clear" w:color="auto" w:fill="auto"/>
            <w:hideMark/>
          </w:tcPr>
          <w:p w:rsidR="00B75596" w:rsidRPr="002E707F" w:rsidRDefault="00B75596" w:rsidP="00F526D6">
            <w:pPr>
              <w:spacing w:after="0" w:line="240" w:lineRule="auto"/>
              <w:ind w:firstLine="300"/>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X</w:t>
            </w:r>
          </w:p>
        </w:tc>
        <w:tc>
          <w:tcPr>
            <w:tcW w:w="625"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04"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82" w:type="pct"/>
            <w:shd w:val="clear" w:color="auto" w:fill="auto"/>
            <w:hideMark/>
          </w:tcPr>
          <w:p w:rsidR="00B75596" w:rsidRPr="002E707F" w:rsidRDefault="00727BE4" w:rsidP="000D2801">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0</w:t>
            </w:r>
          </w:p>
        </w:tc>
        <w:tc>
          <w:tcPr>
            <w:tcW w:w="777"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r>
      <w:tr w:rsidR="00EE350B" w:rsidRPr="002E707F" w:rsidTr="007137D2">
        <w:tc>
          <w:tcPr>
            <w:tcW w:w="1330" w:type="pct"/>
            <w:gridSpan w:val="3"/>
            <w:vMerge/>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p>
        </w:tc>
        <w:tc>
          <w:tcPr>
            <w:tcW w:w="783" w:type="pct"/>
            <w:gridSpan w:val="2"/>
            <w:vMerge/>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p>
        </w:tc>
        <w:tc>
          <w:tcPr>
            <w:tcW w:w="625"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04"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82"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77"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r>
      <w:tr w:rsidR="00EE350B" w:rsidRPr="002E707F" w:rsidTr="007137D2">
        <w:tc>
          <w:tcPr>
            <w:tcW w:w="1330" w:type="pct"/>
            <w:gridSpan w:val="3"/>
            <w:vMerge/>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p>
        </w:tc>
        <w:tc>
          <w:tcPr>
            <w:tcW w:w="783" w:type="pct"/>
            <w:gridSpan w:val="2"/>
            <w:vMerge/>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p>
        </w:tc>
        <w:tc>
          <w:tcPr>
            <w:tcW w:w="625"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04"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82"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c>
          <w:tcPr>
            <w:tcW w:w="777" w:type="pct"/>
            <w:shd w:val="clear" w:color="auto" w:fill="auto"/>
            <w:hideMark/>
          </w:tcPr>
          <w:p w:rsidR="00B75596" w:rsidRPr="002E707F" w:rsidRDefault="00B75596" w:rsidP="000D2801">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0</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5. Precizēta finansiālā ietekme:</w:t>
            </w:r>
          </w:p>
        </w:tc>
        <w:tc>
          <w:tcPr>
            <w:tcW w:w="783" w:type="pct"/>
            <w:gridSpan w:val="2"/>
            <w:vMerge w:val="restart"/>
            <w:shd w:val="clear" w:color="auto" w:fill="auto"/>
            <w:hideMark/>
          </w:tcPr>
          <w:p w:rsidR="00B75596" w:rsidRPr="002E707F" w:rsidRDefault="00B75596" w:rsidP="00F526D6">
            <w:pPr>
              <w:spacing w:after="0" w:line="240" w:lineRule="auto"/>
              <w:ind w:firstLine="300"/>
              <w:jc w:val="center"/>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X</w:t>
            </w: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6E7AF0">
              <w:rPr>
                <w:rFonts w:ascii="Times New Roman" w:eastAsia="Times New Roman" w:hAnsi="Times New Roman"/>
                <w:sz w:val="28"/>
                <w:szCs w:val="28"/>
                <w:lang w:eastAsia="lv-LV"/>
              </w:rPr>
              <w:t>694 805</w:t>
            </w:r>
          </w:p>
        </w:tc>
        <w:tc>
          <w:tcPr>
            <w:tcW w:w="782" w:type="pct"/>
            <w:shd w:val="clear" w:color="auto" w:fill="auto"/>
            <w:hideMark/>
          </w:tcPr>
          <w:p w:rsidR="00B75596" w:rsidRPr="002E707F" w:rsidRDefault="006E7AF0" w:rsidP="000306E5">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694 805</w:t>
            </w:r>
          </w:p>
        </w:tc>
        <w:tc>
          <w:tcPr>
            <w:tcW w:w="777"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6E7AF0">
              <w:rPr>
                <w:rFonts w:ascii="Times New Roman" w:eastAsia="Times New Roman" w:hAnsi="Times New Roman"/>
                <w:sz w:val="28"/>
                <w:szCs w:val="28"/>
                <w:lang w:eastAsia="lv-LV"/>
              </w:rPr>
              <w:t>694 805</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5.1. valsts pamatbudžets</w:t>
            </w:r>
          </w:p>
        </w:tc>
        <w:tc>
          <w:tcPr>
            <w:tcW w:w="783" w:type="pct"/>
            <w:gridSpan w:val="2"/>
            <w:vMerge/>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6E7AF0">
              <w:rPr>
                <w:rFonts w:ascii="Times New Roman" w:eastAsia="Times New Roman" w:hAnsi="Times New Roman"/>
                <w:sz w:val="28"/>
                <w:szCs w:val="28"/>
                <w:lang w:eastAsia="lv-LV"/>
              </w:rPr>
              <w:t>694 805</w:t>
            </w:r>
          </w:p>
        </w:tc>
        <w:tc>
          <w:tcPr>
            <w:tcW w:w="782" w:type="pct"/>
            <w:shd w:val="clear" w:color="auto" w:fill="auto"/>
            <w:hideMark/>
          </w:tcPr>
          <w:p w:rsidR="00B75596" w:rsidRPr="002E707F" w:rsidRDefault="006E7AF0" w:rsidP="00F526D6">
            <w:pPr>
              <w:spacing w:after="0" w:line="24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694 805</w:t>
            </w:r>
          </w:p>
        </w:tc>
        <w:tc>
          <w:tcPr>
            <w:tcW w:w="777"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w:t>
            </w:r>
            <w:r w:rsidR="006E7AF0">
              <w:rPr>
                <w:rFonts w:ascii="Times New Roman" w:eastAsia="Times New Roman" w:hAnsi="Times New Roman"/>
                <w:sz w:val="28"/>
                <w:szCs w:val="28"/>
                <w:lang w:eastAsia="lv-LV"/>
              </w:rPr>
              <w:t>694 805</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5.2. speciālais budžets</w:t>
            </w:r>
          </w:p>
        </w:tc>
        <w:tc>
          <w:tcPr>
            <w:tcW w:w="783" w:type="pct"/>
            <w:gridSpan w:val="2"/>
            <w:vMerge/>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82"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77"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5.3. pašvaldību budžets</w:t>
            </w:r>
          </w:p>
        </w:tc>
        <w:tc>
          <w:tcPr>
            <w:tcW w:w="783" w:type="pct"/>
            <w:gridSpan w:val="2"/>
            <w:vMerge/>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p>
        </w:tc>
        <w:tc>
          <w:tcPr>
            <w:tcW w:w="625"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04"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82"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c>
          <w:tcPr>
            <w:tcW w:w="777" w:type="pct"/>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0</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6. Detalizēts ieņēmumu un izdevumu aprēķins (ja nepieciešams, detalizētu ieņēmumu un izdevumu aprēķinu var pievienot anotācijas pielikumā):</w:t>
            </w:r>
          </w:p>
          <w:p w:rsidR="00B44820" w:rsidRPr="002E707F" w:rsidRDefault="00B44820" w:rsidP="00F526D6">
            <w:pPr>
              <w:spacing w:after="0" w:line="240" w:lineRule="auto"/>
              <w:rPr>
                <w:rFonts w:ascii="Times New Roman" w:eastAsia="Times New Roman" w:hAnsi="Times New Roman"/>
                <w:sz w:val="28"/>
                <w:szCs w:val="28"/>
                <w:lang w:eastAsia="lv-LV"/>
              </w:rPr>
            </w:pPr>
          </w:p>
        </w:tc>
        <w:tc>
          <w:tcPr>
            <w:tcW w:w="3670" w:type="pct"/>
            <w:gridSpan w:val="6"/>
            <w:vMerge w:val="restart"/>
            <w:shd w:val="clear" w:color="auto" w:fill="auto"/>
          </w:tcPr>
          <w:p w:rsidR="00691DBA" w:rsidRPr="008D2A8F" w:rsidRDefault="00691DBA" w:rsidP="00691DBA">
            <w:pPr>
              <w:spacing w:after="0" w:line="240" w:lineRule="auto"/>
              <w:jc w:val="both"/>
              <w:rPr>
                <w:rFonts w:ascii="Times New Roman" w:hAnsi="Times New Roman"/>
                <w:sz w:val="28"/>
                <w:szCs w:val="24"/>
              </w:rPr>
            </w:pPr>
            <w:r w:rsidRPr="008D2A8F">
              <w:rPr>
                <w:rFonts w:ascii="Times New Roman" w:hAnsi="Times New Roman"/>
                <w:sz w:val="28"/>
                <w:szCs w:val="24"/>
              </w:rPr>
              <w:t>Aprēķins pēc būvkomersantu reģistrā norādītā 2015.gadā pašu spēkiem sniegto būvniecības pakalpojumu apjoma</w:t>
            </w:r>
            <w:r w:rsidR="00183B03" w:rsidRPr="008D2A8F">
              <w:rPr>
                <w:rFonts w:ascii="Times New Roman" w:hAnsi="Times New Roman"/>
                <w:sz w:val="28"/>
                <w:szCs w:val="24"/>
              </w:rPr>
              <w:t xml:space="preserve"> (tā kā kopējais apgrozījums līdz šim nav prasīts)</w:t>
            </w:r>
            <w:r w:rsidRPr="008D2A8F">
              <w:rPr>
                <w:rFonts w:ascii="Times New Roman" w:hAnsi="Times New Roman"/>
                <w:sz w:val="28"/>
                <w:szCs w:val="24"/>
              </w:rPr>
              <w:t>:</w:t>
            </w:r>
          </w:p>
          <w:p w:rsidR="00BE42B2" w:rsidRPr="008D2A8F" w:rsidRDefault="00BE42B2" w:rsidP="0046219D">
            <w:pPr>
              <w:spacing w:after="0" w:line="240" w:lineRule="auto"/>
              <w:jc w:val="both"/>
              <w:rPr>
                <w:rFonts w:ascii="Times New Roman" w:hAnsi="Times New Roman"/>
                <w:b/>
                <w:sz w:val="24"/>
                <w:szCs w:val="24"/>
              </w:rPr>
            </w:pPr>
            <w:r w:rsidRPr="008D2A8F">
              <w:rPr>
                <w:rFonts w:ascii="Times New Roman" w:hAnsi="Times New Roman"/>
                <w:sz w:val="24"/>
                <w:szCs w:val="24"/>
              </w:rPr>
              <w:t>- no 0 līdz 100 000 EUR - 2 977 būvkomersanti</w:t>
            </w:r>
            <w:r w:rsidR="00ED3E77" w:rsidRPr="008D2A8F">
              <w:rPr>
                <w:rFonts w:ascii="Times New Roman" w:hAnsi="Times New Roman"/>
                <w:sz w:val="24"/>
                <w:szCs w:val="24"/>
              </w:rPr>
              <w:t xml:space="preserve">, </w:t>
            </w:r>
            <w:r w:rsidRPr="008D2A8F">
              <w:rPr>
                <w:rFonts w:ascii="Times New Roman" w:hAnsi="Times New Roman"/>
                <w:sz w:val="24"/>
                <w:szCs w:val="24"/>
              </w:rPr>
              <w:t xml:space="preserve">plānotā nodeva 200 </w:t>
            </w:r>
            <w:proofErr w:type="spellStart"/>
            <w:r w:rsidRPr="008D2A8F">
              <w:rPr>
                <w:rFonts w:ascii="Times New Roman" w:hAnsi="Times New Roman"/>
                <w:i/>
                <w:sz w:val="24"/>
                <w:szCs w:val="24"/>
              </w:rPr>
              <w:t>euro</w:t>
            </w:r>
            <w:proofErr w:type="spellEnd"/>
            <w:r w:rsidRPr="008D2A8F">
              <w:rPr>
                <w:rFonts w:ascii="Times New Roman" w:hAnsi="Times New Roman"/>
                <w:sz w:val="24"/>
                <w:szCs w:val="24"/>
              </w:rPr>
              <w:t xml:space="preserve"> gadā </w:t>
            </w:r>
            <w:r w:rsidRPr="008D2A8F">
              <w:rPr>
                <w:rFonts w:ascii="Times New Roman" w:hAnsi="Times New Roman"/>
                <w:b/>
                <w:sz w:val="24"/>
                <w:szCs w:val="24"/>
              </w:rPr>
              <w:t xml:space="preserve">(2977 x 200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 xml:space="preserve"> = 595 400</w:t>
            </w:r>
            <w:r w:rsidRPr="008D2A8F">
              <w:rPr>
                <w:rFonts w:ascii="Times New Roman" w:hAnsi="Times New Roman"/>
                <w:b/>
                <w:i/>
                <w:sz w:val="24"/>
                <w:szCs w:val="24"/>
              </w:rPr>
              <w:t xml:space="preserve">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w:t>
            </w:r>
          </w:p>
          <w:p w:rsidR="00BE42B2" w:rsidRPr="008D2A8F" w:rsidRDefault="00BE42B2" w:rsidP="0046219D">
            <w:pPr>
              <w:spacing w:after="0" w:line="240" w:lineRule="auto"/>
              <w:jc w:val="both"/>
              <w:rPr>
                <w:rFonts w:ascii="Times New Roman" w:hAnsi="Times New Roman"/>
                <w:b/>
                <w:sz w:val="24"/>
                <w:szCs w:val="24"/>
              </w:rPr>
            </w:pPr>
            <w:r w:rsidRPr="008D2A8F">
              <w:rPr>
                <w:rFonts w:ascii="Times New Roman" w:hAnsi="Times New Roman"/>
                <w:sz w:val="24"/>
                <w:szCs w:val="24"/>
              </w:rPr>
              <w:t xml:space="preserve">- no 100 001 līdz 500 000 EUR – 1132 būvkomersanti, plānotā nodeva 700 </w:t>
            </w:r>
            <w:proofErr w:type="spellStart"/>
            <w:r w:rsidRPr="008D2A8F">
              <w:rPr>
                <w:rFonts w:ascii="Times New Roman" w:hAnsi="Times New Roman"/>
                <w:i/>
                <w:sz w:val="24"/>
                <w:szCs w:val="24"/>
              </w:rPr>
              <w:t>euro</w:t>
            </w:r>
            <w:proofErr w:type="spellEnd"/>
            <w:r w:rsidRPr="008D2A8F">
              <w:rPr>
                <w:rFonts w:ascii="Times New Roman" w:hAnsi="Times New Roman"/>
                <w:sz w:val="24"/>
                <w:szCs w:val="24"/>
              </w:rPr>
              <w:t xml:space="preserve"> gadā </w:t>
            </w:r>
            <w:r w:rsidRPr="008D2A8F">
              <w:rPr>
                <w:rFonts w:ascii="Times New Roman" w:hAnsi="Times New Roman"/>
                <w:b/>
                <w:sz w:val="24"/>
                <w:szCs w:val="24"/>
              </w:rPr>
              <w:t>(1132 x 700</w:t>
            </w:r>
            <w:r w:rsidRPr="008D2A8F">
              <w:rPr>
                <w:rFonts w:ascii="Times New Roman" w:hAnsi="Times New Roman"/>
                <w:b/>
                <w:i/>
                <w:sz w:val="24"/>
                <w:szCs w:val="24"/>
              </w:rPr>
              <w:t xml:space="preserve">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 xml:space="preserve"> = 792 400</w:t>
            </w:r>
            <w:r w:rsidRPr="008D2A8F">
              <w:rPr>
                <w:rFonts w:ascii="Times New Roman" w:hAnsi="Times New Roman"/>
                <w:b/>
                <w:i/>
                <w:sz w:val="24"/>
                <w:szCs w:val="24"/>
              </w:rPr>
              <w:t xml:space="preserve">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w:t>
            </w:r>
          </w:p>
          <w:p w:rsidR="00BE42B2" w:rsidRPr="008D2A8F" w:rsidRDefault="00BE42B2" w:rsidP="0046219D">
            <w:pPr>
              <w:spacing w:after="0" w:line="240" w:lineRule="auto"/>
              <w:jc w:val="both"/>
              <w:rPr>
                <w:rFonts w:ascii="Times New Roman" w:hAnsi="Times New Roman"/>
                <w:b/>
                <w:sz w:val="24"/>
                <w:szCs w:val="24"/>
              </w:rPr>
            </w:pPr>
            <w:r w:rsidRPr="008D2A8F">
              <w:rPr>
                <w:rFonts w:ascii="Times New Roman" w:hAnsi="Times New Roman"/>
                <w:sz w:val="24"/>
                <w:szCs w:val="24"/>
              </w:rPr>
              <w:t xml:space="preserve">- no 500 001 līdz 1 milj. EUR – 268 būvkomersanti, plānotā nodeva 1500 </w:t>
            </w:r>
            <w:proofErr w:type="spellStart"/>
            <w:r w:rsidRPr="008D2A8F">
              <w:rPr>
                <w:rFonts w:ascii="Times New Roman" w:hAnsi="Times New Roman"/>
                <w:i/>
                <w:sz w:val="24"/>
                <w:szCs w:val="24"/>
              </w:rPr>
              <w:t>euro</w:t>
            </w:r>
            <w:proofErr w:type="spellEnd"/>
            <w:r w:rsidRPr="008D2A8F">
              <w:rPr>
                <w:rFonts w:ascii="Times New Roman" w:hAnsi="Times New Roman"/>
                <w:sz w:val="24"/>
                <w:szCs w:val="24"/>
              </w:rPr>
              <w:t xml:space="preserve"> gadā </w:t>
            </w:r>
            <w:r w:rsidRPr="008D2A8F">
              <w:rPr>
                <w:rFonts w:ascii="Times New Roman" w:hAnsi="Times New Roman"/>
                <w:b/>
                <w:sz w:val="24"/>
                <w:szCs w:val="24"/>
              </w:rPr>
              <w:t xml:space="preserve">(268 x 1500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 xml:space="preserve"> = 402 000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w:t>
            </w:r>
          </w:p>
          <w:p w:rsidR="00BE42B2" w:rsidRPr="008D2A8F" w:rsidRDefault="00BE42B2" w:rsidP="0046219D">
            <w:pPr>
              <w:spacing w:after="0" w:line="240" w:lineRule="auto"/>
              <w:jc w:val="both"/>
              <w:rPr>
                <w:rFonts w:ascii="Times New Roman" w:hAnsi="Times New Roman"/>
                <w:b/>
                <w:sz w:val="24"/>
                <w:szCs w:val="24"/>
              </w:rPr>
            </w:pPr>
            <w:r w:rsidRPr="008D2A8F">
              <w:rPr>
                <w:rFonts w:ascii="Times New Roman" w:hAnsi="Times New Roman"/>
                <w:sz w:val="24"/>
                <w:szCs w:val="24"/>
              </w:rPr>
              <w:t xml:space="preserve">- no 1 milj. līdz 5 milj. EUR – 245 būvkomersanti, plānotā nodeva 2500 </w:t>
            </w:r>
            <w:proofErr w:type="spellStart"/>
            <w:r w:rsidRPr="008D2A8F">
              <w:rPr>
                <w:rFonts w:ascii="Times New Roman" w:hAnsi="Times New Roman"/>
                <w:i/>
                <w:sz w:val="24"/>
                <w:szCs w:val="24"/>
              </w:rPr>
              <w:t>euro</w:t>
            </w:r>
            <w:proofErr w:type="spellEnd"/>
            <w:r w:rsidRPr="008D2A8F">
              <w:rPr>
                <w:rFonts w:ascii="Times New Roman" w:hAnsi="Times New Roman"/>
                <w:sz w:val="24"/>
                <w:szCs w:val="24"/>
              </w:rPr>
              <w:t xml:space="preserve"> gadā </w:t>
            </w:r>
            <w:r w:rsidRPr="008D2A8F">
              <w:rPr>
                <w:rFonts w:ascii="Times New Roman" w:hAnsi="Times New Roman"/>
                <w:b/>
                <w:sz w:val="24"/>
                <w:szCs w:val="24"/>
              </w:rPr>
              <w:t xml:space="preserve">(245 x 2500 </w:t>
            </w:r>
            <w:proofErr w:type="spellStart"/>
            <w:r w:rsidRPr="008D2A8F">
              <w:rPr>
                <w:rFonts w:ascii="Times New Roman" w:hAnsi="Times New Roman"/>
                <w:b/>
                <w:i/>
                <w:sz w:val="24"/>
                <w:szCs w:val="24"/>
              </w:rPr>
              <w:t>euro</w:t>
            </w:r>
            <w:proofErr w:type="spellEnd"/>
            <w:r w:rsidRPr="008D2A8F">
              <w:rPr>
                <w:rFonts w:ascii="Times New Roman" w:hAnsi="Times New Roman"/>
                <w:b/>
                <w:i/>
                <w:sz w:val="24"/>
                <w:szCs w:val="24"/>
              </w:rPr>
              <w:t xml:space="preserve"> = </w:t>
            </w:r>
            <w:r w:rsidRPr="008D2A8F">
              <w:rPr>
                <w:rFonts w:ascii="Times New Roman" w:hAnsi="Times New Roman"/>
                <w:b/>
                <w:sz w:val="24"/>
                <w:szCs w:val="24"/>
              </w:rPr>
              <w:t>612 500</w:t>
            </w:r>
            <w:r w:rsidRPr="008D2A8F">
              <w:rPr>
                <w:rFonts w:ascii="Times New Roman" w:hAnsi="Times New Roman"/>
                <w:b/>
                <w:i/>
                <w:sz w:val="24"/>
                <w:szCs w:val="24"/>
              </w:rPr>
              <w:t xml:space="preserve">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w:t>
            </w:r>
          </w:p>
          <w:p w:rsidR="00BE42B2" w:rsidRPr="008D2A8F" w:rsidRDefault="00BE42B2" w:rsidP="0046219D">
            <w:pPr>
              <w:spacing w:after="0" w:line="240" w:lineRule="auto"/>
              <w:jc w:val="both"/>
              <w:rPr>
                <w:rFonts w:ascii="Times New Roman" w:hAnsi="Times New Roman"/>
                <w:b/>
                <w:sz w:val="24"/>
                <w:szCs w:val="24"/>
              </w:rPr>
            </w:pPr>
            <w:r w:rsidRPr="008D2A8F">
              <w:rPr>
                <w:rFonts w:ascii="Times New Roman" w:hAnsi="Times New Roman"/>
                <w:sz w:val="24"/>
                <w:szCs w:val="24"/>
              </w:rPr>
              <w:t xml:space="preserve">- no 5 milj. līdz 10 milj. EUR – 29 būvkomersanti, plānotā nodeva 3500 </w:t>
            </w:r>
            <w:proofErr w:type="spellStart"/>
            <w:r w:rsidRPr="008D2A8F">
              <w:rPr>
                <w:rFonts w:ascii="Times New Roman" w:hAnsi="Times New Roman"/>
                <w:i/>
                <w:sz w:val="24"/>
                <w:szCs w:val="24"/>
              </w:rPr>
              <w:t>euro</w:t>
            </w:r>
            <w:proofErr w:type="spellEnd"/>
            <w:r w:rsidRPr="008D2A8F">
              <w:rPr>
                <w:rFonts w:ascii="Times New Roman" w:hAnsi="Times New Roman"/>
                <w:sz w:val="24"/>
                <w:szCs w:val="24"/>
              </w:rPr>
              <w:t xml:space="preserve"> gadā </w:t>
            </w:r>
            <w:r w:rsidRPr="008D2A8F">
              <w:rPr>
                <w:rFonts w:ascii="Times New Roman" w:hAnsi="Times New Roman"/>
                <w:b/>
                <w:sz w:val="24"/>
                <w:szCs w:val="24"/>
              </w:rPr>
              <w:t xml:space="preserve">(29 x 3500 </w:t>
            </w:r>
            <w:proofErr w:type="spellStart"/>
            <w:r w:rsidRPr="008D2A8F">
              <w:rPr>
                <w:rFonts w:ascii="Times New Roman" w:hAnsi="Times New Roman"/>
                <w:b/>
                <w:i/>
                <w:sz w:val="24"/>
                <w:szCs w:val="24"/>
              </w:rPr>
              <w:t>euro</w:t>
            </w:r>
            <w:proofErr w:type="spellEnd"/>
            <w:r w:rsidRPr="008D2A8F">
              <w:rPr>
                <w:rFonts w:ascii="Times New Roman" w:hAnsi="Times New Roman"/>
                <w:b/>
                <w:i/>
                <w:sz w:val="24"/>
                <w:szCs w:val="24"/>
              </w:rPr>
              <w:t xml:space="preserve"> = </w:t>
            </w:r>
            <w:r w:rsidRPr="008D2A8F">
              <w:rPr>
                <w:rFonts w:ascii="Times New Roman" w:hAnsi="Times New Roman"/>
                <w:b/>
                <w:sz w:val="24"/>
                <w:szCs w:val="24"/>
              </w:rPr>
              <w:t>101 500</w:t>
            </w:r>
            <w:r w:rsidRPr="008D2A8F">
              <w:rPr>
                <w:rFonts w:ascii="Times New Roman" w:hAnsi="Times New Roman"/>
                <w:b/>
                <w:i/>
                <w:sz w:val="24"/>
                <w:szCs w:val="24"/>
              </w:rPr>
              <w:t xml:space="preserve">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w:t>
            </w:r>
          </w:p>
          <w:p w:rsidR="001D0476" w:rsidRPr="008D2A8F" w:rsidRDefault="001D0476" w:rsidP="0046219D">
            <w:pPr>
              <w:spacing w:after="0" w:line="240" w:lineRule="auto"/>
              <w:jc w:val="both"/>
              <w:rPr>
                <w:rFonts w:ascii="Times New Roman" w:hAnsi="Times New Roman"/>
                <w:b/>
                <w:sz w:val="24"/>
                <w:szCs w:val="24"/>
              </w:rPr>
            </w:pPr>
            <w:r w:rsidRPr="008D2A8F">
              <w:rPr>
                <w:rFonts w:ascii="Times New Roman" w:hAnsi="Times New Roman"/>
                <w:sz w:val="24"/>
                <w:szCs w:val="24"/>
              </w:rPr>
              <w:t>- no 10 milj. līdz 25 milj. EUR – 14 būvkomersanti</w:t>
            </w:r>
            <w:r w:rsidR="00ED3E77" w:rsidRPr="008D2A8F">
              <w:rPr>
                <w:rFonts w:ascii="Times New Roman" w:hAnsi="Times New Roman"/>
                <w:sz w:val="24"/>
                <w:szCs w:val="24"/>
              </w:rPr>
              <w:t xml:space="preserve">, </w:t>
            </w:r>
            <w:r w:rsidRPr="008D2A8F">
              <w:rPr>
                <w:rFonts w:ascii="Times New Roman" w:hAnsi="Times New Roman"/>
                <w:sz w:val="24"/>
                <w:szCs w:val="24"/>
              </w:rPr>
              <w:t xml:space="preserve">plānotā nodeva </w:t>
            </w:r>
            <w:r w:rsidR="007953A3" w:rsidRPr="008D2A8F">
              <w:rPr>
                <w:rFonts w:ascii="Times New Roman" w:hAnsi="Times New Roman"/>
                <w:sz w:val="24"/>
                <w:szCs w:val="24"/>
              </w:rPr>
              <w:t>70</w:t>
            </w:r>
            <w:r w:rsidRPr="008D2A8F">
              <w:rPr>
                <w:rFonts w:ascii="Times New Roman" w:hAnsi="Times New Roman"/>
                <w:sz w:val="24"/>
                <w:szCs w:val="24"/>
              </w:rPr>
              <w:t xml:space="preserve">00 </w:t>
            </w:r>
            <w:proofErr w:type="spellStart"/>
            <w:r w:rsidRPr="008D2A8F">
              <w:rPr>
                <w:rFonts w:ascii="Times New Roman" w:hAnsi="Times New Roman"/>
                <w:i/>
                <w:sz w:val="24"/>
                <w:szCs w:val="24"/>
              </w:rPr>
              <w:t>euro</w:t>
            </w:r>
            <w:proofErr w:type="spellEnd"/>
            <w:r w:rsidRPr="008D2A8F">
              <w:rPr>
                <w:rFonts w:ascii="Times New Roman" w:hAnsi="Times New Roman"/>
                <w:sz w:val="24"/>
                <w:szCs w:val="24"/>
              </w:rPr>
              <w:t xml:space="preserve"> gadā </w:t>
            </w:r>
            <w:r w:rsidRPr="008D2A8F">
              <w:rPr>
                <w:rFonts w:ascii="Times New Roman" w:hAnsi="Times New Roman"/>
                <w:b/>
                <w:sz w:val="24"/>
                <w:szCs w:val="24"/>
              </w:rPr>
              <w:t>(</w:t>
            </w:r>
            <w:r w:rsidR="007953A3" w:rsidRPr="008D2A8F">
              <w:rPr>
                <w:rFonts w:ascii="Times New Roman" w:hAnsi="Times New Roman"/>
                <w:b/>
                <w:sz w:val="24"/>
                <w:szCs w:val="24"/>
              </w:rPr>
              <w:t>14</w:t>
            </w:r>
            <w:r w:rsidRPr="008D2A8F">
              <w:rPr>
                <w:rFonts w:ascii="Times New Roman" w:hAnsi="Times New Roman"/>
                <w:b/>
                <w:sz w:val="24"/>
                <w:szCs w:val="24"/>
              </w:rPr>
              <w:t xml:space="preserve"> x </w:t>
            </w:r>
            <w:r w:rsidR="007953A3" w:rsidRPr="008D2A8F">
              <w:rPr>
                <w:rFonts w:ascii="Times New Roman" w:hAnsi="Times New Roman"/>
                <w:b/>
                <w:sz w:val="24"/>
                <w:szCs w:val="24"/>
              </w:rPr>
              <w:t>70</w:t>
            </w:r>
            <w:r w:rsidRPr="008D2A8F">
              <w:rPr>
                <w:rFonts w:ascii="Times New Roman" w:hAnsi="Times New Roman"/>
                <w:b/>
                <w:sz w:val="24"/>
                <w:szCs w:val="24"/>
              </w:rPr>
              <w:t xml:space="preserve">00 </w:t>
            </w:r>
            <w:proofErr w:type="spellStart"/>
            <w:r w:rsidRPr="008D2A8F">
              <w:rPr>
                <w:rFonts w:ascii="Times New Roman" w:hAnsi="Times New Roman"/>
                <w:b/>
                <w:i/>
                <w:sz w:val="24"/>
                <w:szCs w:val="24"/>
              </w:rPr>
              <w:t>euro</w:t>
            </w:r>
            <w:proofErr w:type="spellEnd"/>
            <w:r w:rsidRPr="008D2A8F">
              <w:rPr>
                <w:rFonts w:ascii="Times New Roman" w:hAnsi="Times New Roman"/>
                <w:b/>
                <w:i/>
                <w:sz w:val="24"/>
                <w:szCs w:val="24"/>
              </w:rPr>
              <w:t xml:space="preserve"> = </w:t>
            </w:r>
            <w:r w:rsidR="007953A3" w:rsidRPr="008D2A8F">
              <w:rPr>
                <w:rFonts w:ascii="Times New Roman" w:hAnsi="Times New Roman"/>
                <w:b/>
                <w:sz w:val="24"/>
                <w:szCs w:val="24"/>
              </w:rPr>
              <w:t>98 000</w:t>
            </w:r>
            <w:r w:rsidRPr="008D2A8F">
              <w:rPr>
                <w:rFonts w:ascii="Times New Roman" w:hAnsi="Times New Roman"/>
                <w:b/>
                <w:i/>
                <w:sz w:val="24"/>
                <w:szCs w:val="24"/>
              </w:rPr>
              <w:t xml:space="preserve">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w:t>
            </w:r>
          </w:p>
          <w:p w:rsidR="00BE42B2" w:rsidRPr="008D2A8F" w:rsidRDefault="00BE42B2" w:rsidP="0046219D">
            <w:pPr>
              <w:spacing w:after="0" w:line="240" w:lineRule="auto"/>
              <w:jc w:val="both"/>
              <w:rPr>
                <w:rFonts w:ascii="Times New Roman" w:hAnsi="Times New Roman"/>
                <w:b/>
                <w:sz w:val="24"/>
                <w:szCs w:val="24"/>
              </w:rPr>
            </w:pPr>
            <w:r w:rsidRPr="008D2A8F">
              <w:rPr>
                <w:rFonts w:ascii="Times New Roman" w:hAnsi="Times New Roman"/>
                <w:sz w:val="24"/>
                <w:szCs w:val="24"/>
              </w:rPr>
              <w:t xml:space="preserve">- vairāk par </w:t>
            </w:r>
            <w:r w:rsidR="001D0476" w:rsidRPr="008D2A8F">
              <w:rPr>
                <w:rFonts w:ascii="Times New Roman" w:hAnsi="Times New Roman"/>
                <w:sz w:val="24"/>
                <w:szCs w:val="24"/>
              </w:rPr>
              <w:t>25</w:t>
            </w:r>
            <w:r w:rsidRPr="008D2A8F">
              <w:rPr>
                <w:rFonts w:ascii="Times New Roman" w:hAnsi="Times New Roman"/>
                <w:sz w:val="24"/>
                <w:szCs w:val="24"/>
              </w:rPr>
              <w:t xml:space="preserve"> milj. EUR – </w:t>
            </w:r>
            <w:r w:rsidR="001D0476" w:rsidRPr="008D2A8F">
              <w:rPr>
                <w:rFonts w:ascii="Times New Roman" w:hAnsi="Times New Roman"/>
                <w:sz w:val="24"/>
                <w:szCs w:val="24"/>
              </w:rPr>
              <w:t>5</w:t>
            </w:r>
            <w:r w:rsidRPr="008D2A8F">
              <w:rPr>
                <w:rFonts w:ascii="Times New Roman" w:hAnsi="Times New Roman"/>
                <w:sz w:val="24"/>
                <w:szCs w:val="24"/>
              </w:rPr>
              <w:t xml:space="preserve"> būvkomersants, plānotā nodeva </w:t>
            </w:r>
            <w:r w:rsidR="007953A3" w:rsidRPr="008D2A8F">
              <w:rPr>
                <w:rFonts w:ascii="Times New Roman" w:hAnsi="Times New Roman"/>
                <w:sz w:val="24"/>
                <w:szCs w:val="24"/>
              </w:rPr>
              <w:t>10</w:t>
            </w:r>
            <w:r w:rsidRPr="008D2A8F">
              <w:rPr>
                <w:rFonts w:ascii="Times New Roman" w:hAnsi="Times New Roman"/>
                <w:sz w:val="24"/>
                <w:szCs w:val="24"/>
              </w:rPr>
              <w:t xml:space="preserve">000 </w:t>
            </w:r>
            <w:proofErr w:type="spellStart"/>
            <w:r w:rsidRPr="008D2A8F">
              <w:rPr>
                <w:rFonts w:ascii="Times New Roman" w:hAnsi="Times New Roman"/>
                <w:i/>
                <w:sz w:val="24"/>
                <w:szCs w:val="24"/>
              </w:rPr>
              <w:t>euro</w:t>
            </w:r>
            <w:proofErr w:type="spellEnd"/>
            <w:r w:rsidRPr="008D2A8F">
              <w:rPr>
                <w:rFonts w:ascii="Times New Roman" w:hAnsi="Times New Roman"/>
                <w:sz w:val="24"/>
                <w:szCs w:val="24"/>
              </w:rPr>
              <w:t xml:space="preserve"> gadā </w:t>
            </w:r>
            <w:r w:rsidRPr="008D2A8F">
              <w:rPr>
                <w:rFonts w:ascii="Times New Roman" w:hAnsi="Times New Roman"/>
                <w:b/>
                <w:sz w:val="24"/>
                <w:szCs w:val="24"/>
              </w:rPr>
              <w:t>(</w:t>
            </w:r>
            <w:r w:rsidR="007953A3" w:rsidRPr="008D2A8F">
              <w:rPr>
                <w:rFonts w:ascii="Times New Roman" w:hAnsi="Times New Roman"/>
                <w:b/>
                <w:sz w:val="24"/>
                <w:szCs w:val="24"/>
              </w:rPr>
              <w:t>5</w:t>
            </w:r>
            <w:r w:rsidRPr="008D2A8F">
              <w:rPr>
                <w:rFonts w:ascii="Times New Roman" w:hAnsi="Times New Roman"/>
                <w:b/>
                <w:sz w:val="24"/>
                <w:szCs w:val="24"/>
              </w:rPr>
              <w:t xml:space="preserve"> x </w:t>
            </w:r>
            <w:r w:rsidR="007953A3" w:rsidRPr="008D2A8F">
              <w:rPr>
                <w:rFonts w:ascii="Times New Roman" w:hAnsi="Times New Roman"/>
                <w:b/>
                <w:sz w:val="24"/>
                <w:szCs w:val="24"/>
              </w:rPr>
              <w:t>10</w:t>
            </w:r>
            <w:r w:rsidRPr="008D2A8F">
              <w:rPr>
                <w:rFonts w:ascii="Times New Roman" w:hAnsi="Times New Roman"/>
                <w:b/>
                <w:sz w:val="24"/>
                <w:szCs w:val="24"/>
              </w:rPr>
              <w:t xml:space="preserve">000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 xml:space="preserve"> = </w:t>
            </w:r>
            <w:r w:rsidR="007953A3" w:rsidRPr="008D2A8F">
              <w:rPr>
                <w:rFonts w:ascii="Times New Roman" w:hAnsi="Times New Roman"/>
                <w:b/>
                <w:sz w:val="24"/>
                <w:szCs w:val="24"/>
              </w:rPr>
              <w:t>50</w:t>
            </w:r>
            <w:r w:rsidRPr="008D2A8F">
              <w:rPr>
                <w:rFonts w:ascii="Times New Roman" w:hAnsi="Times New Roman"/>
                <w:b/>
                <w:sz w:val="24"/>
                <w:szCs w:val="24"/>
              </w:rPr>
              <w:t xml:space="preserve"> 000 </w:t>
            </w:r>
            <w:proofErr w:type="spellStart"/>
            <w:r w:rsidRPr="008D2A8F">
              <w:rPr>
                <w:rFonts w:ascii="Times New Roman" w:hAnsi="Times New Roman"/>
                <w:b/>
                <w:i/>
                <w:sz w:val="24"/>
                <w:szCs w:val="24"/>
              </w:rPr>
              <w:t>euro</w:t>
            </w:r>
            <w:proofErr w:type="spellEnd"/>
            <w:r w:rsidRPr="008D2A8F">
              <w:rPr>
                <w:rFonts w:ascii="Times New Roman" w:hAnsi="Times New Roman"/>
                <w:b/>
                <w:sz w:val="24"/>
                <w:szCs w:val="24"/>
              </w:rPr>
              <w:t>)</w:t>
            </w:r>
          </w:p>
          <w:p w:rsidR="00DB1FCD" w:rsidRPr="008D2A8F" w:rsidRDefault="00712629" w:rsidP="007953A3">
            <w:pPr>
              <w:spacing w:after="0" w:line="240" w:lineRule="auto"/>
              <w:jc w:val="both"/>
              <w:rPr>
                <w:rFonts w:ascii="Times New Roman" w:hAnsi="Times New Roman"/>
                <w:b/>
                <w:i/>
                <w:sz w:val="28"/>
                <w:szCs w:val="24"/>
              </w:rPr>
            </w:pPr>
            <w:r w:rsidRPr="008D2A8F">
              <w:rPr>
                <w:rFonts w:ascii="Times New Roman" w:hAnsi="Times New Roman"/>
                <w:b/>
                <w:sz w:val="28"/>
                <w:szCs w:val="24"/>
              </w:rPr>
              <w:t>595 400</w:t>
            </w:r>
            <w:r w:rsidR="00BE42B2" w:rsidRPr="008D2A8F">
              <w:rPr>
                <w:rFonts w:ascii="Times New Roman" w:hAnsi="Times New Roman"/>
                <w:b/>
                <w:sz w:val="28"/>
                <w:szCs w:val="24"/>
              </w:rPr>
              <w:t xml:space="preserve"> + </w:t>
            </w:r>
            <w:r w:rsidRPr="008D2A8F">
              <w:rPr>
                <w:rFonts w:ascii="Times New Roman" w:hAnsi="Times New Roman"/>
                <w:b/>
                <w:sz w:val="28"/>
                <w:szCs w:val="24"/>
              </w:rPr>
              <w:t>792 400</w:t>
            </w:r>
            <w:r w:rsidRPr="008D2A8F">
              <w:rPr>
                <w:rFonts w:ascii="Times New Roman" w:hAnsi="Times New Roman"/>
                <w:b/>
                <w:i/>
                <w:sz w:val="28"/>
                <w:szCs w:val="24"/>
              </w:rPr>
              <w:t xml:space="preserve"> </w:t>
            </w:r>
            <w:r w:rsidR="00BE42B2" w:rsidRPr="008D2A8F">
              <w:rPr>
                <w:rFonts w:ascii="Times New Roman" w:hAnsi="Times New Roman"/>
                <w:b/>
                <w:sz w:val="28"/>
                <w:szCs w:val="24"/>
              </w:rPr>
              <w:t xml:space="preserve">+ </w:t>
            </w:r>
            <w:r w:rsidRPr="008D2A8F">
              <w:rPr>
                <w:rFonts w:ascii="Times New Roman" w:hAnsi="Times New Roman"/>
                <w:b/>
                <w:sz w:val="28"/>
                <w:szCs w:val="24"/>
              </w:rPr>
              <w:t xml:space="preserve">402 000 </w:t>
            </w:r>
            <w:r w:rsidR="00BE42B2" w:rsidRPr="008D2A8F">
              <w:rPr>
                <w:rFonts w:ascii="Times New Roman" w:hAnsi="Times New Roman"/>
                <w:b/>
                <w:sz w:val="28"/>
                <w:szCs w:val="24"/>
              </w:rPr>
              <w:t xml:space="preserve">+ </w:t>
            </w:r>
            <w:r w:rsidRPr="008D2A8F">
              <w:rPr>
                <w:rFonts w:ascii="Times New Roman" w:hAnsi="Times New Roman"/>
                <w:b/>
                <w:sz w:val="28"/>
                <w:szCs w:val="24"/>
              </w:rPr>
              <w:t>612 500</w:t>
            </w:r>
            <w:r w:rsidR="00BE42B2" w:rsidRPr="008D2A8F">
              <w:rPr>
                <w:rFonts w:ascii="Times New Roman" w:hAnsi="Times New Roman"/>
                <w:b/>
                <w:sz w:val="28"/>
                <w:szCs w:val="24"/>
              </w:rPr>
              <w:t xml:space="preserve"> +</w:t>
            </w:r>
            <w:r w:rsidRPr="008D2A8F">
              <w:rPr>
                <w:rFonts w:ascii="Times New Roman" w:hAnsi="Times New Roman"/>
                <w:b/>
                <w:sz w:val="28"/>
                <w:szCs w:val="24"/>
              </w:rPr>
              <w:t xml:space="preserve"> </w:t>
            </w:r>
            <w:r w:rsidR="00945D4C">
              <w:rPr>
                <w:rFonts w:ascii="Times New Roman" w:hAnsi="Times New Roman"/>
                <w:b/>
                <w:sz w:val="28"/>
                <w:szCs w:val="24"/>
              </w:rPr>
              <w:t xml:space="preserve">101 500 + </w:t>
            </w:r>
            <w:r w:rsidR="007953A3" w:rsidRPr="008D2A8F">
              <w:rPr>
                <w:rFonts w:ascii="Times New Roman" w:hAnsi="Times New Roman"/>
                <w:b/>
                <w:sz w:val="28"/>
                <w:szCs w:val="24"/>
              </w:rPr>
              <w:t>98</w:t>
            </w:r>
            <w:r w:rsidRPr="008D2A8F">
              <w:rPr>
                <w:rFonts w:ascii="Times New Roman" w:hAnsi="Times New Roman"/>
                <w:b/>
                <w:sz w:val="28"/>
                <w:szCs w:val="24"/>
              </w:rPr>
              <w:t> </w:t>
            </w:r>
            <w:r w:rsidR="007953A3" w:rsidRPr="008D2A8F">
              <w:rPr>
                <w:rFonts w:ascii="Times New Roman" w:hAnsi="Times New Roman"/>
                <w:b/>
                <w:sz w:val="28"/>
                <w:szCs w:val="24"/>
              </w:rPr>
              <w:t>0</w:t>
            </w:r>
            <w:r w:rsidRPr="008D2A8F">
              <w:rPr>
                <w:rFonts w:ascii="Times New Roman" w:hAnsi="Times New Roman"/>
                <w:b/>
                <w:sz w:val="28"/>
                <w:szCs w:val="24"/>
              </w:rPr>
              <w:t>00</w:t>
            </w:r>
            <w:r w:rsidR="00BE42B2" w:rsidRPr="008D2A8F">
              <w:rPr>
                <w:rFonts w:ascii="Times New Roman" w:hAnsi="Times New Roman"/>
                <w:b/>
                <w:sz w:val="28"/>
                <w:szCs w:val="24"/>
              </w:rPr>
              <w:t xml:space="preserve"> + </w:t>
            </w:r>
            <w:r w:rsidR="007953A3" w:rsidRPr="008D2A8F">
              <w:rPr>
                <w:rFonts w:ascii="Times New Roman" w:hAnsi="Times New Roman"/>
                <w:b/>
                <w:sz w:val="28"/>
                <w:szCs w:val="24"/>
              </w:rPr>
              <w:t>50</w:t>
            </w:r>
            <w:r w:rsidR="00BE42B2" w:rsidRPr="008D2A8F">
              <w:rPr>
                <w:rFonts w:ascii="Times New Roman" w:hAnsi="Times New Roman"/>
                <w:b/>
                <w:sz w:val="28"/>
                <w:szCs w:val="24"/>
              </w:rPr>
              <w:t> 000 = 2</w:t>
            </w:r>
            <w:r w:rsidR="007953A3" w:rsidRPr="008D2A8F">
              <w:rPr>
                <w:rFonts w:ascii="Times New Roman" w:hAnsi="Times New Roman"/>
                <w:b/>
                <w:sz w:val="28"/>
                <w:szCs w:val="24"/>
              </w:rPr>
              <w:t> 651 800</w:t>
            </w:r>
            <w:r w:rsidR="00BE42B2" w:rsidRPr="008D2A8F">
              <w:rPr>
                <w:rFonts w:ascii="Times New Roman" w:hAnsi="Times New Roman"/>
                <w:b/>
                <w:sz w:val="28"/>
                <w:szCs w:val="24"/>
              </w:rPr>
              <w:t xml:space="preserve"> </w:t>
            </w:r>
            <w:proofErr w:type="spellStart"/>
            <w:r w:rsidR="00BE42B2" w:rsidRPr="008D2A8F">
              <w:rPr>
                <w:rFonts w:ascii="Times New Roman" w:hAnsi="Times New Roman"/>
                <w:b/>
                <w:i/>
                <w:sz w:val="28"/>
                <w:szCs w:val="24"/>
              </w:rPr>
              <w:t>euro</w:t>
            </w:r>
            <w:proofErr w:type="spellEnd"/>
          </w:p>
          <w:p w:rsidR="00892E93" w:rsidRDefault="00BF184E" w:rsidP="007953A3">
            <w:pPr>
              <w:spacing w:after="0" w:line="240" w:lineRule="auto"/>
              <w:jc w:val="both"/>
              <w:rPr>
                <w:rFonts w:ascii="Times New Roman" w:hAnsi="Times New Roman"/>
                <w:sz w:val="28"/>
                <w:szCs w:val="24"/>
              </w:rPr>
            </w:pPr>
            <w:r>
              <w:rPr>
                <w:rFonts w:ascii="Times New Roman" w:hAnsi="Times New Roman"/>
                <w:sz w:val="28"/>
                <w:szCs w:val="24"/>
              </w:rPr>
              <w:t>2167933</w:t>
            </w:r>
            <w:r w:rsidR="00892E93" w:rsidRPr="008D2A8F">
              <w:rPr>
                <w:rFonts w:ascii="Times New Roman" w:hAnsi="Times New Roman"/>
                <w:i/>
                <w:sz w:val="28"/>
                <w:szCs w:val="24"/>
              </w:rPr>
              <w:t xml:space="preserve"> </w:t>
            </w:r>
            <w:proofErr w:type="spellStart"/>
            <w:r w:rsidR="00892E93" w:rsidRPr="008D2A8F">
              <w:rPr>
                <w:rFonts w:ascii="Times New Roman" w:hAnsi="Times New Roman"/>
                <w:i/>
                <w:sz w:val="28"/>
                <w:szCs w:val="24"/>
              </w:rPr>
              <w:t>euro</w:t>
            </w:r>
            <w:proofErr w:type="spellEnd"/>
            <w:r w:rsidR="00892E93" w:rsidRPr="008D2A8F">
              <w:rPr>
                <w:rFonts w:ascii="Times New Roman" w:hAnsi="Times New Roman"/>
                <w:i/>
                <w:sz w:val="28"/>
                <w:szCs w:val="24"/>
              </w:rPr>
              <w:t xml:space="preserve"> </w:t>
            </w:r>
            <w:r w:rsidR="00892E93" w:rsidRPr="008D2A8F">
              <w:rPr>
                <w:rFonts w:ascii="Times New Roman" w:hAnsi="Times New Roman"/>
                <w:sz w:val="28"/>
                <w:szCs w:val="24"/>
              </w:rPr>
              <w:t>2017</w:t>
            </w:r>
            <w:r w:rsidR="00E15423" w:rsidRPr="008D2A8F">
              <w:rPr>
                <w:rFonts w:ascii="Times New Roman" w:hAnsi="Times New Roman"/>
                <w:sz w:val="28"/>
                <w:szCs w:val="24"/>
              </w:rPr>
              <w:t>.</w:t>
            </w:r>
            <w:r w:rsidR="00892E93" w:rsidRPr="008D2A8F">
              <w:rPr>
                <w:rFonts w:ascii="Times New Roman" w:hAnsi="Times New Roman"/>
                <w:sz w:val="28"/>
                <w:szCs w:val="24"/>
              </w:rPr>
              <w:t xml:space="preserve">gada izdevumi plānoti </w:t>
            </w:r>
            <w:r w:rsidR="00E15423" w:rsidRPr="008D2A8F">
              <w:rPr>
                <w:rFonts w:ascii="Times New Roman" w:hAnsi="Times New Roman"/>
                <w:sz w:val="28"/>
                <w:szCs w:val="24"/>
              </w:rPr>
              <w:t xml:space="preserve">2017.-2019.gada </w:t>
            </w:r>
            <w:r w:rsidR="00183B03" w:rsidRPr="008D2A8F">
              <w:rPr>
                <w:rFonts w:ascii="Times New Roman" w:hAnsi="Times New Roman"/>
                <w:sz w:val="28"/>
                <w:szCs w:val="24"/>
              </w:rPr>
              <w:t>apstiprinātā budžeta ietvarā.</w:t>
            </w:r>
            <w:r w:rsidR="00892E93" w:rsidRPr="008D2A8F">
              <w:rPr>
                <w:rFonts w:ascii="Times New Roman" w:hAnsi="Times New Roman"/>
                <w:sz w:val="28"/>
                <w:szCs w:val="24"/>
              </w:rPr>
              <w:t xml:space="preserve"> </w:t>
            </w:r>
            <w:r w:rsidR="00183B03" w:rsidRPr="008D2A8F">
              <w:rPr>
                <w:rFonts w:ascii="Times New Roman" w:hAnsi="Times New Roman"/>
                <w:sz w:val="28"/>
                <w:szCs w:val="24"/>
              </w:rPr>
              <w:t>P</w:t>
            </w:r>
            <w:r w:rsidR="00892E93" w:rsidRPr="008D2A8F">
              <w:rPr>
                <w:rFonts w:ascii="Times New Roman" w:hAnsi="Times New Roman"/>
                <w:sz w:val="28"/>
                <w:szCs w:val="24"/>
              </w:rPr>
              <w:t>apildu 2018.gada izdevumi</w:t>
            </w:r>
            <w:r w:rsidR="00E46764" w:rsidRPr="008D2A8F">
              <w:rPr>
                <w:rFonts w:ascii="Times New Roman" w:hAnsi="Times New Roman"/>
                <w:sz w:val="28"/>
                <w:szCs w:val="24"/>
              </w:rPr>
              <w:t xml:space="preserve"> </w:t>
            </w:r>
            <w:r w:rsidR="007D09D0">
              <w:rPr>
                <w:rFonts w:ascii="Times New Roman" w:hAnsi="Times New Roman"/>
                <w:sz w:val="28"/>
                <w:szCs w:val="24"/>
              </w:rPr>
              <w:t>466</w:t>
            </w:r>
            <w:r w:rsidR="00E46764" w:rsidRPr="008D2A8F">
              <w:rPr>
                <w:rFonts w:ascii="Times New Roman" w:hAnsi="Times New Roman"/>
                <w:sz w:val="28"/>
                <w:szCs w:val="24"/>
              </w:rPr>
              <w:t> </w:t>
            </w:r>
            <w:r w:rsidR="007D09D0">
              <w:rPr>
                <w:rFonts w:ascii="Times New Roman" w:hAnsi="Times New Roman"/>
                <w:sz w:val="28"/>
                <w:szCs w:val="24"/>
              </w:rPr>
              <w:t>1</w:t>
            </w:r>
            <w:r w:rsidR="00E46764" w:rsidRPr="008D2A8F">
              <w:rPr>
                <w:rFonts w:ascii="Times New Roman" w:hAnsi="Times New Roman"/>
                <w:sz w:val="28"/>
                <w:szCs w:val="24"/>
              </w:rPr>
              <w:t xml:space="preserve">00 </w:t>
            </w:r>
            <w:proofErr w:type="spellStart"/>
            <w:r w:rsidR="00E46764" w:rsidRPr="008D2A8F">
              <w:rPr>
                <w:rFonts w:ascii="Times New Roman" w:hAnsi="Times New Roman"/>
                <w:i/>
                <w:sz w:val="28"/>
                <w:szCs w:val="24"/>
              </w:rPr>
              <w:t>euro</w:t>
            </w:r>
            <w:proofErr w:type="spellEnd"/>
            <w:r w:rsidR="00E46764" w:rsidRPr="008D2A8F">
              <w:rPr>
                <w:rFonts w:ascii="Times New Roman" w:hAnsi="Times New Roman"/>
                <w:i/>
                <w:sz w:val="28"/>
                <w:szCs w:val="24"/>
              </w:rPr>
              <w:t>,</w:t>
            </w:r>
            <w:r w:rsidR="00E46764" w:rsidRPr="008D2A8F">
              <w:rPr>
                <w:rFonts w:ascii="Times New Roman" w:hAnsi="Times New Roman"/>
                <w:sz w:val="28"/>
                <w:szCs w:val="24"/>
              </w:rPr>
              <w:t xml:space="preserve"> t.sk.</w:t>
            </w:r>
            <w:r w:rsidR="00892E93" w:rsidRPr="008D2A8F">
              <w:rPr>
                <w:rFonts w:ascii="Times New Roman" w:hAnsi="Times New Roman"/>
                <w:sz w:val="28"/>
                <w:szCs w:val="24"/>
              </w:rPr>
              <w:t xml:space="preserve"> </w:t>
            </w:r>
            <w:r w:rsidR="007D09D0">
              <w:rPr>
                <w:rFonts w:ascii="Times New Roman" w:hAnsi="Times New Roman"/>
                <w:sz w:val="28"/>
                <w:szCs w:val="24"/>
              </w:rPr>
              <w:t>2</w:t>
            </w:r>
            <w:r w:rsidR="00877D60">
              <w:rPr>
                <w:rFonts w:ascii="Times New Roman" w:hAnsi="Times New Roman"/>
                <w:sz w:val="28"/>
                <w:szCs w:val="24"/>
              </w:rPr>
              <w:t>3</w:t>
            </w:r>
            <w:r w:rsidR="007D09D0">
              <w:rPr>
                <w:rFonts w:ascii="Times New Roman" w:hAnsi="Times New Roman"/>
                <w:sz w:val="28"/>
                <w:szCs w:val="24"/>
              </w:rPr>
              <w:t>6</w:t>
            </w:r>
            <w:r w:rsidR="008D2A8F" w:rsidRPr="008D2A8F">
              <w:rPr>
                <w:rFonts w:ascii="Times New Roman" w:hAnsi="Times New Roman"/>
                <w:sz w:val="28"/>
                <w:szCs w:val="24"/>
              </w:rPr>
              <w:t xml:space="preserve"> </w:t>
            </w:r>
            <w:r w:rsidR="00F37F05">
              <w:rPr>
                <w:rFonts w:ascii="Times New Roman" w:hAnsi="Times New Roman"/>
                <w:sz w:val="28"/>
                <w:szCs w:val="24"/>
              </w:rPr>
              <w:t>807</w:t>
            </w:r>
            <w:r w:rsidR="00892E93" w:rsidRPr="008D2A8F">
              <w:rPr>
                <w:rFonts w:ascii="Times New Roman" w:hAnsi="Times New Roman"/>
                <w:sz w:val="28"/>
                <w:szCs w:val="24"/>
              </w:rPr>
              <w:t xml:space="preserve"> </w:t>
            </w:r>
            <w:proofErr w:type="spellStart"/>
            <w:r w:rsidR="00892E93" w:rsidRPr="008D2A8F">
              <w:rPr>
                <w:rFonts w:ascii="Times New Roman" w:hAnsi="Times New Roman"/>
                <w:i/>
                <w:sz w:val="28"/>
                <w:szCs w:val="24"/>
              </w:rPr>
              <w:t>euro</w:t>
            </w:r>
            <w:proofErr w:type="spellEnd"/>
            <w:r w:rsidR="00892E93" w:rsidRPr="008D2A8F">
              <w:rPr>
                <w:rFonts w:ascii="Times New Roman" w:hAnsi="Times New Roman"/>
                <w:sz w:val="28"/>
                <w:szCs w:val="24"/>
              </w:rPr>
              <w:t xml:space="preserve"> - no visiem ieņēmumiem plānoti</w:t>
            </w:r>
            <w:r w:rsidR="005432A3" w:rsidRPr="008D2A8F">
              <w:rPr>
                <w:rFonts w:ascii="Times New Roman" w:hAnsi="Times New Roman"/>
                <w:sz w:val="28"/>
                <w:szCs w:val="24"/>
              </w:rPr>
              <w:t xml:space="preserve"> nepiecie</w:t>
            </w:r>
            <w:r w:rsidR="00102BAF" w:rsidRPr="008D2A8F">
              <w:rPr>
                <w:rFonts w:ascii="Times New Roman" w:hAnsi="Times New Roman"/>
                <w:sz w:val="28"/>
                <w:szCs w:val="24"/>
              </w:rPr>
              <w:t>šamajiem pakalpojumiem, t.sk.</w:t>
            </w:r>
            <w:r w:rsidR="00892E93" w:rsidRPr="008D2A8F">
              <w:rPr>
                <w:rFonts w:ascii="Times New Roman" w:hAnsi="Times New Roman"/>
                <w:sz w:val="28"/>
                <w:szCs w:val="24"/>
              </w:rPr>
              <w:t xml:space="preserve"> </w:t>
            </w:r>
            <w:r w:rsidR="00102BAF" w:rsidRPr="008D2A8F">
              <w:rPr>
                <w:rFonts w:ascii="Times New Roman" w:hAnsi="Times New Roman"/>
                <w:sz w:val="28"/>
                <w:szCs w:val="24"/>
              </w:rPr>
              <w:t>Būvniecības nozares attīstības st</w:t>
            </w:r>
            <w:r w:rsidR="003F305E" w:rsidRPr="008D2A8F">
              <w:rPr>
                <w:rFonts w:ascii="Times New Roman" w:hAnsi="Times New Roman"/>
                <w:sz w:val="28"/>
                <w:szCs w:val="24"/>
              </w:rPr>
              <w:t>r</w:t>
            </w:r>
            <w:r w:rsidR="00102BAF" w:rsidRPr="008D2A8F">
              <w:rPr>
                <w:rFonts w:ascii="Times New Roman" w:hAnsi="Times New Roman"/>
                <w:sz w:val="28"/>
                <w:szCs w:val="24"/>
              </w:rPr>
              <w:t xml:space="preserve">atēģijā 2017.-2024.gadam identificēto rīcības virzienu </w:t>
            </w:r>
            <w:r w:rsidR="00102BAF" w:rsidRPr="008D2A8F">
              <w:rPr>
                <w:rFonts w:ascii="Times New Roman" w:hAnsi="Times New Roman"/>
                <w:sz w:val="28"/>
                <w:szCs w:val="24"/>
              </w:rPr>
              <w:lastRenderedPageBreak/>
              <w:t xml:space="preserve">pasākumu izstrādei,  </w:t>
            </w:r>
            <w:r w:rsidR="00E46764" w:rsidRPr="008D2A8F">
              <w:rPr>
                <w:rFonts w:ascii="Times New Roman" w:hAnsi="Times New Roman"/>
                <w:sz w:val="28"/>
                <w:szCs w:val="24"/>
              </w:rPr>
              <w:t xml:space="preserve">būvnormatīvu, </w:t>
            </w:r>
            <w:r w:rsidR="00183B03" w:rsidRPr="008D2A8F">
              <w:rPr>
                <w:rFonts w:ascii="Times New Roman" w:hAnsi="Times New Roman"/>
                <w:sz w:val="28"/>
                <w:szCs w:val="24"/>
              </w:rPr>
              <w:t xml:space="preserve">būvniecības nozares produktivitātes veicināšanas pasākumu izpētei un </w:t>
            </w:r>
            <w:r w:rsidR="00E46764" w:rsidRPr="008D2A8F">
              <w:rPr>
                <w:rFonts w:ascii="Times New Roman" w:hAnsi="Times New Roman"/>
                <w:sz w:val="28"/>
                <w:szCs w:val="24"/>
              </w:rPr>
              <w:t>ekonomisko pamatojumu</w:t>
            </w:r>
            <w:r w:rsidR="00183B03" w:rsidRPr="008D2A8F">
              <w:rPr>
                <w:rFonts w:ascii="Times New Roman" w:hAnsi="Times New Roman"/>
                <w:sz w:val="28"/>
                <w:szCs w:val="24"/>
              </w:rPr>
              <w:t xml:space="preserve"> sagatavošanai</w:t>
            </w:r>
            <w:r w:rsidR="00E46764" w:rsidRPr="008D2A8F">
              <w:rPr>
                <w:rFonts w:ascii="Times New Roman" w:hAnsi="Times New Roman"/>
                <w:sz w:val="28"/>
                <w:szCs w:val="24"/>
              </w:rPr>
              <w:t xml:space="preserve">, </w:t>
            </w:r>
            <w:r w:rsidR="00183B03" w:rsidRPr="008D2A8F">
              <w:rPr>
                <w:rFonts w:ascii="Times New Roman" w:hAnsi="Times New Roman"/>
                <w:sz w:val="28"/>
                <w:szCs w:val="24"/>
              </w:rPr>
              <w:t xml:space="preserve">pakalpojumu eksporta veicināšanas pasākumu īstenošanai, </w:t>
            </w:r>
            <w:r w:rsidR="00E46764" w:rsidRPr="008D2A8F">
              <w:rPr>
                <w:rFonts w:ascii="Times New Roman" w:hAnsi="Times New Roman"/>
                <w:sz w:val="28"/>
                <w:szCs w:val="24"/>
              </w:rPr>
              <w:t xml:space="preserve">kopējo nozares projektu izstrādei u.c. </w:t>
            </w:r>
            <w:r w:rsidR="00102BAF" w:rsidRPr="008D2A8F">
              <w:rPr>
                <w:rFonts w:ascii="Times New Roman" w:hAnsi="Times New Roman"/>
                <w:sz w:val="28"/>
                <w:szCs w:val="24"/>
              </w:rPr>
              <w:t>nepieciešamo pakalpojumu iegādei</w:t>
            </w:r>
            <w:r w:rsidR="00892E93" w:rsidRPr="008D2A8F">
              <w:rPr>
                <w:rFonts w:ascii="Times New Roman" w:hAnsi="Times New Roman"/>
                <w:sz w:val="28"/>
                <w:szCs w:val="24"/>
              </w:rPr>
              <w:t xml:space="preserve">, </w:t>
            </w:r>
            <w:r w:rsidR="006D2DEF" w:rsidRPr="008D2A8F">
              <w:rPr>
                <w:rFonts w:ascii="Times New Roman" w:hAnsi="Times New Roman"/>
                <w:sz w:val="28"/>
                <w:szCs w:val="24"/>
              </w:rPr>
              <w:t>19</w:t>
            </w:r>
            <w:r w:rsidR="009F6D9D" w:rsidRPr="008D2A8F">
              <w:rPr>
                <w:rFonts w:ascii="Times New Roman" w:hAnsi="Times New Roman"/>
                <w:sz w:val="28"/>
                <w:szCs w:val="24"/>
              </w:rPr>
              <w:t>4</w:t>
            </w:r>
            <w:r w:rsidR="000635C8" w:rsidRPr="008D2A8F">
              <w:rPr>
                <w:rFonts w:ascii="Times New Roman" w:hAnsi="Times New Roman"/>
                <w:sz w:val="28"/>
                <w:szCs w:val="24"/>
              </w:rPr>
              <w:t xml:space="preserve"> </w:t>
            </w:r>
            <w:r w:rsidR="009F6D9D" w:rsidRPr="008D2A8F">
              <w:rPr>
                <w:rFonts w:ascii="Times New Roman" w:hAnsi="Times New Roman"/>
                <w:sz w:val="28"/>
                <w:szCs w:val="24"/>
              </w:rPr>
              <w:t>393</w:t>
            </w:r>
            <w:r w:rsidR="00892E93" w:rsidRPr="008D2A8F">
              <w:rPr>
                <w:rFonts w:ascii="Times New Roman" w:hAnsi="Times New Roman"/>
                <w:sz w:val="28"/>
                <w:szCs w:val="24"/>
              </w:rPr>
              <w:t xml:space="preserve"> </w:t>
            </w:r>
            <w:proofErr w:type="spellStart"/>
            <w:r w:rsidR="00892E93" w:rsidRPr="008D2A8F">
              <w:rPr>
                <w:rFonts w:ascii="Times New Roman" w:hAnsi="Times New Roman"/>
                <w:i/>
                <w:sz w:val="28"/>
                <w:szCs w:val="24"/>
              </w:rPr>
              <w:t>euro</w:t>
            </w:r>
            <w:proofErr w:type="spellEnd"/>
            <w:r w:rsidR="00892E93" w:rsidRPr="008D2A8F">
              <w:rPr>
                <w:rFonts w:ascii="Times New Roman" w:hAnsi="Times New Roman"/>
                <w:sz w:val="28"/>
                <w:szCs w:val="24"/>
              </w:rPr>
              <w:t xml:space="preserve"> atlīdzībai, lai </w:t>
            </w:r>
            <w:r w:rsidR="008D2A8F" w:rsidRPr="008D2A8F">
              <w:rPr>
                <w:rFonts w:ascii="Times New Roman" w:hAnsi="Times New Roman"/>
                <w:sz w:val="28"/>
                <w:szCs w:val="24"/>
              </w:rPr>
              <w:t>nodrošinātu</w:t>
            </w:r>
            <w:r w:rsidR="00E15423" w:rsidRPr="008D2A8F">
              <w:rPr>
                <w:rFonts w:ascii="Times New Roman" w:hAnsi="Times New Roman"/>
                <w:sz w:val="28"/>
                <w:szCs w:val="24"/>
              </w:rPr>
              <w:t xml:space="preserve"> </w:t>
            </w:r>
            <w:r w:rsidR="003F305E" w:rsidRPr="008D2A8F">
              <w:rPr>
                <w:rFonts w:ascii="Times New Roman" w:hAnsi="Times New Roman"/>
                <w:sz w:val="28"/>
                <w:szCs w:val="24"/>
              </w:rPr>
              <w:t xml:space="preserve">atlīdzību </w:t>
            </w:r>
            <w:r w:rsidR="00E15423" w:rsidRPr="008D2A8F">
              <w:rPr>
                <w:rFonts w:ascii="Times New Roman" w:hAnsi="Times New Roman"/>
                <w:sz w:val="28"/>
                <w:szCs w:val="24"/>
              </w:rPr>
              <w:t>būvniecības politikas plānošanas dokumentu</w:t>
            </w:r>
            <w:r w:rsidR="00C50170" w:rsidRPr="008D2A8F">
              <w:rPr>
                <w:rFonts w:ascii="Times New Roman" w:hAnsi="Times New Roman"/>
                <w:sz w:val="28"/>
                <w:szCs w:val="24"/>
              </w:rPr>
              <w:t xml:space="preserve"> un normatīvo aktu</w:t>
            </w:r>
            <w:r w:rsidR="00E15423" w:rsidRPr="008D2A8F">
              <w:rPr>
                <w:rFonts w:ascii="Times New Roman" w:hAnsi="Times New Roman"/>
                <w:sz w:val="28"/>
                <w:szCs w:val="24"/>
              </w:rPr>
              <w:t xml:space="preserve"> izstrādē </w:t>
            </w:r>
            <w:r w:rsidR="00C50170" w:rsidRPr="008D2A8F">
              <w:rPr>
                <w:rFonts w:ascii="Times New Roman" w:hAnsi="Times New Roman"/>
                <w:sz w:val="28"/>
                <w:szCs w:val="24"/>
              </w:rPr>
              <w:t xml:space="preserve">un būvdarbu un ēku ekspluatācijas uzraudzībā </w:t>
            </w:r>
            <w:r w:rsidR="00E15423" w:rsidRPr="008D2A8F">
              <w:rPr>
                <w:rFonts w:ascii="Times New Roman" w:hAnsi="Times New Roman"/>
                <w:sz w:val="28"/>
                <w:szCs w:val="24"/>
              </w:rPr>
              <w:t>iesaistītajiem darbiniekiem</w:t>
            </w:r>
            <w:r w:rsidR="000635C8" w:rsidRPr="008D2A8F">
              <w:rPr>
                <w:rFonts w:ascii="Times New Roman" w:hAnsi="Times New Roman"/>
                <w:sz w:val="28"/>
                <w:szCs w:val="24"/>
              </w:rPr>
              <w:t xml:space="preserve"> atbilstoši apstiprinātajām amatu kategorijām</w:t>
            </w:r>
            <w:r w:rsidR="00E15423" w:rsidRPr="008D2A8F">
              <w:rPr>
                <w:rFonts w:ascii="Times New Roman" w:hAnsi="Times New Roman"/>
                <w:sz w:val="28"/>
                <w:szCs w:val="24"/>
              </w:rPr>
              <w:t>,</w:t>
            </w:r>
            <w:r w:rsidR="000635C8" w:rsidRPr="008D2A8F">
              <w:rPr>
                <w:rFonts w:ascii="Times New Roman" w:hAnsi="Times New Roman"/>
                <w:sz w:val="28"/>
                <w:szCs w:val="24"/>
              </w:rPr>
              <w:t xml:space="preserve"> </w:t>
            </w:r>
            <w:r w:rsidR="00877D60">
              <w:rPr>
                <w:rFonts w:ascii="Times New Roman" w:hAnsi="Times New Roman"/>
                <w:sz w:val="28"/>
                <w:szCs w:val="24"/>
              </w:rPr>
              <w:t>34</w:t>
            </w:r>
            <w:r w:rsidR="000635C8" w:rsidRPr="008D2A8F">
              <w:rPr>
                <w:rFonts w:ascii="Times New Roman" w:hAnsi="Times New Roman"/>
                <w:sz w:val="28"/>
                <w:szCs w:val="24"/>
              </w:rPr>
              <w:t xml:space="preserve"> </w:t>
            </w:r>
            <w:r w:rsidR="00F37F05">
              <w:rPr>
                <w:rFonts w:ascii="Times New Roman" w:hAnsi="Times New Roman"/>
                <w:sz w:val="28"/>
                <w:szCs w:val="24"/>
              </w:rPr>
              <w:t>900</w:t>
            </w:r>
            <w:r w:rsidR="00E15423" w:rsidRPr="008D2A8F">
              <w:rPr>
                <w:rFonts w:ascii="Times New Roman" w:hAnsi="Times New Roman"/>
                <w:sz w:val="28"/>
                <w:szCs w:val="24"/>
              </w:rPr>
              <w:t xml:space="preserve"> </w:t>
            </w:r>
            <w:proofErr w:type="spellStart"/>
            <w:r w:rsidR="00E15423" w:rsidRPr="008D2A8F">
              <w:rPr>
                <w:rFonts w:ascii="Times New Roman" w:hAnsi="Times New Roman"/>
                <w:i/>
                <w:sz w:val="28"/>
                <w:szCs w:val="24"/>
              </w:rPr>
              <w:t>euro</w:t>
            </w:r>
            <w:proofErr w:type="spellEnd"/>
            <w:r w:rsidR="00E15423" w:rsidRPr="008D2A8F">
              <w:rPr>
                <w:rFonts w:ascii="Times New Roman" w:hAnsi="Times New Roman"/>
                <w:sz w:val="28"/>
                <w:szCs w:val="24"/>
              </w:rPr>
              <w:t xml:space="preserve"> </w:t>
            </w:r>
            <w:r w:rsidR="00FE6C1B" w:rsidRPr="008D2A8F">
              <w:rPr>
                <w:rFonts w:ascii="Times New Roman" w:hAnsi="Times New Roman"/>
                <w:sz w:val="28"/>
                <w:szCs w:val="24"/>
              </w:rPr>
              <w:t>darba vides nodrošināšanai</w:t>
            </w:r>
            <w:r w:rsidR="00C50170" w:rsidRPr="008D2A8F">
              <w:rPr>
                <w:rFonts w:ascii="Times New Roman" w:hAnsi="Times New Roman"/>
                <w:sz w:val="28"/>
                <w:szCs w:val="24"/>
              </w:rPr>
              <w:t>, nepieciešamo informācijas sistēmu licenču maksai, datortehnikas u.c. iekārtu iegādei</w:t>
            </w:r>
            <w:r w:rsidR="00E15423" w:rsidRPr="008D2A8F">
              <w:rPr>
                <w:rFonts w:ascii="Times New Roman" w:hAnsi="Times New Roman"/>
                <w:sz w:val="28"/>
                <w:szCs w:val="24"/>
              </w:rPr>
              <w:t>.</w:t>
            </w:r>
          </w:p>
          <w:p w:rsidR="00BF184E" w:rsidRDefault="00BF184E" w:rsidP="00BF184E">
            <w:pPr>
              <w:spacing w:after="0" w:line="240" w:lineRule="auto"/>
              <w:ind w:firstLine="541"/>
              <w:jc w:val="both"/>
              <w:rPr>
                <w:rFonts w:ascii="Times New Roman" w:eastAsia="Times New Roman" w:hAnsi="Times New Roman"/>
                <w:color w:val="000000" w:themeColor="text1"/>
                <w:sz w:val="28"/>
                <w:szCs w:val="28"/>
                <w:lang w:eastAsia="lv-LV"/>
              </w:rPr>
            </w:pPr>
            <w:r w:rsidRPr="00BF184E">
              <w:rPr>
                <w:rFonts w:ascii="Times New Roman" w:eastAsia="Times New Roman" w:hAnsi="Times New Roman"/>
                <w:color w:val="000000" w:themeColor="text1"/>
                <w:sz w:val="28"/>
                <w:szCs w:val="28"/>
                <w:lang w:eastAsia="lv-LV"/>
              </w:rPr>
              <w:t xml:space="preserve">Gatavojot likumprojektu “Par vidējā termiņa budžeta ietvaru 2019., 2020. un 2021.gadam”   atbilstoši Centrālās statistikas pārvaldes informācijai par pašu spēkiem veikto būvdarbu pieaugumu </w:t>
            </w:r>
            <w:r w:rsidR="00F37F05">
              <w:rPr>
                <w:rFonts w:ascii="Times New Roman" w:eastAsia="Times New Roman" w:hAnsi="Times New Roman"/>
                <w:color w:val="000000" w:themeColor="text1"/>
                <w:sz w:val="28"/>
                <w:szCs w:val="28"/>
                <w:lang w:eastAsia="lv-LV"/>
              </w:rPr>
              <w:t xml:space="preserve">kārtējā gada </w:t>
            </w:r>
            <w:r w:rsidRPr="00BF184E">
              <w:rPr>
                <w:rFonts w:ascii="Times New Roman" w:eastAsia="Times New Roman" w:hAnsi="Times New Roman"/>
                <w:color w:val="000000" w:themeColor="text1"/>
                <w:sz w:val="28"/>
                <w:szCs w:val="28"/>
                <w:lang w:eastAsia="lv-LV"/>
              </w:rPr>
              <w:t>pirmajā pusgadā salīdzinājumā ar iepriekšējo periodu, precizēt valsts nodevas par reģistrācijas darbībām būvkomersantu reģistrā apmēru</w:t>
            </w:r>
            <w:r>
              <w:rPr>
                <w:rFonts w:ascii="Times New Roman" w:eastAsia="Times New Roman" w:hAnsi="Times New Roman"/>
                <w:color w:val="000000" w:themeColor="text1"/>
                <w:sz w:val="28"/>
                <w:szCs w:val="28"/>
                <w:lang w:eastAsia="lv-LV"/>
              </w:rPr>
              <w:t xml:space="preserve"> </w:t>
            </w:r>
            <w:r w:rsidRPr="00BF184E">
              <w:rPr>
                <w:rFonts w:ascii="Times New Roman" w:eastAsia="Times New Roman" w:hAnsi="Times New Roman"/>
                <w:color w:val="000000" w:themeColor="text1"/>
                <w:sz w:val="28"/>
                <w:szCs w:val="28"/>
                <w:lang w:eastAsia="lv-LV"/>
              </w:rPr>
              <w:t xml:space="preserve">un Ekonomikas ministrijas bāzes izdevumus. </w:t>
            </w:r>
          </w:p>
          <w:p w:rsidR="0069307F" w:rsidRDefault="0069307F" w:rsidP="007953A3">
            <w:pPr>
              <w:spacing w:after="0" w:line="240" w:lineRule="auto"/>
              <w:jc w:val="both"/>
              <w:rPr>
                <w:rFonts w:ascii="Times New Roman" w:eastAsia="Times New Roman" w:hAnsi="Times New Roman"/>
                <w:sz w:val="28"/>
                <w:szCs w:val="24"/>
                <w:lang w:eastAsia="lv-LV"/>
              </w:rPr>
            </w:pPr>
            <w:r w:rsidRPr="008D2A8F">
              <w:rPr>
                <w:rFonts w:ascii="Times New Roman" w:hAnsi="Times New Roman"/>
                <w:sz w:val="28"/>
                <w:szCs w:val="24"/>
              </w:rPr>
              <w:t>2019.gadā</w:t>
            </w:r>
            <w:r w:rsidRPr="008D2A8F">
              <w:rPr>
                <w:rFonts w:ascii="Times New Roman" w:eastAsia="Times New Roman" w:hAnsi="Times New Roman"/>
                <w:sz w:val="28"/>
                <w:szCs w:val="24"/>
                <w:lang w:eastAsia="lv-LV"/>
              </w:rPr>
              <w:t xml:space="preserve"> un turpmāk papildu izdevumi plānoti</w:t>
            </w:r>
            <w:r>
              <w:rPr>
                <w:rFonts w:ascii="Times New Roman" w:eastAsia="Times New Roman" w:hAnsi="Times New Roman"/>
                <w:sz w:val="28"/>
                <w:szCs w:val="24"/>
                <w:lang w:eastAsia="lv-LV"/>
              </w:rPr>
              <w:t xml:space="preserve"> </w:t>
            </w:r>
            <w:r w:rsidRPr="008D2A8F">
              <w:rPr>
                <w:rFonts w:ascii="Times New Roman" w:eastAsia="Times New Roman" w:hAnsi="Times New Roman"/>
                <w:sz w:val="28"/>
                <w:szCs w:val="24"/>
                <w:lang w:eastAsia="lv-LV"/>
              </w:rPr>
              <w:t>Būvniecības nozares attīstības stratēģijā 2017.-2024.gadam identificēto rīcības virzienu pasākumu izstrādei</w:t>
            </w:r>
            <w:r w:rsidR="00650FAF">
              <w:rPr>
                <w:rFonts w:ascii="Times New Roman" w:eastAsia="Times New Roman" w:hAnsi="Times New Roman"/>
                <w:sz w:val="28"/>
                <w:szCs w:val="24"/>
                <w:lang w:eastAsia="lv-LV"/>
              </w:rPr>
              <w:t xml:space="preserve">, </w:t>
            </w:r>
            <w:r w:rsidR="00650FAF" w:rsidRPr="008D2A8F">
              <w:rPr>
                <w:rFonts w:ascii="Times New Roman" w:hAnsi="Times New Roman"/>
                <w:sz w:val="28"/>
                <w:szCs w:val="24"/>
              </w:rPr>
              <w:t>būvnormatīvu, būvniecības nozares produktivitātes veicināšanas pasākumu izpētei un ekonomisko pamatojumu sagatavošanai, nozares attīstības novērtējumu veikšanai, pakalpojumu eksporta veicināšanas pasākumu īstenošanai, kopējo nozares projektu izstrādei u.c. nepieciešamo pakalpojumu iegādei</w:t>
            </w:r>
            <w:r w:rsidR="00650FAF">
              <w:rPr>
                <w:rFonts w:ascii="Times New Roman" w:hAnsi="Times New Roman"/>
                <w:sz w:val="28"/>
                <w:szCs w:val="24"/>
              </w:rPr>
              <w:t>.</w:t>
            </w:r>
          </w:p>
          <w:p w:rsidR="00E15423" w:rsidRPr="008D2A8F" w:rsidRDefault="00BF1749" w:rsidP="002A331D">
            <w:pPr>
              <w:spacing w:after="0" w:line="240" w:lineRule="auto"/>
              <w:jc w:val="both"/>
              <w:rPr>
                <w:rFonts w:ascii="Times New Roman" w:eastAsia="Times New Roman" w:hAnsi="Times New Roman"/>
                <w:sz w:val="28"/>
                <w:szCs w:val="28"/>
                <w:lang w:eastAsia="lv-LV"/>
              </w:rPr>
            </w:pPr>
            <w:r w:rsidRPr="008D2A8F">
              <w:rPr>
                <w:rFonts w:ascii="Times New Roman" w:hAnsi="Times New Roman"/>
                <w:sz w:val="28"/>
                <w:szCs w:val="24"/>
              </w:rPr>
              <w:t>Detalizētu izdevumu aprēķinu skat. anotācijas pielikumā.</w:t>
            </w:r>
            <w:r w:rsidR="00B04886" w:rsidRPr="008D2A8F">
              <w:rPr>
                <w:rFonts w:ascii="Times New Roman" w:hAnsi="Times New Roman"/>
                <w:i/>
                <w:sz w:val="28"/>
                <w:szCs w:val="24"/>
              </w:rPr>
              <w:t xml:space="preserve"> </w:t>
            </w: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6.1. detalizēts ieņēmumu aprēķins</w:t>
            </w:r>
          </w:p>
        </w:tc>
        <w:tc>
          <w:tcPr>
            <w:tcW w:w="3670" w:type="pct"/>
            <w:gridSpan w:val="6"/>
            <w:vMerge/>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p>
        </w:tc>
      </w:tr>
      <w:tr w:rsidR="00EE350B" w:rsidRPr="002E707F" w:rsidTr="007137D2">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6.2. detalizēts izdevumu aprēķins</w:t>
            </w:r>
          </w:p>
        </w:tc>
        <w:tc>
          <w:tcPr>
            <w:tcW w:w="3670" w:type="pct"/>
            <w:gridSpan w:val="6"/>
            <w:vMerge/>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p>
        </w:tc>
      </w:tr>
      <w:tr w:rsidR="002E707F" w:rsidRPr="002E707F" w:rsidTr="007137D2">
        <w:trPr>
          <w:trHeight w:val="410"/>
        </w:trPr>
        <w:tc>
          <w:tcPr>
            <w:tcW w:w="1330" w:type="pct"/>
            <w:gridSpan w:val="3"/>
            <w:shd w:val="clear" w:color="auto" w:fill="auto"/>
            <w:hideMark/>
          </w:tcPr>
          <w:p w:rsidR="00B75596" w:rsidRPr="002E707F" w:rsidRDefault="00B75596" w:rsidP="00F526D6">
            <w:pPr>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7. Cita informācija</w:t>
            </w:r>
          </w:p>
        </w:tc>
        <w:tc>
          <w:tcPr>
            <w:tcW w:w="3670" w:type="pct"/>
            <w:gridSpan w:val="6"/>
            <w:shd w:val="clear" w:color="auto" w:fill="auto"/>
          </w:tcPr>
          <w:p w:rsidR="00CB41A7" w:rsidRDefault="00CB41A7" w:rsidP="00A06228">
            <w:pPr>
              <w:spacing w:line="240" w:lineRule="auto"/>
              <w:jc w:val="both"/>
              <w:rPr>
                <w:rFonts w:ascii="Times New Roman" w:eastAsia="Times New Roman" w:hAnsi="Times New Roman"/>
                <w:sz w:val="28"/>
                <w:szCs w:val="28"/>
                <w:lang w:eastAsia="lv-LV"/>
              </w:rPr>
            </w:pPr>
            <w:r w:rsidRPr="00CB41A7">
              <w:rPr>
                <w:rFonts w:ascii="Times New Roman" w:eastAsia="Times New Roman" w:hAnsi="Times New Roman"/>
                <w:sz w:val="28"/>
                <w:szCs w:val="28"/>
                <w:lang w:eastAsia="lv-LV"/>
              </w:rPr>
              <w:t>2017. gadā ieņēmumi no nodevas atbilst likuma “Par valsts budžetu 2017. gada ”plānotās nodevas apmēram un plānotie izdevumi, atbilstoši piešķirtajai dotācijai (MK 19.11.2014 sēdes protokols Nr.63 22.</w:t>
            </w:r>
            <w:r>
              <w:rPr>
                <w:rFonts w:ascii="Times New Roman" w:eastAsia="Times New Roman" w:hAnsi="Times New Roman"/>
                <w:sz w:val="28"/>
                <w:szCs w:val="28"/>
                <w:lang w:eastAsia="lv-LV"/>
              </w:rPr>
              <w:t>§</w:t>
            </w:r>
            <w:r w:rsidRPr="00CB41A7">
              <w:rPr>
                <w:rFonts w:ascii="Times New Roman" w:eastAsia="Times New Roman" w:hAnsi="Times New Roman"/>
                <w:sz w:val="28"/>
                <w:szCs w:val="28"/>
                <w:lang w:eastAsia="lv-LV"/>
              </w:rPr>
              <w:t>), lai nodrošinātu būvniecības pakalpojumu administrēšanu un BVKB darbību.</w:t>
            </w:r>
          </w:p>
          <w:p w:rsidR="00B75596" w:rsidRPr="002E707F" w:rsidRDefault="006B4E45" w:rsidP="00A06228">
            <w:pPr>
              <w:spacing w:line="240" w:lineRule="auto"/>
              <w:jc w:val="both"/>
              <w:rPr>
                <w:rFonts w:ascii="Times New Roman" w:eastAsia="Times New Roman" w:hAnsi="Times New Roman"/>
                <w:sz w:val="28"/>
                <w:szCs w:val="28"/>
                <w:lang w:eastAsia="lv-LV"/>
              </w:rPr>
            </w:pPr>
            <w:r w:rsidRPr="00DB65AB">
              <w:rPr>
                <w:rFonts w:ascii="Times New Roman" w:eastAsia="Times New Roman" w:hAnsi="Times New Roman"/>
                <w:sz w:val="28"/>
                <w:szCs w:val="28"/>
                <w:lang w:eastAsia="lv-LV"/>
              </w:rPr>
              <w:t xml:space="preserve">Lai nodrošinātu noteikumu projekta īstenošanu, nepieciešams veikt pielāgošanas darbus Būvniecības informācijas sistēmā. Ņemot vērā līdz šim esošās Būvniecības informācijas sistēmas izstrādes un pielāgošanas izmaksas, aprēķināts, ka noteikumu projektā paredzēto grozījumu ieviešanai nepieciešamas </w:t>
            </w:r>
            <w:r>
              <w:rPr>
                <w:rFonts w:ascii="Times New Roman" w:eastAsia="Times New Roman" w:hAnsi="Times New Roman"/>
                <w:sz w:val="28"/>
                <w:szCs w:val="28"/>
                <w:lang w:eastAsia="lv-LV"/>
              </w:rPr>
              <w:t>25</w:t>
            </w:r>
            <w:r w:rsidRPr="00DB65AB">
              <w:rPr>
                <w:rFonts w:ascii="Times New Roman" w:eastAsia="Times New Roman" w:hAnsi="Times New Roman"/>
                <w:sz w:val="28"/>
                <w:szCs w:val="28"/>
                <w:lang w:eastAsia="lv-LV"/>
              </w:rPr>
              <w:t xml:space="preserve"> </w:t>
            </w:r>
            <w:r w:rsidRPr="00DB65AB">
              <w:rPr>
                <w:rFonts w:ascii="Times New Roman" w:eastAsia="Times New Roman" w:hAnsi="Times New Roman"/>
                <w:sz w:val="28"/>
                <w:szCs w:val="28"/>
                <w:lang w:eastAsia="lv-LV"/>
              </w:rPr>
              <w:lastRenderedPageBreak/>
              <w:t xml:space="preserve">cilvēkdiena. Vienas cilvēkdienas izmaksas ir 310 EUR (neieskaitot PVN), līdz ar to pielāgošanas izmaksas varētu sasniegt </w:t>
            </w:r>
            <w:r w:rsidR="00961C54">
              <w:rPr>
                <w:rFonts w:ascii="Times New Roman" w:eastAsia="Times New Roman" w:hAnsi="Times New Roman"/>
                <w:sz w:val="28"/>
                <w:szCs w:val="28"/>
                <w:lang w:eastAsia="lv-LV"/>
              </w:rPr>
              <w:t>9 378</w:t>
            </w:r>
            <w:r w:rsidRPr="00DB65AB">
              <w:rPr>
                <w:rFonts w:ascii="Times New Roman" w:eastAsia="Times New Roman" w:hAnsi="Times New Roman"/>
                <w:sz w:val="28"/>
                <w:szCs w:val="28"/>
                <w:lang w:eastAsia="lv-LV"/>
              </w:rPr>
              <w:t xml:space="preserve"> EUR (</w:t>
            </w:r>
            <w:r w:rsidR="00961C54">
              <w:rPr>
                <w:rFonts w:ascii="Times New Roman" w:eastAsia="Times New Roman" w:hAnsi="Times New Roman"/>
                <w:sz w:val="28"/>
                <w:szCs w:val="28"/>
                <w:lang w:eastAsia="lv-LV"/>
              </w:rPr>
              <w:t>25</w:t>
            </w:r>
            <w:r w:rsidRPr="00DB65AB">
              <w:rPr>
                <w:rFonts w:ascii="Times New Roman" w:eastAsia="Times New Roman" w:hAnsi="Times New Roman"/>
                <w:sz w:val="28"/>
                <w:szCs w:val="28"/>
                <w:lang w:eastAsia="lv-LV"/>
              </w:rPr>
              <w:t>  x (310 + PVN 21%)).</w:t>
            </w:r>
          </w:p>
        </w:tc>
      </w:tr>
      <w:tr w:rsidR="00EE350B" w:rsidRPr="002E707F" w:rsidTr="007137D2">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PrEx>
        <w:trPr>
          <w:gridBefore w:val="1"/>
          <w:wBefore w:w="3" w:type="pct"/>
          <w:trHeight w:val="420"/>
          <w:jc w:val="center"/>
        </w:trPr>
        <w:tc>
          <w:tcPr>
            <w:tcW w:w="4997" w:type="pct"/>
            <w:gridSpan w:val="8"/>
            <w:tcBorders>
              <w:top w:val="outset" w:sz="6" w:space="0" w:color="414142"/>
              <w:left w:val="outset" w:sz="6" w:space="0" w:color="414142"/>
              <w:bottom w:val="outset" w:sz="6" w:space="0" w:color="414142"/>
              <w:right w:val="outset" w:sz="6" w:space="0" w:color="414142"/>
            </w:tcBorders>
            <w:vAlign w:val="center"/>
            <w:hideMark/>
          </w:tcPr>
          <w:p w:rsidR="004E4274" w:rsidRPr="002E707F" w:rsidRDefault="004E4274" w:rsidP="004E4274">
            <w:pPr>
              <w:spacing w:before="100" w:beforeAutospacing="1" w:after="100" w:afterAutospacing="1" w:line="293" w:lineRule="atLeast"/>
              <w:jc w:val="center"/>
              <w:rPr>
                <w:rFonts w:ascii="Times New Roman" w:eastAsia="Times New Roman" w:hAnsi="Times New Roman"/>
                <w:b/>
                <w:bCs/>
                <w:sz w:val="28"/>
                <w:szCs w:val="28"/>
                <w:lang w:eastAsia="ru-RU"/>
              </w:rPr>
            </w:pPr>
            <w:r w:rsidRPr="002E707F">
              <w:rPr>
                <w:rFonts w:ascii="Times New Roman" w:eastAsia="Times New Roman" w:hAnsi="Times New Roman"/>
                <w:b/>
                <w:bCs/>
                <w:sz w:val="28"/>
                <w:szCs w:val="28"/>
                <w:lang w:eastAsia="ru-RU"/>
              </w:rPr>
              <w:lastRenderedPageBreak/>
              <w:t>VI. Sabiedrības līdzdalība un komunikācijas aktivitātes</w:t>
            </w:r>
          </w:p>
        </w:tc>
      </w:tr>
      <w:tr w:rsidR="00EE350B" w:rsidRPr="002E707F" w:rsidTr="007137D2">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PrEx>
        <w:trPr>
          <w:gridBefore w:val="1"/>
          <w:wBefore w:w="3" w:type="pct"/>
          <w:trHeight w:val="540"/>
          <w:jc w:val="center"/>
        </w:trPr>
        <w:tc>
          <w:tcPr>
            <w:tcW w:w="248"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4E4274">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1.</w:t>
            </w:r>
          </w:p>
        </w:tc>
        <w:tc>
          <w:tcPr>
            <w:tcW w:w="1498" w:type="pct"/>
            <w:gridSpan w:val="2"/>
            <w:tcBorders>
              <w:top w:val="outset" w:sz="6" w:space="0" w:color="414142"/>
              <w:left w:val="outset" w:sz="6" w:space="0" w:color="414142"/>
              <w:bottom w:val="outset" w:sz="6" w:space="0" w:color="414142"/>
              <w:right w:val="outset" w:sz="6" w:space="0" w:color="414142"/>
            </w:tcBorders>
            <w:hideMark/>
          </w:tcPr>
          <w:p w:rsidR="004E4274" w:rsidRPr="002E707F" w:rsidRDefault="004E4274" w:rsidP="004E4274">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Plānotās sabiedrības līdzdalības un komunikācijas aktivitātes saistībā ar projektu</w:t>
            </w:r>
          </w:p>
        </w:tc>
        <w:tc>
          <w:tcPr>
            <w:tcW w:w="3251" w:type="pct"/>
            <w:gridSpan w:val="5"/>
            <w:tcBorders>
              <w:top w:val="outset" w:sz="6" w:space="0" w:color="414142"/>
              <w:left w:val="outset" w:sz="6" w:space="0" w:color="414142"/>
              <w:bottom w:val="outset" w:sz="6" w:space="0" w:color="414142"/>
              <w:right w:val="outset" w:sz="6" w:space="0" w:color="414142"/>
            </w:tcBorders>
            <w:hideMark/>
          </w:tcPr>
          <w:p w:rsidR="001365EE" w:rsidRPr="002E707F" w:rsidRDefault="00B95BA1" w:rsidP="00A22D7C">
            <w:pPr>
              <w:spacing w:after="0" w:line="240" w:lineRule="auto"/>
              <w:jc w:val="both"/>
              <w:rPr>
                <w:rFonts w:ascii="Times New Roman" w:eastAsia="Times New Roman" w:hAnsi="Times New Roman"/>
                <w:sz w:val="28"/>
                <w:szCs w:val="28"/>
                <w:lang w:eastAsia="ru-RU"/>
              </w:rPr>
            </w:pPr>
            <w:r w:rsidRPr="002E707F">
              <w:rPr>
                <w:rFonts w:ascii="Times New Roman" w:eastAsia="Times New Roman" w:hAnsi="Times New Roman"/>
                <w:sz w:val="28"/>
                <w:szCs w:val="28"/>
                <w:lang w:eastAsia="lv-LV"/>
              </w:rPr>
              <w:t xml:space="preserve">Noteikumu projekts sabiedrībai publiski ir pieejams Ekonomikas </w:t>
            </w:r>
            <w:r w:rsidR="002D7D9F" w:rsidRPr="002E707F">
              <w:rPr>
                <w:rFonts w:ascii="Times New Roman" w:eastAsia="Times New Roman" w:hAnsi="Times New Roman"/>
                <w:sz w:val="28"/>
                <w:szCs w:val="28"/>
                <w:lang w:eastAsia="lv-LV"/>
              </w:rPr>
              <w:t>ministrijas mājās lapā</w:t>
            </w:r>
            <w:r w:rsidRPr="002E707F">
              <w:rPr>
                <w:rFonts w:ascii="Times New Roman" w:eastAsia="Times New Roman" w:hAnsi="Times New Roman"/>
                <w:sz w:val="28"/>
                <w:szCs w:val="28"/>
                <w:lang w:eastAsia="lv-LV"/>
              </w:rPr>
              <w:t>, kā arī pēc izsludināšanas Valsts sekretāra sanāksmē būs pieejams Minist</w:t>
            </w:r>
            <w:r w:rsidR="002D7D9F" w:rsidRPr="002E707F">
              <w:rPr>
                <w:rFonts w:ascii="Times New Roman" w:eastAsia="Times New Roman" w:hAnsi="Times New Roman"/>
                <w:sz w:val="28"/>
                <w:szCs w:val="28"/>
                <w:lang w:eastAsia="lv-LV"/>
              </w:rPr>
              <w:t>ru kabineta mājās lapā</w:t>
            </w:r>
            <w:r w:rsidRPr="002E707F">
              <w:rPr>
                <w:rFonts w:ascii="Times New Roman" w:eastAsia="Times New Roman" w:hAnsi="Times New Roman"/>
                <w:sz w:val="28"/>
                <w:szCs w:val="28"/>
                <w:lang w:eastAsia="lv-LV"/>
              </w:rPr>
              <w:t>.</w:t>
            </w:r>
            <w:r w:rsidR="0043328B">
              <w:rPr>
                <w:rFonts w:ascii="Times New Roman" w:eastAsia="Times New Roman" w:hAnsi="Times New Roman"/>
                <w:sz w:val="28"/>
                <w:szCs w:val="28"/>
                <w:lang w:eastAsia="lv-LV"/>
              </w:rPr>
              <w:t xml:space="preserve"> Noteikumu projekts tika prezentēts 2017.gada 9.maija Būvniecības padomes sēdē.</w:t>
            </w:r>
          </w:p>
        </w:tc>
      </w:tr>
      <w:tr w:rsidR="00EE350B" w:rsidRPr="002E707F" w:rsidTr="007137D2">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PrEx>
        <w:trPr>
          <w:gridBefore w:val="1"/>
          <w:wBefore w:w="3" w:type="pct"/>
          <w:trHeight w:val="330"/>
          <w:jc w:val="center"/>
        </w:trPr>
        <w:tc>
          <w:tcPr>
            <w:tcW w:w="248"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4E4274">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2.</w:t>
            </w:r>
          </w:p>
        </w:tc>
        <w:tc>
          <w:tcPr>
            <w:tcW w:w="1498" w:type="pct"/>
            <w:gridSpan w:val="2"/>
            <w:tcBorders>
              <w:top w:val="outset" w:sz="6" w:space="0" w:color="414142"/>
              <w:left w:val="outset" w:sz="6" w:space="0" w:color="414142"/>
              <w:bottom w:val="outset" w:sz="6" w:space="0" w:color="414142"/>
              <w:right w:val="outset" w:sz="6" w:space="0" w:color="414142"/>
            </w:tcBorders>
            <w:hideMark/>
          </w:tcPr>
          <w:p w:rsidR="004E4274" w:rsidRPr="002E707F" w:rsidRDefault="004E4274" w:rsidP="004E4274">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Sabiedrības līdzdalība projekta izstrādē</w:t>
            </w:r>
          </w:p>
        </w:tc>
        <w:tc>
          <w:tcPr>
            <w:tcW w:w="3251" w:type="pct"/>
            <w:gridSpan w:val="5"/>
            <w:tcBorders>
              <w:top w:val="outset" w:sz="6" w:space="0" w:color="414142"/>
              <w:left w:val="outset" w:sz="6" w:space="0" w:color="414142"/>
              <w:bottom w:val="outset" w:sz="6" w:space="0" w:color="414142"/>
              <w:right w:val="outset" w:sz="6" w:space="0" w:color="414142"/>
            </w:tcBorders>
            <w:hideMark/>
          </w:tcPr>
          <w:p w:rsidR="004E4274" w:rsidRPr="002E707F" w:rsidRDefault="008E37A4" w:rsidP="001365EE">
            <w:pPr>
              <w:spacing w:after="0" w:line="240" w:lineRule="auto"/>
              <w:jc w:val="both"/>
              <w:rPr>
                <w:rFonts w:ascii="Times New Roman" w:eastAsia="Times New Roman" w:hAnsi="Times New Roman"/>
                <w:sz w:val="28"/>
                <w:szCs w:val="28"/>
                <w:lang w:eastAsia="ru-RU"/>
              </w:rPr>
            </w:pPr>
            <w:r w:rsidRPr="002E707F">
              <w:rPr>
                <w:rFonts w:ascii="Times New Roman" w:eastAsia="Times New Roman" w:hAnsi="Times New Roman"/>
                <w:sz w:val="28"/>
                <w:szCs w:val="28"/>
                <w:lang w:eastAsia="lv-LV"/>
              </w:rPr>
              <w:t>Projekts šo jomu neskar.</w:t>
            </w:r>
          </w:p>
        </w:tc>
      </w:tr>
      <w:tr w:rsidR="00EE350B" w:rsidRPr="002E707F" w:rsidTr="007137D2">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PrEx>
        <w:trPr>
          <w:gridBefore w:val="1"/>
          <w:wBefore w:w="3" w:type="pct"/>
          <w:trHeight w:val="465"/>
          <w:jc w:val="center"/>
        </w:trPr>
        <w:tc>
          <w:tcPr>
            <w:tcW w:w="248"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5737A0">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3.</w:t>
            </w:r>
          </w:p>
        </w:tc>
        <w:tc>
          <w:tcPr>
            <w:tcW w:w="1498" w:type="pct"/>
            <w:gridSpan w:val="2"/>
            <w:tcBorders>
              <w:top w:val="outset" w:sz="6" w:space="0" w:color="414142"/>
              <w:left w:val="outset" w:sz="6" w:space="0" w:color="414142"/>
              <w:bottom w:val="outset" w:sz="6" w:space="0" w:color="414142"/>
              <w:right w:val="outset" w:sz="6" w:space="0" w:color="414142"/>
            </w:tcBorders>
            <w:hideMark/>
          </w:tcPr>
          <w:p w:rsidR="004E4274" w:rsidRPr="002E707F" w:rsidRDefault="004E4274" w:rsidP="005737A0">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Sabiedrības līdzdalības rezultāti</w:t>
            </w:r>
          </w:p>
        </w:tc>
        <w:tc>
          <w:tcPr>
            <w:tcW w:w="3251" w:type="pct"/>
            <w:gridSpan w:val="5"/>
            <w:tcBorders>
              <w:top w:val="outset" w:sz="6" w:space="0" w:color="414142"/>
              <w:left w:val="outset" w:sz="6" w:space="0" w:color="414142"/>
              <w:bottom w:val="outset" w:sz="6" w:space="0" w:color="414142"/>
              <w:right w:val="outset" w:sz="6" w:space="0" w:color="414142"/>
            </w:tcBorders>
            <w:hideMark/>
          </w:tcPr>
          <w:p w:rsidR="004E4274" w:rsidRPr="002E707F" w:rsidRDefault="008E37A4" w:rsidP="008E37A4">
            <w:pPr>
              <w:spacing w:after="0" w:line="240" w:lineRule="auto"/>
              <w:jc w:val="both"/>
              <w:rPr>
                <w:rFonts w:ascii="Times New Roman" w:eastAsia="Times New Roman" w:hAnsi="Times New Roman"/>
                <w:sz w:val="28"/>
                <w:szCs w:val="28"/>
                <w:lang w:eastAsia="ru-RU"/>
              </w:rPr>
            </w:pPr>
            <w:r w:rsidRPr="002E707F">
              <w:rPr>
                <w:rFonts w:ascii="Times New Roman" w:eastAsia="Times New Roman" w:hAnsi="Times New Roman"/>
                <w:sz w:val="28"/>
                <w:szCs w:val="28"/>
                <w:lang w:eastAsia="lv-LV"/>
              </w:rPr>
              <w:t>Projekts šo jomu neskar.</w:t>
            </w:r>
          </w:p>
        </w:tc>
      </w:tr>
      <w:tr w:rsidR="00EE350B" w:rsidRPr="002E707F" w:rsidTr="007137D2">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PrEx>
        <w:trPr>
          <w:gridBefore w:val="1"/>
          <w:wBefore w:w="3" w:type="pct"/>
          <w:trHeight w:val="465"/>
          <w:jc w:val="center"/>
        </w:trPr>
        <w:tc>
          <w:tcPr>
            <w:tcW w:w="248"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5737A0">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4.</w:t>
            </w:r>
          </w:p>
        </w:tc>
        <w:tc>
          <w:tcPr>
            <w:tcW w:w="1498" w:type="pct"/>
            <w:gridSpan w:val="2"/>
            <w:tcBorders>
              <w:top w:val="outset" w:sz="6" w:space="0" w:color="414142"/>
              <w:left w:val="outset" w:sz="6" w:space="0" w:color="414142"/>
              <w:bottom w:val="outset" w:sz="6" w:space="0" w:color="414142"/>
              <w:right w:val="outset" w:sz="6" w:space="0" w:color="414142"/>
            </w:tcBorders>
            <w:hideMark/>
          </w:tcPr>
          <w:p w:rsidR="004E4274" w:rsidRPr="002E707F" w:rsidRDefault="004E4274" w:rsidP="005737A0">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Cita informācija</w:t>
            </w:r>
          </w:p>
        </w:tc>
        <w:tc>
          <w:tcPr>
            <w:tcW w:w="3251" w:type="pct"/>
            <w:gridSpan w:val="5"/>
            <w:tcBorders>
              <w:top w:val="outset" w:sz="6" w:space="0" w:color="414142"/>
              <w:left w:val="outset" w:sz="6" w:space="0" w:color="414142"/>
              <w:bottom w:val="outset" w:sz="6" w:space="0" w:color="414142"/>
              <w:right w:val="outset" w:sz="6" w:space="0" w:color="414142"/>
            </w:tcBorders>
            <w:hideMark/>
          </w:tcPr>
          <w:p w:rsidR="004E4274" w:rsidRPr="002E707F" w:rsidRDefault="004E4274" w:rsidP="005737A0">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Nav</w:t>
            </w:r>
            <w:r w:rsidR="00FC4B92">
              <w:rPr>
                <w:rFonts w:ascii="Times New Roman" w:eastAsia="Times New Roman" w:hAnsi="Times New Roman"/>
                <w:sz w:val="28"/>
                <w:szCs w:val="28"/>
                <w:lang w:eastAsia="ru-RU"/>
              </w:rPr>
              <w:t>.</w:t>
            </w:r>
          </w:p>
        </w:tc>
      </w:tr>
    </w:tbl>
    <w:p w:rsidR="006C6932" w:rsidRPr="002E707F" w:rsidRDefault="004E4274" w:rsidP="005737A0">
      <w:pPr>
        <w:shd w:val="clear" w:color="auto" w:fill="FFFFFF"/>
        <w:spacing w:after="0" w:line="240" w:lineRule="auto"/>
        <w:ind w:firstLine="300"/>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 </w:t>
      </w: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441"/>
        <w:gridCol w:w="5161"/>
      </w:tblGrid>
      <w:tr w:rsidR="00EE350B" w:rsidRPr="002E707F" w:rsidTr="004E4274">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E4274" w:rsidRPr="002E707F" w:rsidRDefault="004E4274" w:rsidP="004E4274">
            <w:pPr>
              <w:spacing w:before="100" w:beforeAutospacing="1" w:after="100" w:afterAutospacing="1" w:line="293" w:lineRule="atLeast"/>
              <w:jc w:val="center"/>
              <w:rPr>
                <w:rFonts w:ascii="Times New Roman" w:eastAsia="Times New Roman" w:hAnsi="Times New Roman"/>
                <w:b/>
                <w:bCs/>
                <w:sz w:val="28"/>
                <w:szCs w:val="28"/>
                <w:lang w:eastAsia="ru-RU"/>
              </w:rPr>
            </w:pPr>
            <w:r w:rsidRPr="002E707F">
              <w:rPr>
                <w:rFonts w:ascii="Times New Roman" w:eastAsia="Times New Roman" w:hAnsi="Times New Roman"/>
                <w:b/>
                <w:bCs/>
                <w:sz w:val="28"/>
                <w:szCs w:val="28"/>
                <w:lang w:eastAsia="ru-RU"/>
              </w:rPr>
              <w:t>VII. Tiesību akta projekta izpildes nodrošināšana un tās ietekme uz institūcijām</w:t>
            </w:r>
          </w:p>
        </w:tc>
      </w:tr>
      <w:tr w:rsidR="00EE350B" w:rsidRPr="002E707F" w:rsidTr="004E4274">
        <w:trPr>
          <w:trHeight w:val="420"/>
          <w:jc w:val="center"/>
        </w:trPr>
        <w:tc>
          <w:tcPr>
            <w:tcW w:w="250"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4E4274">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1.</w:t>
            </w:r>
          </w:p>
        </w:tc>
        <w:tc>
          <w:tcPr>
            <w:tcW w:w="1900"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4E4274">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E4274" w:rsidRPr="002E707F" w:rsidRDefault="000976CE" w:rsidP="0015764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Ekonomikas ministrija, </w:t>
            </w:r>
            <w:r w:rsidR="00157648" w:rsidRPr="002E707F">
              <w:rPr>
                <w:rFonts w:ascii="Times New Roman" w:eastAsia="Times New Roman" w:hAnsi="Times New Roman"/>
                <w:sz w:val="28"/>
                <w:szCs w:val="28"/>
                <w:lang w:eastAsia="ru-RU"/>
              </w:rPr>
              <w:t>Būvniecības valsts kontroles birojs</w:t>
            </w:r>
            <w:r w:rsidR="007C7154">
              <w:rPr>
                <w:rFonts w:ascii="Times New Roman" w:eastAsia="Times New Roman" w:hAnsi="Times New Roman"/>
                <w:sz w:val="28"/>
                <w:szCs w:val="28"/>
                <w:lang w:eastAsia="ru-RU"/>
              </w:rPr>
              <w:t>.</w:t>
            </w:r>
          </w:p>
        </w:tc>
      </w:tr>
      <w:tr w:rsidR="00EE350B" w:rsidRPr="002E707F" w:rsidTr="004E4274">
        <w:trPr>
          <w:trHeight w:val="450"/>
          <w:jc w:val="center"/>
        </w:trPr>
        <w:tc>
          <w:tcPr>
            <w:tcW w:w="250"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4E4274">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2.</w:t>
            </w:r>
          </w:p>
        </w:tc>
        <w:tc>
          <w:tcPr>
            <w:tcW w:w="1900" w:type="pct"/>
            <w:tcBorders>
              <w:top w:val="outset" w:sz="6" w:space="0" w:color="414142"/>
              <w:left w:val="outset" w:sz="6" w:space="0" w:color="414142"/>
              <w:bottom w:val="outset" w:sz="6" w:space="0" w:color="414142"/>
              <w:right w:val="outset" w:sz="6" w:space="0" w:color="414142"/>
            </w:tcBorders>
            <w:hideMark/>
          </w:tcPr>
          <w:p w:rsidR="00B44820" w:rsidRPr="002E707F" w:rsidRDefault="004E4274" w:rsidP="00B44820">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Projekta izpildes ietekme uz pārvaldes funkcijām un institucionālo struktūru.</w:t>
            </w:r>
          </w:p>
          <w:p w:rsidR="004E4274" w:rsidRPr="002E707F" w:rsidRDefault="004E4274" w:rsidP="00B44820">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E4274" w:rsidRPr="002E707F" w:rsidRDefault="00C85079" w:rsidP="00E658AF">
            <w:pPr>
              <w:spacing w:after="0" w:line="240" w:lineRule="auto"/>
              <w:rPr>
                <w:rFonts w:ascii="Times New Roman" w:eastAsia="Times New Roman" w:hAnsi="Times New Roman"/>
                <w:sz w:val="28"/>
                <w:szCs w:val="28"/>
                <w:lang w:eastAsia="ru-RU"/>
              </w:rPr>
            </w:pPr>
            <w:r w:rsidRPr="002E707F">
              <w:rPr>
                <w:rFonts w:ascii="Times New Roman" w:hAnsi="Times New Roman"/>
                <w:sz w:val="28"/>
                <w:szCs w:val="28"/>
              </w:rPr>
              <w:t>Projekts šo jomu neskar.</w:t>
            </w:r>
          </w:p>
        </w:tc>
      </w:tr>
      <w:tr w:rsidR="00EE350B" w:rsidRPr="002E707F" w:rsidTr="004E4274">
        <w:trPr>
          <w:trHeight w:val="390"/>
          <w:jc w:val="center"/>
        </w:trPr>
        <w:tc>
          <w:tcPr>
            <w:tcW w:w="250"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4E4274">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3.</w:t>
            </w:r>
          </w:p>
        </w:tc>
        <w:tc>
          <w:tcPr>
            <w:tcW w:w="1900"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4E4274">
            <w:pPr>
              <w:spacing w:after="0" w:line="240" w:lineRule="auto"/>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E4274" w:rsidRPr="002E707F" w:rsidRDefault="004E4274" w:rsidP="001B7E95">
            <w:pPr>
              <w:spacing w:before="100" w:beforeAutospacing="1" w:after="100" w:afterAutospacing="1" w:line="293" w:lineRule="atLeast"/>
              <w:rPr>
                <w:rFonts w:ascii="Times New Roman" w:eastAsia="Times New Roman" w:hAnsi="Times New Roman"/>
                <w:sz w:val="28"/>
                <w:szCs w:val="28"/>
                <w:lang w:eastAsia="ru-RU"/>
              </w:rPr>
            </w:pPr>
            <w:r w:rsidRPr="002E707F">
              <w:rPr>
                <w:rFonts w:ascii="Times New Roman" w:eastAsia="Times New Roman" w:hAnsi="Times New Roman"/>
                <w:sz w:val="28"/>
                <w:szCs w:val="28"/>
                <w:lang w:eastAsia="ru-RU"/>
              </w:rPr>
              <w:t>Nav</w:t>
            </w:r>
            <w:r w:rsidR="00073D44" w:rsidRPr="002E707F">
              <w:rPr>
                <w:rFonts w:ascii="Times New Roman" w:eastAsia="Times New Roman" w:hAnsi="Times New Roman"/>
                <w:sz w:val="28"/>
                <w:szCs w:val="28"/>
                <w:lang w:eastAsia="ru-RU"/>
              </w:rPr>
              <w:t>.</w:t>
            </w:r>
          </w:p>
        </w:tc>
      </w:tr>
    </w:tbl>
    <w:p w:rsidR="00FB059B" w:rsidRPr="002E707F" w:rsidRDefault="00FB059B" w:rsidP="004B5370">
      <w:pPr>
        <w:spacing w:after="120" w:line="240" w:lineRule="auto"/>
        <w:rPr>
          <w:rFonts w:ascii="Times New Roman" w:hAnsi="Times New Roman"/>
          <w:i/>
          <w:iCs/>
          <w:sz w:val="28"/>
          <w:szCs w:val="28"/>
        </w:rPr>
      </w:pPr>
      <w:r w:rsidRPr="002E707F">
        <w:rPr>
          <w:rFonts w:ascii="Times New Roman" w:hAnsi="Times New Roman"/>
          <w:i/>
          <w:iCs/>
          <w:sz w:val="28"/>
          <w:szCs w:val="28"/>
        </w:rPr>
        <w:t xml:space="preserve">Anotācijas </w:t>
      </w:r>
      <w:r w:rsidR="00674F6E" w:rsidRPr="002E707F">
        <w:rPr>
          <w:rFonts w:ascii="Times New Roman" w:hAnsi="Times New Roman"/>
          <w:i/>
          <w:iCs/>
          <w:sz w:val="28"/>
          <w:szCs w:val="28"/>
        </w:rPr>
        <w:t xml:space="preserve">IV., </w:t>
      </w:r>
      <w:r w:rsidRPr="002E707F">
        <w:rPr>
          <w:rFonts w:ascii="Times New Roman" w:hAnsi="Times New Roman"/>
          <w:i/>
          <w:iCs/>
          <w:sz w:val="28"/>
          <w:szCs w:val="28"/>
        </w:rPr>
        <w:t>V</w:t>
      </w:r>
      <w:r w:rsidR="005871C7" w:rsidRPr="002E707F">
        <w:rPr>
          <w:rFonts w:ascii="Times New Roman" w:hAnsi="Times New Roman"/>
          <w:i/>
          <w:iCs/>
          <w:sz w:val="28"/>
          <w:szCs w:val="28"/>
        </w:rPr>
        <w:t xml:space="preserve">. </w:t>
      </w:r>
      <w:r w:rsidRPr="002E707F">
        <w:rPr>
          <w:rFonts w:ascii="Times New Roman" w:hAnsi="Times New Roman"/>
          <w:i/>
          <w:iCs/>
          <w:sz w:val="28"/>
          <w:szCs w:val="28"/>
        </w:rPr>
        <w:t xml:space="preserve"> sadaļa – projekts šo jomu neskar.</w:t>
      </w:r>
    </w:p>
    <w:p w:rsidR="005871C7" w:rsidRPr="002E707F" w:rsidRDefault="005871C7" w:rsidP="005871C7">
      <w:pPr>
        <w:tabs>
          <w:tab w:val="left" w:pos="6804"/>
        </w:tabs>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Ministru prezidenta biedrs,</w:t>
      </w:r>
    </w:p>
    <w:p w:rsidR="005871C7" w:rsidRPr="002E707F" w:rsidRDefault="005871C7" w:rsidP="005871C7">
      <w:pPr>
        <w:tabs>
          <w:tab w:val="left" w:pos="6804"/>
        </w:tabs>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ekonomikas ministrs</w:t>
      </w:r>
      <w:r w:rsidRPr="002E707F">
        <w:rPr>
          <w:rFonts w:ascii="Times New Roman" w:eastAsia="Times New Roman" w:hAnsi="Times New Roman"/>
          <w:sz w:val="28"/>
          <w:szCs w:val="28"/>
          <w:lang w:eastAsia="lv-LV"/>
        </w:rPr>
        <w:tab/>
        <w:t xml:space="preserve">    </w:t>
      </w:r>
      <w:proofErr w:type="spellStart"/>
      <w:r w:rsidRPr="002E707F">
        <w:rPr>
          <w:rFonts w:ascii="Times New Roman" w:eastAsia="Times New Roman" w:hAnsi="Times New Roman"/>
          <w:sz w:val="28"/>
          <w:szCs w:val="28"/>
          <w:lang w:eastAsia="lv-LV"/>
        </w:rPr>
        <w:t>A.Ašeradens</w:t>
      </w:r>
      <w:proofErr w:type="spellEnd"/>
      <w:r w:rsidRPr="002E707F">
        <w:rPr>
          <w:rFonts w:ascii="Times New Roman" w:eastAsia="Times New Roman" w:hAnsi="Times New Roman"/>
          <w:sz w:val="28"/>
          <w:szCs w:val="28"/>
          <w:lang w:eastAsia="lv-LV"/>
        </w:rPr>
        <w:tab/>
      </w:r>
    </w:p>
    <w:p w:rsidR="00A74DF7" w:rsidRPr="001C256A" w:rsidRDefault="00A74DF7" w:rsidP="00A74DF7">
      <w:pPr>
        <w:spacing w:after="0"/>
        <w:rPr>
          <w:rFonts w:ascii="Times New Roman" w:eastAsia="Times New Roman" w:hAnsi="Times New Roman"/>
          <w:sz w:val="20"/>
          <w:szCs w:val="20"/>
          <w:lang w:eastAsia="lv-LV"/>
        </w:rPr>
      </w:pPr>
    </w:p>
    <w:p w:rsidR="005871C7" w:rsidRPr="002E707F" w:rsidRDefault="005871C7" w:rsidP="00A74DF7">
      <w:pPr>
        <w:spacing w:after="0"/>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 xml:space="preserve">Vīza: </w:t>
      </w:r>
    </w:p>
    <w:p w:rsidR="005871C7" w:rsidRPr="002E707F" w:rsidRDefault="005871C7" w:rsidP="005871C7">
      <w:pPr>
        <w:tabs>
          <w:tab w:val="left" w:pos="6804"/>
        </w:tabs>
        <w:spacing w:after="0" w:line="240" w:lineRule="auto"/>
        <w:rPr>
          <w:rFonts w:ascii="Times New Roman" w:eastAsia="Times New Roman" w:hAnsi="Times New Roman"/>
          <w:sz w:val="28"/>
          <w:szCs w:val="28"/>
          <w:lang w:eastAsia="lv-LV"/>
        </w:rPr>
      </w:pPr>
      <w:r w:rsidRPr="002E707F">
        <w:rPr>
          <w:rFonts w:ascii="Times New Roman" w:eastAsia="Times New Roman" w:hAnsi="Times New Roman"/>
          <w:sz w:val="28"/>
          <w:szCs w:val="28"/>
          <w:lang w:eastAsia="lv-LV"/>
        </w:rPr>
        <w:t>Valsts sekretāra vietnieks</w:t>
      </w:r>
      <w:r w:rsidRPr="002E707F">
        <w:rPr>
          <w:rFonts w:ascii="Times New Roman" w:eastAsia="Times New Roman" w:hAnsi="Times New Roman"/>
          <w:sz w:val="28"/>
          <w:szCs w:val="28"/>
          <w:lang w:eastAsia="lv-LV"/>
        </w:rPr>
        <w:tab/>
      </w:r>
      <w:r w:rsidRPr="002E707F">
        <w:rPr>
          <w:rFonts w:ascii="Times New Roman" w:eastAsia="Times New Roman" w:hAnsi="Times New Roman"/>
          <w:sz w:val="28"/>
          <w:szCs w:val="28"/>
          <w:lang w:eastAsia="lv-LV"/>
        </w:rPr>
        <w:tab/>
        <w:t xml:space="preserve">     </w:t>
      </w:r>
      <w:proofErr w:type="spellStart"/>
      <w:r w:rsidRPr="002E707F">
        <w:rPr>
          <w:rFonts w:ascii="Times New Roman" w:eastAsia="Times New Roman" w:hAnsi="Times New Roman"/>
          <w:sz w:val="28"/>
          <w:szCs w:val="28"/>
          <w:lang w:eastAsia="lv-LV"/>
        </w:rPr>
        <w:t>J.Stinka</w:t>
      </w:r>
      <w:proofErr w:type="spellEnd"/>
      <w:r w:rsidRPr="002E707F">
        <w:rPr>
          <w:rFonts w:ascii="Times New Roman" w:eastAsia="Times New Roman" w:hAnsi="Times New Roman"/>
          <w:sz w:val="28"/>
          <w:szCs w:val="28"/>
          <w:lang w:eastAsia="lv-LV"/>
        </w:rPr>
        <w:tab/>
      </w:r>
    </w:p>
    <w:p w:rsidR="00B40676" w:rsidRPr="002E707F" w:rsidRDefault="00627349" w:rsidP="002074BA">
      <w:pPr>
        <w:tabs>
          <w:tab w:val="left" w:pos="720"/>
          <w:tab w:val="left" w:pos="1440"/>
          <w:tab w:val="left" w:pos="3840"/>
        </w:tabs>
        <w:spacing w:after="0" w:line="240" w:lineRule="auto"/>
        <w:rPr>
          <w:rFonts w:ascii="Times New Roman" w:hAnsi="Times New Roman"/>
          <w:sz w:val="28"/>
          <w:szCs w:val="28"/>
        </w:rPr>
      </w:pPr>
      <w:r w:rsidRPr="002E707F">
        <w:rPr>
          <w:rFonts w:ascii="Times New Roman" w:hAnsi="Times New Roman"/>
          <w:bCs/>
          <w:sz w:val="28"/>
          <w:szCs w:val="28"/>
        </w:rPr>
        <w:tab/>
      </w:r>
      <w:r w:rsidRPr="002E707F">
        <w:rPr>
          <w:rFonts w:ascii="Times New Roman" w:hAnsi="Times New Roman"/>
          <w:bCs/>
          <w:sz w:val="28"/>
          <w:szCs w:val="28"/>
        </w:rPr>
        <w:tab/>
      </w:r>
      <w:r w:rsidR="002074BA">
        <w:rPr>
          <w:rFonts w:ascii="Times New Roman" w:hAnsi="Times New Roman"/>
          <w:bCs/>
          <w:sz w:val="28"/>
          <w:szCs w:val="28"/>
        </w:rPr>
        <w:tab/>
      </w:r>
    </w:p>
    <w:p w:rsidR="003073C2" w:rsidRPr="002E707F" w:rsidRDefault="00F37F05" w:rsidP="007D0894">
      <w:pPr>
        <w:spacing w:after="0" w:line="240" w:lineRule="auto"/>
        <w:rPr>
          <w:rFonts w:ascii="Times New Roman" w:hAnsi="Times New Roman"/>
          <w:sz w:val="24"/>
          <w:szCs w:val="24"/>
        </w:rPr>
      </w:pPr>
      <w:r>
        <w:rPr>
          <w:rFonts w:ascii="Times New Roman" w:hAnsi="Times New Roman"/>
          <w:sz w:val="24"/>
          <w:szCs w:val="24"/>
        </w:rPr>
        <w:t>2</w:t>
      </w:r>
      <w:r w:rsidR="00AC7AD7">
        <w:rPr>
          <w:rFonts w:ascii="Times New Roman" w:hAnsi="Times New Roman"/>
          <w:sz w:val="24"/>
          <w:szCs w:val="24"/>
        </w:rPr>
        <w:t>3</w:t>
      </w:r>
      <w:bookmarkStart w:id="0" w:name="_GoBack"/>
      <w:bookmarkEnd w:id="0"/>
      <w:r w:rsidR="002074BA">
        <w:rPr>
          <w:rFonts w:ascii="Times New Roman" w:hAnsi="Times New Roman"/>
          <w:sz w:val="24"/>
          <w:szCs w:val="24"/>
        </w:rPr>
        <w:t>.08</w:t>
      </w:r>
      <w:r w:rsidR="00EA162E">
        <w:rPr>
          <w:rFonts w:ascii="Times New Roman" w:hAnsi="Times New Roman"/>
          <w:sz w:val="24"/>
          <w:szCs w:val="24"/>
        </w:rPr>
        <w:t>.2017</w:t>
      </w:r>
      <w:r w:rsidR="00000C18" w:rsidRPr="002E707F">
        <w:rPr>
          <w:rFonts w:ascii="Times New Roman" w:hAnsi="Times New Roman"/>
          <w:sz w:val="24"/>
          <w:szCs w:val="24"/>
        </w:rPr>
        <w:t>.</w:t>
      </w:r>
    </w:p>
    <w:p w:rsidR="009F0220" w:rsidRPr="002E707F" w:rsidRDefault="00EA162E" w:rsidP="00627D28">
      <w:pPr>
        <w:pStyle w:val="naisf"/>
        <w:spacing w:before="0" w:beforeAutospacing="0" w:after="0" w:afterAutospacing="0"/>
      </w:pPr>
      <w:r>
        <w:t>Soida</w:t>
      </w:r>
      <w:r w:rsidR="005871C7" w:rsidRPr="002E707F">
        <w:t xml:space="preserve">, </w:t>
      </w:r>
      <w:r w:rsidR="007D0894" w:rsidRPr="002E707F">
        <w:t>67013</w:t>
      </w:r>
      <w:r w:rsidR="007D0894">
        <w:t>034</w:t>
      </w:r>
    </w:p>
    <w:p w:rsidR="003D3A2C" w:rsidRPr="004C7F28" w:rsidRDefault="009668D3" w:rsidP="002A331D">
      <w:pPr>
        <w:rPr>
          <w:rFonts w:ascii="Times New Roman" w:hAnsi="Times New Roman"/>
          <w:sz w:val="24"/>
          <w:szCs w:val="24"/>
        </w:rPr>
      </w:pPr>
      <w:hyperlink r:id="rId8" w:history="1">
        <w:r w:rsidR="00EA162E" w:rsidRPr="0042797B">
          <w:rPr>
            <w:rStyle w:val="Hyperlink"/>
            <w:rFonts w:ascii="Times New Roman" w:eastAsia="Times New Roman" w:hAnsi="Times New Roman"/>
            <w:sz w:val="24"/>
            <w:szCs w:val="24"/>
          </w:rPr>
          <w:t>santa.soida@em.gov.lv</w:t>
        </w:r>
      </w:hyperlink>
    </w:p>
    <w:sectPr w:rsidR="003D3A2C" w:rsidRPr="004C7F28" w:rsidSect="00627D28">
      <w:headerReference w:type="default" r:id="rId9"/>
      <w:footerReference w:type="default" r:id="rId10"/>
      <w:footerReference w:type="first" r:id="rId11"/>
      <w:pgSz w:w="11906" w:h="16838"/>
      <w:pgMar w:top="1418" w:right="1134" w:bottom="1134" w:left="1701" w:header="709" w:footer="7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8D3" w:rsidRDefault="009668D3" w:rsidP="0075141E">
      <w:pPr>
        <w:spacing w:after="0" w:line="240" w:lineRule="auto"/>
      </w:pPr>
      <w:r>
        <w:separator/>
      </w:r>
    </w:p>
  </w:endnote>
  <w:endnote w:type="continuationSeparator" w:id="0">
    <w:p w:rsidR="009668D3" w:rsidRDefault="009668D3" w:rsidP="0075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2E" w:rsidRPr="009911B4" w:rsidRDefault="001D0C2E" w:rsidP="002261B2">
    <w:pPr>
      <w:pStyle w:val="Footer"/>
      <w:spacing w:after="0" w:line="240" w:lineRule="auto"/>
      <w:jc w:val="both"/>
      <w:rPr>
        <w:rFonts w:ascii="Times New Roman" w:hAnsi="Times New Roman"/>
        <w:b/>
        <w:sz w:val="24"/>
        <w:szCs w:val="24"/>
      </w:rPr>
    </w:pPr>
    <w:r w:rsidRPr="009911B4">
      <w:rPr>
        <w:rFonts w:ascii="Times New Roman" w:hAnsi="Times New Roman"/>
        <w:sz w:val="24"/>
        <w:szCs w:val="24"/>
      </w:rPr>
      <w:t>EMAnot_</w:t>
    </w:r>
    <w:r w:rsidR="00AC7AD7">
      <w:rPr>
        <w:rFonts w:ascii="Times New Roman" w:hAnsi="Times New Roman"/>
        <w:sz w:val="24"/>
        <w:szCs w:val="24"/>
      </w:rPr>
      <w:t>23</w:t>
    </w:r>
    <w:r w:rsidR="002074BA">
      <w:rPr>
        <w:rFonts w:ascii="Times New Roman" w:hAnsi="Times New Roman"/>
        <w:sz w:val="24"/>
        <w:szCs w:val="24"/>
      </w:rPr>
      <w:t>08</w:t>
    </w:r>
    <w:r>
      <w:rPr>
        <w:rFonts w:ascii="Times New Roman" w:hAnsi="Times New Roman"/>
        <w:sz w:val="24"/>
        <w:szCs w:val="24"/>
      </w:rPr>
      <w:t>17</w:t>
    </w:r>
    <w:r w:rsidRPr="009911B4">
      <w:rPr>
        <w:rFonts w:ascii="Times New Roman" w:hAnsi="Times New Roman"/>
        <w:sz w:val="24"/>
        <w:szCs w:val="24"/>
      </w:rPr>
      <w:t>_</w:t>
    </w:r>
    <w:r>
      <w:rPr>
        <w:rFonts w:ascii="Times New Roman" w:hAnsi="Times New Roman"/>
        <w:sz w:val="24"/>
        <w:szCs w:val="24"/>
      </w:rPr>
      <w:t>buvkomersanti</w:t>
    </w:r>
    <w:r w:rsidRPr="009911B4">
      <w:rPr>
        <w:rFonts w:ascii="Times New Roman" w:hAnsi="Times New Roman"/>
        <w:sz w:val="24"/>
        <w:szCs w:val="24"/>
      </w:rPr>
      <w:t xml:space="preserve"> </w:t>
    </w:r>
  </w:p>
  <w:p w:rsidR="001D0C2E" w:rsidRPr="002261B2" w:rsidRDefault="001D0C2E" w:rsidP="00226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2E" w:rsidRPr="009911B4" w:rsidRDefault="001D0C2E" w:rsidP="00BA1DC6">
    <w:pPr>
      <w:pStyle w:val="Footer"/>
      <w:spacing w:after="0" w:line="240" w:lineRule="auto"/>
      <w:jc w:val="both"/>
      <w:rPr>
        <w:rFonts w:ascii="Times New Roman" w:hAnsi="Times New Roman"/>
        <w:b/>
        <w:sz w:val="24"/>
        <w:szCs w:val="24"/>
      </w:rPr>
    </w:pPr>
    <w:r w:rsidRPr="009911B4">
      <w:rPr>
        <w:rFonts w:ascii="Times New Roman" w:hAnsi="Times New Roman"/>
        <w:sz w:val="24"/>
        <w:szCs w:val="24"/>
      </w:rPr>
      <w:t>EMAnot_</w:t>
    </w:r>
    <w:r w:rsidR="00AC7AD7">
      <w:rPr>
        <w:rFonts w:ascii="Times New Roman" w:hAnsi="Times New Roman"/>
        <w:sz w:val="24"/>
        <w:szCs w:val="24"/>
      </w:rPr>
      <w:t>23</w:t>
    </w:r>
    <w:r w:rsidR="002074BA">
      <w:rPr>
        <w:rFonts w:ascii="Times New Roman" w:hAnsi="Times New Roman"/>
        <w:sz w:val="24"/>
        <w:szCs w:val="24"/>
      </w:rPr>
      <w:t>08</w:t>
    </w:r>
    <w:r>
      <w:rPr>
        <w:rFonts w:ascii="Times New Roman" w:hAnsi="Times New Roman"/>
        <w:sz w:val="24"/>
        <w:szCs w:val="24"/>
      </w:rPr>
      <w:t>17</w:t>
    </w:r>
    <w:r w:rsidRPr="009911B4">
      <w:rPr>
        <w:rFonts w:ascii="Times New Roman" w:hAnsi="Times New Roman"/>
        <w:sz w:val="24"/>
        <w:szCs w:val="24"/>
      </w:rPr>
      <w:t>_</w:t>
    </w:r>
    <w:r>
      <w:rPr>
        <w:rFonts w:ascii="Times New Roman" w:hAnsi="Times New Roman"/>
        <w:sz w:val="24"/>
        <w:szCs w:val="24"/>
      </w:rPr>
      <w:t>buvkomersanti</w:t>
    </w:r>
    <w:r w:rsidRPr="009911B4">
      <w:rPr>
        <w:rFonts w:ascii="Times New Roman" w:hAnsi="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8D3" w:rsidRDefault="009668D3" w:rsidP="0075141E">
      <w:pPr>
        <w:spacing w:after="0" w:line="240" w:lineRule="auto"/>
      </w:pPr>
      <w:r>
        <w:separator/>
      </w:r>
    </w:p>
  </w:footnote>
  <w:footnote w:type="continuationSeparator" w:id="0">
    <w:p w:rsidR="009668D3" w:rsidRDefault="009668D3" w:rsidP="0075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2E" w:rsidRPr="002226F8" w:rsidRDefault="001D0C2E" w:rsidP="0001022C">
    <w:pPr>
      <w:pStyle w:val="Header"/>
      <w:jc w:val="center"/>
      <w:rPr>
        <w:rFonts w:ascii="Times New Roman" w:hAnsi="Times New Roman"/>
        <w:sz w:val="24"/>
        <w:szCs w:val="24"/>
      </w:rPr>
    </w:pPr>
    <w:r w:rsidRPr="00BA5B93">
      <w:rPr>
        <w:rFonts w:ascii="Times New Roman" w:hAnsi="Times New Roman"/>
        <w:sz w:val="24"/>
        <w:szCs w:val="24"/>
      </w:rPr>
      <w:fldChar w:fldCharType="begin"/>
    </w:r>
    <w:r w:rsidRPr="00BA5B93">
      <w:rPr>
        <w:rFonts w:ascii="Times New Roman" w:hAnsi="Times New Roman"/>
        <w:sz w:val="24"/>
        <w:szCs w:val="24"/>
      </w:rPr>
      <w:instrText xml:space="preserve"> PAGE   \* MERGEFORMAT </w:instrText>
    </w:r>
    <w:r w:rsidRPr="00BA5B93">
      <w:rPr>
        <w:rFonts w:ascii="Times New Roman" w:hAnsi="Times New Roman"/>
        <w:sz w:val="24"/>
        <w:szCs w:val="24"/>
      </w:rPr>
      <w:fldChar w:fldCharType="separate"/>
    </w:r>
    <w:r w:rsidR="00AC7AD7">
      <w:rPr>
        <w:rFonts w:ascii="Times New Roman" w:hAnsi="Times New Roman"/>
        <w:noProof/>
        <w:sz w:val="24"/>
        <w:szCs w:val="24"/>
      </w:rPr>
      <w:t>10</w:t>
    </w:r>
    <w:r w:rsidRPr="00BA5B9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474"/>
    <w:multiLevelType w:val="hybridMultilevel"/>
    <w:tmpl w:val="9FCE4496"/>
    <w:lvl w:ilvl="0" w:tplc="413E33D4">
      <w:start w:val="1"/>
      <w:numFmt w:val="decimal"/>
      <w:lvlText w:val="%1."/>
      <w:lvlJc w:val="left"/>
      <w:pPr>
        <w:ind w:left="792" w:hanging="43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1639B4"/>
    <w:multiLevelType w:val="hybridMultilevel"/>
    <w:tmpl w:val="3230E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7436C"/>
    <w:multiLevelType w:val="hybridMultilevel"/>
    <w:tmpl w:val="E41201E6"/>
    <w:lvl w:ilvl="0" w:tplc="7564DD7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8523F37"/>
    <w:multiLevelType w:val="hybridMultilevel"/>
    <w:tmpl w:val="00E468B4"/>
    <w:lvl w:ilvl="0" w:tplc="5226E112">
      <w:start w:val="1"/>
      <w:numFmt w:val="upperRoman"/>
      <w:lvlText w:val="%1."/>
      <w:lvlJc w:val="left"/>
      <w:pPr>
        <w:ind w:left="822" w:hanging="72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4" w15:restartNumberingAfterBreak="0">
    <w:nsid w:val="1BF53611"/>
    <w:multiLevelType w:val="hybridMultilevel"/>
    <w:tmpl w:val="16DA2E7C"/>
    <w:lvl w:ilvl="0" w:tplc="223A7AB0">
      <w:start w:val="1"/>
      <w:numFmt w:val="upperRoman"/>
      <w:lvlText w:val="%1."/>
      <w:lvlJc w:val="left"/>
      <w:pPr>
        <w:ind w:left="1259" w:hanging="72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5" w15:restartNumberingAfterBreak="0">
    <w:nsid w:val="2B7D03F4"/>
    <w:multiLevelType w:val="hybridMultilevel"/>
    <w:tmpl w:val="3F1218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44A49D7"/>
    <w:multiLevelType w:val="hybridMultilevel"/>
    <w:tmpl w:val="DDFEDA48"/>
    <w:lvl w:ilvl="0" w:tplc="1D0A63A2">
      <w:start w:val="1"/>
      <w:numFmt w:val="decimal"/>
      <w:lvlText w:val="%1."/>
      <w:lvlJc w:val="left"/>
      <w:pPr>
        <w:ind w:left="435" w:hanging="360"/>
      </w:pPr>
      <w:rPr>
        <w:rFont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7" w15:restartNumberingAfterBreak="0">
    <w:nsid w:val="376E3EB9"/>
    <w:multiLevelType w:val="hybridMultilevel"/>
    <w:tmpl w:val="E3C0C6B2"/>
    <w:lvl w:ilvl="0" w:tplc="04260011">
      <w:start w:val="1"/>
      <w:numFmt w:val="decimal"/>
      <w:lvlText w:val="%1)"/>
      <w:lvlJc w:val="left"/>
      <w:pPr>
        <w:ind w:left="36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1D044B"/>
    <w:multiLevelType w:val="hybridMultilevel"/>
    <w:tmpl w:val="81E47C22"/>
    <w:lvl w:ilvl="0" w:tplc="04260013">
      <w:start w:val="1"/>
      <w:numFmt w:val="upperRoman"/>
      <w:lvlText w:val="%1."/>
      <w:lvlJc w:val="right"/>
      <w:pPr>
        <w:ind w:left="1261" w:hanging="360"/>
      </w:pPr>
    </w:lvl>
    <w:lvl w:ilvl="1" w:tplc="04260019" w:tentative="1">
      <w:start w:val="1"/>
      <w:numFmt w:val="lowerLetter"/>
      <w:lvlText w:val="%2."/>
      <w:lvlJc w:val="left"/>
      <w:pPr>
        <w:ind w:left="1981" w:hanging="360"/>
      </w:pPr>
    </w:lvl>
    <w:lvl w:ilvl="2" w:tplc="0426001B" w:tentative="1">
      <w:start w:val="1"/>
      <w:numFmt w:val="lowerRoman"/>
      <w:lvlText w:val="%3."/>
      <w:lvlJc w:val="right"/>
      <w:pPr>
        <w:ind w:left="2701" w:hanging="180"/>
      </w:pPr>
    </w:lvl>
    <w:lvl w:ilvl="3" w:tplc="0426000F" w:tentative="1">
      <w:start w:val="1"/>
      <w:numFmt w:val="decimal"/>
      <w:lvlText w:val="%4."/>
      <w:lvlJc w:val="left"/>
      <w:pPr>
        <w:ind w:left="3421" w:hanging="360"/>
      </w:pPr>
    </w:lvl>
    <w:lvl w:ilvl="4" w:tplc="04260019" w:tentative="1">
      <w:start w:val="1"/>
      <w:numFmt w:val="lowerLetter"/>
      <w:lvlText w:val="%5."/>
      <w:lvlJc w:val="left"/>
      <w:pPr>
        <w:ind w:left="4141" w:hanging="360"/>
      </w:pPr>
    </w:lvl>
    <w:lvl w:ilvl="5" w:tplc="0426001B" w:tentative="1">
      <w:start w:val="1"/>
      <w:numFmt w:val="lowerRoman"/>
      <w:lvlText w:val="%6."/>
      <w:lvlJc w:val="right"/>
      <w:pPr>
        <w:ind w:left="4861" w:hanging="180"/>
      </w:pPr>
    </w:lvl>
    <w:lvl w:ilvl="6" w:tplc="0426000F" w:tentative="1">
      <w:start w:val="1"/>
      <w:numFmt w:val="decimal"/>
      <w:lvlText w:val="%7."/>
      <w:lvlJc w:val="left"/>
      <w:pPr>
        <w:ind w:left="5581" w:hanging="360"/>
      </w:pPr>
    </w:lvl>
    <w:lvl w:ilvl="7" w:tplc="04260019" w:tentative="1">
      <w:start w:val="1"/>
      <w:numFmt w:val="lowerLetter"/>
      <w:lvlText w:val="%8."/>
      <w:lvlJc w:val="left"/>
      <w:pPr>
        <w:ind w:left="6301" w:hanging="360"/>
      </w:pPr>
    </w:lvl>
    <w:lvl w:ilvl="8" w:tplc="0426001B" w:tentative="1">
      <w:start w:val="1"/>
      <w:numFmt w:val="lowerRoman"/>
      <w:lvlText w:val="%9."/>
      <w:lvlJc w:val="right"/>
      <w:pPr>
        <w:ind w:left="7021" w:hanging="180"/>
      </w:pPr>
    </w:lvl>
  </w:abstractNum>
  <w:abstractNum w:abstractNumId="9" w15:restartNumberingAfterBreak="0">
    <w:nsid w:val="645C5ADF"/>
    <w:multiLevelType w:val="hybridMultilevel"/>
    <w:tmpl w:val="6172B106"/>
    <w:lvl w:ilvl="0" w:tplc="DA1AD434">
      <w:start w:val="7"/>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C095B89"/>
    <w:multiLevelType w:val="hybridMultilevel"/>
    <w:tmpl w:val="0BF2C07C"/>
    <w:lvl w:ilvl="0" w:tplc="CC0ED69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71C84D44"/>
    <w:multiLevelType w:val="hybridMultilevel"/>
    <w:tmpl w:val="5094B296"/>
    <w:lvl w:ilvl="0" w:tplc="17AEF0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5E28B8"/>
    <w:multiLevelType w:val="hybridMultilevel"/>
    <w:tmpl w:val="00BC688A"/>
    <w:lvl w:ilvl="0" w:tplc="9DA66A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EF66C5"/>
    <w:multiLevelType w:val="hybridMultilevel"/>
    <w:tmpl w:val="00E468B4"/>
    <w:lvl w:ilvl="0" w:tplc="5226E112">
      <w:start w:val="1"/>
      <w:numFmt w:val="upperRoman"/>
      <w:lvlText w:val="%1."/>
      <w:lvlJc w:val="left"/>
      <w:pPr>
        <w:ind w:left="822" w:hanging="72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14" w15:restartNumberingAfterBreak="0">
    <w:nsid w:val="7E6E0E7F"/>
    <w:multiLevelType w:val="hybridMultilevel"/>
    <w:tmpl w:val="5C3E0EF0"/>
    <w:lvl w:ilvl="0" w:tplc="A2AC3B9C">
      <w:start w:val="1"/>
      <w:numFmt w:val="lowerLetter"/>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2"/>
  </w:num>
  <w:num w:numId="2">
    <w:abstractNumId w:val="1"/>
  </w:num>
  <w:num w:numId="3">
    <w:abstractNumId w:val="6"/>
  </w:num>
  <w:num w:numId="4">
    <w:abstractNumId w:val="7"/>
  </w:num>
  <w:num w:numId="5">
    <w:abstractNumId w:val="5"/>
  </w:num>
  <w:num w:numId="6">
    <w:abstractNumId w:val="10"/>
  </w:num>
  <w:num w:numId="7">
    <w:abstractNumId w:val="14"/>
  </w:num>
  <w:num w:numId="8">
    <w:abstractNumId w:val="9"/>
  </w:num>
  <w:num w:numId="9">
    <w:abstractNumId w:val="4"/>
  </w:num>
  <w:num w:numId="10">
    <w:abstractNumId w:val="11"/>
  </w:num>
  <w:num w:numId="11">
    <w:abstractNumId w:val="12"/>
  </w:num>
  <w:num w:numId="12">
    <w:abstractNumId w:val="13"/>
  </w:num>
  <w:num w:numId="13">
    <w:abstractNumId w:val="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84"/>
    <w:rsid w:val="00000C18"/>
    <w:rsid w:val="00001170"/>
    <w:rsid w:val="000028EE"/>
    <w:rsid w:val="00002C4A"/>
    <w:rsid w:val="000037F6"/>
    <w:rsid w:val="0000588F"/>
    <w:rsid w:val="00006C7F"/>
    <w:rsid w:val="0000710E"/>
    <w:rsid w:val="00007FE7"/>
    <w:rsid w:val="0001022C"/>
    <w:rsid w:val="0001080B"/>
    <w:rsid w:val="000112D5"/>
    <w:rsid w:val="00011A98"/>
    <w:rsid w:val="00012040"/>
    <w:rsid w:val="000124F4"/>
    <w:rsid w:val="00012584"/>
    <w:rsid w:val="0001297B"/>
    <w:rsid w:val="00012A36"/>
    <w:rsid w:val="00012FAB"/>
    <w:rsid w:val="000137EA"/>
    <w:rsid w:val="00014B98"/>
    <w:rsid w:val="00014CA7"/>
    <w:rsid w:val="00015135"/>
    <w:rsid w:val="000162B1"/>
    <w:rsid w:val="00020275"/>
    <w:rsid w:val="000203C1"/>
    <w:rsid w:val="000208B7"/>
    <w:rsid w:val="00020D34"/>
    <w:rsid w:val="00020DEE"/>
    <w:rsid w:val="000240B4"/>
    <w:rsid w:val="00026323"/>
    <w:rsid w:val="0002667B"/>
    <w:rsid w:val="00026AF4"/>
    <w:rsid w:val="000306E5"/>
    <w:rsid w:val="000307A5"/>
    <w:rsid w:val="00030D7A"/>
    <w:rsid w:val="00031A4E"/>
    <w:rsid w:val="00031E08"/>
    <w:rsid w:val="0003233D"/>
    <w:rsid w:val="0003359C"/>
    <w:rsid w:val="000337EF"/>
    <w:rsid w:val="000352D9"/>
    <w:rsid w:val="00035610"/>
    <w:rsid w:val="0003575F"/>
    <w:rsid w:val="00035EB5"/>
    <w:rsid w:val="00036706"/>
    <w:rsid w:val="000370B7"/>
    <w:rsid w:val="00037195"/>
    <w:rsid w:val="0004046B"/>
    <w:rsid w:val="00041DBD"/>
    <w:rsid w:val="000427E4"/>
    <w:rsid w:val="000428E8"/>
    <w:rsid w:val="0004393D"/>
    <w:rsid w:val="0004428B"/>
    <w:rsid w:val="0004454E"/>
    <w:rsid w:val="00044DC7"/>
    <w:rsid w:val="000453FC"/>
    <w:rsid w:val="00045AF4"/>
    <w:rsid w:val="0004665B"/>
    <w:rsid w:val="0004684E"/>
    <w:rsid w:val="00046C95"/>
    <w:rsid w:val="00047BBF"/>
    <w:rsid w:val="00047BD9"/>
    <w:rsid w:val="000502F1"/>
    <w:rsid w:val="000560D7"/>
    <w:rsid w:val="00061049"/>
    <w:rsid w:val="00062122"/>
    <w:rsid w:val="000635C8"/>
    <w:rsid w:val="00064E61"/>
    <w:rsid w:val="000658C9"/>
    <w:rsid w:val="00065EB4"/>
    <w:rsid w:val="000664F2"/>
    <w:rsid w:val="0006656B"/>
    <w:rsid w:val="00066D5C"/>
    <w:rsid w:val="00070EA7"/>
    <w:rsid w:val="000715EF"/>
    <w:rsid w:val="00071D4C"/>
    <w:rsid w:val="00071EB3"/>
    <w:rsid w:val="0007250C"/>
    <w:rsid w:val="000729A2"/>
    <w:rsid w:val="000731E0"/>
    <w:rsid w:val="000738FC"/>
    <w:rsid w:val="00073A7F"/>
    <w:rsid w:val="00073D44"/>
    <w:rsid w:val="000745AF"/>
    <w:rsid w:val="000752DD"/>
    <w:rsid w:val="00077704"/>
    <w:rsid w:val="00077D56"/>
    <w:rsid w:val="0008039A"/>
    <w:rsid w:val="00080F34"/>
    <w:rsid w:val="000810F2"/>
    <w:rsid w:val="00081251"/>
    <w:rsid w:val="00081519"/>
    <w:rsid w:val="000824E2"/>
    <w:rsid w:val="000827B8"/>
    <w:rsid w:val="00082983"/>
    <w:rsid w:val="00082F20"/>
    <w:rsid w:val="00083126"/>
    <w:rsid w:val="00085B0D"/>
    <w:rsid w:val="0008630C"/>
    <w:rsid w:val="00086716"/>
    <w:rsid w:val="000908F3"/>
    <w:rsid w:val="00090C15"/>
    <w:rsid w:val="00091C2A"/>
    <w:rsid w:val="00094279"/>
    <w:rsid w:val="0009524F"/>
    <w:rsid w:val="00095302"/>
    <w:rsid w:val="00095845"/>
    <w:rsid w:val="00095FE1"/>
    <w:rsid w:val="000960C2"/>
    <w:rsid w:val="000976CE"/>
    <w:rsid w:val="000A02F0"/>
    <w:rsid w:val="000A076D"/>
    <w:rsid w:val="000A08B2"/>
    <w:rsid w:val="000A1B06"/>
    <w:rsid w:val="000A2ACE"/>
    <w:rsid w:val="000A3A40"/>
    <w:rsid w:val="000A439A"/>
    <w:rsid w:val="000A4C2C"/>
    <w:rsid w:val="000A4FA6"/>
    <w:rsid w:val="000A5D54"/>
    <w:rsid w:val="000A5DF2"/>
    <w:rsid w:val="000A5FCC"/>
    <w:rsid w:val="000A75CE"/>
    <w:rsid w:val="000A7C18"/>
    <w:rsid w:val="000B0113"/>
    <w:rsid w:val="000B0D26"/>
    <w:rsid w:val="000B2284"/>
    <w:rsid w:val="000B2F2F"/>
    <w:rsid w:val="000B3880"/>
    <w:rsid w:val="000B413F"/>
    <w:rsid w:val="000B4151"/>
    <w:rsid w:val="000B475D"/>
    <w:rsid w:val="000B7043"/>
    <w:rsid w:val="000B735F"/>
    <w:rsid w:val="000B7F2A"/>
    <w:rsid w:val="000C0B24"/>
    <w:rsid w:val="000C0D46"/>
    <w:rsid w:val="000C1BAC"/>
    <w:rsid w:val="000C1C2A"/>
    <w:rsid w:val="000C2331"/>
    <w:rsid w:val="000C362D"/>
    <w:rsid w:val="000C5272"/>
    <w:rsid w:val="000C67E2"/>
    <w:rsid w:val="000C78F7"/>
    <w:rsid w:val="000D0309"/>
    <w:rsid w:val="000D0858"/>
    <w:rsid w:val="000D0F7E"/>
    <w:rsid w:val="000D138D"/>
    <w:rsid w:val="000D1FDF"/>
    <w:rsid w:val="000D2801"/>
    <w:rsid w:val="000D282E"/>
    <w:rsid w:val="000D2D4A"/>
    <w:rsid w:val="000D4005"/>
    <w:rsid w:val="000D559D"/>
    <w:rsid w:val="000D690F"/>
    <w:rsid w:val="000D77E0"/>
    <w:rsid w:val="000E1D5E"/>
    <w:rsid w:val="000E3497"/>
    <w:rsid w:val="000E4561"/>
    <w:rsid w:val="000E4782"/>
    <w:rsid w:val="000E668B"/>
    <w:rsid w:val="000E6BCC"/>
    <w:rsid w:val="000E6C9B"/>
    <w:rsid w:val="000E6F3C"/>
    <w:rsid w:val="000E7AF1"/>
    <w:rsid w:val="000F044D"/>
    <w:rsid w:val="000F1BA9"/>
    <w:rsid w:val="000F293E"/>
    <w:rsid w:val="000F33A4"/>
    <w:rsid w:val="000F3BF1"/>
    <w:rsid w:val="000F3F52"/>
    <w:rsid w:val="000F48C7"/>
    <w:rsid w:val="000F50B8"/>
    <w:rsid w:val="000F54B8"/>
    <w:rsid w:val="000F62C7"/>
    <w:rsid w:val="000F74F5"/>
    <w:rsid w:val="000F77D2"/>
    <w:rsid w:val="00100178"/>
    <w:rsid w:val="00100919"/>
    <w:rsid w:val="00101277"/>
    <w:rsid w:val="00101DC0"/>
    <w:rsid w:val="00101EB6"/>
    <w:rsid w:val="00102BAF"/>
    <w:rsid w:val="00103388"/>
    <w:rsid w:val="001035A2"/>
    <w:rsid w:val="001045A2"/>
    <w:rsid w:val="00105B72"/>
    <w:rsid w:val="001060E8"/>
    <w:rsid w:val="00107418"/>
    <w:rsid w:val="0011014D"/>
    <w:rsid w:val="00110296"/>
    <w:rsid w:val="001104B3"/>
    <w:rsid w:val="00110773"/>
    <w:rsid w:val="001114BE"/>
    <w:rsid w:val="001125A6"/>
    <w:rsid w:val="00112753"/>
    <w:rsid w:val="001132BE"/>
    <w:rsid w:val="0011366E"/>
    <w:rsid w:val="00114342"/>
    <w:rsid w:val="0011434C"/>
    <w:rsid w:val="00114363"/>
    <w:rsid w:val="001148EE"/>
    <w:rsid w:val="001156BD"/>
    <w:rsid w:val="001156EB"/>
    <w:rsid w:val="00115966"/>
    <w:rsid w:val="001161E1"/>
    <w:rsid w:val="001163CE"/>
    <w:rsid w:val="00116A7B"/>
    <w:rsid w:val="001173A9"/>
    <w:rsid w:val="00117C1A"/>
    <w:rsid w:val="00117F1B"/>
    <w:rsid w:val="00120F8F"/>
    <w:rsid w:val="00121C8B"/>
    <w:rsid w:val="00121D5F"/>
    <w:rsid w:val="00121ED2"/>
    <w:rsid w:val="001238D0"/>
    <w:rsid w:val="00124073"/>
    <w:rsid w:val="00124987"/>
    <w:rsid w:val="001253EB"/>
    <w:rsid w:val="00126D40"/>
    <w:rsid w:val="00130408"/>
    <w:rsid w:val="00130435"/>
    <w:rsid w:val="00130EC4"/>
    <w:rsid w:val="0013195F"/>
    <w:rsid w:val="00131EA1"/>
    <w:rsid w:val="00132F68"/>
    <w:rsid w:val="001333CB"/>
    <w:rsid w:val="0013547C"/>
    <w:rsid w:val="001365EE"/>
    <w:rsid w:val="0013667F"/>
    <w:rsid w:val="00136A62"/>
    <w:rsid w:val="00137C47"/>
    <w:rsid w:val="00137F32"/>
    <w:rsid w:val="00140051"/>
    <w:rsid w:val="0014037E"/>
    <w:rsid w:val="00140EEC"/>
    <w:rsid w:val="00141B69"/>
    <w:rsid w:val="00144382"/>
    <w:rsid w:val="001445A5"/>
    <w:rsid w:val="00144D35"/>
    <w:rsid w:val="00146A76"/>
    <w:rsid w:val="001473E9"/>
    <w:rsid w:val="0015149F"/>
    <w:rsid w:val="00151C22"/>
    <w:rsid w:val="00151DF0"/>
    <w:rsid w:val="00151EB6"/>
    <w:rsid w:val="00152003"/>
    <w:rsid w:val="0015239F"/>
    <w:rsid w:val="00152555"/>
    <w:rsid w:val="001525D5"/>
    <w:rsid w:val="0015281D"/>
    <w:rsid w:val="00154259"/>
    <w:rsid w:val="00154C25"/>
    <w:rsid w:val="001557DE"/>
    <w:rsid w:val="0015641E"/>
    <w:rsid w:val="00157648"/>
    <w:rsid w:val="00157DFF"/>
    <w:rsid w:val="00157E55"/>
    <w:rsid w:val="00160D4B"/>
    <w:rsid w:val="00162C23"/>
    <w:rsid w:val="00163AF1"/>
    <w:rsid w:val="00164CDE"/>
    <w:rsid w:val="00165725"/>
    <w:rsid w:val="00165C4D"/>
    <w:rsid w:val="00165C8E"/>
    <w:rsid w:val="00166163"/>
    <w:rsid w:val="00166F50"/>
    <w:rsid w:val="0017006F"/>
    <w:rsid w:val="00170E87"/>
    <w:rsid w:val="00172F3A"/>
    <w:rsid w:val="0017379F"/>
    <w:rsid w:val="001737B3"/>
    <w:rsid w:val="0017504E"/>
    <w:rsid w:val="00176AEF"/>
    <w:rsid w:val="00176C84"/>
    <w:rsid w:val="001811D2"/>
    <w:rsid w:val="00182142"/>
    <w:rsid w:val="00183B03"/>
    <w:rsid w:val="00183D59"/>
    <w:rsid w:val="00183E39"/>
    <w:rsid w:val="00184472"/>
    <w:rsid w:val="00184EDB"/>
    <w:rsid w:val="00184FE9"/>
    <w:rsid w:val="00185735"/>
    <w:rsid w:val="0018599E"/>
    <w:rsid w:val="00185C3C"/>
    <w:rsid w:val="00186274"/>
    <w:rsid w:val="001872A5"/>
    <w:rsid w:val="00187A0E"/>
    <w:rsid w:val="00190788"/>
    <w:rsid w:val="001919E4"/>
    <w:rsid w:val="00192564"/>
    <w:rsid w:val="00192DF6"/>
    <w:rsid w:val="00193050"/>
    <w:rsid w:val="00193AE9"/>
    <w:rsid w:val="00193DFA"/>
    <w:rsid w:val="0019490E"/>
    <w:rsid w:val="00194AD3"/>
    <w:rsid w:val="001964DE"/>
    <w:rsid w:val="00196C42"/>
    <w:rsid w:val="001A084C"/>
    <w:rsid w:val="001A1D41"/>
    <w:rsid w:val="001A35A0"/>
    <w:rsid w:val="001A3952"/>
    <w:rsid w:val="001A5C3B"/>
    <w:rsid w:val="001A5F17"/>
    <w:rsid w:val="001A657A"/>
    <w:rsid w:val="001A68EE"/>
    <w:rsid w:val="001A7C28"/>
    <w:rsid w:val="001B0387"/>
    <w:rsid w:val="001B0B23"/>
    <w:rsid w:val="001B1063"/>
    <w:rsid w:val="001B235E"/>
    <w:rsid w:val="001B452C"/>
    <w:rsid w:val="001B4792"/>
    <w:rsid w:val="001B4857"/>
    <w:rsid w:val="001B559D"/>
    <w:rsid w:val="001B6A7C"/>
    <w:rsid w:val="001B7675"/>
    <w:rsid w:val="001B7E95"/>
    <w:rsid w:val="001C1311"/>
    <w:rsid w:val="001C14F7"/>
    <w:rsid w:val="001C256A"/>
    <w:rsid w:val="001C2FAD"/>
    <w:rsid w:val="001C47C8"/>
    <w:rsid w:val="001C4F50"/>
    <w:rsid w:val="001C5E0C"/>
    <w:rsid w:val="001C6DC3"/>
    <w:rsid w:val="001D0221"/>
    <w:rsid w:val="001D0476"/>
    <w:rsid w:val="001D0568"/>
    <w:rsid w:val="001D0685"/>
    <w:rsid w:val="001D0C2E"/>
    <w:rsid w:val="001D0ED9"/>
    <w:rsid w:val="001D2398"/>
    <w:rsid w:val="001D2B29"/>
    <w:rsid w:val="001D3ABF"/>
    <w:rsid w:val="001D459E"/>
    <w:rsid w:val="001D47D9"/>
    <w:rsid w:val="001D4D30"/>
    <w:rsid w:val="001D681C"/>
    <w:rsid w:val="001D6D2D"/>
    <w:rsid w:val="001E027C"/>
    <w:rsid w:val="001E0468"/>
    <w:rsid w:val="001E0624"/>
    <w:rsid w:val="001E179D"/>
    <w:rsid w:val="001E32C0"/>
    <w:rsid w:val="001E4659"/>
    <w:rsid w:val="001E5A9B"/>
    <w:rsid w:val="001E6353"/>
    <w:rsid w:val="001E680F"/>
    <w:rsid w:val="001E71B3"/>
    <w:rsid w:val="001E73E5"/>
    <w:rsid w:val="001E7D44"/>
    <w:rsid w:val="001E7E36"/>
    <w:rsid w:val="001F0CE9"/>
    <w:rsid w:val="001F0E53"/>
    <w:rsid w:val="001F0F87"/>
    <w:rsid w:val="001F22AF"/>
    <w:rsid w:val="001F284E"/>
    <w:rsid w:val="001F3D09"/>
    <w:rsid w:val="001F4E53"/>
    <w:rsid w:val="001F5FEA"/>
    <w:rsid w:val="001F6426"/>
    <w:rsid w:val="00200A0D"/>
    <w:rsid w:val="00202600"/>
    <w:rsid w:val="00203D9B"/>
    <w:rsid w:val="0020409A"/>
    <w:rsid w:val="002045D8"/>
    <w:rsid w:val="00204C64"/>
    <w:rsid w:val="00205674"/>
    <w:rsid w:val="00205808"/>
    <w:rsid w:val="0020629B"/>
    <w:rsid w:val="00206A4C"/>
    <w:rsid w:val="00207417"/>
    <w:rsid w:val="002074BA"/>
    <w:rsid w:val="002075E9"/>
    <w:rsid w:val="002116C5"/>
    <w:rsid w:val="00212389"/>
    <w:rsid w:val="00214864"/>
    <w:rsid w:val="00217A4F"/>
    <w:rsid w:val="00217CFF"/>
    <w:rsid w:val="00220906"/>
    <w:rsid w:val="00220A56"/>
    <w:rsid w:val="00222130"/>
    <w:rsid w:val="002228FD"/>
    <w:rsid w:val="00224516"/>
    <w:rsid w:val="00224BF1"/>
    <w:rsid w:val="00224E60"/>
    <w:rsid w:val="00225177"/>
    <w:rsid w:val="002261B2"/>
    <w:rsid w:val="00226E5C"/>
    <w:rsid w:val="00226F81"/>
    <w:rsid w:val="00230231"/>
    <w:rsid w:val="0023114C"/>
    <w:rsid w:val="00231368"/>
    <w:rsid w:val="0023160A"/>
    <w:rsid w:val="00231991"/>
    <w:rsid w:val="00231C7D"/>
    <w:rsid w:val="002325AA"/>
    <w:rsid w:val="0023272B"/>
    <w:rsid w:val="00233EF0"/>
    <w:rsid w:val="0023404D"/>
    <w:rsid w:val="002340B4"/>
    <w:rsid w:val="00234600"/>
    <w:rsid w:val="00234DE1"/>
    <w:rsid w:val="00236393"/>
    <w:rsid w:val="00236A40"/>
    <w:rsid w:val="00236CC3"/>
    <w:rsid w:val="00237E62"/>
    <w:rsid w:val="00243E7F"/>
    <w:rsid w:val="0024436A"/>
    <w:rsid w:val="002450D9"/>
    <w:rsid w:val="00245B8A"/>
    <w:rsid w:val="002469BE"/>
    <w:rsid w:val="00250AD3"/>
    <w:rsid w:val="00250E71"/>
    <w:rsid w:val="0025102C"/>
    <w:rsid w:val="0025133F"/>
    <w:rsid w:val="00251D15"/>
    <w:rsid w:val="0025327D"/>
    <w:rsid w:val="00254111"/>
    <w:rsid w:val="00260D67"/>
    <w:rsid w:val="002611F2"/>
    <w:rsid w:val="002614EA"/>
    <w:rsid w:val="00266378"/>
    <w:rsid w:val="00266652"/>
    <w:rsid w:val="002666F2"/>
    <w:rsid w:val="002675CE"/>
    <w:rsid w:val="00270A5E"/>
    <w:rsid w:val="0027275D"/>
    <w:rsid w:val="00273F64"/>
    <w:rsid w:val="00274B66"/>
    <w:rsid w:val="00276B85"/>
    <w:rsid w:val="002774B5"/>
    <w:rsid w:val="00277DCE"/>
    <w:rsid w:val="002808B8"/>
    <w:rsid w:val="002817FC"/>
    <w:rsid w:val="00282658"/>
    <w:rsid w:val="00283A98"/>
    <w:rsid w:val="002841F6"/>
    <w:rsid w:val="002846A4"/>
    <w:rsid w:val="00284F69"/>
    <w:rsid w:val="00286228"/>
    <w:rsid w:val="00286584"/>
    <w:rsid w:val="002879E5"/>
    <w:rsid w:val="00287ABA"/>
    <w:rsid w:val="002927DB"/>
    <w:rsid w:val="002936E8"/>
    <w:rsid w:val="00293716"/>
    <w:rsid w:val="00295CF3"/>
    <w:rsid w:val="00295EC7"/>
    <w:rsid w:val="002967BC"/>
    <w:rsid w:val="00297B4C"/>
    <w:rsid w:val="00297DC1"/>
    <w:rsid w:val="00297ED8"/>
    <w:rsid w:val="002A0664"/>
    <w:rsid w:val="002A11BC"/>
    <w:rsid w:val="002A2CE1"/>
    <w:rsid w:val="002A331D"/>
    <w:rsid w:val="002A357B"/>
    <w:rsid w:val="002A40C5"/>
    <w:rsid w:val="002A43AD"/>
    <w:rsid w:val="002A4403"/>
    <w:rsid w:val="002A5726"/>
    <w:rsid w:val="002A5FBD"/>
    <w:rsid w:val="002A7750"/>
    <w:rsid w:val="002A7800"/>
    <w:rsid w:val="002A7965"/>
    <w:rsid w:val="002A7CAF"/>
    <w:rsid w:val="002A7E6A"/>
    <w:rsid w:val="002B014C"/>
    <w:rsid w:val="002B0156"/>
    <w:rsid w:val="002B0A54"/>
    <w:rsid w:val="002B0DC8"/>
    <w:rsid w:val="002B1072"/>
    <w:rsid w:val="002B170C"/>
    <w:rsid w:val="002B1BE1"/>
    <w:rsid w:val="002B3670"/>
    <w:rsid w:val="002B3D69"/>
    <w:rsid w:val="002B4495"/>
    <w:rsid w:val="002B60BD"/>
    <w:rsid w:val="002B6490"/>
    <w:rsid w:val="002B77DE"/>
    <w:rsid w:val="002B7FDF"/>
    <w:rsid w:val="002C143A"/>
    <w:rsid w:val="002C281E"/>
    <w:rsid w:val="002C36B8"/>
    <w:rsid w:val="002C3D7E"/>
    <w:rsid w:val="002C5046"/>
    <w:rsid w:val="002C5133"/>
    <w:rsid w:val="002C5C45"/>
    <w:rsid w:val="002C66C0"/>
    <w:rsid w:val="002C7F0E"/>
    <w:rsid w:val="002D0504"/>
    <w:rsid w:val="002D066C"/>
    <w:rsid w:val="002D093A"/>
    <w:rsid w:val="002D1137"/>
    <w:rsid w:val="002D228E"/>
    <w:rsid w:val="002D2ABF"/>
    <w:rsid w:val="002D2C76"/>
    <w:rsid w:val="002D3184"/>
    <w:rsid w:val="002D42C6"/>
    <w:rsid w:val="002D58FF"/>
    <w:rsid w:val="002D7BB8"/>
    <w:rsid w:val="002D7D9F"/>
    <w:rsid w:val="002E1963"/>
    <w:rsid w:val="002E1F7E"/>
    <w:rsid w:val="002E60E0"/>
    <w:rsid w:val="002E6EEB"/>
    <w:rsid w:val="002E707F"/>
    <w:rsid w:val="002E7129"/>
    <w:rsid w:val="002F00FC"/>
    <w:rsid w:val="002F0162"/>
    <w:rsid w:val="002F310F"/>
    <w:rsid w:val="002F350E"/>
    <w:rsid w:val="002F3B64"/>
    <w:rsid w:val="002F4265"/>
    <w:rsid w:val="002F4582"/>
    <w:rsid w:val="002F46FF"/>
    <w:rsid w:val="002F4B64"/>
    <w:rsid w:val="002F507A"/>
    <w:rsid w:val="002F5929"/>
    <w:rsid w:val="002F744F"/>
    <w:rsid w:val="002F7920"/>
    <w:rsid w:val="00300233"/>
    <w:rsid w:val="00300FB3"/>
    <w:rsid w:val="00301D3B"/>
    <w:rsid w:val="00301E8C"/>
    <w:rsid w:val="0030282D"/>
    <w:rsid w:val="00303586"/>
    <w:rsid w:val="00303824"/>
    <w:rsid w:val="0030416E"/>
    <w:rsid w:val="003067A4"/>
    <w:rsid w:val="00306CF6"/>
    <w:rsid w:val="003073C2"/>
    <w:rsid w:val="00307FE0"/>
    <w:rsid w:val="003100C5"/>
    <w:rsid w:val="00310425"/>
    <w:rsid w:val="00310D14"/>
    <w:rsid w:val="003121BB"/>
    <w:rsid w:val="00313118"/>
    <w:rsid w:val="003139F3"/>
    <w:rsid w:val="00314968"/>
    <w:rsid w:val="00316348"/>
    <w:rsid w:val="00316B7B"/>
    <w:rsid w:val="0031773E"/>
    <w:rsid w:val="0032010D"/>
    <w:rsid w:val="00321FAA"/>
    <w:rsid w:val="00324F76"/>
    <w:rsid w:val="0032585C"/>
    <w:rsid w:val="003258F5"/>
    <w:rsid w:val="00326C45"/>
    <w:rsid w:val="00330429"/>
    <w:rsid w:val="003328FB"/>
    <w:rsid w:val="003338DF"/>
    <w:rsid w:val="00333CF1"/>
    <w:rsid w:val="0033424D"/>
    <w:rsid w:val="00334646"/>
    <w:rsid w:val="00335ABB"/>
    <w:rsid w:val="003366A9"/>
    <w:rsid w:val="00340679"/>
    <w:rsid w:val="00341D57"/>
    <w:rsid w:val="00341EFD"/>
    <w:rsid w:val="003421D2"/>
    <w:rsid w:val="00342203"/>
    <w:rsid w:val="00342A3C"/>
    <w:rsid w:val="003432C0"/>
    <w:rsid w:val="003434E0"/>
    <w:rsid w:val="00344975"/>
    <w:rsid w:val="00344FF4"/>
    <w:rsid w:val="0034603C"/>
    <w:rsid w:val="003464ED"/>
    <w:rsid w:val="00346740"/>
    <w:rsid w:val="0035025C"/>
    <w:rsid w:val="003503F0"/>
    <w:rsid w:val="00350F21"/>
    <w:rsid w:val="00351CBB"/>
    <w:rsid w:val="00351E7E"/>
    <w:rsid w:val="00353EDC"/>
    <w:rsid w:val="00356F38"/>
    <w:rsid w:val="003570DD"/>
    <w:rsid w:val="003601F6"/>
    <w:rsid w:val="0036080C"/>
    <w:rsid w:val="00361506"/>
    <w:rsid w:val="00362485"/>
    <w:rsid w:val="00362640"/>
    <w:rsid w:val="003640D6"/>
    <w:rsid w:val="003657A1"/>
    <w:rsid w:val="00366766"/>
    <w:rsid w:val="0036712B"/>
    <w:rsid w:val="003705DA"/>
    <w:rsid w:val="00370C0F"/>
    <w:rsid w:val="00371004"/>
    <w:rsid w:val="00371D20"/>
    <w:rsid w:val="00371EEB"/>
    <w:rsid w:val="00373033"/>
    <w:rsid w:val="00374B8E"/>
    <w:rsid w:val="00374F2F"/>
    <w:rsid w:val="003762DA"/>
    <w:rsid w:val="00376B0C"/>
    <w:rsid w:val="00376CB4"/>
    <w:rsid w:val="00376E6F"/>
    <w:rsid w:val="003779F7"/>
    <w:rsid w:val="00380040"/>
    <w:rsid w:val="0038073D"/>
    <w:rsid w:val="00380A35"/>
    <w:rsid w:val="00382ECC"/>
    <w:rsid w:val="00383FEB"/>
    <w:rsid w:val="0038449F"/>
    <w:rsid w:val="0038479A"/>
    <w:rsid w:val="00385BBF"/>
    <w:rsid w:val="00385E80"/>
    <w:rsid w:val="00386F0F"/>
    <w:rsid w:val="00387DF8"/>
    <w:rsid w:val="0039016A"/>
    <w:rsid w:val="00390E57"/>
    <w:rsid w:val="0039101E"/>
    <w:rsid w:val="00393259"/>
    <w:rsid w:val="00395971"/>
    <w:rsid w:val="003972B7"/>
    <w:rsid w:val="00397E25"/>
    <w:rsid w:val="003A0E84"/>
    <w:rsid w:val="003A253C"/>
    <w:rsid w:val="003A2886"/>
    <w:rsid w:val="003A3128"/>
    <w:rsid w:val="003A39F7"/>
    <w:rsid w:val="003A3C5C"/>
    <w:rsid w:val="003A3DB6"/>
    <w:rsid w:val="003A42D8"/>
    <w:rsid w:val="003A46B3"/>
    <w:rsid w:val="003A4B3D"/>
    <w:rsid w:val="003A4CB3"/>
    <w:rsid w:val="003A5363"/>
    <w:rsid w:val="003A5F04"/>
    <w:rsid w:val="003A6A0B"/>
    <w:rsid w:val="003A706A"/>
    <w:rsid w:val="003A783C"/>
    <w:rsid w:val="003A787E"/>
    <w:rsid w:val="003A7962"/>
    <w:rsid w:val="003B01E4"/>
    <w:rsid w:val="003B03EA"/>
    <w:rsid w:val="003B07B2"/>
    <w:rsid w:val="003B24D1"/>
    <w:rsid w:val="003B2DEA"/>
    <w:rsid w:val="003B2F49"/>
    <w:rsid w:val="003B388E"/>
    <w:rsid w:val="003B5281"/>
    <w:rsid w:val="003B623E"/>
    <w:rsid w:val="003B7794"/>
    <w:rsid w:val="003C02F6"/>
    <w:rsid w:val="003C10E3"/>
    <w:rsid w:val="003C256D"/>
    <w:rsid w:val="003C2CCA"/>
    <w:rsid w:val="003C3695"/>
    <w:rsid w:val="003C3A00"/>
    <w:rsid w:val="003C57B8"/>
    <w:rsid w:val="003C6136"/>
    <w:rsid w:val="003C7C7F"/>
    <w:rsid w:val="003D0225"/>
    <w:rsid w:val="003D16C1"/>
    <w:rsid w:val="003D16ED"/>
    <w:rsid w:val="003D332E"/>
    <w:rsid w:val="003D3A2C"/>
    <w:rsid w:val="003D3C32"/>
    <w:rsid w:val="003D4554"/>
    <w:rsid w:val="003D5593"/>
    <w:rsid w:val="003D5D0B"/>
    <w:rsid w:val="003D6986"/>
    <w:rsid w:val="003D70F5"/>
    <w:rsid w:val="003D7775"/>
    <w:rsid w:val="003D7E53"/>
    <w:rsid w:val="003E0104"/>
    <w:rsid w:val="003E106C"/>
    <w:rsid w:val="003E23D1"/>
    <w:rsid w:val="003E3A2B"/>
    <w:rsid w:val="003E4125"/>
    <w:rsid w:val="003E42FD"/>
    <w:rsid w:val="003E5F6C"/>
    <w:rsid w:val="003E627F"/>
    <w:rsid w:val="003E6D04"/>
    <w:rsid w:val="003E7C64"/>
    <w:rsid w:val="003F09B8"/>
    <w:rsid w:val="003F0F11"/>
    <w:rsid w:val="003F160A"/>
    <w:rsid w:val="003F305E"/>
    <w:rsid w:val="003F4455"/>
    <w:rsid w:val="003F5CAD"/>
    <w:rsid w:val="003F5ED4"/>
    <w:rsid w:val="003F64AE"/>
    <w:rsid w:val="003F69F9"/>
    <w:rsid w:val="003F704D"/>
    <w:rsid w:val="00400276"/>
    <w:rsid w:val="00400B49"/>
    <w:rsid w:val="00400ED8"/>
    <w:rsid w:val="004018DF"/>
    <w:rsid w:val="00402187"/>
    <w:rsid w:val="00403EE9"/>
    <w:rsid w:val="00404382"/>
    <w:rsid w:val="004061E8"/>
    <w:rsid w:val="00407B95"/>
    <w:rsid w:val="00407D3B"/>
    <w:rsid w:val="00407F1D"/>
    <w:rsid w:val="00410396"/>
    <w:rsid w:val="00411691"/>
    <w:rsid w:val="00411B64"/>
    <w:rsid w:val="004124F0"/>
    <w:rsid w:val="0041303E"/>
    <w:rsid w:val="004132E5"/>
    <w:rsid w:val="0041433C"/>
    <w:rsid w:val="00414F30"/>
    <w:rsid w:val="004165B1"/>
    <w:rsid w:val="004177A7"/>
    <w:rsid w:val="00420008"/>
    <w:rsid w:val="004219AE"/>
    <w:rsid w:val="00421AA2"/>
    <w:rsid w:val="00423CDD"/>
    <w:rsid w:val="00424F0A"/>
    <w:rsid w:val="00425D1C"/>
    <w:rsid w:val="00426912"/>
    <w:rsid w:val="00430F69"/>
    <w:rsid w:val="0043109F"/>
    <w:rsid w:val="00431430"/>
    <w:rsid w:val="00432B60"/>
    <w:rsid w:val="004331C1"/>
    <w:rsid w:val="0043328B"/>
    <w:rsid w:val="004334E7"/>
    <w:rsid w:val="00433A0F"/>
    <w:rsid w:val="00434255"/>
    <w:rsid w:val="00434957"/>
    <w:rsid w:val="00435568"/>
    <w:rsid w:val="00435DD2"/>
    <w:rsid w:val="004379BD"/>
    <w:rsid w:val="0044002E"/>
    <w:rsid w:val="004411F1"/>
    <w:rsid w:val="004419E6"/>
    <w:rsid w:val="004419E9"/>
    <w:rsid w:val="00443A7F"/>
    <w:rsid w:val="00443C4A"/>
    <w:rsid w:val="00443D32"/>
    <w:rsid w:val="004448E0"/>
    <w:rsid w:val="00445CBA"/>
    <w:rsid w:val="00446AAB"/>
    <w:rsid w:val="0045177B"/>
    <w:rsid w:val="00451A42"/>
    <w:rsid w:val="00452736"/>
    <w:rsid w:val="004528D9"/>
    <w:rsid w:val="004528FE"/>
    <w:rsid w:val="00453364"/>
    <w:rsid w:val="00453E7E"/>
    <w:rsid w:val="00454A96"/>
    <w:rsid w:val="004559AD"/>
    <w:rsid w:val="00456C36"/>
    <w:rsid w:val="00457BC8"/>
    <w:rsid w:val="00460E11"/>
    <w:rsid w:val="00461D47"/>
    <w:rsid w:val="0046219D"/>
    <w:rsid w:val="004626D1"/>
    <w:rsid w:val="0046276B"/>
    <w:rsid w:val="004627FB"/>
    <w:rsid w:val="0046291F"/>
    <w:rsid w:val="004654E4"/>
    <w:rsid w:val="004661EF"/>
    <w:rsid w:val="004664DF"/>
    <w:rsid w:val="00466B41"/>
    <w:rsid w:val="00466D45"/>
    <w:rsid w:val="00467289"/>
    <w:rsid w:val="00467E81"/>
    <w:rsid w:val="00470098"/>
    <w:rsid w:val="00470203"/>
    <w:rsid w:val="0047088B"/>
    <w:rsid w:val="00470A1A"/>
    <w:rsid w:val="00471903"/>
    <w:rsid w:val="00471CD0"/>
    <w:rsid w:val="00471F36"/>
    <w:rsid w:val="00473839"/>
    <w:rsid w:val="00474283"/>
    <w:rsid w:val="00474A00"/>
    <w:rsid w:val="00475B0F"/>
    <w:rsid w:val="00476457"/>
    <w:rsid w:val="00476B63"/>
    <w:rsid w:val="0047746F"/>
    <w:rsid w:val="00480628"/>
    <w:rsid w:val="00480A98"/>
    <w:rsid w:val="00483032"/>
    <w:rsid w:val="00483B5E"/>
    <w:rsid w:val="00483E95"/>
    <w:rsid w:val="00485DB8"/>
    <w:rsid w:val="00486090"/>
    <w:rsid w:val="00487402"/>
    <w:rsid w:val="00487712"/>
    <w:rsid w:val="00487765"/>
    <w:rsid w:val="00491796"/>
    <w:rsid w:val="00491E68"/>
    <w:rsid w:val="00491E78"/>
    <w:rsid w:val="00491FDE"/>
    <w:rsid w:val="0049222C"/>
    <w:rsid w:val="0049238C"/>
    <w:rsid w:val="004923F0"/>
    <w:rsid w:val="00493E0B"/>
    <w:rsid w:val="00495923"/>
    <w:rsid w:val="004A2ED0"/>
    <w:rsid w:val="004A4398"/>
    <w:rsid w:val="004A4701"/>
    <w:rsid w:val="004A7938"/>
    <w:rsid w:val="004B0E4F"/>
    <w:rsid w:val="004B1647"/>
    <w:rsid w:val="004B1725"/>
    <w:rsid w:val="004B1BAC"/>
    <w:rsid w:val="004B3527"/>
    <w:rsid w:val="004B4CF6"/>
    <w:rsid w:val="004B5370"/>
    <w:rsid w:val="004B5AFB"/>
    <w:rsid w:val="004B5EC3"/>
    <w:rsid w:val="004B61E1"/>
    <w:rsid w:val="004B63D2"/>
    <w:rsid w:val="004B68AC"/>
    <w:rsid w:val="004B696E"/>
    <w:rsid w:val="004B70EB"/>
    <w:rsid w:val="004B7325"/>
    <w:rsid w:val="004C1BC0"/>
    <w:rsid w:val="004C200A"/>
    <w:rsid w:val="004C280F"/>
    <w:rsid w:val="004C2ABA"/>
    <w:rsid w:val="004C33E7"/>
    <w:rsid w:val="004C3C68"/>
    <w:rsid w:val="004C4059"/>
    <w:rsid w:val="004C49C1"/>
    <w:rsid w:val="004C4B73"/>
    <w:rsid w:val="004C4C3F"/>
    <w:rsid w:val="004C5996"/>
    <w:rsid w:val="004C5B72"/>
    <w:rsid w:val="004C5D1D"/>
    <w:rsid w:val="004C5E40"/>
    <w:rsid w:val="004C60D8"/>
    <w:rsid w:val="004C7179"/>
    <w:rsid w:val="004C7956"/>
    <w:rsid w:val="004C7F28"/>
    <w:rsid w:val="004D0B89"/>
    <w:rsid w:val="004D1ED1"/>
    <w:rsid w:val="004D3945"/>
    <w:rsid w:val="004D3B9D"/>
    <w:rsid w:val="004D476E"/>
    <w:rsid w:val="004D6355"/>
    <w:rsid w:val="004D6477"/>
    <w:rsid w:val="004D794F"/>
    <w:rsid w:val="004E1E2B"/>
    <w:rsid w:val="004E2F47"/>
    <w:rsid w:val="004E33DA"/>
    <w:rsid w:val="004E3D19"/>
    <w:rsid w:val="004E4274"/>
    <w:rsid w:val="004E5914"/>
    <w:rsid w:val="004E5E21"/>
    <w:rsid w:val="004E6AF5"/>
    <w:rsid w:val="004E6F07"/>
    <w:rsid w:val="004E7AE8"/>
    <w:rsid w:val="004F0AAC"/>
    <w:rsid w:val="004F1210"/>
    <w:rsid w:val="004F182D"/>
    <w:rsid w:val="004F2BA3"/>
    <w:rsid w:val="004F3E81"/>
    <w:rsid w:val="004F4463"/>
    <w:rsid w:val="004F656F"/>
    <w:rsid w:val="004F6F1B"/>
    <w:rsid w:val="004F730B"/>
    <w:rsid w:val="004F731E"/>
    <w:rsid w:val="004F7675"/>
    <w:rsid w:val="005010F7"/>
    <w:rsid w:val="00501980"/>
    <w:rsid w:val="0050375B"/>
    <w:rsid w:val="00504C36"/>
    <w:rsid w:val="00504E08"/>
    <w:rsid w:val="005051B6"/>
    <w:rsid w:val="005069D4"/>
    <w:rsid w:val="00506C9E"/>
    <w:rsid w:val="00506F67"/>
    <w:rsid w:val="005073DE"/>
    <w:rsid w:val="005079CF"/>
    <w:rsid w:val="005106F7"/>
    <w:rsid w:val="0051149B"/>
    <w:rsid w:val="00511C42"/>
    <w:rsid w:val="00512062"/>
    <w:rsid w:val="0051221A"/>
    <w:rsid w:val="00513779"/>
    <w:rsid w:val="00514A71"/>
    <w:rsid w:val="005151B2"/>
    <w:rsid w:val="0051709C"/>
    <w:rsid w:val="00517184"/>
    <w:rsid w:val="005218E3"/>
    <w:rsid w:val="00522A54"/>
    <w:rsid w:val="00523CC7"/>
    <w:rsid w:val="00524D06"/>
    <w:rsid w:val="00525027"/>
    <w:rsid w:val="005254E9"/>
    <w:rsid w:val="005264CB"/>
    <w:rsid w:val="00526C11"/>
    <w:rsid w:val="00527A15"/>
    <w:rsid w:val="00530118"/>
    <w:rsid w:val="00530711"/>
    <w:rsid w:val="005309AE"/>
    <w:rsid w:val="00531459"/>
    <w:rsid w:val="005317F4"/>
    <w:rsid w:val="00531FFC"/>
    <w:rsid w:val="00533271"/>
    <w:rsid w:val="0053377F"/>
    <w:rsid w:val="005350EE"/>
    <w:rsid w:val="005350FE"/>
    <w:rsid w:val="00537346"/>
    <w:rsid w:val="005373D6"/>
    <w:rsid w:val="005401EB"/>
    <w:rsid w:val="0054025A"/>
    <w:rsid w:val="00542540"/>
    <w:rsid w:val="005432A3"/>
    <w:rsid w:val="0054361C"/>
    <w:rsid w:val="005445A1"/>
    <w:rsid w:val="00545EED"/>
    <w:rsid w:val="0054613E"/>
    <w:rsid w:val="00546C5D"/>
    <w:rsid w:val="00546FBD"/>
    <w:rsid w:val="0055171B"/>
    <w:rsid w:val="00551DB5"/>
    <w:rsid w:val="0055307D"/>
    <w:rsid w:val="0055323E"/>
    <w:rsid w:val="00553536"/>
    <w:rsid w:val="005545A1"/>
    <w:rsid w:val="00555EA8"/>
    <w:rsid w:val="005570EA"/>
    <w:rsid w:val="00557350"/>
    <w:rsid w:val="005576B3"/>
    <w:rsid w:val="0055770E"/>
    <w:rsid w:val="00560801"/>
    <w:rsid w:val="00560AEA"/>
    <w:rsid w:val="00560B5B"/>
    <w:rsid w:val="0056125F"/>
    <w:rsid w:val="0056175F"/>
    <w:rsid w:val="00561843"/>
    <w:rsid w:val="00561A99"/>
    <w:rsid w:val="005620F2"/>
    <w:rsid w:val="00562F9C"/>
    <w:rsid w:val="00563123"/>
    <w:rsid w:val="00565A0A"/>
    <w:rsid w:val="00565C05"/>
    <w:rsid w:val="00567707"/>
    <w:rsid w:val="005678A8"/>
    <w:rsid w:val="00567BBA"/>
    <w:rsid w:val="00571005"/>
    <w:rsid w:val="005713F3"/>
    <w:rsid w:val="00572362"/>
    <w:rsid w:val="00573716"/>
    <w:rsid w:val="005737A0"/>
    <w:rsid w:val="0057432D"/>
    <w:rsid w:val="00574B11"/>
    <w:rsid w:val="0057531F"/>
    <w:rsid w:val="0057574B"/>
    <w:rsid w:val="00575F91"/>
    <w:rsid w:val="00577212"/>
    <w:rsid w:val="00577D84"/>
    <w:rsid w:val="00577F1A"/>
    <w:rsid w:val="005802EF"/>
    <w:rsid w:val="00580DE7"/>
    <w:rsid w:val="005817A7"/>
    <w:rsid w:val="005817BE"/>
    <w:rsid w:val="00581ECA"/>
    <w:rsid w:val="005848CE"/>
    <w:rsid w:val="00584D74"/>
    <w:rsid w:val="00584F6A"/>
    <w:rsid w:val="005862C0"/>
    <w:rsid w:val="00586834"/>
    <w:rsid w:val="0058695C"/>
    <w:rsid w:val="00586E7A"/>
    <w:rsid w:val="005871C7"/>
    <w:rsid w:val="0058743E"/>
    <w:rsid w:val="005903E9"/>
    <w:rsid w:val="00590A43"/>
    <w:rsid w:val="00595052"/>
    <w:rsid w:val="005955DC"/>
    <w:rsid w:val="00595F7C"/>
    <w:rsid w:val="005A1263"/>
    <w:rsid w:val="005A2929"/>
    <w:rsid w:val="005A2A8A"/>
    <w:rsid w:val="005A2ED8"/>
    <w:rsid w:val="005A3257"/>
    <w:rsid w:val="005A38AA"/>
    <w:rsid w:val="005A3F72"/>
    <w:rsid w:val="005A4392"/>
    <w:rsid w:val="005A471C"/>
    <w:rsid w:val="005A51EA"/>
    <w:rsid w:val="005A7D0E"/>
    <w:rsid w:val="005B1154"/>
    <w:rsid w:val="005B176C"/>
    <w:rsid w:val="005B27A9"/>
    <w:rsid w:val="005B3650"/>
    <w:rsid w:val="005B42F4"/>
    <w:rsid w:val="005B4325"/>
    <w:rsid w:val="005B4338"/>
    <w:rsid w:val="005B48D3"/>
    <w:rsid w:val="005B48F0"/>
    <w:rsid w:val="005B5722"/>
    <w:rsid w:val="005B6D1A"/>
    <w:rsid w:val="005B6F4C"/>
    <w:rsid w:val="005B7D12"/>
    <w:rsid w:val="005C0678"/>
    <w:rsid w:val="005C1463"/>
    <w:rsid w:val="005C1C08"/>
    <w:rsid w:val="005C1D16"/>
    <w:rsid w:val="005C2D3C"/>
    <w:rsid w:val="005C30B0"/>
    <w:rsid w:val="005C3BCB"/>
    <w:rsid w:val="005C409A"/>
    <w:rsid w:val="005C5B9F"/>
    <w:rsid w:val="005C6034"/>
    <w:rsid w:val="005C7998"/>
    <w:rsid w:val="005C7DCF"/>
    <w:rsid w:val="005D03FB"/>
    <w:rsid w:val="005D0C92"/>
    <w:rsid w:val="005D1B1E"/>
    <w:rsid w:val="005D2EC5"/>
    <w:rsid w:val="005D4B2B"/>
    <w:rsid w:val="005D6662"/>
    <w:rsid w:val="005D6ED6"/>
    <w:rsid w:val="005E0608"/>
    <w:rsid w:val="005E0625"/>
    <w:rsid w:val="005E10AC"/>
    <w:rsid w:val="005E131D"/>
    <w:rsid w:val="005E26E5"/>
    <w:rsid w:val="005E2876"/>
    <w:rsid w:val="005E2B2E"/>
    <w:rsid w:val="005E2D2A"/>
    <w:rsid w:val="005E2D87"/>
    <w:rsid w:val="005E3E15"/>
    <w:rsid w:val="005E420F"/>
    <w:rsid w:val="005E5648"/>
    <w:rsid w:val="005E5C47"/>
    <w:rsid w:val="005E5EA0"/>
    <w:rsid w:val="005E62F0"/>
    <w:rsid w:val="005E6700"/>
    <w:rsid w:val="005E681F"/>
    <w:rsid w:val="005E6A35"/>
    <w:rsid w:val="005E771A"/>
    <w:rsid w:val="005E7809"/>
    <w:rsid w:val="005F02D3"/>
    <w:rsid w:val="005F0A63"/>
    <w:rsid w:val="005F0AA0"/>
    <w:rsid w:val="005F1526"/>
    <w:rsid w:val="005F32E3"/>
    <w:rsid w:val="005F3626"/>
    <w:rsid w:val="005F3EC7"/>
    <w:rsid w:val="005F5C48"/>
    <w:rsid w:val="005F5D1D"/>
    <w:rsid w:val="005F6E4A"/>
    <w:rsid w:val="005F76DA"/>
    <w:rsid w:val="006010DD"/>
    <w:rsid w:val="0060207D"/>
    <w:rsid w:val="00602F38"/>
    <w:rsid w:val="006033EB"/>
    <w:rsid w:val="00606B1E"/>
    <w:rsid w:val="0061209E"/>
    <w:rsid w:val="00612435"/>
    <w:rsid w:val="006130B3"/>
    <w:rsid w:val="0061332B"/>
    <w:rsid w:val="006133D6"/>
    <w:rsid w:val="00613A2D"/>
    <w:rsid w:val="00614CDA"/>
    <w:rsid w:val="00614D62"/>
    <w:rsid w:val="0061525B"/>
    <w:rsid w:val="00615909"/>
    <w:rsid w:val="006163D2"/>
    <w:rsid w:val="00616E60"/>
    <w:rsid w:val="00617DDE"/>
    <w:rsid w:val="00620EF4"/>
    <w:rsid w:val="00622781"/>
    <w:rsid w:val="0062346A"/>
    <w:rsid w:val="00624443"/>
    <w:rsid w:val="00624720"/>
    <w:rsid w:val="00624CDF"/>
    <w:rsid w:val="00624CFF"/>
    <w:rsid w:val="00625D91"/>
    <w:rsid w:val="006260E7"/>
    <w:rsid w:val="00626F63"/>
    <w:rsid w:val="00627349"/>
    <w:rsid w:val="00627D28"/>
    <w:rsid w:val="006311A6"/>
    <w:rsid w:val="00631CFD"/>
    <w:rsid w:val="00632231"/>
    <w:rsid w:val="006338C5"/>
    <w:rsid w:val="0063564B"/>
    <w:rsid w:val="00635C9B"/>
    <w:rsid w:val="00636EB3"/>
    <w:rsid w:val="0063727E"/>
    <w:rsid w:val="006375E3"/>
    <w:rsid w:val="006408D4"/>
    <w:rsid w:val="00640D00"/>
    <w:rsid w:val="00641722"/>
    <w:rsid w:val="00641EB7"/>
    <w:rsid w:val="00642972"/>
    <w:rsid w:val="00643022"/>
    <w:rsid w:val="00644A3C"/>
    <w:rsid w:val="00644FE7"/>
    <w:rsid w:val="0065032E"/>
    <w:rsid w:val="00650FAF"/>
    <w:rsid w:val="006516DE"/>
    <w:rsid w:val="00651F72"/>
    <w:rsid w:val="0065438A"/>
    <w:rsid w:val="00656A6F"/>
    <w:rsid w:val="006602F7"/>
    <w:rsid w:val="00660BA5"/>
    <w:rsid w:val="00661B24"/>
    <w:rsid w:val="00662FB8"/>
    <w:rsid w:val="00663A2F"/>
    <w:rsid w:val="00663F0D"/>
    <w:rsid w:val="006646AA"/>
    <w:rsid w:val="00664E91"/>
    <w:rsid w:val="0066692E"/>
    <w:rsid w:val="00666CF8"/>
    <w:rsid w:val="00670680"/>
    <w:rsid w:val="00670AE6"/>
    <w:rsid w:val="00670F45"/>
    <w:rsid w:val="006712B3"/>
    <w:rsid w:val="006713E6"/>
    <w:rsid w:val="0067203B"/>
    <w:rsid w:val="006722A1"/>
    <w:rsid w:val="006727F8"/>
    <w:rsid w:val="00672CF0"/>
    <w:rsid w:val="00672D29"/>
    <w:rsid w:val="006733C8"/>
    <w:rsid w:val="0067346D"/>
    <w:rsid w:val="006736AE"/>
    <w:rsid w:val="00673D2B"/>
    <w:rsid w:val="00674F6E"/>
    <w:rsid w:val="006753FB"/>
    <w:rsid w:val="00675BF5"/>
    <w:rsid w:val="00675E8C"/>
    <w:rsid w:val="00677FAF"/>
    <w:rsid w:val="006801F7"/>
    <w:rsid w:val="006807BE"/>
    <w:rsid w:val="00680A73"/>
    <w:rsid w:val="00681D7E"/>
    <w:rsid w:val="006828BE"/>
    <w:rsid w:val="006845F3"/>
    <w:rsid w:val="00684602"/>
    <w:rsid w:val="00685018"/>
    <w:rsid w:val="00685CE0"/>
    <w:rsid w:val="00685D42"/>
    <w:rsid w:val="00686624"/>
    <w:rsid w:val="006870A6"/>
    <w:rsid w:val="006879DA"/>
    <w:rsid w:val="00690B0A"/>
    <w:rsid w:val="00690DE0"/>
    <w:rsid w:val="00691348"/>
    <w:rsid w:val="00691DBA"/>
    <w:rsid w:val="00692199"/>
    <w:rsid w:val="0069307F"/>
    <w:rsid w:val="00693334"/>
    <w:rsid w:val="006936FC"/>
    <w:rsid w:val="0069444E"/>
    <w:rsid w:val="00695076"/>
    <w:rsid w:val="00696D9B"/>
    <w:rsid w:val="00696E8B"/>
    <w:rsid w:val="00697635"/>
    <w:rsid w:val="00697770"/>
    <w:rsid w:val="006A0410"/>
    <w:rsid w:val="006A0C65"/>
    <w:rsid w:val="006A14C1"/>
    <w:rsid w:val="006A43AD"/>
    <w:rsid w:val="006A4B2A"/>
    <w:rsid w:val="006A4C3E"/>
    <w:rsid w:val="006A4F52"/>
    <w:rsid w:val="006A7E8C"/>
    <w:rsid w:val="006B04BF"/>
    <w:rsid w:val="006B101E"/>
    <w:rsid w:val="006B1343"/>
    <w:rsid w:val="006B2689"/>
    <w:rsid w:val="006B2CEB"/>
    <w:rsid w:val="006B3921"/>
    <w:rsid w:val="006B4385"/>
    <w:rsid w:val="006B4AFB"/>
    <w:rsid w:val="006B4B96"/>
    <w:rsid w:val="006B4E0E"/>
    <w:rsid w:val="006B4E45"/>
    <w:rsid w:val="006C02F2"/>
    <w:rsid w:val="006C0D9C"/>
    <w:rsid w:val="006C1687"/>
    <w:rsid w:val="006C2D83"/>
    <w:rsid w:val="006C3406"/>
    <w:rsid w:val="006C49BD"/>
    <w:rsid w:val="006C67E0"/>
    <w:rsid w:val="006C6932"/>
    <w:rsid w:val="006C6DAA"/>
    <w:rsid w:val="006C79E2"/>
    <w:rsid w:val="006C7EF0"/>
    <w:rsid w:val="006D0054"/>
    <w:rsid w:val="006D1C95"/>
    <w:rsid w:val="006D2DEF"/>
    <w:rsid w:val="006D4B3A"/>
    <w:rsid w:val="006D4DC8"/>
    <w:rsid w:val="006D514C"/>
    <w:rsid w:val="006D54C4"/>
    <w:rsid w:val="006D5BF9"/>
    <w:rsid w:val="006E0957"/>
    <w:rsid w:val="006E196A"/>
    <w:rsid w:val="006E2E91"/>
    <w:rsid w:val="006E45BD"/>
    <w:rsid w:val="006E51BD"/>
    <w:rsid w:val="006E5523"/>
    <w:rsid w:val="006E5DBB"/>
    <w:rsid w:val="006E645A"/>
    <w:rsid w:val="006E76E4"/>
    <w:rsid w:val="006E7AF0"/>
    <w:rsid w:val="006F0F16"/>
    <w:rsid w:val="006F2E9F"/>
    <w:rsid w:val="006F348C"/>
    <w:rsid w:val="006F38A2"/>
    <w:rsid w:val="006F434B"/>
    <w:rsid w:val="006F51FA"/>
    <w:rsid w:val="006F560B"/>
    <w:rsid w:val="006F56C4"/>
    <w:rsid w:val="006F597D"/>
    <w:rsid w:val="006F6122"/>
    <w:rsid w:val="006F6739"/>
    <w:rsid w:val="006F6E6E"/>
    <w:rsid w:val="006F708B"/>
    <w:rsid w:val="00700E47"/>
    <w:rsid w:val="00701EE0"/>
    <w:rsid w:val="00702145"/>
    <w:rsid w:val="00705143"/>
    <w:rsid w:val="007056B9"/>
    <w:rsid w:val="007067D6"/>
    <w:rsid w:val="00712629"/>
    <w:rsid w:val="007137D2"/>
    <w:rsid w:val="00713B0A"/>
    <w:rsid w:val="007142E9"/>
    <w:rsid w:val="00714545"/>
    <w:rsid w:val="00714C35"/>
    <w:rsid w:val="00714E9A"/>
    <w:rsid w:val="007150EA"/>
    <w:rsid w:val="0071575A"/>
    <w:rsid w:val="0071608F"/>
    <w:rsid w:val="0071623E"/>
    <w:rsid w:val="00717C82"/>
    <w:rsid w:val="00717CB5"/>
    <w:rsid w:val="00721689"/>
    <w:rsid w:val="00721E5F"/>
    <w:rsid w:val="00721EEF"/>
    <w:rsid w:val="00726418"/>
    <w:rsid w:val="0072643D"/>
    <w:rsid w:val="00726835"/>
    <w:rsid w:val="00726D2A"/>
    <w:rsid w:val="00726FFB"/>
    <w:rsid w:val="00727196"/>
    <w:rsid w:val="00727560"/>
    <w:rsid w:val="0072765C"/>
    <w:rsid w:val="00727BE4"/>
    <w:rsid w:val="00727DB9"/>
    <w:rsid w:val="0073416A"/>
    <w:rsid w:val="00734371"/>
    <w:rsid w:val="007345BA"/>
    <w:rsid w:val="007378D7"/>
    <w:rsid w:val="007422FE"/>
    <w:rsid w:val="00742637"/>
    <w:rsid w:val="00742DBA"/>
    <w:rsid w:val="007437F9"/>
    <w:rsid w:val="00743C29"/>
    <w:rsid w:val="00745A25"/>
    <w:rsid w:val="00745AF9"/>
    <w:rsid w:val="0074641B"/>
    <w:rsid w:val="00747473"/>
    <w:rsid w:val="00747AB1"/>
    <w:rsid w:val="00750344"/>
    <w:rsid w:val="007506B1"/>
    <w:rsid w:val="00751200"/>
    <w:rsid w:val="0075141E"/>
    <w:rsid w:val="00752002"/>
    <w:rsid w:val="007526AF"/>
    <w:rsid w:val="00753331"/>
    <w:rsid w:val="00753696"/>
    <w:rsid w:val="007544A0"/>
    <w:rsid w:val="00755376"/>
    <w:rsid w:val="00756A85"/>
    <w:rsid w:val="007575F8"/>
    <w:rsid w:val="007605E1"/>
    <w:rsid w:val="007608D7"/>
    <w:rsid w:val="00762D81"/>
    <w:rsid w:val="007631A3"/>
    <w:rsid w:val="00763418"/>
    <w:rsid w:val="00763421"/>
    <w:rsid w:val="00763791"/>
    <w:rsid w:val="00763A25"/>
    <w:rsid w:val="007643A0"/>
    <w:rsid w:val="007645FD"/>
    <w:rsid w:val="00764828"/>
    <w:rsid w:val="007657B5"/>
    <w:rsid w:val="00766BF7"/>
    <w:rsid w:val="00767FFC"/>
    <w:rsid w:val="007700BB"/>
    <w:rsid w:val="00770DD5"/>
    <w:rsid w:val="00771662"/>
    <w:rsid w:val="00771A2B"/>
    <w:rsid w:val="00772C53"/>
    <w:rsid w:val="007751E2"/>
    <w:rsid w:val="00775499"/>
    <w:rsid w:val="00775729"/>
    <w:rsid w:val="0077777A"/>
    <w:rsid w:val="00780B24"/>
    <w:rsid w:val="00780CA2"/>
    <w:rsid w:val="00782204"/>
    <w:rsid w:val="00784F2D"/>
    <w:rsid w:val="00785165"/>
    <w:rsid w:val="00785B35"/>
    <w:rsid w:val="0078626B"/>
    <w:rsid w:val="00786368"/>
    <w:rsid w:val="0078686F"/>
    <w:rsid w:val="00786985"/>
    <w:rsid w:val="00786A58"/>
    <w:rsid w:val="00786D48"/>
    <w:rsid w:val="0078704D"/>
    <w:rsid w:val="00787585"/>
    <w:rsid w:val="0078768E"/>
    <w:rsid w:val="00787CFE"/>
    <w:rsid w:val="00791EF3"/>
    <w:rsid w:val="0079284F"/>
    <w:rsid w:val="007933B0"/>
    <w:rsid w:val="0079464E"/>
    <w:rsid w:val="007953A3"/>
    <w:rsid w:val="007957C0"/>
    <w:rsid w:val="00796425"/>
    <w:rsid w:val="00796964"/>
    <w:rsid w:val="007970A8"/>
    <w:rsid w:val="00797C36"/>
    <w:rsid w:val="007A176A"/>
    <w:rsid w:val="007A2496"/>
    <w:rsid w:val="007A2E40"/>
    <w:rsid w:val="007A327D"/>
    <w:rsid w:val="007A567D"/>
    <w:rsid w:val="007A5D5F"/>
    <w:rsid w:val="007A5FF6"/>
    <w:rsid w:val="007A6305"/>
    <w:rsid w:val="007A6364"/>
    <w:rsid w:val="007B2054"/>
    <w:rsid w:val="007B33ED"/>
    <w:rsid w:val="007B4346"/>
    <w:rsid w:val="007B4DD0"/>
    <w:rsid w:val="007B4E36"/>
    <w:rsid w:val="007B5218"/>
    <w:rsid w:val="007B5A7C"/>
    <w:rsid w:val="007B638D"/>
    <w:rsid w:val="007B678D"/>
    <w:rsid w:val="007B7414"/>
    <w:rsid w:val="007B74DC"/>
    <w:rsid w:val="007B755A"/>
    <w:rsid w:val="007B7824"/>
    <w:rsid w:val="007C0F7C"/>
    <w:rsid w:val="007C19F6"/>
    <w:rsid w:val="007C1A07"/>
    <w:rsid w:val="007C1B76"/>
    <w:rsid w:val="007C1FCB"/>
    <w:rsid w:val="007C2535"/>
    <w:rsid w:val="007C351E"/>
    <w:rsid w:val="007C66F9"/>
    <w:rsid w:val="007C7154"/>
    <w:rsid w:val="007C74EF"/>
    <w:rsid w:val="007C76FB"/>
    <w:rsid w:val="007C7C7E"/>
    <w:rsid w:val="007D0894"/>
    <w:rsid w:val="007D09D0"/>
    <w:rsid w:val="007D0CD4"/>
    <w:rsid w:val="007D2584"/>
    <w:rsid w:val="007D467B"/>
    <w:rsid w:val="007D755C"/>
    <w:rsid w:val="007E0EA4"/>
    <w:rsid w:val="007E1A4B"/>
    <w:rsid w:val="007E2EE3"/>
    <w:rsid w:val="007E439E"/>
    <w:rsid w:val="007E46EA"/>
    <w:rsid w:val="007E4D22"/>
    <w:rsid w:val="007E55DE"/>
    <w:rsid w:val="007E5A97"/>
    <w:rsid w:val="007E6A8A"/>
    <w:rsid w:val="007E7380"/>
    <w:rsid w:val="007E7C7B"/>
    <w:rsid w:val="007E7CD9"/>
    <w:rsid w:val="007F0692"/>
    <w:rsid w:val="007F0DA8"/>
    <w:rsid w:val="007F2332"/>
    <w:rsid w:val="007F2EC7"/>
    <w:rsid w:val="007F2FAB"/>
    <w:rsid w:val="007F37E9"/>
    <w:rsid w:val="007F3A45"/>
    <w:rsid w:val="007F4393"/>
    <w:rsid w:val="007F498B"/>
    <w:rsid w:val="007F527B"/>
    <w:rsid w:val="007F5659"/>
    <w:rsid w:val="007F5707"/>
    <w:rsid w:val="007F704F"/>
    <w:rsid w:val="008002B7"/>
    <w:rsid w:val="00800715"/>
    <w:rsid w:val="00800886"/>
    <w:rsid w:val="00801128"/>
    <w:rsid w:val="008019BF"/>
    <w:rsid w:val="0080354B"/>
    <w:rsid w:val="00804397"/>
    <w:rsid w:val="00804946"/>
    <w:rsid w:val="00804C36"/>
    <w:rsid w:val="00806F43"/>
    <w:rsid w:val="00807F2F"/>
    <w:rsid w:val="00807FA3"/>
    <w:rsid w:val="0081022A"/>
    <w:rsid w:val="00810BBE"/>
    <w:rsid w:val="008125BE"/>
    <w:rsid w:val="00815554"/>
    <w:rsid w:val="00815724"/>
    <w:rsid w:val="00815DE2"/>
    <w:rsid w:val="008166A4"/>
    <w:rsid w:val="00820743"/>
    <w:rsid w:val="00820908"/>
    <w:rsid w:val="008210FB"/>
    <w:rsid w:val="00821793"/>
    <w:rsid w:val="00821DD7"/>
    <w:rsid w:val="008220AC"/>
    <w:rsid w:val="008229C0"/>
    <w:rsid w:val="00822BB1"/>
    <w:rsid w:val="0082379A"/>
    <w:rsid w:val="00824092"/>
    <w:rsid w:val="008242FB"/>
    <w:rsid w:val="0082550C"/>
    <w:rsid w:val="008269E6"/>
    <w:rsid w:val="00827715"/>
    <w:rsid w:val="00831316"/>
    <w:rsid w:val="008315F2"/>
    <w:rsid w:val="00831997"/>
    <w:rsid w:val="00831A21"/>
    <w:rsid w:val="00832B4A"/>
    <w:rsid w:val="00833033"/>
    <w:rsid w:val="0083438B"/>
    <w:rsid w:val="008359DA"/>
    <w:rsid w:val="00835C4E"/>
    <w:rsid w:val="00837DE3"/>
    <w:rsid w:val="00840A0B"/>
    <w:rsid w:val="00840E1D"/>
    <w:rsid w:val="008414A6"/>
    <w:rsid w:val="008421DD"/>
    <w:rsid w:val="00842686"/>
    <w:rsid w:val="00842696"/>
    <w:rsid w:val="00843FDA"/>
    <w:rsid w:val="00844033"/>
    <w:rsid w:val="008440CE"/>
    <w:rsid w:val="00844F94"/>
    <w:rsid w:val="00846115"/>
    <w:rsid w:val="00846567"/>
    <w:rsid w:val="00846AAE"/>
    <w:rsid w:val="00847444"/>
    <w:rsid w:val="00847F22"/>
    <w:rsid w:val="008524EE"/>
    <w:rsid w:val="0085289F"/>
    <w:rsid w:val="0085294F"/>
    <w:rsid w:val="00853C87"/>
    <w:rsid w:val="00853DF9"/>
    <w:rsid w:val="008562CD"/>
    <w:rsid w:val="008606BF"/>
    <w:rsid w:val="008606EB"/>
    <w:rsid w:val="008609E3"/>
    <w:rsid w:val="00860B77"/>
    <w:rsid w:val="00861A8A"/>
    <w:rsid w:val="00864120"/>
    <w:rsid w:val="008644EB"/>
    <w:rsid w:val="00865C32"/>
    <w:rsid w:val="008661E8"/>
    <w:rsid w:val="008664A3"/>
    <w:rsid w:val="00866D88"/>
    <w:rsid w:val="00867561"/>
    <w:rsid w:val="0087027B"/>
    <w:rsid w:val="008707A9"/>
    <w:rsid w:val="00870B6B"/>
    <w:rsid w:val="00871BE4"/>
    <w:rsid w:val="00871E5C"/>
    <w:rsid w:val="00872155"/>
    <w:rsid w:val="00872173"/>
    <w:rsid w:val="00872416"/>
    <w:rsid w:val="008727B7"/>
    <w:rsid w:val="00872B01"/>
    <w:rsid w:val="00872F2D"/>
    <w:rsid w:val="00873C29"/>
    <w:rsid w:val="00873E06"/>
    <w:rsid w:val="008740D1"/>
    <w:rsid w:val="008751B7"/>
    <w:rsid w:val="00875FC8"/>
    <w:rsid w:val="00877D60"/>
    <w:rsid w:val="00877E0D"/>
    <w:rsid w:val="00877F98"/>
    <w:rsid w:val="00880290"/>
    <w:rsid w:val="00880945"/>
    <w:rsid w:val="00880A43"/>
    <w:rsid w:val="00883F11"/>
    <w:rsid w:val="008843F9"/>
    <w:rsid w:val="0088524F"/>
    <w:rsid w:val="00885412"/>
    <w:rsid w:val="00885444"/>
    <w:rsid w:val="0088634B"/>
    <w:rsid w:val="0088635D"/>
    <w:rsid w:val="0088650A"/>
    <w:rsid w:val="00887287"/>
    <w:rsid w:val="00887AFB"/>
    <w:rsid w:val="00887FD1"/>
    <w:rsid w:val="0089030C"/>
    <w:rsid w:val="00890859"/>
    <w:rsid w:val="00890BC8"/>
    <w:rsid w:val="0089137E"/>
    <w:rsid w:val="00891853"/>
    <w:rsid w:val="00891BC1"/>
    <w:rsid w:val="00892502"/>
    <w:rsid w:val="00892992"/>
    <w:rsid w:val="00892E93"/>
    <w:rsid w:val="00893331"/>
    <w:rsid w:val="00893664"/>
    <w:rsid w:val="00893BF4"/>
    <w:rsid w:val="00893C8F"/>
    <w:rsid w:val="00894B54"/>
    <w:rsid w:val="00895204"/>
    <w:rsid w:val="0089690C"/>
    <w:rsid w:val="00896E5D"/>
    <w:rsid w:val="0089785F"/>
    <w:rsid w:val="008A01D4"/>
    <w:rsid w:val="008A092A"/>
    <w:rsid w:val="008A0FFE"/>
    <w:rsid w:val="008A16A3"/>
    <w:rsid w:val="008A2706"/>
    <w:rsid w:val="008A28F6"/>
    <w:rsid w:val="008A37F0"/>
    <w:rsid w:val="008A424D"/>
    <w:rsid w:val="008A44A8"/>
    <w:rsid w:val="008A57BA"/>
    <w:rsid w:val="008B066B"/>
    <w:rsid w:val="008B11C4"/>
    <w:rsid w:val="008B2A47"/>
    <w:rsid w:val="008B2F15"/>
    <w:rsid w:val="008B307C"/>
    <w:rsid w:val="008B3A77"/>
    <w:rsid w:val="008B3D08"/>
    <w:rsid w:val="008B3DC8"/>
    <w:rsid w:val="008B4F1C"/>
    <w:rsid w:val="008B5655"/>
    <w:rsid w:val="008B5F2A"/>
    <w:rsid w:val="008B6377"/>
    <w:rsid w:val="008B7267"/>
    <w:rsid w:val="008C3A51"/>
    <w:rsid w:val="008C3D3E"/>
    <w:rsid w:val="008C40A7"/>
    <w:rsid w:val="008C4520"/>
    <w:rsid w:val="008C45C8"/>
    <w:rsid w:val="008C49C4"/>
    <w:rsid w:val="008C4D39"/>
    <w:rsid w:val="008C50B6"/>
    <w:rsid w:val="008C604F"/>
    <w:rsid w:val="008C6217"/>
    <w:rsid w:val="008C6934"/>
    <w:rsid w:val="008C7255"/>
    <w:rsid w:val="008C75C4"/>
    <w:rsid w:val="008D1844"/>
    <w:rsid w:val="008D28B8"/>
    <w:rsid w:val="008D2A8F"/>
    <w:rsid w:val="008D327B"/>
    <w:rsid w:val="008D37E0"/>
    <w:rsid w:val="008D3A8A"/>
    <w:rsid w:val="008D404F"/>
    <w:rsid w:val="008D4B6C"/>
    <w:rsid w:val="008D4BFF"/>
    <w:rsid w:val="008D5311"/>
    <w:rsid w:val="008D6174"/>
    <w:rsid w:val="008D66A6"/>
    <w:rsid w:val="008D66EA"/>
    <w:rsid w:val="008D6F13"/>
    <w:rsid w:val="008D7ADA"/>
    <w:rsid w:val="008E2562"/>
    <w:rsid w:val="008E3105"/>
    <w:rsid w:val="008E3312"/>
    <w:rsid w:val="008E3315"/>
    <w:rsid w:val="008E3684"/>
    <w:rsid w:val="008E37A4"/>
    <w:rsid w:val="008E4D8B"/>
    <w:rsid w:val="008E592B"/>
    <w:rsid w:val="008E6207"/>
    <w:rsid w:val="008E70CA"/>
    <w:rsid w:val="008F00D6"/>
    <w:rsid w:val="008F0158"/>
    <w:rsid w:val="008F4BEE"/>
    <w:rsid w:val="008F52EE"/>
    <w:rsid w:val="008F57FA"/>
    <w:rsid w:val="008F60C8"/>
    <w:rsid w:val="008F6BE4"/>
    <w:rsid w:val="008F6E4A"/>
    <w:rsid w:val="008F6E72"/>
    <w:rsid w:val="008F6E74"/>
    <w:rsid w:val="008F6F47"/>
    <w:rsid w:val="009012F1"/>
    <w:rsid w:val="00903963"/>
    <w:rsid w:val="00904350"/>
    <w:rsid w:val="00904729"/>
    <w:rsid w:val="00904A3A"/>
    <w:rsid w:val="00905415"/>
    <w:rsid w:val="009063E7"/>
    <w:rsid w:val="009068FB"/>
    <w:rsid w:val="00906C92"/>
    <w:rsid w:val="00906E1C"/>
    <w:rsid w:val="00910B80"/>
    <w:rsid w:val="009111F7"/>
    <w:rsid w:val="00911BAE"/>
    <w:rsid w:val="0091253A"/>
    <w:rsid w:val="00914364"/>
    <w:rsid w:val="00915E74"/>
    <w:rsid w:val="00917967"/>
    <w:rsid w:val="00917CA8"/>
    <w:rsid w:val="00917DA9"/>
    <w:rsid w:val="0092162C"/>
    <w:rsid w:val="0092182F"/>
    <w:rsid w:val="0092295C"/>
    <w:rsid w:val="00922DD7"/>
    <w:rsid w:val="0092337A"/>
    <w:rsid w:val="00923EDD"/>
    <w:rsid w:val="00924A0A"/>
    <w:rsid w:val="00927F07"/>
    <w:rsid w:val="00933487"/>
    <w:rsid w:val="00934A42"/>
    <w:rsid w:val="009369BC"/>
    <w:rsid w:val="00936B7A"/>
    <w:rsid w:val="00937C09"/>
    <w:rsid w:val="00940509"/>
    <w:rsid w:val="00940BFA"/>
    <w:rsid w:val="0094181D"/>
    <w:rsid w:val="00941B12"/>
    <w:rsid w:val="00941F49"/>
    <w:rsid w:val="00942F98"/>
    <w:rsid w:val="00943C03"/>
    <w:rsid w:val="0094476E"/>
    <w:rsid w:val="00945D4C"/>
    <w:rsid w:val="00947AF9"/>
    <w:rsid w:val="00947CA7"/>
    <w:rsid w:val="00950B03"/>
    <w:rsid w:val="00951C66"/>
    <w:rsid w:val="00951D49"/>
    <w:rsid w:val="00952D0C"/>
    <w:rsid w:val="00952FC8"/>
    <w:rsid w:val="00953BCF"/>
    <w:rsid w:val="00954C98"/>
    <w:rsid w:val="00954F93"/>
    <w:rsid w:val="009553CD"/>
    <w:rsid w:val="0095604D"/>
    <w:rsid w:val="009561BE"/>
    <w:rsid w:val="00960A3C"/>
    <w:rsid w:val="00960F90"/>
    <w:rsid w:val="00961A65"/>
    <w:rsid w:val="00961B85"/>
    <w:rsid w:val="00961C54"/>
    <w:rsid w:val="00963103"/>
    <w:rsid w:val="0096368E"/>
    <w:rsid w:val="00965068"/>
    <w:rsid w:val="009658EB"/>
    <w:rsid w:val="00965EFE"/>
    <w:rsid w:val="00966856"/>
    <w:rsid w:val="009668D3"/>
    <w:rsid w:val="00966A27"/>
    <w:rsid w:val="00966AA2"/>
    <w:rsid w:val="00970264"/>
    <w:rsid w:val="0097048B"/>
    <w:rsid w:val="0097126B"/>
    <w:rsid w:val="0097162E"/>
    <w:rsid w:val="009732E7"/>
    <w:rsid w:val="009744B2"/>
    <w:rsid w:val="00975754"/>
    <w:rsid w:val="00975AA9"/>
    <w:rsid w:val="009763DC"/>
    <w:rsid w:val="009764D1"/>
    <w:rsid w:val="009771FB"/>
    <w:rsid w:val="00977943"/>
    <w:rsid w:val="0098007D"/>
    <w:rsid w:val="00982485"/>
    <w:rsid w:val="00982579"/>
    <w:rsid w:val="00985173"/>
    <w:rsid w:val="00986842"/>
    <w:rsid w:val="0099012A"/>
    <w:rsid w:val="009908F9"/>
    <w:rsid w:val="009911B4"/>
    <w:rsid w:val="00991624"/>
    <w:rsid w:val="009916AC"/>
    <w:rsid w:val="0099170C"/>
    <w:rsid w:val="00991BFC"/>
    <w:rsid w:val="00991FAA"/>
    <w:rsid w:val="00991FCE"/>
    <w:rsid w:val="00992313"/>
    <w:rsid w:val="00992F2A"/>
    <w:rsid w:val="009936A1"/>
    <w:rsid w:val="00993A62"/>
    <w:rsid w:val="009947B0"/>
    <w:rsid w:val="009951D6"/>
    <w:rsid w:val="009953FE"/>
    <w:rsid w:val="009965F6"/>
    <w:rsid w:val="009969C6"/>
    <w:rsid w:val="0099729F"/>
    <w:rsid w:val="009A0268"/>
    <w:rsid w:val="009A1578"/>
    <w:rsid w:val="009A15BB"/>
    <w:rsid w:val="009A2635"/>
    <w:rsid w:val="009A2E5A"/>
    <w:rsid w:val="009A2F05"/>
    <w:rsid w:val="009A2F6F"/>
    <w:rsid w:val="009A407A"/>
    <w:rsid w:val="009A451E"/>
    <w:rsid w:val="009B187F"/>
    <w:rsid w:val="009B24A7"/>
    <w:rsid w:val="009B26F7"/>
    <w:rsid w:val="009B2820"/>
    <w:rsid w:val="009B3769"/>
    <w:rsid w:val="009B4400"/>
    <w:rsid w:val="009B4736"/>
    <w:rsid w:val="009B54C7"/>
    <w:rsid w:val="009B55FE"/>
    <w:rsid w:val="009B5679"/>
    <w:rsid w:val="009B58A0"/>
    <w:rsid w:val="009B600E"/>
    <w:rsid w:val="009B678B"/>
    <w:rsid w:val="009B69FF"/>
    <w:rsid w:val="009B6B91"/>
    <w:rsid w:val="009B7CB1"/>
    <w:rsid w:val="009C086D"/>
    <w:rsid w:val="009C1F15"/>
    <w:rsid w:val="009C244C"/>
    <w:rsid w:val="009C38CB"/>
    <w:rsid w:val="009C4E6A"/>
    <w:rsid w:val="009C5F32"/>
    <w:rsid w:val="009C7666"/>
    <w:rsid w:val="009D29EB"/>
    <w:rsid w:val="009D365E"/>
    <w:rsid w:val="009D3E13"/>
    <w:rsid w:val="009D4713"/>
    <w:rsid w:val="009D4B89"/>
    <w:rsid w:val="009D4C85"/>
    <w:rsid w:val="009D7907"/>
    <w:rsid w:val="009D7A66"/>
    <w:rsid w:val="009E091A"/>
    <w:rsid w:val="009E0B0D"/>
    <w:rsid w:val="009E117A"/>
    <w:rsid w:val="009E2433"/>
    <w:rsid w:val="009E47DC"/>
    <w:rsid w:val="009E5483"/>
    <w:rsid w:val="009E6B02"/>
    <w:rsid w:val="009E741D"/>
    <w:rsid w:val="009E7AD3"/>
    <w:rsid w:val="009E7FE7"/>
    <w:rsid w:val="009F0148"/>
    <w:rsid w:val="009F0220"/>
    <w:rsid w:val="009F15B4"/>
    <w:rsid w:val="009F206D"/>
    <w:rsid w:val="009F2C01"/>
    <w:rsid w:val="009F5C0F"/>
    <w:rsid w:val="009F6D9D"/>
    <w:rsid w:val="009F7040"/>
    <w:rsid w:val="009F777B"/>
    <w:rsid w:val="009F7C46"/>
    <w:rsid w:val="009F7ECD"/>
    <w:rsid w:val="00A00228"/>
    <w:rsid w:val="00A00E16"/>
    <w:rsid w:val="00A019E8"/>
    <w:rsid w:val="00A036C6"/>
    <w:rsid w:val="00A058DA"/>
    <w:rsid w:val="00A06228"/>
    <w:rsid w:val="00A068B3"/>
    <w:rsid w:val="00A07C4D"/>
    <w:rsid w:val="00A105CA"/>
    <w:rsid w:val="00A12DF0"/>
    <w:rsid w:val="00A13A36"/>
    <w:rsid w:val="00A16F05"/>
    <w:rsid w:val="00A1710F"/>
    <w:rsid w:val="00A17953"/>
    <w:rsid w:val="00A21917"/>
    <w:rsid w:val="00A21E4E"/>
    <w:rsid w:val="00A22D7C"/>
    <w:rsid w:val="00A232FA"/>
    <w:rsid w:val="00A23954"/>
    <w:rsid w:val="00A23FA8"/>
    <w:rsid w:val="00A24136"/>
    <w:rsid w:val="00A24558"/>
    <w:rsid w:val="00A24E1A"/>
    <w:rsid w:val="00A24FFD"/>
    <w:rsid w:val="00A250BD"/>
    <w:rsid w:val="00A25C47"/>
    <w:rsid w:val="00A26823"/>
    <w:rsid w:val="00A27427"/>
    <w:rsid w:val="00A2769E"/>
    <w:rsid w:val="00A27D67"/>
    <w:rsid w:val="00A30BB5"/>
    <w:rsid w:val="00A31931"/>
    <w:rsid w:val="00A31FF6"/>
    <w:rsid w:val="00A32500"/>
    <w:rsid w:val="00A32F7B"/>
    <w:rsid w:val="00A33F0F"/>
    <w:rsid w:val="00A341CD"/>
    <w:rsid w:val="00A3467E"/>
    <w:rsid w:val="00A3479C"/>
    <w:rsid w:val="00A34BC3"/>
    <w:rsid w:val="00A34D4B"/>
    <w:rsid w:val="00A3522B"/>
    <w:rsid w:val="00A35453"/>
    <w:rsid w:val="00A36597"/>
    <w:rsid w:val="00A37329"/>
    <w:rsid w:val="00A37434"/>
    <w:rsid w:val="00A40431"/>
    <w:rsid w:val="00A4139A"/>
    <w:rsid w:val="00A418D8"/>
    <w:rsid w:val="00A4190A"/>
    <w:rsid w:val="00A43C48"/>
    <w:rsid w:val="00A43DD0"/>
    <w:rsid w:val="00A44E6D"/>
    <w:rsid w:val="00A459A6"/>
    <w:rsid w:val="00A46757"/>
    <w:rsid w:val="00A46BE8"/>
    <w:rsid w:val="00A4720A"/>
    <w:rsid w:val="00A47461"/>
    <w:rsid w:val="00A47B73"/>
    <w:rsid w:val="00A47E77"/>
    <w:rsid w:val="00A50255"/>
    <w:rsid w:val="00A50325"/>
    <w:rsid w:val="00A504C3"/>
    <w:rsid w:val="00A5068A"/>
    <w:rsid w:val="00A51F43"/>
    <w:rsid w:val="00A52E3C"/>
    <w:rsid w:val="00A531D3"/>
    <w:rsid w:val="00A541A4"/>
    <w:rsid w:val="00A5538E"/>
    <w:rsid w:val="00A56229"/>
    <w:rsid w:val="00A566BD"/>
    <w:rsid w:val="00A5724D"/>
    <w:rsid w:val="00A6000A"/>
    <w:rsid w:val="00A61167"/>
    <w:rsid w:val="00A6148E"/>
    <w:rsid w:val="00A614B2"/>
    <w:rsid w:val="00A61775"/>
    <w:rsid w:val="00A61BF9"/>
    <w:rsid w:val="00A61C88"/>
    <w:rsid w:val="00A62091"/>
    <w:rsid w:val="00A623A4"/>
    <w:rsid w:val="00A630A7"/>
    <w:rsid w:val="00A631BC"/>
    <w:rsid w:val="00A64591"/>
    <w:rsid w:val="00A64E66"/>
    <w:rsid w:val="00A667B5"/>
    <w:rsid w:val="00A668F1"/>
    <w:rsid w:val="00A66D90"/>
    <w:rsid w:val="00A67832"/>
    <w:rsid w:val="00A705D8"/>
    <w:rsid w:val="00A706C1"/>
    <w:rsid w:val="00A70F5D"/>
    <w:rsid w:val="00A71E84"/>
    <w:rsid w:val="00A72358"/>
    <w:rsid w:val="00A7284A"/>
    <w:rsid w:val="00A72855"/>
    <w:rsid w:val="00A72C6B"/>
    <w:rsid w:val="00A737B7"/>
    <w:rsid w:val="00A74865"/>
    <w:rsid w:val="00A74DF7"/>
    <w:rsid w:val="00A757F5"/>
    <w:rsid w:val="00A80D68"/>
    <w:rsid w:val="00A81EA3"/>
    <w:rsid w:val="00A8361F"/>
    <w:rsid w:val="00A8429A"/>
    <w:rsid w:val="00A854B7"/>
    <w:rsid w:val="00A85A75"/>
    <w:rsid w:val="00A86446"/>
    <w:rsid w:val="00A8699B"/>
    <w:rsid w:val="00A87E59"/>
    <w:rsid w:val="00A90AD9"/>
    <w:rsid w:val="00A90E29"/>
    <w:rsid w:val="00A91395"/>
    <w:rsid w:val="00A93D7F"/>
    <w:rsid w:val="00A94AB7"/>
    <w:rsid w:val="00A94AD1"/>
    <w:rsid w:val="00A94E43"/>
    <w:rsid w:val="00A9535A"/>
    <w:rsid w:val="00A954C4"/>
    <w:rsid w:val="00A96E44"/>
    <w:rsid w:val="00A97586"/>
    <w:rsid w:val="00AA2544"/>
    <w:rsid w:val="00AA2727"/>
    <w:rsid w:val="00AA39C5"/>
    <w:rsid w:val="00AA3F80"/>
    <w:rsid w:val="00AA43CF"/>
    <w:rsid w:val="00AA4F61"/>
    <w:rsid w:val="00AA5365"/>
    <w:rsid w:val="00AA5D11"/>
    <w:rsid w:val="00AA65EC"/>
    <w:rsid w:val="00AA7309"/>
    <w:rsid w:val="00AA79C5"/>
    <w:rsid w:val="00AB0386"/>
    <w:rsid w:val="00AB110F"/>
    <w:rsid w:val="00AB355B"/>
    <w:rsid w:val="00AB3946"/>
    <w:rsid w:val="00AB397D"/>
    <w:rsid w:val="00AB6EA2"/>
    <w:rsid w:val="00AB7BBB"/>
    <w:rsid w:val="00AC005C"/>
    <w:rsid w:val="00AC0F73"/>
    <w:rsid w:val="00AC1092"/>
    <w:rsid w:val="00AC28E0"/>
    <w:rsid w:val="00AC3377"/>
    <w:rsid w:val="00AC364A"/>
    <w:rsid w:val="00AC6265"/>
    <w:rsid w:val="00AC7AD7"/>
    <w:rsid w:val="00AC7D07"/>
    <w:rsid w:val="00AD075B"/>
    <w:rsid w:val="00AD2ACB"/>
    <w:rsid w:val="00AD2DD5"/>
    <w:rsid w:val="00AD32C1"/>
    <w:rsid w:val="00AD3379"/>
    <w:rsid w:val="00AD4D12"/>
    <w:rsid w:val="00AD500E"/>
    <w:rsid w:val="00AE0A5D"/>
    <w:rsid w:val="00AE0DBB"/>
    <w:rsid w:val="00AE1DD1"/>
    <w:rsid w:val="00AE1E3F"/>
    <w:rsid w:val="00AE245D"/>
    <w:rsid w:val="00AE27AF"/>
    <w:rsid w:val="00AE354C"/>
    <w:rsid w:val="00AE386C"/>
    <w:rsid w:val="00AE5FDF"/>
    <w:rsid w:val="00AE64A8"/>
    <w:rsid w:val="00AE77CA"/>
    <w:rsid w:val="00AF066A"/>
    <w:rsid w:val="00AF1562"/>
    <w:rsid w:val="00AF180D"/>
    <w:rsid w:val="00AF2CF2"/>
    <w:rsid w:val="00AF3B51"/>
    <w:rsid w:val="00AF3E19"/>
    <w:rsid w:val="00AF422C"/>
    <w:rsid w:val="00AF441C"/>
    <w:rsid w:val="00AF4754"/>
    <w:rsid w:val="00AF4DE5"/>
    <w:rsid w:val="00AF545B"/>
    <w:rsid w:val="00AF5B53"/>
    <w:rsid w:val="00AF6370"/>
    <w:rsid w:val="00AF677B"/>
    <w:rsid w:val="00AF6E43"/>
    <w:rsid w:val="00AF70DF"/>
    <w:rsid w:val="00AF7EDF"/>
    <w:rsid w:val="00B00E3B"/>
    <w:rsid w:val="00B01A81"/>
    <w:rsid w:val="00B02F15"/>
    <w:rsid w:val="00B03D7D"/>
    <w:rsid w:val="00B03F68"/>
    <w:rsid w:val="00B04886"/>
    <w:rsid w:val="00B04A73"/>
    <w:rsid w:val="00B05212"/>
    <w:rsid w:val="00B054C6"/>
    <w:rsid w:val="00B060BF"/>
    <w:rsid w:val="00B0615A"/>
    <w:rsid w:val="00B070D6"/>
    <w:rsid w:val="00B10410"/>
    <w:rsid w:val="00B12908"/>
    <w:rsid w:val="00B138C8"/>
    <w:rsid w:val="00B14306"/>
    <w:rsid w:val="00B14F6C"/>
    <w:rsid w:val="00B16262"/>
    <w:rsid w:val="00B16E5F"/>
    <w:rsid w:val="00B17832"/>
    <w:rsid w:val="00B200FE"/>
    <w:rsid w:val="00B20D69"/>
    <w:rsid w:val="00B226BF"/>
    <w:rsid w:val="00B231ED"/>
    <w:rsid w:val="00B2456D"/>
    <w:rsid w:val="00B2538C"/>
    <w:rsid w:val="00B25AD9"/>
    <w:rsid w:val="00B27938"/>
    <w:rsid w:val="00B30C65"/>
    <w:rsid w:val="00B31EB9"/>
    <w:rsid w:val="00B328A1"/>
    <w:rsid w:val="00B32E34"/>
    <w:rsid w:val="00B33037"/>
    <w:rsid w:val="00B33938"/>
    <w:rsid w:val="00B34A5B"/>
    <w:rsid w:val="00B35FB8"/>
    <w:rsid w:val="00B365F1"/>
    <w:rsid w:val="00B40676"/>
    <w:rsid w:val="00B41C17"/>
    <w:rsid w:val="00B4304F"/>
    <w:rsid w:val="00B44820"/>
    <w:rsid w:val="00B45201"/>
    <w:rsid w:val="00B456B4"/>
    <w:rsid w:val="00B466EB"/>
    <w:rsid w:val="00B46BC8"/>
    <w:rsid w:val="00B47038"/>
    <w:rsid w:val="00B47C8E"/>
    <w:rsid w:val="00B50531"/>
    <w:rsid w:val="00B50650"/>
    <w:rsid w:val="00B5068F"/>
    <w:rsid w:val="00B50FB2"/>
    <w:rsid w:val="00B514B7"/>
    <w:rsid w:val="00B52063"/>
    <w:rsid w:val="00B52ECE"/>
    <w:rsid w:val="00B53160"/>
    <w:rsid w:val="00B56939"/>
    <w:rsid w:val="00B5716B"/>
    <w:rsid w:val="00B62C20"/>
    <w:rsid w:val="00B6337F"/>
    <w:rsid w:val="00B6380D"/>
    <w:rsid w:val="00B63C0C"/>
    <w:rsid w:val="00B656EF"/>
    <w:rsid w:val="00B6627D"/>
    <w:rsid w:val="00B666FF"/>
    <w:rsid w:val="00B67032"/>
    <w:rsid w:val="00B70FE3"/>
    <w:rsid w:val="00B7100F"/>
    <w:rsid w:val="00B7103C"/>
    <w:rsid w:val="00B73187"/>
    <w:rsid w:val="00B73227"/>
    <w:rsid w:val="00B73B8D"/>
    <w:rsid w:val="00B74BB2"/>
    <w:rsid w:val="00B75596"/>
    <w:rsid w:val="00B75712"/>
    <w:rsid w:val="00B7664F"/>
    <w:rsid w:val="00B77716"/>
    <w:rsid w:val="00B777F5"/>
    <w:rsid w:val="00B8017E"/>
    <w:rsid w:val="00B805EE"/>
    <w:rsid w:val="00B8090B"/>
    <w:rsid w:val="00B80CF3"/>
    <w:rsid w:val="00B82797"/>
    <w:rsid w:val="00B82CBA"/>
    <w:rsid w:val="00B831BB"/>
    <w:rsid w:val="00B833D3"/>
    <w:rsid w:val="00B835C9"/>
    <w:rsid w:val="00B83ACD"/>
    <w:rsid w:val="00B83C5F"/>
    <w:rsid w:val="00B8479E"/>
    <w:rsid w:val="00B84B06"/>
    <w:rsid w:val="00B8514C"/>
    <w:rsid w:val="00B85747"/>
    <w:rsid w:val="00B87943"/>
    <w:rsid w:val="00B9019A"/>
    <w:rsid w:val="00B9073A"/>
    <w:rsid w:val="00B912E7"/>
    <w:rsid w:val="00B918F8"/>
    <w:rsid w:val="00B91B56"/>
    <w:rsid w:val="00B9205E"/>
    <w:rsid w:val="00B93238"/>
    <w:rsid w:val="00B9457D"/>
    <w:rsid w:val="00B94B0A"/>
    <w:rsid w:val="00B95099"/>
    <w:rsid w:val="00B954EB"/>
    <w:rsid w:val="00B95BA1"/>
    <w:rsid w:val="00B95C3B"/>
    <w:rsid w:val="00B95EEC"/>
    <w:rsid w:val="00B967E3"/>
    <w:rsid w:val="00B968DE"/>
    <w:rsid w:val="00BA0220"/>
    <w:rsid w:val="00BA076B"/>
    <w:rsid w:val="00BA07C2"/>
    <w:rsid w:val="00BA1331"/>
    <w:rsid w:val="00BA13C5"/>
    <w:rsid w:val="00BA1804"/>
    <w:rsid w:val="00BA1A67"/>
    <w:rsid w:val="00BA1B9E"/>
    <w:rsid w:val="00BA1DC6"/>
    <w:rsid w:val="00BA1E18"/>
    <w:rsid w:val="00BA2909"/>
    <w:rsid w:val="00BA456C"/>
    <w:rsid w:val="00BA4A10"/>
    <w:rsid w:val="00BA4E60"/>
    <w:rsid w:val="00BA64B7"/>
    <w:rsid w:val="00BA6D6D"/>
    <w:rsid w:val="00BA73C4"/>
    <w:rsid w:val="00BB089B"/>
    <w:rsid w:val="00BB1B20"/>
    <w:rsid w:val="00BB21F6"/>
    <w:rsid w:val="00BB28A9"/>
    <w:rsid w:val="00BB2C6F"/>
    <w:rsid w:val="00BB3013"/>
    <w:rsid w:val="00BB33FB"/>
    <w:rsid w:val="00BB4479"/>
    <w:rsid w:val="00BB4534"/>
    <w:rsid w:val="00BB5806"/>
    <w:rsid w:val="00BB59C4"/>
    <w:rsid w:val="00BB64C0"/>
    <w:rsid w:val="00BB74B1"/>
    <w:rsid w:val="00BC0853"/>
    <w:rsid w:val="00BC2F75"/>
    <w:rsid w:val="00BC39A5"/>
    <w:rsid w:val="00BC3C75"/>
    <w:rsid w:val="00BC475D"/>
    <w:rsid w:val="00BC4CC6"/>
    <w:rsid w:val="00BC5D9E"/>
    <w:rsid w:val="00BC6C54"/>
    <w:rsid w:val="00BC7117"/>
    <w:rsid w:val="00BC7144"/>
    <w:rsid w:val="00BD1087"/>
    <w:rsid w:val="00BD1750"/>
    <w:rsid w:val="00BD1A48"/>
    <w:rsid w:val="00BD2415"/>
    <w:rsid w:val="00BD2CCE"/>
    <w:rsid w:val="00BD3395"/>
    <w:rsid w:val="00BD3A86"/>
    <w:rsid w:val="00BD3C60"/>
    <w:rsid w:val="00BD4AD7"/>
    <w:rsid w:val="00BD5082"/>
    <w:rsid w:val="00BD51EF"/>
    <w:rsid w:val="00BD58D4"/>
    <w:rsid w:val="00BD66A5"/>
    <w:rsid w:val="00BD709F"/>
    <w:rsid w:val="00BD754B"/>
    <w:rsid w:val="00BD7C55"/>
    <w:rsid w:val="00BE0C8D"/>
    <w:rsid w:val="00BE296A"/>
    <w:rsid w:val="00BE2CD3"/>
    <w:rsid w:val="00BE3594"/>
    <w:rsid w:val="00BE42B2"/>
    <w:rsid w:val="00BE59F0"/>
    <w:rsid w:val="00BE67DB"/>
    <w:rsid w:val="00BE741E"/>
    <w:rsid w:val="00BF03CF"/>
    <w:rsid w:val="00BF0CF8"/>
    <w:rsid w:val="00BF1749"/>
    <w:rsid w:val="00BF181C"/>
    <w:rsid w:val="00BF184E"/>
    <w:rsid w:val="00BF1AA0"/>
    <w:rsid w:val="00BF2275"/>
    <w:rsid w:val="00BF5E3A"/>
    <w:rsid w:val="00BF6127"/>
    <w:rsid w:val="00BF65FE"/>
    <w:rsid w:val="00BF704E"/>
    <w:rsid w:val="00BF704F"/>
    <w:rsid w:val="00BF7764"/>
    <w:rsid w:val="00C005A1"/>
    <w:rsid w:val="00C01FAA"/>
    <w:rsid w:val="00C030DA"/>
    <w:rsid w:val="00C034CD"/>
    <w:rsid w:val="00C04C01"/>
    <w:rsid w:val="00C04F79"/>
    <w:rsid w:val="00C05CC6"/>
    <w:rsid w:val="00C06546"/>
    <w:rsid w:val="00C06D95"/>
    <w:rsid w:val="00C074C3"/>
    <w:rsid w:val="00C1032D"/>
    <w:rsid w:val="00C10350"/>
    <w:rsid w:val="00C103E2"/>
    <w:rsid w:val="00C10570"/>
    <w:rsid w:val="00C10914"/>
    <w:rsid w:val="00C11D13"/>
    <w:rsid w:val="00C12303"/>
    <w:rsid w:val="00C125B2"/>
    <w:rsid w:val="00C127F4"/>
    <w:rsid w:val="00C13181"/>
    <w:rsid w:val="00C133F4"/>
    <w:rsid w:val="00C13ED9"/>
    <w:rsid w:val="00C13FA9"/>
    <w:rsid w:val="00C14C0A"/>
    <w:rsid w:val="00C151F7"/>
    <w:rsid w:val="00C16330"/>
    <w:rsid w:val="00C1640B"/>
    <w:rsid w:val="00C16585"/>
    <w:rsid w:val="00C16ECF"/>
    <w:rsid w:val="00C20B80"/>
    <w:rsid w:val="00C21130"/>
    <w:rsid w:val="00C2126F"/>
    <w:rsid w:val="00C21775"/>
    <w:rsid w:val="00C21DEA"/>
    <w:rsid w:val="00C23B2F"/>
    <w:rsid w:val="00C2565D"/>
    <w:rsid w:val="00C25E37"/>
    <w:rsid w:val="00C2786B"/>
    <w:rsid w:val="00C27F55"/>
    <w:rsid w:val="00C31A28"/>
    <w:rsid w:val="00C32D1D"/>
    <w:rsid w:val="00C3341E"/>
    <w:rsid w:val="00C33FC1"/>
    <w:rsid w:val="00C34BC2"/>
    <w:rsid w:val="00C35762"/>
    <w:rsid w:val="00C3675E"/>
    <w:rsid w:val="00C36CB2"/>
    <w:rsid w:val="00C37989"/>
    <w:rsid w:val="00C412E8"/>
    <w:rsid w:val="00C41675"/>
    <w:rsid w:val="00C4293F"/>
    <w:rsid w:val="00C43761"/>
    <w:rsid w:val="00C45C80"/>
    <w:rsid w:val="00C46060"/>
    <w:rsid w:val="00C46567"/>
    <w:rsid w:val="00C46671"/>
    <w:rsid w:val="00C50170"/>
    <w:rsid w:val="00C502C8"/>
    <w:rsid w:val="00C51235"/>
    <w:rsid w:val="00C51688"/>
    <w:rsid w:val="00C549E6"/>
    <w:rsid w:val="00C55F86"/>
    <w:rsid w:val="00C56C79"/>
    <w:rsid w:val="00C57F66"/>
    <w:rsid w:val="00C61DA3"/>
    <w:rsid w:val="00C620BD"/>
    <w:rsid w:val="00C62CF8"/>
    <w:rsid w:val="00C63641"/>
    <w:rsid w:val="00C63E68"/>
    <w:rsid w:val="00C63FE5"/>
    <w:rsid w:val="00C640EA"/>
    <w:rsid w:val="00C64287"/>
    <w:rsid w:val="00C6456C"/>
    <w:rsid w:val="00C6487D"/>
    <w:rsid w:val="00C64E4D"/>
    <w:rsid w:val="00C64F34"/>
    <w:rsid w:val="00C64FC4"/>
    <w:rsid w:val="00C660EA"/>
    <w:rsid w:val="00C66CD7"/>
    <w:rsid w:val="00C670F4"/>
    <w:rsid w:val="00C7005D"/>
    <w:rsid w:val="00C70372"/>
    <w:rsid w:val="00C704F0"/>
    <w:rsid w:val="00C70F5A"/>
    <w:rsid w:val="00C71E19"/>
    <w:rsid w:val="00C72CED"/>
    <w:rsid w:val="00C733D6"/>
    <w:rsid w:val="00C73C48"/>
    <w:rsid w:val="00C73E48"/>
    <w:rsid w:val="00C73FE8"/>
    <w:rsid w:val="00C745DC"/>
    <w:rsid w:val="00C74E1F"/>
    <w:rsid w:val="00C7557C"/>
    <w:rsid w:val="00C76262"/>
    <w:rsid w:val="00C76E83"/>
    <w:rsid w:val="00C76F61"/>
    <w:rsid w:val="00C778B3"/>
    <w:rsid w:val="00C77D42"/>
    <w:rsid w:val="00C81007"/>
    <w:rsid w:val="00C820C3"/>
    <w:rsid w:val="00C8419C"/>
    <w:rsid w:val="00C85079"/>
    <w:rsid w:val="00C8645C"/>
    <w:rsid w:val="00C86677"/>
    <w:rsid w:val="00C870B6"/>
    <w:rsid w:val="00C8711D"/>
    <w:rsid w:val="00C874A6"/>
    <w:rsid w:val="00C877BD"/>
    <w:rsid w:val="00C8788C"/>
    <w:rsid w:val="00C90F7B"/>
    <w:rsid w:val="00C91E1E"/>
    <w:rsid w:val="00C92108"/>
    <w:rsid w:val="00C92664"/>
    <w:rsid w:val="00C92EAD"/>
    <w:rsid w:val="00C92F43"/>
    <w:rsid w:val="00C931E7"/>
    <w:rsid w:val="00C93828"/>
    <w:rsid w:val="00C93CEE"/>
    <w:rsid w:val="00C94668"/>
    <w:rsid w:val="00C9493D"/>
    <w:rsid w:val="00C95D04"/>
    <w:rsid w:val="00C969BF"/>
    <w:rsid w:val="00C970C9"/>
    <w:rsid w:val="00CA0026"/>
    <w:rsid w:val="00CA00C3"/>
    <w:rsid w:val="00CA1C95"/>
    <w:rsid w:val="00CA229E"/>
    <w:rsid w:val="00CA2998"/>
    <w:rsid w:val="00CA3340"/>
    <w:rsid w:val="00CA49F7"/>
    <w:rsid w:val="00CA6A64"/>
    <w:rsid w:val="00CA7A3E"/>
    <w:rsid w:val="00CA7F02"/>
    <w:rsid w:val="00CB10D8"/>
    <w:rsid w:val="00CB1F7C"/>
    <w:rsid w:val="00CB2025"/>
    <w:rsid w:val="00CB2CA7"/>
    <w:rsid w:val="00CB2D5A"/>
    <w:rsid w:val="00CB3AD4"/>
    <w:rsid w:val="00CB41A7"/>
    <w:rsid w:val="00CB42CC"/>
    <w:rsid w:val="00CB44B1"/>
    <w:rsid w:val="00CB4564"/>
    <w:rsid w:val="00CB4D73"/>
    <w:rsid w:val="00CB68C0"/>
    <w:rsid w:val="00CB6B3C"/>
    <w:rsid w:val="00CB7C7B"/>
    <w:rsid w:val="00CC02A8"/>
    <w:rsid w:val="00CC1AD9"/>
    <w:rsid w:val="00CC4357"/>
    <w:rsid w:val="00CC4FB4"/>
    <w:rsid w:val="00CC5A21"/>
    <w:rsid w:val="00CC6170"/>
    <w:rsid w:val="00CC6751"/>
    <w:rsid w:val="00CC6AA5"/>
    <w:rsid w:val="00CC6C71"/>
    <w:rsid w:val="00CD04E3"/>
    <w:rsid w:val="00CD10D8"/>
    <w:rsid w:val="00CD14F2"/>
    <w:rsid w:val="00CD1AD0"/>
    <w:rsid w:val="00CD264C"/>
    <w:rsid w:val="00CD2764"/>
    <w:rsid w:val="00CD42E1"/>
    <w:rsid w:val="00CD52B0"/>
    <w:rsid w:val="00CD6F2E"/>
    <w:rsid w:val="00CD783E"/>
    <w:rsid w:val="00CD7E89"/>
    <w:rsid w:val="00CE0565"/>
    <w:rsid w:val="00CE0D29"/>
    <w:rsid w:val="00CE24B7"/>
    <w:rsid w:val="00CE2C44"/>
    <w:rsid w:val="00CE2D8C"/>
    <w:rsid w:val="00CE3BD1"/>
    <w:rsid w:val="00CE4BC5"/>
    <w:rsid w:val="00CE52E8"/>
    <w:rsid w:val="00CE54A3"/>
    <w:rsid w:val="00CE56ED"/>
    <w:rsid w:val="00CE5C1C"/>
    <w:rsid w:val="00CE60D6"/>
    <w:rsid w:val="00CE7199"/>
    <w:rsid w:val="00CF15B2"/>
    <w:rsid w:val="00CF2486"/>
    <w:rsid w:val="00CF30A8"/>
    <w:rsid w:val="00CF319D"/>
    <w:rsid w:val="00CF43C9"/>
    <w:rsid w:val="00CF64E1"/>
    <w:rsid w:val="00CF6D32"/>
    <w:rsid w:val="00D00069"/>
    <w:rsid w:val="00D011B1"/>
    <w:rsid w:val="00D014CC"/>
    <w:rsid w:val="00D0262A"/>
    <w:rsid w:val="00D02A6E"/>
    <w:rsid w:val="00D03478"/>
    <w:rsid w:val="00D045C8"/>
    <w:rsid w:val="00D04FC2"/>
    <w:rsid w:val="00D05920"/>
    <w:rsid w:val="00D05A4A"/>
    <w:rsid w:val="00D05ED8"/>
    <w:rsid w:val="00D066AB"/>
    <w:rsid w:val="00D07104"/>
    <w:rsid w:val="00D10B37"/>
    <w:rsid w:val="00D1135E"/>
    <w:rsid w:val="00D12798"/>
    <w:rsid w:val="00D128C6"/>
    <w:rsid w:val="00D142CE"/>
    <w:rsid w:val="00D15AA6"/>
    <w:rsid w:val="00D16990"/>
    <w:rsid w:val="00D1739C"/>
    <w:rsid w:val="00D201F6"/>
    <w:rsid w:val="00D22C22"/>
    <w:rsid w:val="00D2384D"/>
    <w:rsid w:val="00D23CCE"/>
    <w:rsid w:val="00D246DA"/>
    <w:rsid w:val="00D25E7C"/>
    <w:rsid w:val="00D30F63"/>
    <w:rsid w:val="00D32900"/>
    <w:rsid w:val="00D33AEE"/>
    <w:rsid w:val="00D34702"/>
    <w:rsid w:val="00D36DDD"/>
    <w:rsid w:val="00D373B8"/>
    <w:rsid w:val="00D3744E"/>
    <w:rsid w:val="00D37E4C"/>
    <w:rsid w:val="00D40C97"/>
    <w:rsid w:val="00D41ADF"/>
    <w:rsid w:val="00D420C0"/>
    <w:rsid w:val="00D42EAD"/>
    <w:rsid w:val="00D4351E"/>
    <w:rsid w:val="00D435A4"/>
    <w:rsid w:val="00D462F5"/>
    <w:rsid w:val="00D55FA7"/>
    <w:rsid w:val="00D57631"/>
    <w:rsid w:val="00D57E5F"/>
    <w:rsid w:val="00D57EEB"/>
    <w:rsid w:val="00D6075E"/>
    <w:rsid w:val="00D6141D"/>
    <w:rsid w:val="00D627A2"/>
    <w:rsid w:val="00D62E5E"/>
    <w:rsid w:val="00D62E6E"/>
    <w:rsid w:val="00D63554"/>
    <w:rsid w:val="00D63C56"/>
    <w:rsid w:val="00D662F3"/>
    <w:rsid w:val="00D6674C"/>
    <w:rsid w:val="00D66D8A"/>
    <w:rsid w:val="00D7027A"/>
    <w:rsid w:val="00D72BE3"/>
    <w:rsid w:val="00D73F75"/>
    <w:rsid w:val="00D73F7E"/>
    <w:rsid w:val="00D7544B"/>
    <w:rsid w:val="00D7707D"/>
    <w:rsid w:val="00D777C5"/>
    <w:rsid w:val="00D77989"/>
    <w:rsid w:val="00D779E9"/>
    <w:rsid w:val="00D801D9"/>
    <w:rsid w:val="00D8058B"/>
    <w:rsid w:val="00D81120"/>
    <w:rsid w:val="00D816AC"/>
    <w:rsid w:val="00D8203C"/>
    <w:rsid w:val="00D83961"/>
    <w:rsid w:val="00D84357"/>
    <w:rsid w:val="00D853B8"/>
    <w:rsid w:val="00D8716B"/>
    <w:rsid w:val="00D9092E"/>
    <w:rsid w:val="00D90B28"/>
    <w:rsid w:val="00D913BD"/>
    <w:rsid w:val="00D92AD5"/>
    <w:rsid w:val="00D92D51"/>
    <w:rsid w:val="00D937DF"/>
    <w:rsid w:val="00D9492C"/>
    <w:rsid w:val="00D949E6"/>
    <w:rsid w:val="00D94AB1"/>
    <w:rsid w:val="00D96079"/>
    <w:rsid w:val="00D96CA8"/>
    <w:rsid w:val="00DA014B"/>
    <w:rsid w:val="00DA08BE"/>
    <w:rsid w:val="00DA1515"/>
    <w:rsid w:val="00DA19C4"/>
    <w:rsid w:val="00DA1A11"/>
    <w:rsid w:val="00DA278E"/>
    <w:rsid w:val="00DA414E"/>
    <w:rsid w:val="00DA4D13"/>
    <w:rsid w:val="00DA599B"/>
    <w:rsid w:val="00DA5D38"/>
    <w:rsid w:val="00DA603E"/>
    <w:rsid w:val="00DB00D7"/>
    <w:rsid w:val="00DB0AD2"/>
    <w:rsid w:val="00DB0AD6"/>
    <w:rsid w:val="00DB1315"/>
    <w:rsid w:val="00DB1FCD"/>
    <w:rsid w:val="00DB2672"/>
    <w:rsid w:val="00DB29EC"/>
    <w:rsid w:val="00DB33D3"/>
    <w:rsid w:val="00DB4166"/>
    <w:rsid w:val="00DB561B"/>
    <w:rsid w:val="00DB65AB"/>
    <w:rsid w:val="00DB7E37"/>
    <w:rsid w:val="00DC08FA"/>
    <w:rsid w:val="00DC2992"/>
    <w:rsid w:val="00DC2999"/>
    <w:rsid w:val="00DC33CB"/>
    <w:rsid w:val="00DC355B"/>
    <w:rsid w:val="00DC3BE4"/>
    <w:rsid w:val="00DC3D03"/>
    <w:rsid w:val="00DC46A8"/>
    <w:rsid w:val="00DC5A65"/>
    <w:rsid w:val="00DC5CC6"/>
    <w:rsid w:val="00DC5D1D"/>
    <w:rsid w:val="00DC6841"/>
    <w:rsid w:val="00DC6C7B"/>
    <w:rsid w:val="00DC6E28"/>
    <w:rsid w:val="00DC7EC7"/>
    <w:rsid w:val="00DD007E"/>
    <w:rsid w:val="00DD01A8"/>
    <w:rsid w:val="00DD0A85"/>
    <w:rsid w:val="00DD1AA0"/>
    <w:rsid w:val="00DD1C2D"/>
    <w:rsid w:val="00DD2325"/>
    <w:rsid w:val="00DD251C"/>
    <w:rsid w:val="00DD2DB7"/>
    <w:rsid w:val="00DD2FAF"/>
    <w:rsid w:val="00DD306B"/>
    <w:rsid w:val="00DD5A7A"/>
    <w:rsid w:val="00DD6345"/>
    <w:rsid w:val="00DE0106"/>
    <w:rsid w:val="00DE1777"/>
    <w:rsid w:val="00DE1E0F"/>
    <w:rsid w:val="00DE2033"/>
    <w:rsid w:val="00DE2C28"/>
    <w:rsid w:val="00DE39AD"/>
    <w:rsid w:val="00DE6A89"/>
    <w:rsid w:val="00DF1153"/>
    <w:rsid w:val="00DF126B"/>
    <w:rsid w:val="00DF2DC2"/>
    <w:rsid w:val="00DF413B"/>
    <w:rsid w:val="00DF551D"/>
    <w:rsid w:val="00DF572D"/>
    <w:rsid w:val="00DF5AF1"/>
    <w:rsid w:val="00DF6FED"/>
    <w:rsid w:val="00DF7870"/>
    <w:rsid w:val="00E0004D"/>
    <w:rsid w:val="00E00A02"/>
    <w:rsid w:val="00E00F67"/>
    <w:rsid w:val="00E01E97"/>
    <w:rsid w:val="00E03068"/>
    <w:rsid w:val="00E038E5"/>
    <w:rsid w:val="00E044E5"/>
    <w:rsid w:val="00E04E0E"/>
    <w:rsid w:val="00E04FA8"/>
    <w:rsid w:val="00E05749"/>
    <w:rsid w:val="00E057AF"/>
    <w:rsid w:val="00E05831"/>
    <w:rsid w:val="00E06BA1"/>
    <w:rsid w:val="00E06C10"/>
    <w:rsid w:val="00E07A86"/>
    <w:rsid w:val="00E10059"/>
    <w:rsid w:val="00E10C27"/>
    <w:rsid w:val="00E1104E"/>
    <w:rsid w:val="00E125CF"/>
    <w:rsid w:val="00E12E22"/>
    <w:rsid w:val="00E1373A"/>
    <w:rsid w:val="00E13D24"/>
    <w:rsid w:val="00E14164"/>
    <w:rsid w:val="00E14DD8"/>
    <w:rsid w:val="00E15423"/>
    <w:rsid w:val="00E15AD1"/>
    <w:rsid w:val="00E1776C"/>
    <w:rsid w:val="00E2041E"/>
    <w:rsid w:val="00E20BFB"/>
    <w:rsid w:val="00E21921"/>
    <w:rsid w:val="00E22157"/>
    <w:rsid w:val="00E231C1"/>
    <w:rsid w:val="00E24FA6"/>
    <w:rsid w:val="00E261C0"/>
    <w:rsid w:val="00E26863"/>
    <w:rsid w:val="00E268E2"/>
    <w:rsid w:val="00E2701D"/>
    <w:rsid w:val="00E27027"/>
    <w:rsid w:val="00E27C25"/>
    <w:rsid w:val="00E27F98"/>
    <w:rsid w:val="00E300A9"/>
    <w:rsid w:val="00E30191"/>
    <w:rsid w:val="00E30453"/>
    <w:rsid w:val="00E3178C"/>
    <w:rsid w:val="00E348F2"/>
    <w:rsid w:val="00E356EA"/>
    <w:rsid w:val="00E36C12"/>
    <w:rsid w:val="00E36CB8"/>
    <w:rsid w:val="00E37552"/>
    <w:rsid w:val="00E4038B"/>
    <w:rsid w:val="00E40C96"/>
    <w:rsid w:val="00E410EB"/>
    <w:rsid w:val="00E4138A"/>
    <w:rsid w:val="00E4163F"/>
    <w:rsid w:val="00E42B38"/>
    <w:rsid w:val="00E430B4"/>
    <w:rsid w:val="00E45038"/>
    <w:rsid w:val="00E4540D"/>
    <w:rsid w:val="00E46142"/>
    <w:rsid w:val="00E46764"/>
    <w:rsid w:val="00E47DD2"/>
    <w:rsid w:val="00E53701"/>
    <w:rsid w:val="00E54EEB"/>
    <w:rsid w:val="00E55F04"/>
    <w:rsid w:val="00E56A14"/>
    <w:rsid w:val="00E56C4E"/>
    <w:rsid w:val="00E57655"/>
    <w:rsid w:val="00E57FCE"/>
    <w:rsid w:val="00E6171E"/>
    <w:rsid w:val="00E649CF"/>
    <w:rsid w:val="00E649DD"/>
    <w:rsid w:val="00E6541C"/>
    <w:rsid w:val="00E657C9"/>
    <w:rsid w:val="00E658AF"/>
    <w:rsid w:val="00E66E41"/>
    <w:rsid w:val="00E67CBF"/>
    <w:rsid w:val="00E70363"/>
    <w:rsid w:val="00E72166"/>
    <w:rsid w:val="00E7297C"/>
    <w:rsid w:val="00E72D9B"/>
    <w:rsid w:val="00E73191"/>
    <w:rsid w:val="00E744DE"/>
    <w:rsid w:val="00E7490D"/>
    <w:rsid w:val="00E7496C"/>
    <w:rsid w:val="00E75386"/>
    <w:rsid w:val="00E762AB"/>
    <w:rsid w:val="00E77CE0"/>
    <w:rsid w:val="00E80069"/>
    <w:rsid w:val="00E80371"/>
    <w:rsid w:val="00E81204"/>
    <w:rsid w:val="00E83504"/>
    <w:rsid w:val="00E85254"/>
    <w:rsid w:val="00E86027"/>
    <w:rsid w:val="00E87E7C"/>
    <w:rsid w:val="00E90278"/>
    <w:rsid w:val="00E9087E"/>
    <w:rsid w:val="00E91A7A"/>
    <w:rsid w:val="00E91B09"/>
    <w:rsid w:val="00E91B7C"/>
    <w:rsid w:val="00E92CAA"/>
    <w:rsid w:val="00E934F5"/>
    <w:rsid w:val="00E9411C"/>
    <w:rsid w:val="00E953AA"/>
    <w:rsid w:val="00E96C52"/>
    <w:rsid w:val="00E97735"/>
    <w:rsid w:val="00E97D95"/>
    <w:rsid w:val="00EA11D6"/>
    <w:rsid w:val="00EA1495"/>
    <w:rsid w:val="00EA1599"/>
    <w:rsid w:val="00EA162E"/>
    <w:rsid w:val="00EA2D9F"/>
    <w:rsid w:val="00EA3A96"/>
    <w:rsid w:val="00EA3C99"/>
    <w:rsid w:val="00EA427B"/>
    <w:rsid w:val="00EA4A61"/>
    <w:rsid w:val="00EA4E82"/>
    <w:rsid w:val="00EA54BE"/>
    <w:rsid w:val="00EA564E"/>
    <w:rsid w:val="00EA5873"/>
    <w:rsid w:val="00EA595C"/>
    <w:rsid w:val="00EA6BB7"/>
    <w:rsid w:val="00EA6FA6"/>
    <w:rsid w:val="00EA723F"/>
    <w:rsid w:val="00EA7F4D"/>
    <w:rsid w:val="00EB0A70"/>
    <w:rsid w:val="00EB0AD2"/>
    <w:rsid w:val="00EB1E8C"/>
    <w:rsid w:val="00EB3CFF"/>
    <w:rsid w:val="00EB4F33"/>
    <w:rsid w:val="00EB5E4F"/>
    <w:rsid w:val="00EB71E2"/>
    <w:rsid w:val="00EC01AA"/>
    <w:rsid w:val="00EC10DF"/>
    <w:rsid w:val="00EC28A8"/>
    <w:rsid w:val="00EC292B"/>
    <w:rsid w:val="00EC2FCA"/>
    <w:rsid w:val="00EC2FD3"/>
    <w:rsid w:val="00EC3578"/>
    <w:rsid w:val="00EC3B91"/>
    <w:rsid w:val="00EC3C2D"/>
    <w:rsid w:val="00EC4562"/>
    <w:rsid w:val="00EC5136"/>
    <w:rsid w:val="00EC6917"/>
    <w:rsid w:val="00EC6AA8"/>
    <w:rsid w:val="00ED0053"/>
    <w:rsid w:val="00ED0E96"/>
    <w:rsid w:val="00ED129B"/>
    <w:rsid w:val="00ED2C00"/>
    <w:rsid w:val="00ED3E77"/>
    <w:rsid w:val="00ED42BB"/>
    <w:rsid w:val="00ED461F"/>
    <w:rsid w:val="00ED5C14"/>
    <w:rsid w:val="00ED689C"/>
    <w:rsid w:val="00ED69F6"/>
    <w:rsid w:val="00ED6ADC"/>
    <w:rsid w:val="00ED7769"/>
    <w:rsid w:val="00ED7A19"/>
    <w:rsid w:val="00EE0C1C"/>
    <w:rsid w:val="00EE1043"/>
    <w:rsid w:val="00EE2B5B"/>
    <w:rsid w:val="00EE350B"/>
    <w:rsid w:val="00EE54F1"/>
    <w:rsid w:val="00EE550A"/>
    <w:rsid w:val="00EE5EFC"/>
    <w:rsid w:val="00EE71E9"/>
    <w:rsid w:val="00EE7CC7"/>
    <w:rsid w:val="00EE7CDD"/>
    <w:rsid w:val="00EF0B2C"/>
    <w:rsid w:val="00EF0C5B"/>
    <w:rsid w:val="00EF14A2"/>
    <w:rsid w:val="00EF17E1"/>
    <w:rsid w:val="00EF1CB7"/>
    <w:rsid w:val="00EF2D28"/>
    <w:rsid w:val="00EF2E04"/>
    <w:rsid w:val="00EF2EBF"/>
    <w:rsid w:val="00EF31DC"/>
    <w:rsid w:val="00EF3BF6"/>
    <w:rsid w:val="00EF418D"/>
    <w:rsid w:val="00EF46EF"/>
    <w:rsid w:val="00EF4EDF"/>
    <w:rsid w:val="00EF552D"/>
    <w:rsid w:val="00EF6347"/>
    <w:rsid w:val="00EF74D4"/>
    <w:rsid w:val="00EF7972"/>
    <w:rsid w:val="00F0209C"/>
    <w:rsid w:val="00F020CF"/>
    <w:rsid w:val="00F043CA"/>
    <w:rsid w:val="00F05696"/>
    <w:rsid w:val="00F0570F"/>
    <w:rsid w:val="00F06AE9"/>
    <w:rsid w:val="00F07E57"/>
    <w:rsid w:val="00F11DED"/>
    <w:rsid w:val="00F16F9D"/>
    <w:rsid w:val="00F178B3"/>
    <w:rsid w:val="00F23B46"/>
    <w:rsid w:val="00F2438D"/>
    <w:rsid w:val="00F24F82"/>
    <w:rsid w:val="00F2540E"/>
    <w:rsid w:val="00F25A0F"/>
    <w:rsid w:val="00F25A14"/>
    <w:rsid w:val="00F26BC3"/>
    <w:rsid w:val="00F26EFD"/>
    <w:rsid w:val="00F26FF8"/>
    <w:rsid w:val="00F27CEB"/>
    <w:rsid w:val="00F30A01"/>
    <w:rsid w:val="00F30BA3"/>
    <w:rsid w:val="00F316D7"/>
    <w:rsid w:val="00F31C95"/>
    <w:rsid w:val="00F31DC1"/>
    <w:rsid w:val="00F31E3B"/>
    <w:rsid w:val="00F330B6"/>
    <w:rsid w:val="00F34D92"/>
    <w:rsid w:val="00F34FE0"/>
    <w:rsid w:val="00F3522E"/>
    <w:rsid w:val="00F36564"/>
    <w:rsid w:val="00F374A5"/>
    <w:rsid w:val="00F37894"/>
    <w:rsid w:val="00F37F05"/>
    <w:rsid w:val="00F40303"/>
    <w:rsid w:val="00F407DB"/>
    <w:rsid w:val="00F40D5E"/>
    <w:rsid w:val="00F40FFE"/>
    <w:rsid w:val="00F41273"/>
    <w:rsid w:val="00F427A1"/>
    <w:rsid w:val="00F42AB9"/>
    <w:rsid w:val="00F430A0"/>
    <w:rsid w:val="00F43BC3"/>
    <w:rsid w:val="00F44EAC"/>
    <w:rsid w:val="00F4668D"/>
    <w:rsid w:val="00F46756"/>
    <w:rsid w:val="00F50634"/>
    <w:rsid w:val="00F51585"/>
    <w:rsid w:val="00F526D6"/>
    <w:rsid w:val="00F52907"/>
    <w:rsid w:val="00F546E5"/>
    <w:rsid w:val="00F555E3"/>
    <w:rsid w:val="00F560A6"/>
    <w:rsid w:val="00F5651B"/>
    <w:rsid w:val="00F56C8D"/>
    <w:rsid w:val="00F57347"/>
    <w:rsid w:val="00F604F1"/>
    <w:rsid w:val="00F60755"/>
    <w:rsid w:val="00F608F8"/>
    <w:rsid w:val="00F60B90"/>
    <w:rsid w:val="00F617DA"/>
    <w:rsid w:val="00F61BAC"/>
    <w:rsid w:val="00F62D32"/>
    <w:rsid w:val="00F63664"/>
    <w:rsid w:val="00F649C1"/>
    <w:rsid w:val="00F67EF3"/>
    <w:rsid w:val="00F72F19"/>
    <w:rsid w:val="00F730C5"/>
    <w:rsid w:val="00F7340E"/>
    <w:rsid w:val="00F73D6D"/>
    <w:rsid w:val="00F740E5"/>
    <w:rsid w:val="00F7494D"/>
    <w:rsid w:val="00F74E1A"/>
    <w:rsid w:val="00F761E9"/>
    <w:rsid w:val="00F76507"/>
    <w:rsid w:val="00F80254"/>
    <w:rsid w:val="00F8048C"/>
    <w:rsid w:val="00F805AC"/>
    <w:rsid w:val="00F8128E"/>
    <w:rsid w:val="00F812B6"/>
    <w:rsid w:val="00F813C3"/>
    <w:rsid w:val="00F824F3"/>
    <w:rsid w:val="00F82528"/>
    <w:rsid w:val="00F82D36"/>
    <w:rsid w:val="00F82F63"/>
    <w:rsid w:val="00F839B5"/>
    <w:rsid w:val="00F83EDA"/>
    <w:rsid w:val="00F84945"/>
    <w:rsid w:val="00F852A0"/>
    <w:rsid w:val="00F86133"/>
    <w:rsid w:val="00F8648C"/>
    <w:rsid w:val="00F87E43"/>
    <w:rsid w:val="00F90631"/>
    <w:rsid w:val="00F9071E"/>
    <w:rsid w:val="00F90C9A"/>
    <w:rsid w:val="00F91B75"/>
    <w:rsid w:val="00F92030"/>
    <w:rsid w:val="00F92BE8"/>
    <w:rsid w:val="00F94CB3"/>
    <w:rsid w:val="00F94DFA"/>
    <w:rsid w:val="00F96210"/>
    <w:rsid w:val="00F96E16"/>
    <w:rsid w:val="00F97A18"/>
    <w:rsid w:val="00F97A44"/>
    <w:rsid w:val="00FA00FE"/>
    <w:rsid w:val="00FA1518"/>
    <w:rsid w:val="00FA18C6"/>
    <w:rsid w:val="00FA2398"/>
    <w:rsid w:val="00FA2A4D"/>
    <w:rsid w:val="00FA3117"/>
    <w:rsid w:val="00FA37C0"/>
    <w:rsid w:val="00FA38B8"/>
    <w:rsid w:val="00FA4525"/>
    <w:rsid w:val="00FA4575"/>
    <w:rsid w:val="00FA579D"/>
    <w:rsid w:val="00FA6860"/>
    <w:rsid w:val="00FA7CED"/>
    <w:rsid w:val="00FB0500"/>
    <w:rsid w:val="00FB059B"/>
    <w:rsid w:val="00FB097D"/>
    <w:rsid w:val="00FB1461"/>
    <w:rsid w:val="00FB200C"/>
    <w:rsid w:val="00FB2AC8"/>
    <w:rsid w:val="00FB2ACA"/>
    <w:rsid w:val="00FB32E0"/>
    <w:rsid w:val="00FB42B1"/>
    <w:rsid w:val="00FB491D"/>
    <w:rsid w:val="00FB5AD2"/>
    <w:rsid w:val="00FB76AB"/>
    <w:rsid w:val="00FC0417"/>
    <w:rsid w:val="00FC0593"/>
    <w:rsid w:val="00FC1437"/>
    <w:rsid w:val="00FC3CE9"/>
    <w:rsid w:val="00FC40D1"/>
    <w:rsid w:val="00FC4640"/>
    <w:rsid w:val="00FC4B92"/>
    <w:rsid w:val="00FC4DEB"/>
    <w:rsid w:val="00FC718F"/>
    <w:rsid w:val="00FD04BD"/>
    <w:rsid w:val="00FD18BF"/>
    <w:rsid w:val="00FD5168"/>
    <w:rsid w:val="00FD5183"/>
    <w:rsid w:val="00FD5F44"/>
    <w:rsid w:val="00FD64C3"/>
    <w:rsid w:val="00FD6D14"/>
    <w:rsid w:val="00FD730F"/>
    <w:rsid w:val="00FE0208"/>
    <w:rsid w:val="00FE070C"/>
    <w:rsid w:val="00FE0B0A"/>
    <w:rsid w:val="00FE20C3"/>
    <w:rsid w:val="00FE2B50"/>
    <w:rsid w:val="00FE2BAA"/>
    <w:rsid w:val="00FE2D6D"/>
    <w:rsid w:val="00FE3698"/>
    <w:rsid w:val="00FE4D15"/>
    <w:rsid w:val="00FE53E2"/>
    <w:rsid w:val="00FE6C1B"/>
    <w:rsid w:val="00FE7A58"/>
    <w:rsid w:val="00FF0575"/>
    <w:rsid w:val="00FF0DBF"/>
    <w:rsid w:val="00FF1B20"/>
    <w:rsid w:val="00FF1D43"/>
    <w:rsid w:val="00FF26F2"/>
    <w:rsid w:val="00FF3E57"/>
    <w:rsid w:val="00FF5FD8"/>
    <w:rsid w:val="00FF6658"/>
    <w:rsid w:val="00FF745B"/>
    <w:rsid w:val="00FF7B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93654"/>
  <w15:docId w15:val="{FA0CE177-AC26-470F-90D5-7DDC4942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170C"/>
    <w:pPr>
      <w:spacing w:after="200" w:line="276" w:lineRule="auto"/>
    </w:pPr>
    <w:rPr>
      <w:sz w:val="22"/>
      <w:szCs w:val="22"/>
      <w:lang w:eastAsia="en-US"/>
    </w:rPr>
  </w:style>
  <w:style w:type="paragraph" w:styleId="Heading3">
    <w:name w:val="heading 3"/>
    <w:basedOn w:val="Normal"/>
    <w:link w:val="Heading3Char"/>
    <w:qFormat/>
    <w:rsid w:val="0001297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B2284"/>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0B2284"/>
    <w:pPr>
      <w:tabs>
        <w:tab w:val="center" w:pos="4153"/>
        <w:tab w:val="right" w:pos="8306"/>
      </w:tabs>
    </w:pPr>
    <w:rPr>
      <w:sz w:val="20"/>
      <w:szCs w:val="20"/>
    </w:rPr>
  </w:style>
  <w:style w:type="character" w:customStyle="1" w:styleId="HeaderChar">
    <w:name w:val="Header Char"/>
    <w:link w:val="Header"/>
    <w:uiPriority w:val="99"/>
    <w:rsid w:val="000B2284"/>
    <w:rPr>
      <w:rFonts w:ascii="Calibri" w:eastAsia="Calibri" w:hAnsi="Calibri" w:cs="Times New Roman"/>
    </w:rPr>
  </w:style>
  <w:style w:type="paragraph" w:styleId="Footer">
    <w:name w:val="footer"/>
    <w:basedOn w:val="Normal"/>
    <w:link w:val="FooterChar"/>
    <w:uiPriority w:val="99"/>
    <w:unhideWhenUsed/>
    <w:rsid w:val="000B2284"/>
    <w:pPr>
      <w:tabs>
        <w:tab w:val="center" w:pos="4153"/>
        <w:tab w:val="right" w:pos="8306"/>
      </w:tabs>
    </w:pPr>
    <w:rPr>
      <w:sz w:val="20"/>
      <w:szCs w:val="20"/>
    </w:rPr>
  </w:style>
  <w:style w:type="character" w:customStyle="1" w:styleId="FooterChar">
    <w:name w:val="Footer Char"/>
    <w:link w:val="Footer"/>
    <w:uiPriority w:val="99"/>
    <w:rsid w:val="000B2284"/>
    <w:rPr>
      <w:rFonts w:ascii="Calibri" w:eastAsia="Calibri" w:hAnsi="Calibri" w:cs="Times New Roman"/>
    </w:rPr>
  </w:style>
  <w:style w:type="character" w:styleId="Hyperlink">
    <w:name w:val="Hyperlink"/>
    <w:unhideWhenUsed/>
    <w:rsid w:val="000B2284"/>
    <w:rPr>
      <w:color w:val="0000FF"/>
      <w:u w:val="single"/>
    </w:rPr>
  </w:style>
  <w:style w:type="paragraph" w:customStyle="1" w:styleId="StyleRight">
    <w:name w:val="Style Right"/>
    <w:basedOn w:val="Normal"/>
    <w:rsid w:val="000B2284"/>
    <w:pPr>
      <w:spacing w:after="120" w:line="240" w:lineRule="auto"/>
      <w:ind w:firstLine="720"/>
      <w:jc w:val="right"/>
    </w:pPr>
    <w:rPr>
      <w:rFonts w:ascii="Times New Roman" w:eastAsia="Times New Roman" w:hAnsi="Times New Roman"/>
      <w:sz w:val="28"/>
      <w:szCs w:val="28"/>
    </w:rPr>
  </w:style>
  <w:style w:type="paragraph" w:styleId="NormalWeb">
    <w:name w:val="Normal (Web)"/>
    <w:basedOn w:val="Normal"/>
    <w:uiPriority w:val="99"/>
    <w:unhideWhenUsed/>
    <w:rsid w:val="000B2284"/>
    <w:pPr>
      <w:spacing w:before="100" w:beforeAutospacing="1" w:after="100" w:afterAutospacing="1" w:line="240" w:lineRule="auto"/>
    </w:pPr>
    <w:rPr>
      <w:rFonts w:ascii="Verdana" w:eastAsia="Times New Roman" w:hAnsi="Verdana"/>
      <w:sz w:val="18"/>
      <w:szCs w:val="18"/>
      <w:lang w:val="en-US"/>
    </w:rPr>
  </w:style>
  <w:style w:type="character" w:styleId="Strong">
    <w:name w:val="Strong"/>
    <w:uiPriority w:val="22"/>
    <w:qFormat/>
    <w:rsid w:val="000B2284"/>
    <w:rPr>
      <w:b/>
      <w:bCs/>
    </w:rPr>
  </w:style>
  <w:style w:type="paragraph" w:customStyle="1" w:styleId="Char">
    <w:name w:val="Char"/>
    <w:basedOn w:val="Normal"/>
    <w:next w:val="Normal"/>
    <w:rsid w:val="00E12E22"/>
    <w:pPr>
      <w:spacing w:before="120" w:after="160" w:line="240" w:lineRule="exact"/>
      <w:ind w:firstLine="720"/>
      <w:jc w:val="both"/>
    </w:pPr>
    <w:rPr>
      <w:rFonts w:ascii="Verdana" w:eastAsia="Times New Roman" w:hAnsi="Verdana"/>
      <w:sz w:val="20"/>
      <w:szCs w:val="20"/>
      <w:lang w:val="en-US"/>
    </w:rPr>
  </w:style>
  <w:style w:type="paragraph" w:styleId="ListParagraph">
    <w:name w:val="List Paragraph"/>
    <w:basedOn w:val="Normal"/>
    <w:uiPriority w:val="34"/>
    <w:qFormat/>
    <w:rsid w:val="008C7255"/>
    <w:pPr>
      <w:ind w:left="720"/>
      <w:contextualSpacing/>
    </w:pPr>
  </w:style>
  <w:style w:type="paragraph" w:customStyle="1" w:styleId="Char0">
    <w:name w:val="Char"/>
    <w:basedOn w:val="Normal"/>
    <w:next w:val="Normal"/>
    <w:rsid w:val="00A3479C"/>
    <w:pPr>
      <w:spacing w:before="120" w:after="160" w:line="240" w:lineRule="exact"/>
      <w:ind w:firstLine="720"/>
      <w:jc w:val="both"/>
    </w:pPr>
    <w:rPr>
      <w:rFonts w:ascii="Verdana" w:eastAsia="Times New Roman" w:hAnsi="Verdana"/>
      <w:sz w:val="20"/>
      <w:szCs w:val="20"/>
      <w:lang w:val="en-US"/>
    </w:rPr>
  </w:style>
  <w:style w:type="paragraph" w:customStyle="1" w:styleId="naisnod">
    <w:name w:val="naisnod"/>
    <w:basedOn w:val="Normal"/>
    <w:rsid w:val="00D1739C"/>
    <w:pPr>
      <w:spacing w:before="150" w:after="150" w:line="240" w:lineRule="auto"/>
      <w:jc w:val="center"/>
    </w:pPr>
    <w:rPr>
      <w:rFonts w:ascii="Times New Roman" w:eastAsia="Times New Roman" w:hAnsi="Times New Roman"/>
      <w:b/>
      <w:bCs/>
      <w:sz w:val="24"/>
      <w:szCs w:val="24"/>
      <w:lang w:eastAsia="lv-LV"/>
    </w:rPr>
  </w:style>
  <w:style w:type="paragraph" w:customStyle="1" w:styleId="naislab">
    <w:name w:val="naislab"/>
    <w:basedOn w:val="Normal"/>
    <w:rsid w:val="00D1739C"/>
    <w:pPr>
      <w:spacing w:before="75" w:after="75" w:line="240" w:lineRule="auto"/>
      <w:jc w:val="right"/>
    </w:pPr>
    <w:rPr>
      <w:rFonts w:ascii="Times New Roman" w:eastAsia="Times New Roman" w:hAnsi="Times New Roman"/>
      <w:sz w:val="24"/>
      <w:szCs w:val="24"/>
      <w:lang w:eastAsia="lv-LV"/>
    </w:rPr>
  </w:style>
  <w:style w:type="paragraph" w:customStyle="1" w:styleId="naiskr">
    <w:name w:val="naiskr"/>
    <w:basedOn w:val="Normal"/>
    <w:rsid w:val="00D1739C"/>
    <w:pPr>
      <w:spacing w:before="75" w:after="75" w:line="240" w:lineRule="auto"/>
    </w:pPr>
    <w:rPr>
      <w:rFonts w:ascii="Times New Roman" w:eastAsia="Times New Roman" w:hAnsi="Times New Roman"/>
      <w:sz w:val="24"/>
      <w:szCs w:val="24"/>
      <w:lang w:eastAsia="lv-LV"/>
    </w:rPr>
  </w:style>
  <w:style w:type="paragraph" w:customStyle="1" w:styleId="naisc">
    <w:name w:val="naisc"/>
    <w:basedOn w:val="Normal"/>
    <w:rsid w:val="00D1739C"/>
    <w:pPr>
      <w:spacing w:before="75" w:after="75" w:line="240" w:lineRule="auto"/>
      <w:jc w:val="center"/>
    </w:pPr>
    <w:rPr>
      <w:rFonts w:ascii="Times New Roman" w:eastAsia="Times New Roman" w:hAnsi="Times New Roman"/>
      <w:sz w:val="24"/>
      <w:szCs w:val="24"/>
      <w:lang w:eastAsia="lv-LV"/>
    </w:rPr>
  </w:style>
  <w:style w:type="paragraph" w:customStyle="1" w:styleId="naispant">
    <w:name w:val="naispant"/>
    <w:basedOn w:val="Normal"/>
    <w:rsid w:val="00AC364A"/>
    <w:pPr>
      <w:spacing w:before="300" w:after="150" w:line="240" w:lineRule="auto"/>
      <w:ind w:left="375" w:firstLine="375"/>
      <w:jc w:val="both"/>
    </w:pPr>
    <w:rPr>
      <w:rFonts w:ascii="Times New Roman" w:eastAsia="Times New Roman" w:hAnsi="Times New Roman"/>
      <w:b/>
      <w:bCs/>
      <w:sz w:val="24"/>
      <w:szCs w:val="24"/>
      <w:lang w:eastAsia="lv-LV"/>
    </w:rPr>
  </w:style>
  <w:style w:type="character" w:customStyle="1" w:styleId="Heading3Char">
    <w:name w:val="Heading 3 Char"/>
    <w:link w:val="Heading3"/>
    <w:rsid w:val="0001297B"/>
    <w:rPr>
      <w:rFonts w:ascii="Times New Roman" w:eastAsia="Times New Roman" w:hAnsi="Times New Roman"/>
      <w:b/>
      <w:bCs/>
      <w:sz w:val="27"/>
      <w:szCs w:val="27"/>
      <w:lang w:val="lv-LV" w:eastAsia="lv-LV"/>
    </w:rPr>
  </w:style>
  <w:style w:type="paragraph" w:customStyle="1" w:styleId="tvhtml">
    <w:name w:val="tv_html"/>
    <w:basedOn w:val="Normal"/>
    <w:rsid w:val="008D7ADA"/>
    <w:pPr>
      <w:spacing w:before="100" w:beforeAutospacing="1" w:after="100" w:afterAutospacing="1" w:line="240" w:lineRule="auto"/>
    </w:pPr>
    <w:rPr>
      <w:rFonts w:ascii="Verdana" w:eastAsia="Times New Roman" w:hAnsi="Verdana"/>
      <w:sz w:val="18"/>
      <w:szCs w:val="18"/>
      <w:lang w:eastAsia="lv-LV"/>
    </w:rPr>
  </w:style>
  <w:style w:type="paragraph" w:styleId="FootnoteText">
    <w:name w:val="footnote text"/>
    <w:basedOn w:val="Normal"/>
    <w:link w:val="FootnoteTextChar"/>
    <w:uiPriority w:val="99"/>
    <w:semiHidden/>
    <w:rsid w:val="00627D2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627D28"/>
    <w:rPr>
      <w:rFonts w:ascii="Times New Roman" w:eastAsia="Times New Roman" w:hAnsi="Times New Roman"/>
    </w:rPr>
  </w:style>
  <w:style w:type="character" w:customStyle="1" w:styleId="apple-converted-space">
    <w:name w:val="apple-converted-space"/>
    <w:rsid w:val="009E7FE7"/>
  </w:style>
  <w:style w:type="character" w:styleId="FootnoteReference">
    <w:name w:val="footnote reference"/>
    <w:uiPriority w:val="99"/>
    <w:semiHidden/>
    <w:rsid w:val="00342203"/>
    <w:rPr>
      <w:vertAlign w:val="superscript"/>
    </w:rPr>
  </w:style>
  <w:style w:type="paragraph" w:customStyle="1" w:styleId="tv2133">
    <w:name w:val="tv2133"/>
    <w:basedOn w:val="Normal"/>
    <w:rsid w:val="00C151F7"/>
    <w:pPr>
      <w:spacing w:after="0" w:line="360" w:lineRule="auto"/>
      <w:ind w:firstLine="300"/>
    </w:pPr>
    <w:rPr>
      <w:rFonts w:ascii="Times New Roman" w:eastAsia="Times New Roman" w:hAnsi="Times New Roman"/>
      <w:color w:val="414142"/>
      <w:sz w:val="20"/>
      <w:szCs w:val="20"/>
      <w:lang w:eastAsia="lv-LV"/>
    </w:rPr>
  </w:style>
  <w:style w:type="paragraph" w:customStyle="1" w:styleId="Default">
    <w:name w:val="Default"/>
    <w:rsid w:val="00DC5D1D"/>
    <w:pPr>
      <w:autoSpaceDE w:val="0"/>
      <w:autoSpaceDN w:val="0"/>
      <w:adjustRightInd w:val="0"/>
    </w:pPr>
    <w:rPr>
      <w:rFonts w:ascii="Times New Roman" w:hAnsi="Times New Roman"/>
      <w:color w:val="000000"/>
      <w:sz w:val="24"/>
      <w:szCs w:val="24"/>
    </w:rPr>
  </w:style>
  <w:style w:type="character" w:customStyle="1" w:styleId="spelle">
    <w:name w:val="spelle"/>
    <w:rsid w:val="00EC10DF"/>
  </w:style>
  <w:style w:type="paragraph" w:styleId="BalloonText">
    <w:name w:val="Balloon Text"/>
    <w:basedOn w:val="Normal"/>
    <w:link w:val="BalloonTextChar"/>
    <w:uiPriority w:val="99"/>
    <w:semiHidden/>
    <w:unhideWhenUsed/>
    <w:rsid w:val="000C0B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0B24"/>
    <w:rPr>
      <w:rFonts w:ascii="Tahoma" w:hAnsi="Tahoma" w:cs="Tahoma"/>
      <w:sz w:val="16"/>
      <w:szCs w:val="16"/>
      <w:lang w:eastAsia="en-US"/>
    </w:rPr>
  </w:style>
  <w:style w:type="table" w:styleId="TableGrid">
    <w:name w:val="Table Grid"/>
    <w:basedOn w:val="TableNormal"/>
    <w:uiPriority w:val="59"/>
    <w:rsid w:val="006C6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CharChar">
    <w:name w:val="Normal (Web) Char Char"/>
    <w:basedOn w:val="Normal"/>
    <w:rsid w:val="00DB1FCD"/>
    <w:pPr>
      <w:widowControl w:val="0"/>
      <w:suppressAutoHyphens/>
      <w:spacing w:before="280" w:after="280" w:line="240" w:lineRule="auto"/>
    </w:pPr>
    <w:rPr>
      <w:rFonts w:ascii="Times New Roman" w:eastAsia="Times New Roman" w:hAnsi="Times New Roman"/>
      <w:color w:val="000000"/>
      <w:sz w:val="20"/>
      <w:szCs w:val="20"/>
      <w:lang w:eastAsia="zh-CN"/>
    </w:rPr>
  </w:style>
  <w:style w:type="paragraph" w:customStyle="1" w:styleId="tv2131">
    <w:name w:val="tv2131"/>
    <w:basedOn w:val="Normal"/>
    <w:rsid w:val="00433A0F"/>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basedOn w:val="DefaultParagraphFont"/>
    <w:uiPriority w:val="99"/>
    <w:semiHidden/>
    <w:unhideWhenUsed/>
    <w:rsid w:val="005678A8"/>
    <w:rPr>
      <w:sz w:val="16"/>
      <w:szCs w:val="16"/>
    </w:rPr>
  </w:style>
  <w:style w:type="paragraph" w:styleId="CommentText">
    <w:name w:val="annotation text"/>
    <w:basedOn w:val="Normal"/>
    <w:link w:val="CommentTextChar"/>
    <w:uiPriority w:val="99"/>
    <w:semiHidden/>
    <w:unhideWhenUsed/>
    <w:rsid w:val="005678A8"/>
    <w:pPr>
      <w:spacing w:line="240" w:lineRule="auto"/>
    </w:pPr>
    <w:rPr>
      <w:sz w:val="20"/>
      <w:szCs w:val="20"/>
    </w:rPr>
  </w:style>
  <w:style w:type="character" w:customStyle="1" w:styleId="CommentTextChar">
    <w:name w:val="Comment Text Char"/>
    <w:basedOn w:val="DefaultParagraphFont"/>
    <w:link w:val="CommentText"/>
    <w:uiPriority w:val="99"/>
    <w:semiHidden/>
    <w:rsid w:val="005678A8"/>
    <w:rPr>
      <w:lang w:eastAsia="en-US"/>
    </w:rPr>
  </w:style>
  <w:style w:type="paragraph" w:styleId="CommentSubject">
    <w:name w:val="annotation subject"/>
    <w:basedOn w:val="CommentText"/>
    <w:next w:val="CommentText"/>
    <w:link w:val="CommentSubjectChar"/>
    <w:uiPriority w:val="99"/>
    <w:semiHidden/>
    <w:unhideWhenUsed/>
    <w:rsid w:val="005678A8"/>
    <w:rPr>
      <w:b/>
      <w:bCs/>
    </w:rPr>
  </w:style>
  <w:style w:type="character" w:customStyle="1" w:styleId="CommentSubjectChar">
    <w:name w:val="Comment Subject Char"/>
    <w:basedOn w:val="CommentTextChar"/>
    <w:link w:val="CommentSubject"/>
    <w:uiPriority w:val="99"/>
    <w:semiHidden/>
    <w:rsid w:val="005678A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014">
      <w:bodyDiv w:val="1"/>
      <w:marLeft w:val="0"/>
      <w:marRight w:val="0"/>
      <w:marTop w:val="0"/>
      <w:marBottom w:val="0"/>
      <w:divBdr>
        <w:top w:val="none" w:sz="0" w:space="0" w:color="auto"/>
        <w:left w:val="none" w:sz="0" w:space="0" w:color="auto"/>
        <w:bottom w:val="none" w:sz="0" w:space="0" w:color="auto"/>
        <w:right w:val="none" w:sz="0" w:space="0" w:color="auto"/>
      </w:divBdr>
      <w:divsChild>
        <w:div w:id="1805931129">
          <w:marLeft w:val="0"/>
          <w:marRight w:val="0"/>
          <w:marTop w:val="0"/>
          <w:marBottom w:val="0"/>
          <w:divBdr>
            <w:top w:val="none" w:sz="0" w:space="0" w:color="auto"/>
            <w:left w:val="none" w:sz="0" w:space="0" w:color="auto"/>
            <w:bottom w:val="none" w:sz="0" w:space="0" w:color="auto"/>
            <w:right w:val="none" w:sz="0" w:space="0" w:color="auto"/>
          </w:divBdr>
          <w:divsChild>
            <w:div w:id="448008629">
              <w:marLeft w:val="0"/>
              <w:marRight w:val="0"/>
              <w:marTop w:val="0"/>
              <w:marBottom w:val="0"/>
              <w:divBdr>
                <w:top w:val="none" w:sz="0" w:space="0" w:color="auto"/>
                <w:left w:val="none" w:sz="0" w:space="0" w:color="auto"/>
                <w:bottom w:val="none" w:sz="0" w:space="0" w:color="auto"/>
                <w:right w:val="none" w:sz="0" w:space="0" w:color="auto"/>
              </w:divBdr>
              <w:divsChild>
                <w:div w:id="1161233883">
                  <w:marLeft w:val="0"/>
                  <w:marRight w:val="0"/>
                  <w:marTop w:val="0"/>
                  <w:marBottom w:val="0"/>
                  <w:divBdr>
                    <w:top w:val="none" w:sz="0" w:space="0" w:color="auto"/>
                    <w:left w:val="none" w:sz="0" w:space="0" w:color="auto"/>
                    <w:bottom w:val="none" w:sz="0" w:space="0" w:color="auto"/>
                    <w:right w:val="none" w:sz="0" w:space="0" w:color="auto"/>
                  </w:divBdr>
                  <w:divsChild>
                    <w:div w:id="1906597723">
                      <w:marLeft w:val="0"/>
                      <w:marRight w:val="0"/>
                      <w:marTop w:val="0"/>
                      <w:marBottom w:val="0"/>
                      <w:divBdr>
                        <w:top w:val="none" w:sz="0" w:space="0" w:color="auto"/>
                        <w:left w:val="none" w:sz="0" w:space="0" w:color="auto"/>
                        <w:bottom w:val="none" w:sz="0" w:space="0" w:color="auto"/>
                        <w:right w:val="none" w:sz="0" w:space="0" w:color="auto"/>
                      </w:divBdr>
                      <w:divsChild>
                        <w:div w:id="1053625013">
                          <w:marLeft w:val="0"/>
                          <w:marRight w:val="0"/>
                          <w:marTop w:val="0"/>
                          <w:marBottom w:val="0"/>
                          <w:divBdr>
                            <w:top w:val="none" w:sz="0" w:space="0" w:color="auto"/>
                            <w:left w:val="none" w:sz="0" w:space="0" w:color="auto"/>
                            <w:bottom w:val="none" w:sz="0" w:space="0" w:color="auto"/>
                            <w:right w:val="none" w:sz="0" w:space="0" w:color="auto"/>
                          </w:divBdr>
                          <w:divsChild>
                            <w:div w:id="13632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52921">
      <w:bodyDiv w:val="1"/>
      <w:marLeft w:val="0"/>
      <w:marRight w:val="0"/>
      <w:marTop w:val="0"/>
      <w:marBottom w:val="0"/>
      <w:divBdr>
        <w:top w:val="none" w:sz="0" w:space="0" w:color="auto"/>
        <w:left w:val="none" w:sz="0" w:space="0" w:color="auto"/>
        <w:bottom w:val="none" w:sz="0" w:space="0" w:color="auto"/>
        <w:right w:val="none" w:sz="0" w:space="0" w:color="auto"/>
      </w:divBdr>
    </w:div>
    <w:div w:id="214199063">
      <w:bodyDiv w:val="1"/>
      <w:marLeft w:val="0"/>
      <w:marRight w:val="0"/>
      <w:marTop w:val="0"/>
      <w:marBottom w:val="0"/>
      <w:divBdr>
        <w:top w:val="none" w:sz="0" w:space="0" w:color="auto"/>
        <w:left w:val="none" w:sz="0" w:space="0" w:color="auto"/>
        <w:bottom w:val="none" w:sz="0" w:space="0" w:color="auto"/>
        <w:right w:val="none" w:sz="0" w:space="0" w:color="auto"/>
      </w:divBdr>
      <w:divsChild>
        <w:div w:id="1165900284">
          <w:marLeft w:val="0"/>
          <w:marRight w:val="0"/>
          <w:marTop w:val="0"/>
          <w:marBottom w:val="0"/>
          <w:divBdr>
            <w:top w:val="none" w:sz="0" w:space="0" w:color="auto"/>
            <w:left w:val="none" w:sz="0" w:space="0" w:color="auto"/>
            <w:bottom w:val="none" w:sz="0" w:space="0" w:color="auto"/>
            <w:right w:val="none" w:sz="0" w:space="0" w:color="auto"/>
          </w:divBdr>
          <w:divsChild>
            <w:div w:id="1274240425">
              <w:marLeft w:val="0"/>
              <w:marRight w:val="0"/>
              <w:marTop w:val="0"/>
              <w:marBottom w:val="0"/>
              <w:divBdr>
                <w:top w:val="none" w:sz="0" w:space="0" w:color="auto"/>
                <w:left w:val="none" w:sz="0" w:space="0" w:color="auto"/>
                <w:bottom w:val="none" w:sz="0" w:space="0" w:color="auto"/>
                <w:right w:val="none" w:sz="0" w:space="0" w:color="auto"/>
              </w:divBdr>
              <w:divsChild>
                <w:div w:id="1408577985">
                  <w:marLeft w:val="0"/>
                  <w:marRight w:val="0"/>
                  <w:marTop w:val="0"/>
                  <w:marBottom w:val="0"/>
                  <w:divBdr>
                    <w:top w:val="none" w:sz="0" w:space="0" w:color="auto"/>
                    <w:left w:val="none" w:sz="0" w:space="0" w:color="auto"/>
                    <w:bottom w:val="none" w:sz="0" w:space="0" w:color="auto"/>
                    <w:right w:val="none" w:sz="0" w:space="0" w:color="auto"/>
                  </w:divBdr>
                  <w:divsChild>
                    <w:div w:id="657198997">
                      <w:marLeft w:val="0"/>
                      <w:marRight w:val="0"/>
                      <w:marTop w:val="0"/>
                      <w:marBottom w:val="0"/>
                      <w:divBdr>
                        <w:top w:val="none" w:sz="0" w:space="0" w:color="auto"/>
                        <w:left w:val="none" w:sz="0" w:space="0" w:color="auto"/>
                        <w:bottom w:val="none" w:sz="0" w:space="0" w:color="auto"/>
                        <w:right w:val="none" w:sz="0" w:space="0" w:color="auto"/>
                      </w:divBdr>
                      <w:divsChild>
                        <w:div w:id="2016415626">
                          <w:marLeft w:val="0"/>
                          <w:marRight w:val="0"/>
                          <w:marTop w:val="0"/>
                          <w:marBottom w:val="0"/>
                          <w:divBdr>
                            <w:top w:val="none" w:sz="0" w:space="0" w:color="auto"/>
                            <w:left w:val="none" w:sz="0" w:space="0" w:color="auto"/>
                            <w:bottom w:val="none" w:sz="0" w:space="0" w:color="auto"/>
                            <w:right w:val="none" w:sz="0" w:space="0" w:color="auto"/>
                          </w:divBdr>
                          <w:divsChild>
                            <w:div w:id="9956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08822">
      <w:bodyDiv w:val="1"/>
      <w:marLeft w:val="0"/>
      <w:marRight w:val="0"/>
      <w:marTop w:val="0"/>
      <w:marBottom w:val="0"/>
      <w:divBdr>
        <w:top w:val="none" w:sz="0" w:space="0" w:color="auto"/>
        <w:left w:val="none" w:sz="0" w:space="0" w:color="auto"/>
        <w:bottom w:val="none" w:sz="0" w:space="0" w:color="auto"/>
        <w:right w:val="none" w:sz="0" w:space="0" w:color="auto"/>
      </w:divBdr>
      <w:divsChild>
        <w:div w:id="1987200343">
          <w:marLeft w:val="0"/>
          <w:marRight w:val="0"/>
          <w:marTop w:val="400"/>
          <w:marBottom w:val="0"/>
          <w:divBdr>
            <w:top w:val="none" w:sz="0" w:space="0" w:color="auto"/>
            <w:left w:val="none" w:sz="0" w:space="0" w:color="auto"/>
            <w:bottom w:val="none" w:sz="0" w:space="0" w:color="auto"/>
            <w:right w:val="none" w:sz="0" w:space="0" w:color="auto"/>
          </w:divBdr>
        </w:div>
        <w:div w:id="2027292026">
          <w:marLeft w:val="0"/>
          <w:marRight w:val="0"/>
          <w:marTop w:val="240"/>
          <w:marBottom w:val="0"/>
          <w:divBdr>
            <w:top w:val="none" w:sz="0" w:space="0" w:color="auto"/>
            <w:left w:val="none" w:sz="0" w:space="0" w:color="auto"/>
            <w:bottom w:val="none" w:sz="0" w:space="0" w:color="auto"/>
            <w:right w:val="none" w:sz="0" w:space="0" w:color="auto"/>
          </w:divBdr>
        </w:div>
      </w:divsChild>
    </w:div>
    <w:div w:id="447242845">
      <w:bodyDiv w:val="1"/>
      <w:marLeft w:val="0"/>
      <w:marRight w:val="0"/>
      <w:marTop w:val="0"/>
      <w:marBottom w:val="0"/>
      <w:divBdr>
        <w:top w:val="none" w:sz="0" w:space="0" w:color="auto"/>
        <w:left w:val="none" w:sz="0" w:space="0" w:color="auto"/>
        <w:bottom w:val="none" w:sz="0" w:space="0" w:color="auto"/>
        <w:right w:val="none" w:sz="0" w:space="0" w:color="auto"/>
      </w:divBdr>
    </w:div>
    <w:div w:id="456876439">
      <w:bodyDiv w:val="1"/>
      <w:marLeft w:val="0"/>
      <w:marRight w:val="0"/>
      <w:marTop w:val="0"/>
      <w:marBottom w:val="0"/>
      <w:divBdr>
        <w:top w:val="none" w:sz="0" w:space="0" w:color="auto"/>
        <w:left w:val="none" w:sz="0" w:space="0" w:color="auto"/>
        <w:bottom w:val="none" w:sz="0" w:space="0" w:color="auto"/>
        <w:right w:val="none" w:sz="0" w:space="0" w:color="auto"/>
      </w:divBdr>
    </w:div>
    <w:div w:id="583536328">
      <w:bodyDiv w:val="1"/>
      <w:marLeft w:val="0"/>
      <w:marRight w:val="0"/>
      <w:marTop w:val="0"/>
      <w:marBottom w:val="0"/>
      <w:divBdr>
        <w:top w:val="none" w:sz="0" w:space="0" w:color="auto"/>
        <w:left w:val="none" w:sz="0" w:space="0" w:color="auto"/>
        <w:bottom w:val="none" w:sz="0" w:space="0" w:color="auto"/>
        <w:right w:val="none" w:sz="0" w:space="0" w:color="auto"/>
      </w:divBdr>
      <w:divsChild>
        <w:div w:id="302546320">
          <w:marLeft w:val="0"/>
          <w:marRight w:val="0"/>
          <w:marTop w:val="0"/>
          <w:marBottom w:val="0"/>
          <w:divBdr>
            <w:top w:val="none" w:sz="0" w:space="0" w:color="auto"/>
            <w:left w:val="none" w:sz="0" w:space="0" w:color="auto"/>
            <w:bottom w:val="none" w:sz="0" w:space="0" w:color="auto"/>
            <w:right w:val="none" w:sz="0" w:space="0" w:color="auto"/>
          </w:divBdr>
          <w:divsChild>
            <w:div w:id="1335763213">
              <w:marLeft w:val="0"/>
              <w:marRight w:val="0"/>
              <w:marTop w:val="0"/>
              <w:marBottom w:val="0"/>
              <w:divBdr>
                <w:top w:val="none" w:sz="0" w:space="0" w:color="auto"/>
                <w:left w:val="none" w:sz="0" w:space="0" w:color="auto"/>
                <w:bottom w:val="none" w:sz="0" w:space="0" w:color="auto"/>
                <w:right w:val="none" w:sz="0" w:space="0" w:color="auto"/>
              </w:divBdr>
              <w:divsChild>
                <w:div w:id="1701977025">
                  <w:marLeft w:val="0"/>
                  <w:marRight w:val="0"/>
                  <w:marTop w:val="0"/>
                  <w:marBottom w:val="0"/>
                  <w:divBdr>
                    <w:top w:val="none" w:sz="0" w:space="0" w:color="auto"/>
                    <w:left w:val="none" w:sz="0" w:space="0" w:color="auto"/>
                    <w:bottom w:val="none" w:sz="0" w:space="0" w:color="auto"/>
                    <w:right w:val="none" w:sz="0" w:space="0" w:color="auto"/>
                  </w:divBdr>
                  <w:divsChild>
                    <w:div w:id="1289169672">
                      <w:marLeft w:val="0"/>
                      <w:marRight w:val="0"/>
                      <w:marTop w:val="0"/>
                      <w:marBottom w:val="0"/>
                      <w:divBdr>
                        <w:top w:val="none" w:sz="0" w:space="0" w:color="auto"/>
                        <w:left w:val="none" w:sz="0" w:space="0" w:color="auto"/>
                        <w:bottom w:val="none" w:sz="0" w:space="0" w:color="auto"/>
                        <w:right w:val="none" w:sz="0" w:space="0" w:color="auto"/>
                      </w:divBdr>
                      <w:divsChild>
                        <w:div w:id="1258101090">
                          <w:marLeft w:val="0"/>
                          <w:marRight w:val="0"/>
                          <w:marTop w:val="0"/>
                          <w:marBottom w:val="0"/>
                          <w:divBdr>
                            <w:top w:val="none" w:sz="0" w:space="0" w:color="auto"/>
                            <w:left w:val="none" w:sz="0" w:space="0" w:color="auto"/>
                            <w:bottom w:val="none" w:sz="0" w:space="0" w:color="auto"/>
                            <w:right w:val="none" w:sz="0" w:space="0" w:color="auto"/>
                          </w:divBdr>
                          <w:divsChild>
                            <w:div w:id="14876712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269058">
      <w:bodyDiv w:val="1"/>
      <w:marLeft w:val="0"/>
      <w:marRight w:val="0"/>
      <w:marTop w:val="0"/>
      <w:marBottom w:val="0"/>
      <w:divBdr>
        <w:top w:val="none" w:sz="0" w:space="0" w:color="auto"/>
        <w:left w:val="none" w:sz="0" w:space="0" w:color="auto"/>
        <w:bottom w:val="none" w:sz="0" w:space="0" w:color="auto"/>
        <w:right w:val="none" w:sz="0" w:space="0" w:color="auto"/>
      </w:divBdr>
    </w:div>
    <w:div w:id="707148393">
      <w:bodyDiv w:val="1"/>
      <w:marLeft w:val="0"/>
      <w:marRight w:val="0"/>
      <w:marTop w:val="0"/>
      <w:marBottom w:val="0"/>
      <w:divBdr>
        <w:top w:val="none" w:sz="0" w:space="0" w:color="auto"/>
        <w:left w:val="none" w:sz="0" w:space="0" w:color="auto"/>
        <w:bottom w:val="none" w:sz="0" w:space="0" w:color="auto"/>
        <w:right w:val="none" w:sz="0" w:space="0" w:color="auto"/>
      </w:divBdr>
    </w:div>
    <w:div w:id="707922659">
      <w:bodyDiv w:val="1"/>
      <w:marLeft w:val="0"/>
      <w:marRight w:val="0"/>
      <w:marTop w:val="0"/>
      <w:marBottom w:val="0"/>
      <w:divBdr>
        <w:top w:val="none" w:sz="0" w:space="0" w:color="auto"/>
        <w:left w:val="none" w:sz="0" w:space="0" w:color="auto"/>
        <w:bottom w:val="none" w:sz="0" w:space="0" w:color="auto"/>
        <w:right w:val="none" w:sz="0" w:space="0" w:color="auto"/>
      </w:divBdr>
      <w:divsChild>
        <w:div w:id="1444954151">
          <w:marLeft w:val="0"/>
          <w:marRight w:val="0"/>
          <w:marTop w:val="0"/>
          <w:marBottom w:val="0"/>
          <w:divBdr>
            <w:top w:val="none" w:sz="0" w:space="0" w:color="auto"/>
            <w:left w:val="none" w:sz="0" w:space="0" w:color="auto"/>
            <w:bottom w:val="none" w:sz="0" w:space="0" w:color="auto"/>
            <w:right w:val="none" w:sz="0" w:space="0" w:color="auto"/>
          </w:divBdr>
          <w:divsChild>
            <w:div w:id="727461697">
              <w:marLeft w:val="0"/>
              <w:marRight w:val="0"/>
              <w:marTop w:val="0"/>
              <w:marBottom w:val="0"/>
              <w:divBdr>
                <w:top w:val="none" w:sz="0" w:space="0" w:color="auto"/>
                <w:left w:val="none" w:sz="0" w:space="0" w:color="auto"/>
                <w:bottom w:val="none" w:sz="0" w:space="0" w:color="auto"/>
                <w:right w:val="none" w:sz="0" w:space="0" w:color="auto"/>
              </w:divBdr>
              <w:divsChild>
                <w:div w:id="782303934">
                  <w:marLeft w:val="0"/>
                  <w:marRight w:val="0"/>
                  <w:marTop w:val="0"/>
                  <w:marBottom w:val="0"/>
                  <w:divBdr>
                    <w:top w:val="none" w:sz="0" w:space="0" w:color="auto"/>
                    <w:left w:val="none" w:sz="0" w:space="0" w:color="auto"/>
                    <w:bottom w:val="none" w:sz="0" w:space="0" w:color="auto"/>
                    <w:right w:val="none" w:sz="0" w:space="0" w:color="auto"/>
                  </w:divBdr>
                  <w:divsChild>
                    <w:div w:id="1731221491">
                      <w:marLeft w:val="0"/>
                      <w:marRight w:val="0"/>
                      <w:marTop w:val="0"/>
                      <w:marBottom w:val="0"/>
                      <w:divBdr>
                        <w:top w:val="none" w:sz="0" w:space="0" w:color="auto"/>
                        <w:left w:val="none" w:sz="0" w:space="0" w:color="auto"/>
                        <w:bottom w:val="none" w:sz="0" w:space="0" w:color="auto"/>
                        <w:right w:val="none" w:sz="0" w:space="0" w:color="auto"/>
                      </w:divBdr>
                      <w:divsChild>
                        <w:div w:id="1333793936">
                          <w:marLeft w:val="0"/>
                          <w:marRight w:val="0"/>
                          <w:marTop w:val="0"/>
                          <w:marBottom w:val="0"/>
                          <w:divBdr>
                            <w:top w:val="none" w:sz="0" w:space="0" w:color="auto"/>
                            <w:left w:val="none" w:sz="0" w:space="0" w:color="auto"/>
                            <w:bottom w:val="none" w:sz="0" w:space="0" w:color="auto"/>
                            <w:right w:val="none" w:sz="0" w:space="0" w:color="auto"/>
                          </w:divBdr>
                          <w:divsChild>
                            <w:div w:id="14838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862466">
      <w:bodyDiv w:val="1"/>
      <w:marLeft w:val="0"/>
      <w:marRight w:val="0"/>
      <w:marTop w:val="0"/>
      <w:marBottom w:val="0"/>
      <w:divBdr>
        <w:top w:val="none" w:sz="0" w:space="0" w:color="auto"/>
        <w:left w:val="none" w:sz="0" w:space="0" w:color="auto"/>
        <w:bottom w:val="none" w:sz="0" w:space="0" w:color="auto"/>
        <w:right w:val="none" w:sz="0" w:space="0" w:color="auto"/>
      </w:divBdr>
      <w:divsChild>
        <w:div w:id="1181503578">
          <w:marLeft w:val="0"/>
          <w:marRight w:val="0"/>
          <w:marTop w:val="0"/>
          <w:marBottom w:val="0"/>
          <w:divBdr>
            <w:top w:val="none" w:sz="0" w:space="0" w:color="auto"/>
            <w:left w:val="none" w:sz="0" w:space="0" w:color="auto"/>
            <w:bottom w:val="none" w:sz="0" w:space="0" w:color="auto"/>
            <w:right w:val="none" w:sz="0" w:space="0" w:color="auto"/>
          </w:divBdr>
          <w:divsChild>
            <w:div w:id="357120606">
              <w:marLeft w:val="0"/>
              <w:marRight w:val="0"/>
              <w:marTop w:val="0"/>
              <w:marBottom w:val="0"/>
              <w:divBdr>
                <w:top w:val="none" w:sz="0" w:space="0" w:color="auto"/>
                <w:left w:val="none" w:sz="0" w:space="0" w:color="auto"/>
                <w:bottom w:val="none" w:sz="0" w:space="0" w:color="auto"/>
                <w:right w:val="none" w:sz="0" w:space="0" w:color="auto"/>
              </w:divBdr>
              <w:divsChild>
                <w:div w:id="1775711943">
                  <w:marLeft w:val="0"/>
                  <w:marRight w:val="0"/>
                  <w:marTop w:val="0"/>
                  <w:marBottom w:val="0"/>
                  <w:divBdr>
                    <w:top w:val="none" w:sz="0" w:space="0" w:color="auto"/>
                    <w:left w:val="none" w:sz="0" w:space="0" w:color="auto"/>
                    <w:bottom w:val="none" w:sz="0" w:space="0" w:color="auto"/>
                    <w:right w:val="none" w:sz="0" w:space="0" w:color="auto"/>
                  </w:divBdr>
                  <w:divsChild>
                    <w:div w:id="996230802">
                      <w:marLeft w:val="0"/>
                      <w:marRight w:val="0"/>
                      <w:marTop w:val="0"/>
                      <w:marBottom w:val="0"/>
                      <w:divBdr>
                        <w:top w:val="none" w:sz="0" w:space="0" w:color="auto"/>
                        <w:left w:val="none" w:sz="0" w:space="0" w:color="auto"/>
                        <w:bottom w:val="none" w:sz="0" w:space="0" w:color="auto"/>
                        <w:right w:val="none" w:sz="0" w:space="0" w:color="auto"/>
                      </w:divBdr>
                      <w:divsChild>
                        <w:div w:id="16091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99400">
      <w:bodyDiv w:val="1"/>
      <w:marLeft w:val="0"/>
      <w:marRight w:val="0"/>
      <w:marTop w:val="0"/>
      <w:marBottom w:val="0"/>
      <w:divBdr>
        <w:top w:val="none" w:sz="0" w:space="0" w:color="auto"/>
        <w:left w:val="none" w:sz="0" w:space="0" w:color="auto"/>
        <w:bottom w:val="none" w:sz="0" w:space="0" w:color="auto"/>
        <w:right w:val="none" w:sz="0" w:space="0" w:color="auto"/>
      </w:divBdr>
    </w:div>
    <w:div w:id="1128664377">
      <w:bodyDiv w:val="1"/>
      <w:marLeft w:val="0"/>
      <w:marRight w:val="0"/>
      <w:marTop w:val="0"/>
      <w:marBottom w:val="0"/>
      <w:divBdr>
        <w:top w:val="none" w:sz="0" w:space="0" w:color="auto"/>
        <w:left w:val="none" w:sz="0" w:space="0" w:color="auto"/>
        <w:bottom w:val="none" w:sz="0" w:space="0" w:color="auto"/>
        <w:right w:val="none" w:sz="0" w:space="0" w:color="auto"/>
      </w:divBdr>
    </w:div>
    <w:div w:id="1567259939">
      <w:bodyDiv w:val="1"/>
      <w:marLeft w:val="0"/>
      <w:marRight w:val="0"/>
      <w:marTop w:val="0"/>
      <w:marBottom w:val="0"/>
      <w:divBdr>
        <w:top w:val="none" w:sz="0" w:space="0" w:color="auto"/>
        <w:left w:val="none" w:sz="0" w:space="0" w:color="auto"/>
        <w:bottom w:val="none" w:sz="0" w:space="0" w:color="auto"/>
        <w:right w:val="none" w:sz="0" w:space="0" w:color="auto"/>
      </w:divBdr>
    </w:div>
    <w:div w:id="1760369133">
      <w:bodyDiv w:val="1"/>
      <w:marLeft w:val="0"/>
      <w:marRight w:val="0"/>
      <w:marTop w:val="0"/>
      <w:marBottom w:val="0"/>
      <w:divBdr>
        <w:top w:val="none" w:sz="0" w:space="0" w:color="auto"/>
        <w:left w:val="none" w:sz="0" w:space="0" w:color="auto"/>
        <w:bottom w:val="none" w:sz="0" w:space="0" w:color="auto"/>
        <w:right w:val="none" w:sz="0" w:space="0" w:color="auto"/>
      </w:divBdr>
      <w:divsChild>
        <w:div w:id="1085954320">
          <w:marLeft w:val="0"/>
          <w:marRight w:val="0"/>
          <w:marTop w:val="0"/>
          <w:marBottom w:val="0"/>
          <w:divBdr>
            <w:top w:val="none" w:sz="0" w:space="0" w:color="auto"/>
            <w:left w:val="none" w:sz="0" w:space="0" w:color="auto"/>
            <w:bottom w:val="none" w:sz="0" w:space="0" w:color="auto"/>
            <w:right w:val="none" w:sz="0" w:space="0" w:color="auto"/>
          </w:divBdr>
          <w:divsChild>
            <w:div w:id="714887702">
              <w:marLeft w:val="0"/>
              <w:marRight w:val="0"/>
              <w:marTop w:val="0"/>
              <w:marBottom w:val="0"/>
              <w:divBdr>
                <w:top w:val="none" w:sz="0" w:space="0" w:color="auto"/>
                <w:left w:val="none" w:sz="0" w:space="0" w:color="auto"/>
                <w:bottom w:val="none" w:sz="0" w:space="0" w:color="auto"/>
                <w:right w:val="none" w:sz="0" w:space="0" w:color="auto"/>
              </w:divBdr>
              <w:divsChild>
                <w:div w:id="1238400857">
                  <w:marLeft w:val="0"/>
                  <w:marRight w:val="0"/>
                  <w:marTop w:val="0"/>
                  <w:marBottom w:val="0"/>
                  <w:divBdr>
                    <w:top w:val="none" w:sz="0" w:space="0" w:color="auto"/>
                    <w:left w:val="none" w:sz="0" w:space="0" w:color="auto"/>
                    <w:bottom w:val="none" w:sz="0" w:space="0" w:color="auto"/>
                    <w:right w:val="none" w:sz="0" w:space="0" w:color="auto"/>
                  </w:divBdr>
                  <w:divsChild>
                    <w:div w:id="1119104615">
                      <w:marLeft w:val="0"/>
                      <w:marRight w:val="0"/>
                      <w:marTop w:val="0"/>
                      <w:marBottom w:val="0"/>
                      <w:divBdr>
                        <w:top w:val="none" w:sz="0" w:space="0" w:color="auto"/>
                        <w:left w:val="none" w:sz="0" w:space="0" w:color="auto"/>
                        <w:bottom w:val="none" w:sz="0" w:space="0" w:color="auto"/>
                        <w:right w:val="none" w:sz="0" w:space="0" w:color="auto"/>
                      </w:divBdr>
                      <w:divsChild>
                        <w:div w:id="1839802746">
                          <w:marLeft w:val="0"/>
                          <w:marRight w:val="0"/>
                          <w:marTop w:val="0"/>
                          <w:marBottom w:val="0"/>
                          <w:divBdr>
                            <w:top w:val="none" w:sz="0" w:space="0" w:color="auto"/>
                            <w:left w:val="none" w:sz="0" w:space="0" w:color="auto"/>
                            <w:bottom w:val="none" w:sz="0" w:space="0" w:color="auto"/>
                            <w:right w:val="none" w:sz="0" w:space="0" w:color="auto"/>
                          </w:divBdr>
                          <w:divsChild>
                            <w:div w:id="498083411">
                              <w:marLeft w:val="0"/>
                              <w:marRight w:val="0"/>
                              <w:marTop w:val="400"/>
                              <w:marBottom w:val="0"/>
                              <w:divBdr>
                                <w:top w:val="none" w:sz="0" w:space="0" w:color="auto"/>
                                <w:left w:val="none" w:sz="0" w:space="0" w:color="auto"/>
                                <w:bottom w:val="none" w:sz="0" w:space="0" w:color="auto"/>
                                <w:right w:val="none" w:sz="0" w:space="0" w:color="auto"/>
                              </w:divBdr>
                            </w:div>
                            <w:div w:id="1102649323">
                              <w:marLeft w:val="150"/>
                              <w:marRight w:val="150"/>
                              <w:marTop w:val="480"/>
                              <w:marBottom w:val="0"/>
                              <w:divBdr>
                                <w:top w:val="single" w:sz="6" w:space="28" w:color="D4D4D4"/>
                                <w:left w:val="none" w:sz="0" w:space="0" w:color="auto"/>
                                <w:bottom w:val="none" w:sz="0" w:space="0" w:color="auto"/>
                                <w:right w:val="none" w:sz="0" w:space="0" w:color="auto"/>
                              </w:divBdr>
                            </w:div>
                            <w:div w:id="17457137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1464">
      <w:bodyDiv w:val="1"/>
      <w:marLeft w:val="0"/>
      <w:marRight w:val="0"/>
      <w:marTop w:val="0"/>
      <w:marBottom w:val="0"/>
      <w:divBdr>
        <w:top w:val="none" w:sz="0" w:space="0" w:color="auto"/>
        <w:left w:val="none" w:sz="0" w:space="0" w:color="auto"/>
        <w:bottom w:val="none" w:sz="0" w:space="0" w:color="auto"/>
        <w:right w:val="none" w:sz="0" w:space="0" w:color="auto"/>
      </w:divBdr>
    </w:div>
    <w:div w:id="1875077915">
      <w:bodyDiv w:val="1"/>
      <w:marLeft w:val="0"/>
      <w:marRight w:val="0"/>
      <w:marTop w:val="0"/>
      <w:marBottom w:val="0"/>
      <w:divBdr>
        <w:top w:val="none" w:sz="0" w:space="0" w:color="auto"/>
        <w:left w:val="none" w:sz="0" w:space="0" w:color="auto"/>
        <w:bottom w:val="none" w:sz="0" w:space="0" w:color="auto"/>
        <w:right w:val="none" w:sz="0" w:space="0" w:color="auto"/>
      </w:divBdr>
      <w:divsChild>
        <w:div w:id="1463419794">
          <w:marLeft w:val="0"/>
          <w:marRight w:val="0"/>
          <w:marTop w:val="0"/>
          <w:marBottom w:val="0"/>
          <w:divBdr>
            <w:top w:val="none" w:sz="0" w:space="0" w:color="auto"/>
            <w:left w:val="none" w:sz="0" w:space="0" w:color="auto"/>
            <w:bottom w:val="none" w:sz="0" w:space="0" w:color="auto"/>
            <w:right w:val="none" w:sz="0" w:space="0" w:color="auto"/>
          </w:divBdr>
          <w:divsChild>
            <w:div w:id="1005590078">
              <w:marLeft w:val="0"/>
              <w:marRight w:val="0"/>
              <w:marTop w:val="0"/>
              <w:marBottom w:val="0"/>
              <w:divBdr>
                <w:top w:val="none" w:sz="0" w:space="0" w:color="auto"/>
                <w:left w:val="none" w:sz="0" w:space="0" w:color="auto"/>
                <w:bottom w:val="none" w:sz="0" w:space="0" w:color="auto"/>
                <w:right w:val="none" w:sz="0" w:space="0" w:color="auto"/>
              </w:divBdr>
              <w:divsChild>
                <w:div w:id="281378813">
                  <w:marLeft w:val="0"/>
                  <w:marRight w:val="0"/>
                  <w:marTop w:val="0"/>
                  <w:marBottom w:val="0"/>
                  <w:divBdr>
                    <w:top w:val="none" w:sz="0" w:space="0" w:color="auto"/>
                    <w:left w:val="none" w:sz="0" w:space="0" w:color="auto"/>
                    <w:bottom w:val="none" w:sz="0" w:space="0" w:color="auto"/>
                    <w:right w:val="none" w:sz="0" w:space="0" w:color="auto"/>
                  </w:divBdr>
                  <w:divsChild>
                    <w:div w:id="1021786717">
                      <w:marLeft w:val="0"/>
                      <w:marRight w:val="0"/>
                      <w:marTop w:val="0"/>
                      <w:marBottom w:val="0"/>
                      <w:divBdr>
                        <w:top w:val="none" w:sz="0" w:space="0" w:color="auto"/>
                        <w:left w:val="none" w:sz="0" w:space="0" w:color="auto"/>
                        <w:bottom w:val="none" w:sz="0" w:space="0" w:color="auto"/>
                        <w:right w:val="none" w:sz="0" w:space="0" w:color="auto"/>
                      </w:divBdr>
                      <w:divsChild>
                        <w:div w:id="421220391">
                          <w:marLeft w:val="0"/>
                          <w:marRight w:val="0"/>
                          <w:marTop w:val="0"/>
                          <w:marBottom w:val="0"/>
                          <w:divBdr>
                            <w:top w:val="none" w:sz="0" w:space="0" w:color="auto"/>
                            <w:left w:val="none" w:sz="0" w:space="0" w:color="auto"/>
                            <w:bottom w:val="none" w:sz="0" w:space="0" w:color="auto"/>
                            <w:right w:val="none" w:sz="0" w:space="0" w:color="auto"/>
                          </w:divBdr>
                          <w:divsChild>
                            <w:div w:id="909576994">
                              <w:marLeft w:val="0"/>
                              <w:marRight w:val="0"/>
                              <w:marTop w:val="0"/>
                              <w:marBottom w:val="567"/>
                              <w:divBdr>
                                <w:top w:val="none" w:sz="0" w:space="0" w:color="auto"/>
                                <w:left w:val="none" w:sz="0" w:space="0" w:color="auto"/>
                                <w:bottom w:val="none" w:sz="0" w:space="0" w:color="auto"/>
                                <w:right w:val="none" w:sz="0" w:space="0" w:color="auto"/>
                              </w:divBdr>
                            </w:div>
                            <w:div w:id="1690715336">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557280">
      <w:bodyDiv w:val="1"/>
      <w:marLeft w:val="45"/>
      <w:marRight w:val="45"/>
      <w:marTop w:val="90"/>
      <w:marBottom w:val="90"/>
      <w:divBdr>
        <w:top w:val="none" w:sz="0" w:space="0" w:color="auto"/>
        <w:left w:val="none" w:sz="0" w:space="0" w:color="auto"/>
        <w:bottom w:val="none" w:sz="0" w:space="0" w:color="auto"/>
        <w:right w:val="none" w:sz="0" w:space="0" w:color="auto"/>
      </w:divBdr>
      <w:divsChild>
        <w:div w:id="367611822">
          <w:marLeft w:val="0"/>
          <w:marRight w:val="0"/>
          <w:marTop w:val="240"/>
          <w:marBottom w:val="0"/>
          <w:divBdr>
            <w:top w:val="none" w:sz="0" w:space="0" w:color="auto"/>
            <w:left w:val="none" w:sz="0" w:space="0" w:color="auto"/>
            <w:bottom w:val="none" w:sz="0" w:space="0" w:color="auto"/>
            <w:right w:val="none" w:sz="0" w:space="0" w:color="auto"/>
          </w:divBdr>
        </w:div>
      </w:divsChild>
    </w:div>
    <w:div w:id="20967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soida@e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0D611-7838-4CC5-9768-26F6CABA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11</Pages>
  <Words>12065</Words>
  <Characters>6878</Characters>
  <Application>Microsoft Office Word</Application>
  <DocSecurity>0</DocSecurity>
  <Lines>57</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Ministru kabineta noteikumu projekts "Grozījumi Ministru kabineta 2014.gada 25.februāra noteikumos Nr.116 "Būvkomersantu reģistrācijas noteikumi""</vt:lpstr>
      <vt:lpstr>Ministru kabineta noteikumu projekts "Grozījumi Ministru kabineta 2014.gada 25.februāra noteikumos Nr.116 "Būvkomersantu reģistrācijas noteikumi"" </vt:lpstr>
    </vt:vector>
  </TitlesOfParts>
  <Company>Ekonomikas ministrija</Company>
  <LinksUpToDate>false</LinksUpToDate>
  <CharactersWithSpaces>18906</CharactersWithSpaces>
  <SharedDoc>false</SharedDoc>
  <HLinks>
    <vt:vector size="12" baseType="variant">
      <vt:variant>
        <vt:i4>5177458</vt:i4>
      </vt:variant>
      <vt:variant>
        <vt:i4>3</vt:i4>
      </vt:variant>
      <vt:variant>
        <vt:i4>0</vt:i4>
      </vt:variant>
      <vt:variant>
        <vt:i4>5</vt:i4>
      </vt:variant>
      <vt:variant>
        <vt:lpwstr>mailto:kristine.fomina@em.gov.lv</vt:lpwstr>
      </vt:variant>
      <vt:variant>
        <vt:lpwstr/>
      </vt:variant>
      <vt:variant>
        <vt:i4>8126535</vt:i4>
      </vt:variant>
      <vt:variant>
        <vt:i4>0</vt:i4>
      </vt:variant>
      <vt:variant>
        <vt:i4>0</vt:i4>
      </vt:variant>
      <vt:variant>
        <vt:i4>5</vt:i4>
      </vt:variant>
      <vt:variant>
        <vt:lpwstr>mailto:ilze.osa@em.gov.lv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2014.gada 25.februāra noteikumos Nr.116 "Būvkomersantu reģistrācijas noteikumi""</dc:title>
  <dc:subject>sākotnējās ietekmes novērtējuma ziņojums (anotācija)</dc:subject>
  <dc:creator>Santa Soida</dc:creator>
  <dc:description>67013034, santa.soida@em.gov.lv</dc:description>
  <cp:lastModifiedBy>Santa Soida</cp:lastModifiedBy>
  <cp:revision>25</cp:revision>
  <cp:lastPrinted>2017-08-07T07:19:00Z</cp:lastPrinted>
  <dcterms:created xsi:type="dcterms:W3CDTF">2017-07-28T12:33:00Z</dcterms:created>
  <dcterms:modified xsi:type="dcterms:W3CDTF">2017-08-23T09:59:00Z</dcterms:modified>
  <cp:contentStatus>Final</cp:contentStatus>
</cp:coreProperties>
</file>