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39" w:rsidRDefault="00163839" w:rsidP="0016383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Likumprojekta “</w:t>
      </w:r>
      <w:r w:rsidR="006E589A">
        <w:rPr>
          <w:rFonts w:ascii="Times New Roman" w:eastAsia="Times New Roman" w:hAnsi="Times New Roman" w:cs="Times New Roman"/>
          <w:b/>
          <w:bCs/>
          <w:color w:val="414142"/>
          <w:sz w:val="28"/>
          <w:szCs w:val="24"/>
          <w:lang w:eastAsia="lv-LV"/>
        </w:rPr>
        <w:t xml:space="preserve">Grozījumi </w:t>
      </w:r>
      <w:r>
        <w:rPr>
          <w:rFonts w:ascii="Times New Roman" w:eastAsia="Times New Roman" w:hAnsi="Times New Roman" w:cs="Times New Roman"/>
          <w:b/>
          <w:bCs/>
          <w:color w:val="414142"/>
          <w:sz w:val="28"/>
          <w:szCs w:val="24"/>
          <w:lang w:eastAsia="lv-LV"/>
        </w:rPr>
        <w:t xml:space="preserve">Apdrošināšanas un pārapdrošināšanas starpnieku darbības likumā” </w:t>
      </w:r>
      <w:r>
        <w:rPr>
          <w:rFonts w:ascii="Times New Roman" w:eastAsia="Times New Roman" w:hAnsi="Times New Roman" w:cs="Times New Roman"/>
          <w:b/>
          <w:bCs/>
          <w:color w:val="414142"/>
          <w:sz w:val="28"/>
          <w:szCs w:val="24"/>
          <w:lang w:eastAsia="lv-LV"/>
        </w:rPr>
        <w:br/>
        <w:t>sākotnējās ietekmes novērtējuma ziņojums (anotācija)</w:t>
      </w:r>
    </w:p>
    <w:p w:rsidR="00163839" w:rsidRDefault="00163839" w:rsidP="0016383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3"/>
        <w:gridCol w:w="2072"/>
        <w:gridCol w:w="6540"/>
      </w:tblGrid>
      <w:tr w:rsidR="00163839" w:rsidTr="00163839">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63839" w:rsidRDefault="0016383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 Tiesību akta projekta izstrādes nepieciešamība</w:t>
            </w:r>
          </w:p>
        </w:tc>
      </w:tr>
      <w:tr w:rsidR="00163839" w:rsidTr="00163839">
        <w:trPr>
          <w:trHeight w:val="324"/>
        </w:trPr>
        <w:tc>
          <w:tcPr>
            <w:tcW w:w="245"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Pamatojums</w:t>
            </w:r>
          </w:p>
        </w:tc>
        <w:tc>
          <w:tcPr>
            <w:tcW w:w="3611"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bija līdz 2017.gada 26.jūnijam. Šobrīd ir izstrādāts likumprojekts “Grozījumi Noziedzīgi iegūtu līdzekļu legalizācijas un terorisma finansēšanas likumā”, kurš  2017.gada 28.jūlijā ir izskatīts 1.lasījumā Saeimā, ar kuru tiek pārņemtas AML IV direktīvas prasības, kā arī likumprojektā ietvertas starptautisko Finanšu darījumu darba grupas (turpmāk – FATF) rekomendācijas un ņemti vērā </w:t>
            </w:r>
            <w:r>
              <w:rPr>
                <w:rFonts w:ascii="Times New Roman" w:hAnsi="Times New Roman" w:cs="Times New Roman"/>
                <w:color w:val="000000" w:themeColor="text1"/>
                <w:sz w:val="24"/>
                <w:szCs w:val="24"/>
              </w:rPr>
              <w:t xml:space="preserve">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ieteikumi.</w:t>
            </w:r>
          </w:p>
        </w:tc>
      </w:tr>
      <w:tr w:rsidR="00163839" w:rsidTr="00163839">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611" w:type="pct"/>
            <w:tcBorders>
              <w:top w:val="outset" w:sz="6" w:space="0" w:color="414142"/>
              <w:left w:val="outset" w:sz="6" w:space="0" w:color="414142"/>
              <w:bottom w:val="outset" w:sz="6" w:space="0" w:color="414142"/>
              <w:right w:val="outset" w:sz="6" w:space="0" w:color="414142"/>
            </w:tcBorders>
            <w:hideMark/>
          </w:tcPr>
          <w:p w:rsidR="00163839" w:rsidRDefault="00163839">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Šobrīd Latvijas tiesību akti neparedz iespēju Latvijā atzīt un izpildīt ārvalsts lēmumu, ar kuru personai piemērots administratīva rakstura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 rakstura sods, vai varētu nosūtīt Latvijā pieņemtu lēmumu izpildei ārvalstī.</w:t>
            </w:r>
          </w:p>
          <w:p w:rsidR="00163839" w:rsidRDefault="00163839">
            <w:pPr>
              <w:widowControl w:val="0"/>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Noziedzīgi iegūtu līdzekļu legalizācijas un terorisma finansēšanas novēršanas likums” paredz papildināt Noziedzīgi iegūtu līdzekļu legalizācijas un terorisma finansēšanas novēršanas  likumu (turpmāk - NILLTFNL) ar jaunu XV nodaļu “Atbildība par pārkāpumiem noziedzīgi iegūtu līdzekļu legalizācijas un terorisma finansēšanas novēršanas jomā un kompetence sankciju piemērošanā”. Izpildot AML IV direktīvas prasības, tiek paredzēti efektīvi, samērīgi un preventīvi sodi un pasākumu klāsts saistībā ar nopietniem, atkārtotiem vai sistemātiskiem prasību pārkāpumiem attiecībā uz klienta izpētes pasākumiem, informācijas uzglabāšanu, ziņošanu par aizdomīgiem darījumiem un atbildīgo subjektu iekšējo kontroli. Eiropas Savienības dalībvalstīs pašreiz pastāv dažādi administratīva rakstura sodi un pasākumi attiecībā uz galveno preventīvo noteikumu pārkāpumiem, tādējādi pastāvot riskam par Eiropas Savienības cīņas pret nelikumīgi iegūtu līdzekļu legalizēšanas un terorisma finansēšanas novēršanas sadrumstalotību. Sankciju un pasākumu klāsts ir pietiekami plašs un ļauj kompetentajām iestādēm ņemt vērā atšķirības starp atbildīgajiem subjektiem, jo īpaši starp </w:t>
            </w:r>
            <w:r>
              <w:rPr>
                <w:rFonts w:ascii="Times New Roman" w:hAnsi="Times New Roman" w:cs="Times New Roman"/>
                <w:color w:val="000000" w:themeColor="text1"/>
                <w:sz w:val="24"/>
                <w:szCs w:val="24"/>
              </w:rPr>
              <w:lastRenderedPageBreak/>
              <w:t xml:space="preserve">kredītiestādēm un finanšu iestādēm un citiem atbildīgajiem subjektiem, ņemot vērā apmēru, iezīmes un </w:t>
            </w:r>
            <w:proofErr w:type="spellStart"/>
            <w:r>
              <w:rPr>
                <w:rFonts w:ascii="Times New Roman" w:hAnsi="Times New Roman" w:cs="Times New Roman"/>
                <w:color w:val="000000" w:themeColor="text1"/>
                <w:sz w:val="24"/>
                <w:szCs w:val="24"/>
              </w:rPr>
              <w:t>darījumdarbības</w:t>
            </w:r>
            <w:proofErr w:type="spellEnd"/>
            <w:r>
              <w:rPr>
                <w:rFonts w:ascii="Times New Roman" w:hAnsi="Times New Roman" w:cs="Times New Roman"/>
                <w:color w:val="000000" w:themeColor="text1"/>
                <w:sz w:val="24"/>
                <w:szCs w:val="24"/>
              </w:rPr>
              <w:t xml:space="preserve"> būtību. Transponējot AML IV direktīvu, Eiropas Savienības dalībvalstīm ir jānodrošina, lai administratīva rakstura sodi un pasākumu piemērošana saskaņā ar valsts normatīvajiem aktiem nepārkāptu </w:t>
            </w:r>
            <w:r>
              <w:rPr>
                <w:rFonts w:ascii="Times New Roman" w:hAnsi="Times New Roman" w:cs="Times New Roman"/>
                <w:i/>
                <w:color w:val="000000" w:themeColor="text1"/>
                <w:sz w:val="24"/>
                <w:szCs w:val="24"/>
              </w:rPr>
              <w:t xml:space="preserve">ne </w:t>
            </w:r>
            <w:proofErr w:type="spellStart"/>
            <w:r>
              <w:rPr>
                <w:rFonts w:ascii="Times New Roman" w:hAnsi="Times New Roman" w:cs="Times New Roman"/>
                <w:i/>
                <w:color w:val="000000" w:themeColor="text1"/>
                <w:sz w:val="24"/>
                <w:szCs w:val="24"/>
              </w:rPr>
              <w:t>bis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in</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idem</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principu.</w:t>
            </w:r>
          </w:p>
          <w:p w:rsidR="0057403E" w:rsidRDefault="00163839">
            <w:pPr>
              <w:tabs>
                <w:tab w:val="left" w:pos="540"/>
                <w:tab w:val="left" w:pos="900"/>
              </w:tab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Likumprojekts “Grozījumi Apdrošināšanas un pārapdrošināšanas starpnieku darbības likumā” paredz </w:t>
            </w:r>
            <w:r w:rsidR="0057403E">
              <w:rPr>
                <w:rFonts w:ascii="Times New Roman" w:hAnsi="Times New Roman" w:cs="Times New Roman"/>
                <w:color w:val="000000" w:themeColor="text1"/>
                <w:sz w:val="24"/>
                <w:szCs w:val="24"/>
              </w:rPr>
              <w:t xml:space="preserve">izteikt likuma 45.panta </w:t>
            </w:r>
            <w:r>
              <w:rPr>
                <w:rFonts w:ascii="Times New Roman" w:hAnsi="Times New Roman" w:cs="Times New Roman"/>
                <w:color w:val="000000" w:themeColor="text1"/>
                <w:sz w:val="24"/>
                <w:szCs w:val="24"/>
              </w:rPr>
              <w:t xml:space="preserve"> </w:t>
            </w:r>
            <w:r w:rsidR="0057403E">
              <w:rPr>
                <w:rFonts w:ascii="Times New Roman" w:hAnsi="Times New Roman" w:cs="Times New Roman"/>
                <w:color w:val="000000" w:themeColor="text1"/>
                <w:sz w:val="24"/>
                <w:szCs w:val="24"/>
              </w:rPr>
              <w:t xml:space="preserve">pirmo daļu jaunā redakcijā, saglabājot sākumu daļai nemainīgu un veicot izmaiņas beigu daļā, kurā paredzēta soda nauda līdz 14200 </w:t>
            </w:r>
            <w:proofErr w:type="spellStart"/>
            <w:r w:rsidR="0057403E">
              <w:rPr>
                <w:rFonts w:ascii="Times New Roman" w:hAnsi="Times New Roman" w:cs="Times New Roman"/>
                <w:color w:val="000000" w:themeColor="text1"/>
                <w:sz w:val="24"/>
                <w:szCs w:val="24"/>
              </w:rPr>
              <w:t>euro</w:t>
            </w:r>
            <w:proofErr w:type="spellEnd"/>
            <w:r w:rsidR="0057403E">
              <w:rPr>
                <w:rFonts w:ascii="Times New Roman" w:hAnsi="Times New Roman" w:cs="Times New Roman"/>
                <w:color w:val="000000" w:themeColor="text1"/>
                <w:sz w:val="24"/>
                <w:szCs w:val="24"/>
              </w:rPr>
              <w:t xml:space="preserve"> par pārkāpumiem NILLTFN  regulējošos normatīvos</w:t>
            </w:r>
            <w:r>
              <w:rPr>
                <w:rFonts w:ascii="Times New Roman" w:hAnsi="Times New Roman" w:cs="Times New Roman"/>
                <w:color w:val="000000" w:themeColor="text1"/>
                <w:sz w:val="24"/>
                <w:szCs w:val="24"/>
              </w:rPr>
              <w:t xml:space="preserve">, </w:t>
            </w:r>
            <w:r w:rsidR="0057403E">
              <w:rPr>
                <w:rFonts w:ascii="Times New Roman" w:hAnsi="Times New Roman" w:cs="Times New Roman"/>
                <w:color w:val="000000" w:themeColor="text1"/>
                <w:sz w:val="24"/>
                <w:szCs w:val="24"/>
              </w:rPr>
              <w:t xml:space="preserve">tiek aizstāta ar regulējumu </w:t>
            </w:r>
            <w:r w:rsidR="0057403E" w:rsidRPr="0057403E">
              <w:rPr>
                <w:rFonts w:ascii="Times New Roman" w:hAnsi="Times New Roman" w:cs="Times New Roman"/>
                <w:color w:val="000000" w:themeColor="text1"/>
                <w:sz w:val="24"/>
                <w:szCs w:val="24"/>
              </w:rPr>
              <w:t>Par darbībām, kuru rezultātā tiek pārkāptas normatīvo aktu prasības Noziedzīgi iegūtu līdzekļu legalizācijas un terorisma finansēšanas jomā, Komisija piemēro Noziedzīgi iegūtu līdzekļu legalizācijas un terorisma finansēšanas novēršanas likumā noteiktās sankcijas.</w:t>
            </w:r>
            <w:r w:rsidR="0057403E">
              <w:rPr>
                <w:rFonts w:ascii="Times New Roman" w:hAnsi="Times New Roman" w:cs="Times New Roman"/>
                <w:color w:val="000000" w:themeColor="text1"/>
                <w:sz w:val="24"/>
                <w:szCs w:val="24"/>
              </w:rPr>
              <w:t xml:space="preserve"> </w:t>
            </w:r>
          </w:p>
          <w:p w:rsidR="00163839" w:rsidRDefault="00163839" w:rsidP="0057403E">
            <w:pPr>
              <w:tabs>
                <w:tab w:val="left" w:pos="540"/>
                <w:tab w:val="left" w:pos="900"/>
              </w:tab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Grozījumi likumā </w:t>
            </w:r>
            <w:r w:rsidR="0057403E">
              <w:rPr>
                <w:rFonts w:ascii="Times New Roman" w:hAnsi="Times New Roman" w:cs="Times New Roman"/>
                <w:color w:val="000000" w:themeColor="text1"/>
                <w:sz w:val="24"/>
                <w:szCs w:val="24"/>
              </w:rPr>
              <w:t>izsakot</w:t>
            </w:r>
            <w:r>
              <w:rPr>
                <w:rFonts w:ascii="Times New Roman" w:hAnsi="Times New Roman" w:cs="Times New Roman"/>
                <w:color w:val="000000" w:themeColor="text1"/>
                <w:sz w:val="24"/>
                <w:szCs w:val="24"/>
              </w:rPr>
              <w:t xml:space="preserve"> </w:t>
            </w:r>
            <w:r w:rsidR="0057403E">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 xml:space="preserve">. panta </w:t>
            </w:r>
            <w:r w:rsidR="0057403E">
              <w:rPr>
                <w:rFonts w:ascii="Times New Roman" w:hAnsi="Times New Roman" w:cs="Times New Roman"/>
                <w:color w:val="000000" w:themeColor="text1"/>
                <w:sz w:val="24"/>
                <w:szCs w:val="24"/>
              </w:rPr>
              <w:t>pirmo</w:t>
            </w:r>
            <w:r>
              <w:rPr>
                <w:rFonts w:ascii="Times New Roman" w:hAnsi="Times New Roman" w:cs="Times New Roman"/>
                <w:color w:val="000000" w:themeColor="text1"/>
                <w:sz w:val="24"/>
                <w:szCs w:val="24"/>
              </w:rPr>
              <w:t xml:space="preserve"> daļ</w:t>
            </w:r>
            <w:r w:rsidR="0057403E">
              <w:rPr>
                <w:rFonts w:ascii="Times New Roman" w:hAnsi="Times New Roman" w:cs="Times New Roman"/>
                <w:color w:val="000000" w:themeColor="text1"/>
                <w:sz w:val="24"/>
                <w:szCs w:val="24"/>
              </w:rPr>
              <w:t>u jaunā redakcijā</w:t>
            </w:r>
            <w:r>
              <w:rPr>
                <w:rFonts w:ascii="Times New Roman" w:hAnsi="Times New Roman" w:cs="Times New Roman"/>
                <w:color w:val="000000" w:themeColor="text1"/>
                <w:sz w:val="24"/>
                <w:szCs w:val="24"/>
              </w:rPr>
              <w:t>, stājas spēkā vienlaikus ar atbilstošajiem grozījumiem “Noziedzīgi iegūtu līdzekļu legalizācijas un terorisma finansēšanas novēršanas likumā”.</w:t>
            </w:r>
          </w:p>
        </w:tc>
      </w:tr>
      <w:tr w:rsidR="00163839" w:rsidTr="00163839">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Projekta izstrādē iesaistītās institūcijas</w:t>
            </w:r>
          </w:p>
        </w:tc>
        <w:tc>
          <w:tcPr>
            <w:tcW w:w="3611"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hAnsi="Times New Roman"/>
                <w:sz w:val="24"/>
                <w:szCs w:val="24"/>
              </w:rPr>
            </w:pPr>
            <w:r>
              <w:rPr>
                <w:rFonts w:ascii="Times New Roman" w:hAnsi="Times New Roman"/>
                <w:sz w:val="24"/>
                <w:szCs w:val="24"/>
              </w:rPr>
              <w:t>Par likumprojekta izstrādi atbildīgā institūcija ir FKTK, Tieslietu ministrija, Noziedzīgi iegūtu līdzekļu legalizācijas novēršanas dienests.</w:t>
            </w:r>
          </w:p>
        </w:tc>
      </w:tr>
      <w:tr w:rsidR="00163839" w:rsidTr="00163839">
        <w:tc>
          <w:tcPr>
            <w:tcW w:w="245"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Cita informācija</w:t>
            </w:r>
          </w:p>
        </w:tc>
        <w:tc>
          <w:tcPr>
            <w:tcW w:w="3611"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163839" w:rsidRDefault="00163839" w:rsidP="00163839">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63839" w:rsidTr="0016383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63839" w:rsidRDefault="0016383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163839" w:rsidTr="0016383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163839" w:rsidRDefault="0016383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r w:rsidR="00163839" w:rsidTr="00163839">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hAnsi="Times New Roman"/>
                <w:sz w:val="24"/>
                <w:szCs w:val="24"/>
              </w:rPr>
            </w:pPr>
            <w:r>
              <w:rPr>
                <w:rFonts w:ascii="Times New Roman" w:hAnsi="Times New Roman"/>
                <w:sz w:val="24"/>
                <w:szCs w:val="24"/>
              </w:rPr>
              <w:t xml:space="preserve">Sabiedrības </w:t>
            </w:r>
            <w:proofErr w:type="spellStart"/>
            <w:r>
              <w:rPr>
                <w:rFonts w:ascii="Times New Roman" w:hAnsi="Times New Roman"/>
                <w:sz w:val="24"/>
                <w:szCs w:val="24"/>
              </w:rPr>
              <w:t>mērķgrupas</w:t>
            </w:r>
            <w:proofErr w:type="spellEnd"/>
            <w:r>
              <w:rPr>
                <w:rFonts w:ascii="Times New Roman" w:hAnsi="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163839" w:rsidRDefault="00A65207">
            <w:pPr>
              <w:spacing w:after="0" w:line="240" w:lineRule="auto"/>
              <w:rPr>
                <w:rFonts w:ascii="Times New Roman" w:hAnsi="Times New Roman"/>
                <w:sz w:val="24"/>
                <w:szCs w:val="24"/>
              </w:rPr>
            </w:pPr>
            <w:r>
              <w:rPr>
                <w:rFonts w:ascii="Times New Roman" w:hAnsi="Times New Roman"/>
                <w:sz w:val="24"/>
                <w:szCs w:val="24"/>
              </w:rPr>
              <w:t>Apdrošināšanas un pārapdrošināšanas starpniekus</w:t>
            </w:r>
            <w:r w:rsidR="00163839">
              <w:rPr>
                <w:rFonts w:ascii="Times New Roman" w:hAnsi="Times New Roman"/>
                <w:sz w:val="24"/>
                <w:szCs w:val="24"/>
              </w:rPr>
              <w:t xml:space="preserve"> un FKTK.</w:t>
            </w:r>
          </w:p>
        </w:tc>
      </w:tr>
      <w:tr w:rsidR="00163839" w:rsidTr="00163839">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hAnsi="Times New Roman"/>
                <w:sz w:val="24"/>
                <w:szCs w:val="24"/>
              </w:rPr>
            </w:pPr>
            <w:r>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hAnsi="Times New Roman"/>
                <w:sz w:val="24"/>
                <w:szCs w:val="24"/>
              </w:rPr>
            </w:pPr>
            <w:r>
              <w:rPr>
                <w:rFonts w:ascii="Times New Roman" w:hAnsi="Times New Roman"/>
                <w:sz w:val="24"/>
                <w:szCs w:val="24"/>
              </w:rPr>
              <w:t xml:space="preserve"> Nav.</w:t>
            </w:r>
          </w:p>
        </w:tc>
      </w:tr>
      <w:tr w:rsidR="00163839" w:rsidTr="00163839">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hAnsi="Times New Roman"/>
                <w:sz w:val="24"/>
                <w:szCs w:val="24"/>
              </w:rPr>
            </w:pPr>
            <w:r>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hAnsi="Times New Roman"/>
                <w:sz w:val="24"/>
                <w:szCs w:val="24"/>
              </w:rPr>
            </w:pPr>
            <w:r>
              <w:rPr>
                <w:rFonts w:ascii="Times New Roman" w:hAnsi="Times New Roman"/>
                <w:sz w:val="24"/>
                <w:szCs w:val="24"/>
              </w:rPr>
              <w:t>Nav.</w:t>
            </w:r>
          </w:p>
        </w:tc>
      </w:tr>
      <w:tr w:rsidR="00163839" w:rsidTr="00163839">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hAnsi="Times New Roman"/>
                <w:sz w:val="24"/>
                <w:szCs w:val="24"/>
              </w:rPr>
            </w:pPr>
            <w:r>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rsidR="00163839" w:rsidRDefault="00163839" w:rsidP="00163839">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163839" w:rsidTr="0016383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163839" w:rsidRDefault="0016383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163839" w:rsidTr="0016383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163839" w:rsidRDefault="00163839">
            <w:pPr>
              <w:spacing w:after="0" w:line="240" w:lineRule="auto"/>
              <w:jc w:val="center"/>
              <w:rPr>
                <w:rFonts w:ascii="Times New Roman" w:eastAsia="Times New Roman" w:hAnsi="Times New Roman" w:cs="Times New Roman"/>
                <w:bCs/>
                <w:color w:val="414142"/>
                <w:sz w:val="24"/>
                <w:szCs w:val="24"/>
                <w:lang w:eastAsia="lv-LV"/>
              </w:rPr>
            </w:pPr>
            <w:r>
              <w:rPr>
                <w:rFonts w:ascii="Times New Roman" w:hAnsi="Times New Roman"/>
                <w:sz w:val="24"/>
                <w:szCs w:val="24"/>
              </w:rPr>
              <w:t>Projekts šo jomu neskar.</w:t>
            </w:r>
          </w:p>
        </w:tc>
      </w:tr>
    </w:tbl>
    <w:p w:rsidR="00163839" w:rsidRDefault="00163839" w:rsidP="00163839">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163839" w:rsidTr="00163839">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63839" w:rsidRDefault="0016383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163839" w:rsidTr="0016383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63839" w:rsidRDefault="00163839" w:rsidP="00592780">
            <w:pPr>
              <w:spacing w:after="0" w:line="240" w:lineRule="auto"/>
              <w:jc w:val="both"/>
              <w:rPr>
                <w:rFonts w:ascii="Times New Roman" w:eastAsia="Times New Roman" w:hAnsi="Times New Roman" w:cs="Times New Roman"/>
                <w:color w:val="FF0000"/>
                <w:sz w:val="24"/>
                <w:szCs w:val="24"/>
                <w:lang w:eastAsia="lv-LV"/>
              </w:rPr>
            </w:pPr>
            <w:r>
              <w:rPr>
                <w:rFonts w:ascii="Times New Roman" w:hAnsi="Times New Roman"/>
                <w:sz w:val="24"/>
                <w:szCs w:val="24"/>
              </w:rPr>
              <w:t xml:space="preserve">Grozījumi nepieciešami šādos likumos: Kredītiestāžu likumā, Maksājumu pakalpojumu un elektroniskās naudas likumā, Finanšu instrumentu tirgus likumā, Ieguldījumu pārvaldes sabiedrību likumā, Alternatīvo ieguldījumu fondu un pārvaldnieku likumā, </w:t>
            </w:r>
            <w:r w:rsidR="00A65207">
              <w:rPr>
                <w:rFonts w:ascii="Times New Roman" w:hAnsi="Times New Roman"/>
                <w:sz w:val="24"/>
                <w:szCs w:val="24"/>
              </w:rPr>
              <w:t xml:space="preserve">Apdrošināšanas un pārapdrošināšanas likumā, </w:t>
            </w:r>
            <w:proofErr w:type="spellStart"/>
            <w:r>
              <w:rPr>
                <w:rFonts w:ascii="Times New Roman" w:hAnsi="Times New Roman"/>
                <w:sz w:val="24"/>
                <w:szCs w:val="24"/>
              </w:rPr>
              <w:t>Krājaizdevu</w:t>
            </w:r>
            <w:proofErr w:type="spellEnd"/>
            <w:r>
              <w:rPr>
                <w:rFonts w:ascii="Times New Roman" w:hAnsi="Times New Roman"/>
                <w:sz w:val="24"/>
                <w:szCs w:val="24"/>
              </w:rPr>
              <w:t xml:space="preserve"> sabiedrību</w:t>
            </w:r>
            <w:r w:rsidR="00A65207">
              <w:rPr>
                <w:rFonts w:ascii="Times New Roman" w:hAnsi="Times New Roman"/>
                <w:sz w:val="24"/>
                <w:szCs w:val="24"/>
              </w:rPr>
              <w:t xml:space="preserve"> likumā</w:t>
            </w:r>
            <w:r>
              <w:rPr>
                <w:rFonts w:ascii="Times New Roman" w:hAnsi="Times New Roman"/>
                <w:sz w:val="24"/>
                <w:szCs w:val="24"/>
              </w:rPr>
              <w:t>, Notariāta likumā, Latvijas Republikas Advokatūras likumā</w:t>
            </w:r>
            <w:r w:rsidR="00592780">
              <w:rPr>
                <w:rFonts w:ascii="Times New Roman" w:hAnsi="Times New Roman"/>
                <w:sz w:val="24"/>
                <w:szCs w:val="24"/>
              </w:rPr>
              <w:t>.</w:t>
            </w:r>
          </w:p>
        </w:tc>
      </w:tr>
      <w:tr w:rsidR="00163839" w:rsidTr="0016383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Finanšu ministrija.</w:t>
            </w:r>
          </w:p>
        </w:tc>
      </w:tr>
      <w:tr w:rsidR="00163839" w:rsidTr="0016383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163839" w:rsidRDefault="00163839" w:rsidP="00163839">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26"/>
        <w:gridCol w:w="91"/>
        <w:gridCol w:w="5886"/>
      </w:tblGrid>
      <w:tr w:rsidR="00163839" w:rsidTr="00163839">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163839" w:rsidRDefault="0016383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163839" w:rsidTr="0016383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163839" w:rsidTr="0016383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163839" w:rsidTr="0016383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Likumprojekts saistīts ar likumprojektu “Grozījumi Noziedzīgi iegūtu līdzekļu legalizācijas un terorisma finansēšanas novēršanas likumā”, kurš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bija līdz 2017.gada 26.jūnijam.</w:t>
            </w:r>
          </w:p>
        </w:tc>
      </w:tr>
      <w:tr w:rsidR="00163839" w:rsidTr="00163839">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163839" w:rsidRDefault="0016383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 Sabiedrības līdzdalība un komunikācijas aktivitātes</w:t>
            </w:r>
          </w:p>
        </w:tc>
      </w:tr>
      <w:tr w:rsidR="00163839" w:rsidTr="00163839">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hAnsi="Times New Roman"/>
                <w:sz w:val="24"/>
                <w:szCs w:val="24"/>
              </w:rPr>
            </w:pPr>
            <w:r>
              <w:rPr>
                <w:rFonts w:ascii="Times New Roman" w:hAnsi="Times New Roman"/>
                <w:sz w:val="24"/>
                <w:szCs w:val="24"/>
              </w:rPr>
              <w:t>Likumprojekta izstrāde notika, konsultējoties ar FKTK.</w:t>
            </w:r>
          </w:p>
          <w:p w:rsidR="00163839" w:rsidRDefault="0016383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Vienlaikus uzziņa par likumprojekta “Grozījumi Noziedzīgi iegūtu līdzekļu legalizācijas un terorisma finansēšanas novēršanas likumā” izstrādi 2016.gada 27.maijā tika  publicēta Finanšu ministrijas mājaslapas sadaļa “Sabiedrības līdzdalība”.</w:t>
            </w:r>
          </w:p>
        </w:tc>
      </w:tr>
      <w:tr w:rsidR="00163839" w:rsidTr="00163839">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hAnsi="Times New Roman"/>
                <w:sz w:val="24"/>
                <w:szCs w:val="24"/>
              </w:rPr>
            </w:pPr>
            <w:r>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hAnsi="Times New Roman"/>
                <w:sz w:val="24"/>
                <w:szCs w:val="24"/>
              </w:rPr>
            </w:pPr>
            <w:r>
              <w:rPr>
                <w:rFonts w:ascii="Times New Roman" w:hAnsi="Times New Roman"/>
                <w:sz w:val="24"/>
                <w:szCs w:val="24"/>
              </w:rPr>
              <w:t>Nav.</w:t>
            </w:r>
          </w:p>
        </w:tc>
      </w:tr>
      <w:tr w:rsidR="00163839" w:rsidTr="0016383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hAnsi="Times New Roman"/>
                <w:sz w:val="24"/>
                <w:szCs w:val="24"/>
              </w:rPr>
            </w:pPr>
            <w:r>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hAnsi="Times New Roman"/>
                <w:sz w:val="24"/>
                <w:szCs w:val="24"/>
              </w:rPr>
            </w:pPr>
            <w:r>
              <w:rPr>
                <w:rFonts w:ascii="Times New Roman" w:hAnsi="Times New Roman"/>
                <w:sz w:val="24"/>
                <w:szCs w:val="24"/>
              </w:rPr>
              <w:t xml:space="preserve">Nav. </w:t>
            </w:r>
          </w:p>
        </w:tc>
      </w:tr>
      <w:tr w:rsidR="00163839" w:rsidTr="0016383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Pr>
                <w:rFonts w:ascii="Times New Roman" w:eastAsia="Times New Roman" w:hAnsi="Times New Roman" w:cs="Times New Roman"/>
                <w:color w:val="414142"/>
                <w:sz w:val="24"/>
                <w:szCs w:val="24"/>
                <w:lang w:eastAsia="lv-LV"/>
              </w:rPr>
              <w:t xml:space="preserve"> </w:t>
            </w:r>
            <w:hyperlink r:id="rId6" w:history="1">
              <w:r>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163839" w:rsidRDefault="00163839">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Likums tiks ievietots arī FKTK mājas lapā un NILLTFNL uzraudzības iestāžu mājas lapās internetā.</w:t>
            </w:r>
          </w:p>
        </w:tc>
      </w:tr>
    </w:tbl>
    <w:p w:rsidR="00163839" w:rsidRDefault="00163839" w:rsidP="00163839">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163839" w:rsidTr="0016383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63839" w:rsidRDefault="0016383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163839" w:rsidTr="0016383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FKTK</w:t>
            </w:r>
            <w:r>
              <w:rPr>
                <w:rFonts w:ascii="Times New Roman" w:hAnsi="Times New Roman"/>
                <w:sz w:val="24"/>
                <w:szCs w:val="24"/>
              </w:rPr>
              <w:t xml:space="preserve"> un citas NILLTFNL uzraudzības iestādes</w:t>
            </w:r>
            <w:r>
              <w:rPr>
                <w:rFonts w:ascii="Times New Roman" w:eastAsia="Times New Roman" w:hAnsi="Times New Roman" w:cs="Times New Roman"/>
                <w:color w:val="414142"/>
                <w:sz w:val="24"/>
                <w:szCs w:val="24"/>
                <w:lang w:eastAsia="lv-LV"/>
              </w:rPr>
              <w:t>.</w:t>
            </w:r>
          </w:p>
        </w:tc>
      </w:tr>
      <w:tr w:rsidR="00163839" w:rsidTr="0016383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Projekta izpildes ietekme uz pārvaldes funkcijām un institucionālo struktūru.</w:t>
            </w:r>
          </w:p>
          <w:p w:rsidR="00163839" w:rsidRDefault="00163839">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neparedz ietekmi uz pārvaldes funkcijām.</w:t>
            </w:r>
          </w:p>
          <w:p w:rsidR="00163839" w:rsidRDefault="00163839">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Jaunu institūciju izveide, esošo likvidācija vai reorganizācija netiek paredzēta.</w:t>
            </w:r>
            <w:r>
              <w:rPr>
                <w:rFonts w:ascii="Times New Roman" w:eastAsia="Times New Roman" w:hAnsi="Times New Roman" w:cs="Times New Roman"/>
                <w:color w:val="414142"/>
                <w:sz w:val="24"/>
                <w:szCs w:val="24"/>
                <w:lang w:eastAsia="lv-LV"/>
              </w:rPr>
              <w:t xml:space="preserve"> </w:t>
            </w:r>
          </w:p>
        </w:tc>
      </w:tr>
      <w:tr w:rsidR="00163839" w:rsidTr="0016383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163839" w:rsidRDefault="001638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163839" w:rsidRDefault="00163839">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bl>
    <w:p w:rsidR="00163839" w:rsidRDefault="00163839" w:rsidP="00163839">
      <w:pPr>
        <w:spacing w:after="0" w:line="240" w:lineRule="auto"/>
        <w:rPr>
          <w:rFonts w:ascii="Times New Roman" w:hAnsi="Times New Roman" w:cs="Times New Roman"/>
          <w:sz w:val="28"/>
          <w:szCs w:val="28"/>
        </w:rPr>
      </w:pPr>
    </w:p>
    <w:p w:rsidR="00163839" w:rsidRDefault="00163839" w:rsidP="00163839">
      <w:pPr>
        <w:spacing w:after="0" w:line="240" w:lineRule="auto"/>
        <w:rPr>
          <w:rFonts w:ascii="Times New Roman" w:hAnsi="Times New Roman" w:cs="Times New Roman"/>
          <w:sz w:val="28"/>
          <w:szCs w:val="28"/>
        </w:rPr>
      </w:pPr>
    </w:p>
    <w:p w:rsidR="00163839" w:rsidRDefault="00163839" w:rsidP="00163839">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-Ozola</w:t>
      </w:r>
    </w:p>
    <w:p w:rsidR="00163839" w:rsidRDefault="00163839" w:rsidP="00163839">
      <w:pPr>
        <w:tabs>
          <w:tab w:val="left" w:pos="6237"/>
        </w:tabs>
        <w:spacing w:after="0" w:line="240" w:lineRule="auto"/>
        <w:rPr>
          <w:rFonts w:ascii="Times New Roman" w:hAnsi="Times New Roman" w:cs="Times New Roman"/>
          <w:sz w:val="24"/>
          <w:szCs w:val="28"/>
        </w:rPr>
      </w:pPr>
    </w:p>
    <w:p w:rsidR="00163839" w:rsidRDefault="00163839" w:rsidP="00163839">
      <w:pPr>
        <w:tabs>
          <w:tab w:val="left" w:pos="6237"/>
        </w:tabs>
        <w:spacing w:after="0" w:line="240" w:lineRule="auto"/>
        <w:rPr>
          <w:rFonts w:ascii="Times New Roman" w:hAnsi="Times New Roman" w:cs="Times New Roman"/>
          <w:sz w:val="24"/>
          <w:szCs w:val="28"/>
        </w:rPr>
      </w:pPr>
    </w:p>
    <w:p w:rsidR="00163839" w:rsidRDefault="00163839" w:rsidP="00163839">
      <w:pPr>
        <w:tabs>
          <w:tab w:val="left" w:pos="6237"/>
        </w:tabs>
        <w:spacing w:after="0" w:line="240" w:lineRule="auto"/>
        <w:rPr>
          <w:rFonts w:ascii="Times New Roman" w:hAnsi="Times New Roman" w:cs="Times New Roman"/>
          <w:sz w:val="24"/>
          <w:szCs w:val="28"/>
        </w:rPr>
      </w:pPr>
    </w:p>
    <w:p w:rsidR="00163839" w:rsidRDefault="00163839" w:rsidP="00163839">
      <w:pPr>
        <w:tabs>
          <w:tab w:val="left" w:pos="6237"/>
        </w:tabs>
        <w:spacing w:after="0" w:line="240" w:lineRule="auto"/>
        <w:rPr>
          <w:rFonts w:ascii="Times New Roman" w:hAnsi="Times New Roman" w:cs="Times New Roman"/>
          <w:sz w:val="24"/>
          <w:szCs w:val="28"/>
        </w:rPr>
      </w:pPr>
    </w:p>
    <w:p w:rsidR="00163839" w:rsidRDefault="00163839" w:rsidP="0016383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163839" w:rsidRDefault="00163839" w:rsidP="0016383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vineta.neija@fm.gov.lv</w:t>
      </w:r>
    </w:p>
    <w:p w:rsidR="00163839" w:rsidRDefault="00163839" w:rsidP="00163839"/>
    <w:p w:rsidR="00163839" w:rsidRDefault="00163839" w:rsidP="00163839"/>
    <w:p w:rsidR="000C1B44" w:rsidRDefault="000C1B44"/>
    <w:sectPr w:rsidR="000C1B44" w:rsidSect="007A5444">
      <w:headerReference w:type="default" r:id="rId7"/>
      <w:footerReference w:type="defaul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91" w:rsidRDefault="008F0C91" w:rsidP="007A5444">
      <w:pPr>
        <w:spacing w:after="0" w:line="240" w:lineRule="auto"/>
      </w:pPr>
      <w:r>
        <w:separator/>
      </w:r>
    </w:p>
  </w:endnote>
  <w:endnote w:type="continuationSeparator" w:id="0">
    <w:p w:rsidR="008F0C91" w:rsidRDefault="008F0C91" w:rsidP="007A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444" w:rsidRPr="007A5444" w:rsidRDefault="007A5444">
    <w:pPr>
      <w:pStyle w:val="Footer"/>
      <w:rPr>
        <w:rFonts w:ascii="Times New Roman" w:hAnsi="Times New Roman" w:cs="Times New Roman"/>
        <w:sz w:val="20"/>
        <w:szCs w:val="20"/>
      </w:rPr>
    </w:pPr>
    <w:r w:rsidRPr="007A5444">
      <w:rPr>
        <w:rFonts w:ascii="Times New Roman" w:hAnsi="Times New Roman" w:cs="Times New Roman"/>
        <w:sz w:val="20"/>
        <w:szCs w:val="20"/>
      </w:rPr>
      <w:t>FMAnot_090817_APSDL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91" w:rsidRDefault="008F0C91" w:rsidP="007A5444">
      <w:pPr>
        <w:spacing w:after="0" w:line="240" w:lineRule="auto"/>
      </w:pPr>
      <w:r>
        <w:separator/>
      </w:r>
    </w:p>
  </w:footnote>
  <w:footnote w:type="continuationSeparator" w:id="0">
    <w:p w:rsidR="008F0C91" w:rsidRDefault="008F0C91" w:rsidP="007A5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02135"/>
      <w:docPartObj>
        <w:docPartGallery w:val="Page Numbers (Top of Page)"/>
        <w:docPartUnique/>
      </w:docPartObj>
    </w:sdtPr>
    <w:sdtEndPr>
      <w:rPr>
        <w:noProof/>
      </w:rPr>
    </w:sdtEndPr>
    <w:sdtContent>
      <w:p w:rsidR="007A5444" w:rsidRDefault="007A5444">
        <w:pPr>
          <w:pStyle w:val="Header"/>
          <w:jc w:val="center"/>
        </w:pPr>
        <w:r>
          <w:fldChar w:fldCharType="begin"/>
        </w:r>
        <w:r>
          <w:instrText xml:space="preserve"> PAGE   \* MERGEFORMAT </w:instrText>
        </w:r>
        <w:r>
          <w:fldChar w:fldCharType="separate"/>
        </w:r>
        <w:r w:rsidR="003474E6">
          <w:rPr>
            <w:noProof/>
          </w:rPr>
          <w:t>2</w:t>
        </w:r>
        <w:r>
          <w:rPr>
            <w:noProof/>
          </w:rPr>
          <w:fldChar w:fldCharType="end"/>
        </w:r>
      </w:p>
    </w:sdtContent>
  </w:sdt>
  <w:p w:rsidR="007A5444" w:rsidRDefault="007A5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39"/>
    <w:rsid w:val="000C1B44"/>
    <w:rsid w:val="00163839"/>
    <w:rsid w:val="00344D56"/>
    <w:rsid w:val="003474E6"/>
    <w:rsid w:val="00562E6A"/>
    <w:rsid w:val="0057403E"/>
    <w:rsid w:val="00592780"/>
    <w:rsid w:val="006E589A"/>
    <w:rsid w:val="007A5444"/>
    <w:rsid w:val="008F0C91"/>
    <w:rsid w:val="00A65207"/>
    <w:rsid w:val="00D85315"/>
    <w:rsid w:val="00E53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55DB-2734-47BC-AD34-71DA9AD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39"/>
    <w:pPr>
      <w:spacing w:after="160" w:line="254"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839"/>
    <w:rPr>
      <w:color w:val="0000FF"/>
      <w:u w:val="single"/>
    </w:rPr>
  </w:style>
  <w:style w:type="paragraph" w:styleId="Header">
    <w:name w:val="header"/>
    <w:basedOn w:val="Normal"/>
    <w:link w:val="HeaderChar"/>
    <w:uiPriority w:val="99"/>
    <w:unhideWhenUsed/>
    <w:rsid w:val="007A54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444"/>
    <w:rPr>
      <w:rFonts w:asciiTheme="minorHAnsi" w:hAnsiTheme="minorHAnsi"/>
      <w:sz w:val="22"/>
    </w:rPr>
  </w:style>
  <w:style w:type="paragraph" w:styleId="Footer">
    <w:name w:val="footer"/>
    <w:basedOn w:val="Normal"/>
    <w:link w:val="FooterChar"/>
    <w:uiPriority w:val="99"/>
    <w:unhideWhenUsed/>
    <w:rsid w:val="007A54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544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8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4847</Words>
  <Characters>2763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Apdrošināšanas un pārapdrošināšanas starpnieku darbības likumā</vt:lpstr>
    </vt:vector>
  </TitlesOfParts>
  <Company>Finanšu ministrija</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Apdrošināšanas un pārapdrošināšanas starpnieku darbības likumā</dc:title>
  <dc:subject>Anotācija</dc:subject>
  <dc:creator>Vineta Neija</dc:creator>
  <cp:keywords/>
  <dc:description>67095490; vineta.neija@fm.gov.lv</dc:description>
  <cp:lastModifiedBy>Vineta Neija</cp:lastModifiedBy>
  <cp:revision>7</cp:revision>
  <dcterms:created xsi:type="dcterms:W3CDTF">2017-08-09T05:59:00Z</dcterms:created>
  <dcterms:modified xsi:type="dcterms:W3CDTF">2017-08-15T05:22:00Z</dcterms:modified>
</cp:coreProperties>
</file>