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426" w:type="dxa"/>
        <w:shd w:val="clear" w:color="auto" w:fill="FFFFFF"/>
        <w:tblCellMar>
          <w:left w:w="0" w:type="dxa"/>
          <w:right w:w="0" w:type="dxa"/>
        </w:tblCellMar>
        <w:tblLook w:val="04A0" w:firstRow="1" w:lastRow="0" w:firstColumn="1" w:lastColumn="0" w:noHBand="0" w:noVBand="1"/>
      </w:tblPr>
      <w:tblGrid>
        <w:gridCol w:w="9215"/>
      </w:tblGrid>
      <w:tr w:rsidR="00666303" w:rsidRPr="00BA345A" w14:paraId="54BF5828" w14:textId="77777777" w:rsidTr="00F8491B">
        <w:tc>
          <w:tcPr>
            <w:tcW w:w="9215" w:type="dxa"/>
            <w:shd w:val="clear" w:color="auto" w:fill="FFFFFF"/>
            <w:hideMark/>
          </w:tcPr>
          <w:p w14:paraId="16534E35" w14:textId="77777777" w:rsidR="00666303" w:rsidRDefault="00652500" w:rsidP="003F28E3">
            <w:pPr>
              <w:spacing w:before="80" w:after="80" w:line="240" w:lineRule="auto"/>
              <w:jc w:val="center"/>
              <w:rPr>
                <w:rFonts w:ascii="Times New Roman" w:hAnsi="Times New Roman" w:cs="Times New Roman"/>
                <w:b/>
                <w:bCs/>
                <w:color w:val="000000" w:themeColor="text1"/>
                <w:sz w:val="24"/>
                <w:szCs w:val="24"/>
                <w:lang w:val="lv-LV"/>
              </w:rPr>
            </w:pPr>
            <w:r>
              <w:rPr>
                <w:rFonts w:ascii="Times New Roman" w:hAnsi="Times New Roman" w:cs="Times New Roman"/>
                <w:b/>
                <w:bCs/>
                <w:color w:val="000000" w:themeColor="text1"/>
                <w:sz w:val="24"/>
                <w:szCs w:val="24"/>
                <w:lang w:val="lv-LV"/>
              </w:rPr>
              <w:t xml:space="preserve">Ministru kabineta </w:t>
            </w:r>
            <w:r w:rsidRPr="00652500">
              <w:rPr>
                <w:rFonts w:ascii="Times New Roman" w:hAnsi="Times New Roman" w:cs="Times New Roman"/>
                <w:b/>
                <w:bCs/>
                <w:color w:val="000000" w:themeColor="text1"/>
                <w:sz w:val="24"/>
                <w:szCs w:val="24"/>
                <w:lang w:val="lv-LV"/>
              </w:rPr>
              <w:t xml:space="preserve">noteikumu </w:t>
            </w:r>
            <w:r w:rsidR="00666303" w:rsidRPr="00652500">
              <w:rPr>
                <w:rFonts w:ascii="Times New Roman" w:hAnsi="Times New Roman" w:cs="Times New Roman"/>
                <w:b/>
                <w:bCs/>
                <w:color w:val="000000" w:themeColor="text1"/>
                <w:sz w:val="24"/>
                <w:szCs w:val="24"/>
                <w:lang w:val="lv-LV"/>
              </w:rPr>
              <w:t>projekta</w:t>
            </w:r>
            <w:r w:rsidR="00666303" w:rsidRPr="00652500">
              <w:rPr>
                <w:rFonts w:ascii="Times New Roman" w:hAnsi="Times New Roman" w:cs="Times New Roman"/>
                <w:b/>
                <w:color w:val="000000" w:themeColor="text1"/>
                <w:sz w:val="24"/>
                <w:szCs w:val="24"/>
                <w:lang w:val="lv-LV"/>
              </w:rPr>
              <w:t xml:space="preserve"> </w:t>
            </w:r>
            <w:r w:rsidR="00B1703F" w:rsidRPr="00652500">
              <w:rPr>
                <w:rFonts w:ascii="Times New Roman" w:hAnsi="Times New Roman" w:cs="Times New Roman"/>
                <w:b/>
                <w:color w:val="000000" w:themeColor="text1"/>
                <w:sz w:val="24"/>
                <w:szCs w:val="24"/>
                <w:lang w:val="lv-LV"/>
              </w:rPr>
              <w:t>"</w:t>
            </w:r>
            <w:r w:rsidRPr="00652500">
              <w:rPr>
                <w:rFonts w:ascii="Times New Roman" w:hAnsi="Times New Roman" w:cs="Times New Roman"/>
                <w:b/>
                <w:bCs/>
                <w:sz w:val="24"/>
                <w:szCs w:val="24"/>
                <w:lang w:val="lv-LV"/>
              </w:rPr>
              <w:t>Grozījumi Ministru kabineta 2007.gada 3.aprīļa noteikumos Nr.233"Finanšu sektora attīstības padomes nolikums""</w:t>
            </w:r>
            <w:r w:rsidR="00F6665E">
              <w:rPr>
                <w:rFonts w:ascii="Times New Roman" w:hAnsi="Times New Roman" w:cs="Times New Roman"/>
                <w:b/>
                <w:bCs/>
                <w:sz w:val="24"/>
                <w:szCs w:val="24"/>
                <w:lang w:val="lv-LV"/>
              </w:rPr>
              <w:t xml:space="preserve"> </w:t>
            </w:r>
            <w:r w:rsidR="00666303" w:rsidRPr="00652500">
              <w:rPr>
                <w:rFonts w:ascii="Times New Roman" w:hAnsi="Times New Roman" w:cs="Times New Roman"/>
                <w:b/>
                <w:bCs/>
                <w:color w:val="000000" w:themeColor="text1"/>
                <w:sz w:val="24"/>
                <w:szCs w:val="24"/>
                <w:lang w:val="lv-LV"/>
              </w:rPr>
              <w:t>sākotnējās ietekmes novērtējuma ziņojums</w:t>
            </w:r>
            <w:r w:rsidR="00666303" w:rsidRPr="00652500">
              <w:rPr>
                <w:rFonts w:ascii="Times New Roman" w:hAnsi="Times New Roman" w:cs="Times New Roman"/>
                <w:b/>
                <w:color w:val="000000" w:themeColor="text1"/>
                <w:sz w:val="24"/>
                <w:szCs w:val="24"/>
                <w:lang w:val="lv-LV"/>
              </w:rPr>
              <w:t xml:space="preserve"> </w:t>
            </w:r>
            <w:r w:rsidR="00666303" w:rsidRPr="00652500">
              <w:rPr>
                <w:rFonts w:ascii="Times New Roman" w:hAnsi="Times New Roman" w:cs="Times New Roman"/>
                <w:b/>
                <w:bCs/>
                <w:color w:val="000000" w:themeColor="text1"/>
                <w:sz w:val="24"/>
                <w:szCs w:val="24"/>
                <w:lang w:val="lv-LV"/>
              </w:rPr>
              <w:t>(anotācija)</w:t>
            </w:r>
          </w:p>
          <w:p w14:paraId="5FE88EDD" w14:textId="77777777" w:rsidR="00EC60F8" w:rsidRDefault="00EC60F8" w:rsidP="003F28E3">
            <w:pPr>
              <w:spacing w:before="80" w:after="80" w:line="240" w:lineRule="auto"/>
              <w:jc w:val="center"/>
              <w:rPr>
                <w:rFonts w:ascii="Times New Roman" w:hAnsi="Times New Roman" w:cs="Times New Roman"/>
                <w:b/>
                <w:bCs/>
                <w:color w:val="000000" w:themeColor="text1"/>
                <w:sz w:val="24"/>
                <w:szCs w:val="24"/>
                <w:lang w:val="lv-LV"/>
              </w:rPr>
            </w:pPr>
          </w:p>
          <w:p w14:paraId="77BDA08E" w14:textId="77777777" w:rsidR="00EC60F8" w:rsidRDefault="00EC60F8" w:rsidP="003F28E3">
            <w:pPr>
              <w:spacing w:before="80" w:after="80" w:line="240" w:lineRule="auto"/>
              <w:jc w:val="center"/>
              <w:rPr>
                <w:rFonts w:ascii="Times New Roman" w:hAnsi="Times New Roman" w:cs="Times New Roman"/>
                <w:b/>
                <w:bCs/>
                <w:color w:val="000000" w:themeColor="text1"/>
                <w:sz w:val="24"/>
                <w:szCs w:val="24"/>
                <w:lang w:val="lv-LV"/>
              </w:rPr>
            </w:pPr>
          </w:p>
          <w:p w14:paraId="40C5537C" w14:textId="77777777" w:rsidR="00EC60F8" w:rsidRPr="00652500" w:rsidRDefault="00EC60F8" w:rsidP="00F26128">
            <w:pPr>
              <w:spacing w:before="80" w:after="80" w:line="240" w:lineRule="auto"/>
              <w:rPr>
                <w:rFonts w:ascii="Times New Roman" w:hAnsi="Times New Roman" w:cs="Times New Roman"/>
                <w:color w:val="000000" w:themeColor="text1"/>
                <w:sz w:val="24"/>
                <w:szCs w:val="24"/>
                <w:lang w:val="lv-LV"/>
              </w:rPr>
            </w:pPr>
            <w:bookmarkStart w:id="0" w:name="_GoBack"/>
            <w:bookmarkEnd w:id="0"/>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52"/>
              <w:gridCol w:w="5887"/>
            </w:tblGrid>
            <w:tr w:rsidR="00666303" w:rsidRPr="00FC1025" w14:paraId="3E1DF12A" w14:textId="77777777" w:rsidTr="00AF234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A73984E" w14:textId="77777777" w:rsidR="00666303" w:rsidRDefault="00666303" w:rsidP="003F28E3">
                  <w:pPr>
                    <w:spacing w:before="80" w:after="80" w:line="240" w:lineRule="auto"/>
                    <w:jc w:val="center"/>
                    <w:rPr>
                      <w:rFonts w:ascii="Times New Roman" w:eastAsia="Times New Roman" w:hAnsi="Times New Roman" w:cs="Times New Roman"/>
                      <w:b/>
                      <w:bCs/>
                      <w:color w:val="000000" w:themeColor="text1"/>
                      <w:sz w:val="24"/>
                      <w:szCs w:val="24"/>
                      <w:lang w:val="lv-LV" w:eastAsia="lv-LV"/>
                    </w:rPr>
                  </w:pPr>
                  <w:r w:rsidRPr="00BA345A">
                    <w:rPr>
                      <w:rFonts w:ascii="Times New Roman" w:eastAsia="Times New Roman" w:hAnsi="Times New Roman" w:cs="Times New Roman"/>
                      <w:b/>
                      <w:bCs/>
                      <w:color w:val="000000" w:themeColor="text1"/>
                      <w:sz w:val="24"/>
                      <w:szCs w:val="24"/>
                      <w:lang w:val="lv-LV" w:eastAsia="lv-LV"/>
                    </w:rPr>
                    <w:t>I. Tiesību akta projekta izstrādes nepieciešamība</w:t>
                  </w:r>
                </w:p>
                <w:p w14:paraId="14EC08E5" w14:textId="77777777" w:rsidR="00EC60F8" w:rsidRPr="00BA345A" w:rsidRDefault="00EC60F8" w:rsidP="003F28E3">
                  <w:pPr>
                    <w:spacing w:before="80" w:after="80" w:line="240" w:lineRule="auto"/>
                    <w:jc w:val="center"/>
                    <w:rPr>
                      <w:rFonts w:ascii="Times New Roman" w:eastAsia="Times New Roman" w:hAnsi="Times New Roman" w:cs="Times New Roman"/>
                      <w:b/>
                      <w:bCs/>
                      <w:color w:val="000000" w:themeColor="text1"/>
                      <w:sz w:val="24"/>
                      <w:szCs w:val="24"/>
                      <w:lang w:val="lv-LV" w:eastAsia="lv-LV"/>
                    </w:rPr>
                  </w:pPr>
                </w:p>
              </w:tc>
            </w:tr>
            <w:tr w:rsidR="00666303" w:rsidRPr="003F2B20" w14:paraId="618DCD71" w14:textId="77777777" w:rsidTr="00AF234B">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DB9A609" w14:textId="77777777" w:rsidR="00666303" w:rsidRPr="00BA345A" w:rsidRDefault="00666303" w:rsidP="003F28E3">
                  <w:pPr>
                    <w:spacing w:before="80" w:after="80" w:line="240" w:lineRule="auto"/>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6236F93"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9BD7768" w14:textId="294D6327" w:rsidR="008739B1" w:rsidRDefault="00DE5E09" w:rsidP="003F28E3">
                  <w:pPr>
                    <w:spacing w:before="80" w:after="80" w:line="240" w:lineRule="auto"/>
                    <w:jc w:val="both"/>
                    <w:rPr>
                      <w:rFonts w:ascii="Times New Roman" w:hAnsi="Times New Roman" w:cs="Times New Roman"/>
                      <w:sz w:val="24"/>
                      <w:szCs w:val="24"/>
                      <w:lang w:val="lv-LV"/>
                    </w:rPr>
                  </w:pPr>
                  <w:r w:rsidRPr="001B6B22">
                    <w:rPr>
                      <w:rFonts w:ascii="Times New Roman" w:hAnsi="Times New Roman" w:cs="Times New Roman"/>
                      <w:bCs/>
                      <w:color w:val="000000" w:themeColor="text1"/>
                      <w:sz w:val="24"/>
                      <w:szCs w:val="24"/>
                      <w:lang w:val="lv-LV"/>
                    </w:rPr>
                    <w:t>Mini</w:t>
                  </w:r>
                  <w:r w:rsidR="00FD2267">
                    <w:rPr>
                      <w:rFonts w:ascii="Times New Roman" w:hAnsi="Times New Roman" w:cs="Times New Roman"/>
                      <w:bCs/>
                      <w:color w:val="000000" w:themeColor="text1"/>
                      <w:sz w:val="24"/>
                      <w:szCs w:val="24"/>
                      <w:lang w:val="lv-LV"/>
                    </w:rPr>
                    <w:t>stru kabineta noteikumu projekts</w:t>
                  </w:r>
                  <w:r w:rsidRPr="001B6B22">
                    <w:rPr>
                      <w:rFonts w:ascii="Times New Roman" w:hAnsi="Times New Roman" w:cs="Times New Roman"/>
                      <w:color w:val="000000" w:themeColor="text1"/>
                      <w:sz w:val="24"/>
                      <w:szCs w:val="24"/>
                      <w:lang w:val="lv-LV"/>
                    </w:rPr>
                    <w:t xml:space="preserve"> "</w:t>
                  </w:r>
                  <w:r w:rsidRPr="001B6B22">
                    <w:rPr>
                      <w:rFonts w:ascii="Times New Roman" w:hAnsi="Times New Roman" w:cs="Times New Roman"/>
                      <w:bCs/>
                      <w:sz w:val="24"/>
                      <w:szCs w:val="24"/>
                      <w:lang w:val="lv-LV"/>
                    </w:rPr>
                    <w:t>Grozījumi Ministru kabineta 2007.gada 3.aprīļa noteikumos Nr.233</w:t>
                  </w:r>
                  <w:r w:rsidR="00792DCE">
                    <w:rPr>
                      <w:rFonts w:ascii="Times New Roman" w:hAnsi="Times New Roman" w:cs="Times New Roman"/>
                      <w:bCs/>
                      <w:sz w:val="24"/>
                      <w:szCs w:val="24"/>
                      <w:lang w:val="lv-LV"/>
                    </w:rPr>
                    <w:t xml:space="preserve"> </w:t>
                  </w:r>
                  <w:r w:rsidRPr="001B6B22">
                    <w:rPr>
                      <w:rFonts w:ascii="Times New Roman" w:hAnsi="Times New Roman" w:cs="Times New Roman"/>
                      <w:bCs/>
                      <w:sz w:val="24"/>
                      <w:szCs w:val="24"/>
                      <w:lang w:val="lv-LV"/>
                    </w:rPr>
                    <w:t xml:space="preserve">"Finanšu sektora attīstības padomes nolikums"" </w:t>
                  </w:r>
                  <w:r w:rsidR="00421BA7" w:rsidRPr="001B6B22">
                    <w:rPr>
                      <w:rFonts w:ascii="Times New Roman" w:hAnsi="Times New Roman" w:cs="Times New Roman"/>
                      <w:color w:val="000000" w:themeColor="text1"/>
                      <w:sz w:val="24"/>
                      <w:szCs w:val="24"/>
                      <w:lang w:val="lv-LV"/>
                    </w:rPr>
                    <w:t xml:space="preserve">(turpmāk – </w:t>
                  </w:r>
                  <w:r w:rsidRPr="001B6B22">
                    <w:rPr>
                      <w:rFonts w:ascii="Times New Roman" w:hAnsi="Times New Roman" w:cs="Times New Roman"/>
                      <w:color w:val="000000" w:themeColor="text1"/>
                      <w:sz w:val="24"/>
                      <w:szCs w:val="24"/>
                      <w:lang w:val="lv-LV"/>
                    </w:rPr>
                    <w:t xml:space="preserve">Noteikumu </w:t>
                  </w:r>
                  <w:r w:rsidR="00421BA7" w:rsidRPr="001B6B22">
                    <w:rPr>
                      <w:rFonts w:ascii="Times New Roman" w:hAnsi="Times New Roman" w:cs="Times New Roman"/>
                      <w:color w:val="000000" w:themeColor="text1"/>
                      <w:sz w:val="24"/>
                      <w:szCs w:val="24"/>
                      <w:lang w:val="lv-LV"/>
                    </w:rPr>
                    <w:t>projekts) izstrādāts</w:t>
                  </w:r>
                  <w:r w:rsidR="00FD2267">
                    <w:rPr>
                      <w:rFonts w:ascii="Times New Roman" w:hAnsi="Times New Roman" w:cs="Times New Roman"/>
                      <w:color w:val="000000" w:themeColor="text1"/>
                      <w:sz w:val="24"/>
                      <w:szCs w:val="24"/>
                      <w:lang w:val="lv-LV"/>
                    </w:rPr>
                    <w:t>,</w:t>
                  </w:r>
                  <w:r w:rsidR="001B6B22" w:rsidRPr="001B6B22">
                    <w:rPr>
                      <w:rFonts w:ascii="Times New Roman" w:hAnsi="Times New Roman" w:cs="Times New Roman"/>
                      <w:sz w:val="24"/>
                      <w:szCs w:val="24"/>
                      <w:lang w:val="lv-LV"/>
                    </w:rPr>
                    <w:t xml:space="preserve"> ņemot vērā </w:t>
                  </w:r>
                  <w:r w:rsidR="008739B1" w:rsidRPr="004F230F">
                    <w:rPr>
                      <w:rFonts w:ascii="Times New Roman" w:hAnsi="Times New Roman" w:cs="Times New Roman"/>
                      <w:sz w:val="24"/>
                      <w:szCs w:val="24"/>
                      <w:lang w:val="lv-LV"/>
                    </w:rPr>
                    <w:t xml:space="preserve">ar Ministru kabineta </w:t>
                  </w:r>
                  <w:r w:rsidR="008F20DF">
                    <w:rPr>
                      <w:rFonts w:ascii="Times New Roman" w:hAnsi="Times New Roman" w:cs="Times New Roman"/>
                      <w:sz w:val="24"/>
                      <w:szCs w:val="24"/>
                      <w:lang w:val="lv-LV"/>
                    </w:rPr>
                    <w:t xml:space="preserve">2017.gada 24.maija </w:t>
                  </w:r>
                  <w:r w:rsidR="008739B1" w:rsidRPr="004F230F">
                    <w:rPr>
                      <w:rFonts w:ascii="Times New Roman" w:hAnsi="Times New Roman" w:cs="Times New Roman"/>
                      <w:sz w:val="24"/>
                      <w:szCs w:val="24"/>
                      <w:lang w:val="lv-LV"/>
                    </w:rPr>
                    <w:t>rīkojumu Nr 246 apstiprinātā “Pasākumu plāna noziedzīgi iegūtu līdzekļu legalizācijas un terorisma finansēšanas risku ierobežošanai 2017.-2019.gadam” 1.1</w:t>
                  </w:r>
                  <w:r w:rsidR="004F230F">
                    <w:rPr>
                      <w:rFonts w:ascii="Times New Roman" w:hAnsi="Times New Roman" w:cs="Times New Roman"/>
                      <w:sz w:val="24"/>
                      <w:szCs w:val="24"/>
                      <w:lang w:val="lv-LV"/>
                    </w:rPr>
                    <w:t xml:space="preserve">. </w:t>
                  </w:r>
                  <w:r w:rsidR="0066152F">
                    <w:rPr>
                      <w:rFonts w:ascii="Times New Roman" w:hAnsi="Times New Roman" w:cs="Times New Roman"/>
                      <w:sz w:val="24"/>
                      <w:szCs w:val="24"/>
                      <w:lang w:val="lv-LV"/>
                    </w:rPr>
                    <w:t>un 1.2. punktā iekļauto</w:t>
                  </w:r>
                  <w:r w:rsidR="008D4E1A">
                    <w:rPr>
                      <w:rFonts w:ascii="Times New Roman" w:hAnsi="Times New Roman" w:cs="Times New Roman"/>
                      <w:sz w:val="24"/>
                      <w:szCs w:val="24"/>
                      <w:lang w:val="lv-LV"/>
                    </w:rPr>
                    <w:t>s</w:t>
                  </w:r>
                  <w:r w:rsidR="0066152F">
                    <w:rPr>
                      <w:rFonts w:ascii="Times New Roman" w:hAnsi="Times New Roman" w:cs="Times New Roman"/>
                      <w:sz w:val="24"/>
                      <w:szCs w:val="24"/>
                      <w:lang w:val="lv-LV"/>
                    </w:rPr>
                    <w:t xml:space="preserve"> uzdevumu</w:t>
                  </w:r>
                  <w:r w:rsidR="008D4E1A">
                    <w:rPr>
                      <w:rFonts w:ascii="Times New Roman" w:hAnsi="Times New Roman" w:cs="Times New Roman"/>
                      <w:sz w:val="24"/>
                      <w:szCs w:val="24"/>
                      <w:lang w:val="lv-LV"/>
                    </w:rPr>
                    <w:t>s</w:t>
                  </w:r>
                  <w:r w:rsidR="0066152F">
                    <w:rPr>
                      <w:rFonts w:ascii="Times New Roman" w:hAnsi="Times New Roman" w:cs="Times New Roman"/>
                      <w:sz w:val="24"/>
                      <w:szCs w:val="24"/>
                      <w:lang w:val="lv-LV"/>
                    </w:rPr>
                    <w:t xml:space="preserve"> </w:t>
                  </w:r>
                  <w:r w:rsidR="000F35EC" w:rsidRPr="004F230F">
                    <w:rPr>
                      <w:rFonts w:ascii="Times New Roman" w:hAnsi="Times New Roman" w:cs="Times New Roman"/>
                      <w:sz w:val="24"/>
                      <w:szCs w:val="24"/>
                      <w:lang w:val="lv-LV"/>
                    </w:rPr>
                    <w:t xml:space="preserve">kā  arī </w:t>
                  </w:r>
                  <w:r w:rsidR="00052C45">
                    <w:rPr>
                      <w:rFonts w:ascii="Times New Roman" w:hAnsi="Times New Roman" w:cs="Times New Roman"/>
                      <w:sz w:val="24"/>
                      <w:szCs w:val="24"/>
                      <w:lang w:val="lv-LV"/>
                    </w:rPr>
                    <w:t xml:space="preserve">ar </w:t>
                  </w:r>
                  <w:r w:rsidR="00052C45" w:rsidRPr="00052C45">
                    <w:rPr>
                      <w:rFonts w:ascii="Times New Roman" w:hAnsi="Times New Roman" w:cs="Times New Roman"/>
                      <w:sz w:val="24"/>
                      <w:szCs w:val="24"/>
                      <w:lang w:val="lv-LV"/>
                    </w:rPr>
                    <w:t>Ministru kabineta 2016.gada 3.maija rīkojumu Nr.257 “Par Valdības rīcības plānu Deklarācijas par Māra Kučinska vadītā Ministru kabinet</w:t>
                  </w:r>
                  <w:r w:rsidR="00052C45">
                    <w:rPr>
                      <w:rFonts w:ascii="Times New Roman" w:hAnsi="Times New Roman" w:cs="Times New Roman"/>
                      <w:sz w:val="24"/>
                      <w:szCs w:val="24"/>
                      <w:lang w:val="lv-LV"/>
                    </w:rPr>
                    <w:t xml:space="preserve">a iecerēto darbību īstenošanai” apstiprinātās </w:t>
                  </w:r>
                  <w:r w:rsidR="000F35EC" w:rsidRPr="004F230F">
                    <w:rPr>
                      <w:rFonts w:ascii="Times New Roman" w:hAnsi="Times New Roman" w:cs="Times New Roman"/>
                      <w:sz w:val="24"/>
                      <w:szCs w:val="24"/>
                      <w:lang w:val="lv-LV"/>
                    </w:rPr>
                    <w:t>Deklarācijas par Māra Kučinska vadītā Ministru kabineta iecerēto darbību 51.punktu – “Koordinēti īstenosim steidzamus finanšu sektora politikas sakārtošanas pasākumus, definēsim sektora vidēja un ilgtermiņa attīstības redzējumu, īpašu uzmanību pievēršot noziedzīgi iegūtu līdzekļu legalizēšanas un terorisma finansēšanas risku mazināšanai.”</w:t>
                  </w:r>
                </w:p>
                <w:p w14:paraId="487C3F1B" w14:textId="2FF0B5AC" w:rsidR="00314D8F" w:rsidRPr="004F230F" w:rsidRDefault="00314D8F" w:rsidP="003F28E3">
                  <w:pPr>
                    <w:spacing w:before="80" w:after="80" w:line="240" w:lineRule="auto"/>
                    <w:jc w:val="both"/>
                    <w:rPr>
                      <w:rFonts w:ascii="Times New Roman" w:hAnsi="Times New Roman" w:cs="Times New Roman"/>
                      <w:color w:val="FF0000"/>
                      <w:sz w:val="24"/>
                      <w:szCs w:val="24"/>
                      <w:lang w:val="lv-LV"/>
                    </w:rPr>
                  </w:pPr>
                </w:p>
              </w:tc>
            </w:tr>
            <w:tr w:rsidR="00666303" w:rsidRPr="003F2B20" w14:paraId="077B6DC6" w14:textId="77777777" w:rsidTr="00AF234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80F51B4"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 xml:space="preserve"> 2.</w:t>
                  </w:r>
                </w:p>
              </w:tc>
              <w:tc>
                <w:tcPr>
                  <w:tcW w:w="1550" w:type="pct"/>
                  <w:tcBorders>
                    <w:top w:val="outset" w:sz="6" w:space="0" w:color="414142"/>
                    <w:left w:val="outset" w:sz="6" w:space="0" w:color="414142"/>
                    <w:bottom w:val="outset" w:sz="6" w:space="0" w:color="414142"/>
                    <w:right w:val="outset" w:sz="6" w:space="0" w:color="414142"/>
                  </w:tcBorders>
                  <w:hideMark/>
                </w:tcPr>
                <w:p w14:paraId="1EBE1E37" w14:textId="77777777" w:rsidR="00666303" w:rsidRPr="00001EE9"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001EE9">
                    <w:rPr>
                      <w:rFonts w:ascii="Times New Roman" w:eastAsia="Times New Roman" w:hAnsi="Times New Roman" w:cs="Times New Roman"/>
                      <w:color w:val="000000" w:themeColor="text1"/>
                      <w:sz w:val="24"/>
                      <w:szCs w:val="24"/>
                      <w:lang w:val="lv-LV"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E99E3D1" w14:textId="136D47BF" w:rsidR="00792DCE" w:rsidRDefault="00792DCE" w:rsidP="003F28E3">
                  <w:pPr>
                    <w:pStyle w:val="default"/>
                    <w:shd w:val="clear" w:color="auto" w:fill="FFFFFF"/>
                    <w:spacing w:before="80" w:beforeAutospacing="0" w:after="80" w:afterAutospacing="0"/>
                    <w:ind w:right="15"/>
                    <w:jc w:val="both"/>
                    <w:rPr>
                      <w:bCs/>
                      <w:lang w:val="lv-LV"/>
                    </w:rPr>
                  </w:pPr>
                  <w:r w:rsidRPr="00D505BD">
                    <w:rPr>
                      <w:bCs/>
                      <w:lang w:val="lv-LV"/>
                    </w:rPr>
                    <w:t xml:space="preserve">Pašreiz Finanšu sektora attīstības padomes </w:t>
                  </w:r>
                  <w:r w:rsidR="000E79A0">
                    <w:rPr>
                      <w:bCs/>
                      <w:lang w:val="lv-LV"/>
                    </w:rPr>
                    <w:t xml:space="preserve">(turpmāk – padome) </w:t>
                  </w:r>
                  <w:r w:rsidRPr="00D505BD">
                    <w:rPr>
                      <w:bCs/>
                      <w:lang w:val="lv-LV"/>
                    </w:rPr>
                    <w:t>darbu materiāltehniski nodrošina Finanšu un kapitāla tirgus komisija.</w:t>
                  </w:r>
                </w:p>
                <w:p w14:paraId="70C5BFD6" w14:textId="77777777" w:rsidR="00D505BD" w:rsidRDefault="00D505BD" w:rsidP="003F28E3">
                  <w:pPr>
                    <w:pStyle w:val="default"/>
                    <w:shd w:val="clear" w:color="auto" w:fill="FFFFFF"/>
                    <w:spacing w:before="80" w:beforeAutospacing="0" w:after="80" w:afterAutospacing="0"/>
                    <w:ind w:right="15"/>
                    <w:jc w:val="both"/>
                    <w:rPr>
                      <w:bCs/>
                      <w:lang w:val="lv-LV"/>
                    </w:rPr>
                  </w:pPr>
                </w:p>
                <w:p w14:paraId="6D5D58C5" w14:textId="18E19D65" w:rsidR="00BB0021" w:rsidRPr="00D337F0" w:rsidRDefault="00D505BD" w:rsidP="003F28E3">
                  <w:pPr>
                    <w:autoSpaceDE w:val="0"/>
                    <w:autoSpaceDN w:val="0"/>
                    <w:adjustRightInd w:val="0"/>
                    <w:spacing w:before="80" w:after="80" w:line="240" w:lineRule="auto"/>
                    <w:jc w:val="both"/>
                    <w:rPr>
                      <w:rFonts w:ascii="Times New Roman" w:hAnsi="Times New Roman" w:cs="Times New Roman"/>
                      <w:bCs/>
                      <w:sz w:val="24"/>
                      <w:szCs w:val="24"/>
                      <w:lang w:val="lv-LV"/>
                    </w:rPr>
                  </w:pPr>
                  <w:r w:rsidRPr="00D505BD">
                    <w:rPr>
                      <w:rFonts w:ascii="Times New Roman" w:hAnsi="Times New Roman" w:cs="Times New Roman"/>
                      <w:sz w:val="24"/>
                      <w:szCs w:val="24"/>
                      <w:lang w:val="lv-LV"/>
                    </w:rPr>
                    <w:t>F</w:t>
                  </w:r>
                  <w:r>
                    <w:rPr>
                      <w:rFonts w:ascii="Times New Roman" w:hAnsi="Times New Roman" w:cs="Times New Roman"/>
                      <w:sz w:val="24"/>
                      <w:szCs w:val="24"/>
                      <w:lang w:val="lv-LV"/>
                    </w:rPr>
                    <w:t xml:space="preserve">inanšu un kapitāla tirgus komisijas </w:t>
                  </w:r>
                  <w:r w:rsidRPr="00D505BD">
                    <w:rPr>
                      <w:rFonts w:ascii="Times New Roman" w:hAnsi="Times New Roman" w:cs="Times New Roman"/>
                      <w:sz w:val="24"/>
                      <w:szCs w:val="24"/>
                      <w:lang w:val="lv-LV"/>
                    </w:rPr>
                    <w:t>likumā noteiktā F</w:t>
                  </w:r>
                  <w:r>
                    <w:rPr>
                      <w:rFonts w:ascii="Times New Roman" w:hAnsi="Times New Roman" w:cs="Times New Roman"/>
                      <w:sz w:val="24"/>
                      <w:szCs w:val="24"/>
                      <w:lang w:val="lv-LV"/>
                    </w:rPr>
                    <w:t xml:space="preserve">inanšu un kapitāla tirgus komisijas </w:t>
                  </w:r>
                  <w:r w:rsidRPr="00D505BD">
                    <w:rPr>
                      <w:rFonts w:ascii="Times New Roman" w:hAnsi="Times New Roman" w:cs="Times New Roman"/>
                      <w:sz w:val="24"/>
                      <w:szCs w:val="24"/>
                      <w:lang w:val="lv-LV"/>
                    </w:rPr>
                    <w:t>kompetence, funkcijas un uzdevumi nav tieši saistīti</w:t>
                  </w:r>
                  <w:r>
                    <w:rPr>
                      <w:rFonts w:ascii="Times New Roman" w:hAnsi="Times New Roman" w:cs="Times New Roman"/>
                      <w:sz w:val="24"/>
                      <w:szCs w:val="24"/>
                      <w:lang w:val="lv-LV"/>
                    </w:rPr>
                    <w:t xml:space="preserve"> ar</w:t>
                  </w:r>
                  <w:r w:rsidRPr="00D505BD">
                    <w:rPr>
                      <w:rFonts w:ascii="Times New Roman" w:hAnsi="Times New Roman" w:cs="Times New Roman"/>
                      <w:bCs/>
                      <w:sz w:val="24"/>
                      <w:szCs w:val="24"/>
                      <w:lang w:val="lv-LV"/>
                    </w:rPr>
                    <w:t xml:space="preserve"> padomes</w:t>
                  </w:r>
                  <w:r w:rsidRPr="00D505BD">
                    <w:rPr>
                      <w:rFonts w:ascii="Times New Roman" w:hAnsi="Times New Roman" w:cs="Times New Roman"/>
                      <w:sz w:val="24"/>
                      <w:szCs w:val="24"/>
                      <w:shd w:val="clear" w:color="auto" w:fill="FFFFFF"/>
                      <w:lang w:val="lv-LV"/>
                    </w:rPr>
                    <w:t xml:space="preserve"> darbību</w:t>
                  </w:r>
                  <w:r w:rsidR="00BB0021">
                    <w:rPr>
                      <w:rFonts w:ascii="Times New Roman" w:hAnsi="Times New Roman" w:cs="Times New Roman"/>
                      <w:sz w:val="24"/>
                      <w:szCs w:val="24"/>
                      <w:shd w:val="clear" w:color="auto" w:fill="FFFFFF"/>
                      <w:lang w:val="lv-LV"/>
                    </w:rPr>
                    <w:t>.</w:t>
                  </w:r>
                  <w:r w:rsidR="00D337F0">
                    <w:rPr>
                      <w:rFonts w:ascii="Times New Roman" w:hAnsi="Times New Roman" w:cs="Times New Roman"/>
                      <w:sz w:val="24"/>
                      <w:szCs w:val="24"/>
                      <w:shd w:val="clear" w:color="auto" w:fill="FFFFFF"/>
                      <w:lang w:val="lv-LV"/>
                    </w:rPr>
                    <w:t xml:space="preserve"> </w:t>
                  </w:r>
                  <w:r w:rsidR="00BB0021" w:rsidRPr="00D337F0">
                    <w:rPr>
                      <w:rFonts w:ascii="Times New Roman" w:hAnsi="Times New Roman" w:cs="Times New Roman"/>
                      <w:sz w:val="24"/>
                      <w:szCs w:val="24"/>
                      <w:shd w:val="clear" w:color="auto" w:fill="FFFFFF"/>
                      <w:lang w:val="lv-LV"/>
                    </w:rPr>
                    <w:t xml:space="preserve">Savukārt </w:t>
                  </w:r>
                  <w:r w:rsidR="00BB0021" w:rsidRPr="00D337F0">
                    <w:rPr>
                      <w:rFonts w:ascii="Times New Roman" w:hAnsi="Times New Roman" w:cs="Times New Roman"/>
                      <w:bCs/>
                      <w:sz w:val="24"/>
                      <w:szCs w:val="24"/>
                      <w:lang w:val="lv-LV"/>
                    </w:rPr>
                    <w:t>Finanšu ministrija ir atbildīgā institūcija par valsts fin</w:t>
                  </w:r>
                  <w:r w:rsidR="00D337F0">
                    <w:rPr>
                      <w:rFonts w:ascii="Times New Roman" w:hAnsi="Times New Roman" w:cs="Times New Roman"/>
                      <w:bCs/>
                      <w:sz w:val="24"/>
                      <w:szCs w:val="24"/>
                      <w:lang w:val="lv-LV"/>
                    </w:rPr>
                    <w:t>anšu sektora attīstības politiku</w:t>
                  </w:r>
                  <w:r w:rsidR="00A47C1D" w:rsidRPr="00D337F0">
                    <w:rPr>
                      <w:rFonts w:ascii="Times New Roman" w:hAnsi="Times New Roman" w:cs="Times New Roman"/>
                      <w:bCs/>
                      <w:sz w:val="24"/>
                      <w:szCs w:val="24"/>
                      <w:lang w:val="lv-LV"/>
                    </w:rPr>
                    <w:t xml:space="preserve"> un stratēģiju</w:t>
                  </w:r>
                  <w:r w:rsidR="00BB0021" w:rsidRPr="00D337F0">
                    <w:rPr>
                      <w:rFonts w:ascii="Times New Roman" w:hAnsi="Times New Roman" w:cs="Times New Roman"/>
                      <w:bCs/>
                      <w:sz w:val="24"/>
                      <w:szCs w:val="24"/>
                      <w:lang w:val="lv-LV"/>
                    </w:rPr>
                    <w:t xml:space="preserve">, kā arī Finanšu sektora attīstības plāna izpildi. Vienlaikus Finanšu ministrija ir atbildīgā institūcija par </w:t>
                  </w:r>
                  <w:r w:rsidR="00BB0021" w:rsidRPr="00D337F0">
                    <w:rPr>
                      <w:rFonts w:ascii="Times New Roman" w:hAnsi="Times New Roman" w:cs="Times New Roman"/>
                      <w:color w:val="000000"/>
                      <w:sz w:val="24"/>
                      <w:szCs w:val="24"/>
                      <w:lang w:val="lv-LV"/>
                    </w:rPr>
                    <w:t>Pasākumu plāna</w:t>
                  </w:r>
                  <w:r w:rsidR="005F0490">
                    <w:rPr>
                      <w:rFonts w:ascii="Times New Roman" w:hAnsi="Times New Roman" w:cs="Times New Roman"/>
                      <w:color w:val="000000"/>
                      <w:sz w:val="24"/>
                      <w:szCs w:val="24"/>
                      <w:lang w:val="lv-LV"/>
                    </w:rPr>
                    <w:t xml:space="preserve"> </w:t>
                  </w:r>
                  <w:r w:rsidR="005F0490" w:rsidRPr="004919A8">
                    <w:rPr>
                      <w:rFonts w:ascii="Times New Roman" w:hAnsi="Times New Roman" w:cs="Times New Roman"/>
                      <w:color w:val="000000"/>
                      <w:sz w:val="24"/>
                      <w:szCs w:val="24"/>
                      <w:lang w:val="lv-LV"/>
                    </w:rPr>
                    <w:t>noziedzīgi iegūtu līdzekļu legalizācijas un terorisma finansēšanas risku ierobežošanai</w:t>
                  </w:r>
                  <w:r w:rsidR="00BB0021" w:rsidRPr="005F0490">
                    <w:rPr>
                      <w:rFonts w:ascii="Times New Roman" w:hAnsi="Times New Roman" w:cs="Times New Roman"/>
                      <w:color w:val="000000"/>
                      <w:sz w:val="24"/>
                      <w:szCs w:val="24"/>
                      <w:lang w:val="lv-LV"/>
                    </w:rPr>
                    <w:t xml:space="preserve"> uzdevumu</w:t>
                  </w:r>
                  <w:r w:rsidR="00AB166F">
                    <w:rPr>
                      <w:rFonts w:ascii="Times New Roman" w:hAnsi="Times New Roman" w:cs="Times New Roman"/>
                      <w:color w:val="000000"/>
                      <w:sz w:val="24"/>
                      <w:szCs w:val="24"/>
                      <w:lang w:val="lv-LV"/>
                    </w:rPr>
                    <w:t xml:space="preserve"> izpildes koordinēšanu</w:t>
                  </w:r>
                  <w:r w:rsidR="00BB0021" w:rsidRPr="00D337F0">
                    <w:rPr>
                      <w:rFonts w:ascii="Times New Roman" w:hAnsi="Times New Roman" w:cs="Times New Roman"/>
                      <w:color w:val="000000"/>
                      <w:sz w:val="24"/>
                      <w:szCs w:val="24"/>
                      <w:lang w:val="lv-LV"/>
                    </w:rPr>
                    <w:t>.</w:t>
                  </w:r>
                </w:p>
                <w:p w14:paraId="31236A4A" w14:textId="77777777" w:rsidR="00BB0021" w:rsidRDefault="00BB0021" w:rsidP="003F28E3">
                  <w:pPr>
                    <w:autoSpaceDE w:val="0"/>
                    <w:autoSpaceDN w:val="0"/>
                    <w:adjustRightInd w:val="0"/>
                    <w:spacing w:before="80" w:after="80" w:line="240" w:lineRule="auto"/>
                    <w:jc w:val="both"/>
                    <w:rPr>
                      <w:rFonts w:ascii="Times New Roman" w:hAnsi="Times New Roman" w:cs="Times New Roman"/>
                      <w:sz w:val="24"/>
                      <w:szCs w:val="24"/>
                      <w:shd w:val="clear" w:color="auto" w:fill="FFFFFF"/>
                      <w:lang w:val="lv-LV"/>
                    </w:rPr>
                  </w:pPr>
                </w:p>
                <w:p w14:paraId="36B161F0" w14:textId="225FF772" w:rsidR="00792DCE" w:rsidRDefault="00A47C1D" w:rsidP="003F28E3">
                  <w:pPr>
                    <w:autoSpaceDE w:val="0"/>
                    <w:autoSpaceDN w:val="0"/>
                    <w:adjustRightInd w:val="0"/>
                    <w:spacing w:before="80" w:after="80" w:line="240" w:lineRule="auto"/>
                    <w:jc w:val="both"/>
                    <w:rPr>
                      <w:rFonts w:ascii="Times New Roman" w:hAnsi="Times New Roman" w:cs="Times New Roman"/>
                      <w:sz w:val="24"/>
                      <w:szCs w:val="24"/>
                      <w:lang w:val="lv-LV"/>
                    </w:rPr>
                  </w:pPr>
                  <w:r>
                    <w:rPr>
                      <w:rFonts w:ascii="Times New Roman" w:hAnsi="Times New Roman" w:cs="Times New Roman"/>
                      <w:sz w:val="24"/>
                      <w:szCs w:val="24"/>
                      <w:shd w:val="clear" w:color="auto" w:fill="FFFFFF"/>
                      <w:lang w:val="lv-LV"/>
                    </w:rPr>
                    <w:t>Ņemot vērā minēto,</w:t>
                  </w:r>
                  <w:r w:rsidR="00D505BD" w:rsidRPr="00D505BD">
                    <w:rPr>
                      <w:rFonts w:ascii="Times New Roman" w:hAnsi="Times New Roman" w:cs="Times New Roman"/>
                      <w:sz w:val="24"/>
                      <w:szCs w:val="24"/>
                      <w:shd w:val="clear" w:color="auto" w:fill="FFFFFF"/>
                      <w:lang w:val="lv-LV"/>
                    </w:rPr>
                    <w:t xml:space="preserve"> </w:t>
                  </w:r>
                  <w:r w:rsidR="00D505BD" w:rsidRPr="00D505BD">
                    <w:rPr>
                      <w:rFonts w:ascii="Times New Roman" w:hAnsi="Times New Roman" w:cs="Times New Roman"/>
                      <w:bCs/>
                      <w:sz w:val="24"/>
                      <w:szCs w:val="24"/>
                      <w:lang w:val="lv-LV"/>
                    </w:rPr>
                    <w:t>padomes</w:t>
                  </w:r>
                  <w:r w:rsidR="00D505BD" w:rsidRPr="00D505BD">
                    <w:rPr>
                      <w:rFonts w:ascii="Times New Roman" w:hAnsi="Times New Roman" w:cs="Times New Roman"/>
                      <w:sz w:val="24"/>
                      <w:szCs w:val="24"/>
                      <w:shd w:val="clear" w:color="auto" w:fill="FFFFFF"/>
                      <w:lang w:val="lv-LV"/>
                    </w:rPr>
                    <w:t xml:space="preserve"> </w:t>
                  </w:r>
                  <w:r w:rsidR="00D505BD" w:rsidRPr="00D505BD">
                    <w:rPr>
                      <w:rFonts w:ascii="Times New Roman" w:hAnsi="Times New Roman" w:cs="Times New Roman"/>
                      <w:sz w:val="24"/>
                      <w:szCs w:val="24"/>
                      <w:lang w:val="lv-LV"/>
                    </w:rPr>
                    <w:t>darba organizācij</w:t>
                  </w:r>
                  <w:r w:rsidR="00D505BD">
                    <w:rPr>
                      <w:rFonts w:ascii="Times New Roman" w:hAnsi="Times New Roman" w:cs="Times New Roman"/>
                      <w:sz w:val="24"/>
                      <w:szCs w:val="24"/>
                      <w:lang w:val="lv-LV"/>
                    </w:rPr>
                    <w:t>a</w:t>
                  </w:r>
                  <w:r w:rsidR="00D505BD" w:rsidRPr="00D505BD">
                    <w:rPr>
                      <w:rFonts w:ascii="Times New Roman" w:hAnsi="Times New Roman" w:cs="Times New Roman"/>
                      <w:sz w:val="24"/>
                      <w:szCs w:val="24"/>
                      <w:lang w:val="lv-LV"/>
                    </w:rPr>
                    <w:t xml:space="preserve"> un sekretariāta </w:t>
                  </w:r>
                  <w:r w:rsidR="00D505BD">
                    <w:rPr>
                      <w:rFonts w:ascii="Times New Roman" w:hAnsi="Times New Roman" w:cs="Times New Roman"/>
                      <w:sz w:val="24"/>
                      <w:szCs w:val="24"/>
                      <w:lang w:val="lv-LV"/>
                    </w:rPr>
                    <w:t>funkcija būtu nododama</w:t>
                  </w:r>
                  <w:r w:rsidR="00D505BD" w:rsidRPr="00D505BD">
                    <w:rPr>
                      <w:rFonts w:ascii="Times New Roman" w:hAnsi="Times New Roman" w:cs="Times New Roman"/>
                      <w:sz w:val="24"/>
                      <w:szCs w:val="24"/>
                      <w:lang w:val="lv-LV"/>
                    </w:rPr>
                    <w:t xml:space="preserve"> Finanšu ministrijai</w:t>
                  </w:r>
                  <w:r>
                    <w:rPr>
                      <w:rFonts w:ascii="Times New Roman" w:hAnsi="Times New Roman" w:cs="Times New Roman"/>
                      <w:sz w:val="24"/>
                      <w:szCs w:val="24"/>
                      <w:lang w:val="lv-LV"/>
                    </w:rPr>
                    <w:t xml:space="preserve">, kura </w:t>
                  </w:r>
                  <w:r>
                    <w:rPr>
                      <w:rFonts w:ascii="Times New Roman" w:hAnsi="Times New Roman" w:cs="Times New Roman"/>
                      <w:sz w:val="24"/>
                      <w:szCs w:val="24"/>
                      <w:lang w:val="lv-LV"/>
                    </w:rPr>
                    <w:lastRenderedPageBreak/>
                    <w:t>ir atbildīga gan par šīs</w:t>
                  </w:r>
                  <w:r w:rsidR="00AF6D0E">
                    <w:rPr>
                      <w:rFonts w:ascii="Times New Roman" w:hAnsi="Times New Roman" w:cs="Times New Roman"/>
                      <w:sz w:val="24"/>
                      <w:szCs w:val="24"/>
                      <w:lang w:val="lv-LV"/>
                    </w:rPr>
                    <w:t xml:space="preserve"> jomas politiku, gan praktisko un materiāl</w:t>
                  </w:r>
                  <w:r>
                    <w:rPr>
                      <w:rFonts w:ascii="Times New Roman" w:hAnsi="Times New Roman" w:cs="Times New Roman"/>
                      <w:sz w:val="24"/>
                      <w:szCs w:val="24"/>
                      <w:lang w:val="lv-LV"/>
                    </w:rPr>
                    <w:t>tehnisko realizāciju.</w:t>
                  </w:r>
                </w:p>
                <w:p w14:paraId="08E77B1A" w14:textId="6B955C5E" w:rsidR="000E79A0" w:rsidRDefault="000E79A0" w:rsidP="003F28E3">
                  <w:pPr>
                    <w:autoSpaceDE w:val="0"/>
                    <w:autoSpaceDN w:val="0"/>
                    <w:adjustRightInd w:val="0"/>
                    <w:spacing w:before="80" w:after="80" w:line="240" w:lineRule="auto"/>
                    <w:jc w:val="both"/>
                    <w:rPr>
                      <w:rFonts w:ascii="Times New Roman" w:hAnsi="Times New Roman" w:cs="Times New Roman"/>
                      <w:sz w:val="24"/>
                      <w:szCs w:val="24"/>
                      <w:lang w:val="lv-LV"/>
                    </w:rPr>
                  </w:pPr>
                </w:p>
                <w:p w14:paraId="08E7B136" w14:textId="7FA4C02A" w:rsidR="000E79A0" w:rsidRDefault="003A13D4" w:rsidP="003F28E3">
                  <w:pPr>
                    <w:autoSpaceDE w:val="0"/>
                    <w:autoSpaceDN w:val="0"/>
                    <w:adjustRightInd w:val="0"/>
                    <w:spacing w:before="80" w:after="8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Lai efektīvāk sasniegtu padomes darbības mērķi </w:t>
                  </w:r>
                  <w:r w:rsidRPr="003A13D4">
                    <w:rPr>
                      <w:rFonts w:ascii="Times New Roman" w:hAnsi="Times New Roman" w:cs="Times New Roman"/>
                      <w:sz w:val="24"/>
                      <w:szCs w:val="24"/>
                      <w:lang w:val="lv-LV"/>
                    </w:rPr>
                    <w:t>saskaņot un pilnveidot valsts institūciju un privātā sektora sadarbību finanšu sektora</w:t>
                  </w:r>
                  <w:r>
                    <w:rPr>
                      <w:rFonts w:ascii="Times New Roman" w:hAnsi="Times New Roman" w:cs="Times New Roman"/>
                      <w:sz w:val="24"/>
                      <w:szCs w:val="24"/>
                      <w:lang w:val="lv-LV"/>
                    </w:rPr>
                    <w:t xml:space="preserve"> attīstības veicināšanā, kā arī </w:t>
                  </w:r>
                  <w:r w:rsidRPr="003A13D4">
                    <w:rPr>
                      <w:rFonts w:ascii="Times New Roman" w:hAnsi="Times New Roman" w:cs="Times New Roman"/>
                      <w:sz w:val="24"/>
                      <w:szCs w:val="24"/>
                      <w:lang w:val="lv-LV"/>
                    </w:rPr>
                    <w:t>īstenot Noziedzīgi iegūtu līdzekļu legalizācijas un terorisma finansēšanas novērš</w:t>
                  </w:r>
                  <w:r>
                    <w:rPr>
                      <w:rFonts w:ascii="Times New Roman" w:hAnsi="Times New Roman" w:cs="Times New Roman"/>
                      <w:sz w:val="24"/>
                      <w:szCs w:val="24"/>
                      <w:lang w:val="lv-LV"/>
                    </w:rPr>
                    <w:t>anas likumā noteiktos uzdevumus, p</w:t>
                  </w:r>
                  <w:r w:rsidR="000E79A0" w:rsidRPr="000E79A0">
                    <w:rPr>
                      <w:rFonts w:ascii="Times New Roman" w:hAnsi="Times New Roman" w:cs="Times New Roman"/>
                      <w:sz w:val="24"/>
                      <w:szCs w:val="24"/>
                      <w:lang w:val="lv-LV"/>
                    </w:rPr>
                    <w:t xml:space="preserve">adomes funkcijas tiek paplašinātas, nosakot, ka padomes funkcija ir koordinēt valsts institūciju un privātā sektora sadarbību finanšu sektora attīstības, tajā skaitā Finanšu sektora attīstības plāna izpildes, veicināšanā, kā arī koordinēt valsts institūciju un privātā sektora sadarbību noziedzīgi iegūtu līdzekļu legalizācijas un terorisma finansēšanas novēršanā, tajā skaitā valsts noteiktajā noziedzīgi iegūtu līdzekļu legalizācijas un terorisma finansēšanas novēršanas politikā un stratēģijā norādīto mērķu sasniegšanu. </w:t>
                  </w:r>
                </w:p>
                <w:p w14:paraId="125AF958" w14:textId="77777777" w:rsidR="003A13D4" w:rsidRDefault="003A13D4" w:rsidP="003F28E3">
                  <w:pPr>
                    <w:autoSpaceDE w:val="0"/>
                    <w:autoSpaceDN w:val="0"/>
                    <w:adjustRightInd w:val="0"/>
                    <w:spacing w:before="80" w:after="80" w:line="240" w:lineRule="auto"/>
                    <w:jc w:val="both"/>
                    <w:rPr>
                      <w:rFonts w:ascii="Times New Roman" w:hAnsi="Times New Roman" w:cs="Times New Roman"/>
                      <w:sz w:val="24"/>
                      <w:szCs w:val="24"/>
                      <w:lang w:val="lv-LV"/>
                    </w:rPr>
                  </w:pPr>
                </w:p>
                <w:p w14:paraId="5C05699F" w14:textId="293CD3C3" w:rsidR="000E79A0" w:rsidRPr="00D505BD" w:rsidRDefault="003A13D4" w:rsidP="003F28E3">
                  <w:pPr>
                    <w:autoSpaceDE w:val="0"/>
                    <w:autoSpaceDN w:val="0"/>
                    <w:adjustRightInd w:val="0"/>
                    <w:spacing w:before="80" w:after="80" w:line="240" w:lineRule="auto"/>
                    <w:jc w:val="both"/>
                    <w:rPr>
                      <w:rFonts w:ascii="Times New Roman" w:hAnsi="Times New Roman" w:cs="Times New Roman"/>
                      <w:sz w:val="24"/>
                      <w:szCs w:val="24"/>
                      <w:lang w:val="lv-LV"/>
                    </w:rPr>
                  </w:pPr>
                  <w:r w:rsidRPr="003A13D4">
                    <w:rPr>
                      <w:rFonts w:ascii="Times New Roman" w:hAnsi="Times New Roman" w:cs="Times New Roman"/>
                      <w:sz w:val="24"/>
                      <w:szCs w:val="24"/>
                      <w:lang w:val="lv-LV"/>
                    </w:rPr>
                    <w:t>Lai efektīvāk sasniegtu padomes darbības mērķi saskaņot un pilnveidot valsts institūciju un privātā sektora sadarbību finanšu sektora attīstības veicināšanā, kā arī īstenot Noziedzīgi iegūtu līdzekļu legalizācijas un terorisma finansēšanas novēršanas likumā noteiktos uzdevumus</w:t>
                  </w:r>
                  <w:r>
                    <w:rPr>
                      <w:rFonts w:ascii="Times New Roman" w:hAnsi="Times New Roman" w:cs="Times New Roman"/>
                      <w:sz w:val="24"/>
                      <w:szCs w:val="24"/>
                      <w:lang w:val="lv-LV"/>
                    </w:rPr>
                    <w:t>,</w:t>
                  </w:r>
                  <w:r w:rsidR="000E79A0" w:rsidRPr="000E79A0">
                    <w:rPr>
                      <w:rFonts w:ascii="Times New Roman" w:hAnsi="Times New Roman" w:cs="Times New Roman"/>
                      <w:sz w:val="24"/>
                      <w:szCs w:val="24"/>
                      <w:lang w:val="lv-LV"/>
                    </w:rPr>
                    <w:t xml:space="preserve"> tiek precizēti arī padomes uzdevumi, nosakot, ka padomes uzdevums ir izvērtēt finanšu sektora attīstību, tajā skaitā finanšu sektora attīstības plāna īstenošanu. Kā arī tiek izslēgts uzdevums padomei izstrādāt darba plānu, nosakot valsts prioritātes finanšu sektora attīstības veicināšanā un noziedzīgi iegūtu līdzekļu legalizācijas un terorisma finansēšanas novēršanā un šī plāna pārskatīšana, jo valsts prioritātes noteiktas Ministru kabineta apstiprinātajā Finanšu sektora attīstības plānā un uz nacionālā noziedzīgi iegūtu līdzekļu legalizācijas un terorisma finansēšanas riska novērtējuma pamata izstrādātajā pasākumu plāna noziedzīgi iegūtu līdzekļu legalizācijas un terorisma finansēšanas risku ierobežošanai.</w:t>
                  </w:r>
                </w:p>
                <w:p w14:paraId="60F9D3CB" w14:textId="77777777" w:rsidR="0073188C" w:rsidRDefault="0073188C" w:rsidP="003F28E3">
                  <w:pPr>
                    <w:autoSpaceDE w:val="0"/>
                    <w:autoSpaceDN w:val="0"/>
                    <w:adjustRightInd w:val="0"/>
                    <w:spacing w:before="80" w:after="80" w:line="240" w:lineRule="auto"/>
                    <w:jc w:val="both"/>
                    <w:rPr>
                      <w:rFonts w:ascii="Times New Roman" w:eastAsia="Calibri" w:hAnsi="Times New Roman" w:cs="Times New Roman"/>
                      <w:bCs/>
                      <w:color w:val="000000"/>
                      <w:sz w:val="24"/>
                      <w:szCs w:val="24"/>
                      <w:lang w:val="lv-LV" w:eastAsia="lv-LV"/>
                    </w:rPr>
                  </w:pPr>
                </w:p>
                <w:p w14:paraId="6B3EF414" w14:textId="60974EFB" w:rsidR="008F6EF3" w:rsidRDefault="00E21B40" w:rsidP="003F28E3">
                  <w:pPr>
                    <w:autoSpaceDE w:val="0"/>
                    <w:autoSpaceDN w:val="0"/>
                    <w:adjustRightInd w:val="0"/>
                    <w:spacing w:before="80" w:after="80" w:line="240" w:lineRule="auto"/>
                    <w:jc w:val="both"/>
                    <w:rPr>
                      <w:rFonts w:ascii="Times New Roman" w:hAnsi="Times New Roman" w:cs="Times New Roman"/>
                      <w:sz w:val="24"/>
                      <w:szCs w:val="24"/>
                      <w:lang w:val="lv-LV"/>
                    </w:rPr>
                  </w:pPr>
                  <w:r>
                    <w:rPr>
                      <w:rFonts w:ascii="Times New Roman" w:hAnsi="Times New Roman" w:cs="Times New Roman"/>
                      <w:bCs/>
                      <w:sz w:val="24"/>
                      <w:szCs w:val="24"/>
                      <w:lang w:val="lv-LV"/>
                    </w:rPr>
                    <w:t xml:space="preserve">Ņemot vērā </w:t>
                  </w:r>
                  <w:r w:rsidR="002532E7">
                    <w:rPr>
                      <w:rFonts w:ascii="Times New Roman" w:hAnsi="Times New Roman" w:cs="Times New Roman"/>
                      <w:bCs/>
                      <w:sz w:val="24"/>
                      <w:szCs w:val="24"/>
                      <w:lang w:val="lv-LV"/>
                    </w:rPr>
                    <w:t>2016.gada 4.martā reģistrētās b</w:t>
                  </w:r>
                  <w:r w:rsidRPr="004919A8">
                    <w:rPr>
                      <w:rFonts w:ascii="Times New Roman" w:hAnsi="Times New Roman" w:cs="Times New Roman"/>
                      <w:bCs/>
                      <w:sz w:val="24"/>
                      <w:szCs w:val="24"/>
                      <w:lang w:val="lv-LV"/>
                    </w:rPr>
                    <w:t xml:space="preserve">iedrības "Latvijas Maksājumu pakalpojumu un elektroniskās naudas iestāžu asociācija" (turpmāk tekstā – Asociācija) </w:t>
                  </w:r>
                  <w:r w:rsidRPr="004919A8">
                    <w:rPr>
                      <w:rFonts w:ascii="Times New Roman" w:hAnsi="Times New Roman" w:cs="Times New Roman"/>
                      <w:sz w:val="24"/>
                      <w:szCs w:val="24"/>
                      <w:lang w:val="lv-LV"/>
                    </w:rPr>
                    <w:t>2016.gada 20.jūnija vēstuli Nr. 2016/3 "Par Finanšu sektora attīstības padomi", kurā izteikts lūgums i</w:t>
                  </w:r>
                  <w:r w:rsidRPr="004919A8">
                    <w:rPr>
                      <w:rFonts w:ascii="Times New Roman" w:hAnsi="Times New Roman" w:cs="Times New Roman"/>
                      <w:bCs/>
                      <w:sz w:val="24"/>
                      <w:szCs w:val="24"/>
                      <w:lang w:val="lv-LV"/>
                    </w:rPr>
                    <w:t xml:space="preserve">ekļaut Asociāciju Finanšu sektora </w:t>
                  </w:r>
                  <w:r>
                    <w:rPr>
                      <w:rFonts w:ascii="Times New Roman" w:hAnsi="Times New Roman" w:cs="Times New Roman"/>
                      <w:bCs/>
                      <w:sz w:val="24"/>
                      <w:szCs w:val="24"/>
                      <w:lang w:val="lv-LV"/>
                    </w:rPr>
                    <w:t xml:space="preserve"> attīstības padomē, kā arī ņemot vērā  </w:t>
                  </w:r>
                  <w:r w:rsidRPr="001B6B22">
                    <w:rPr>
                      <w:rFonts w:ascii="Times New Roman" w:hAnsi="Times New Roman" w:cs="Times New Roman"/>
                      <w:sz w:val="24"/>
                      <w:szCs w:val="24"/>
                      <w:lang w:val="lv-LV"/>
                    </w:rPr>
                    <w:t>Finanšu sektora attīstības padomes</w:t>
                  </w:r>
                  <w:r w:rsidR="0042459C">
                    <w:rPr>
                      <w:rFonts w:ascii="Times New Roman" w:hAnsi="Times New Roman" w:cs="Times New Roman"/>
                      <w:sz w:val="24"/>
                      <w:szCs w:val="24"/>
                      <w:lang w:val="lv-LV"/>
                    </w:rPr>
                    <w:t xml:space="preserve"> 2017. gada 2.</w:t>
                  </w:r>
                  <w:r>
                    <w:rPr>
                      <w:rFonts w:ascii="Times New Roman" w:hAnsi="Times New Roman" w:cs="Times New Roman"/>
                      <w:sz w:val="24"/>
                      <w:szCs w:val="24"/>
                      <w:lang w:val="lv-LV"/>
                    </w:rPr>
                    <w:t xml:space="preserve">maija sēdē </w:t>
                  </w:r>
                  <w:r w:rsidR="00C2742A">
                    <w:rPr>
                      <w:rFonts w:ascii="Times New Roman" w:hAnsi="Times New Roman" w:cs="Times New Roman"/>
                      <w:sz w:val="24"/>
                      <w:szCs w:val="24"/>
                      <w:lang w:val="lv-LV"/>
                    </w:rPr>
                    <w:t xml:space="preserve">pieņemto </w:t>
                  </w:r>
                  <w:r>
                    <w:rPr>
                      <w:rFonts w:ascii="Times New Roman" w:hAnsi="Times New Roman" w:cs="Times New Roman"/>
                      <w:sz w:val="24"/>
                      <w:szCs w:val="24"/>
                      <w:lang w:val="lv-LV"/>
                    </w:rPr>
                    <w:t>l</w:t>
                  </w:r>
                  <w:r w:rsidR="00C2742A">
                    <w:rPr>
                      <w:rFonts w:ascii="Times New Roman" w:hAnsi="Times New Roman" w:cs="Times New Roman"/>
                      <w:sz w:val="24"/>
                      <w:szCs w:val="24"/>
                      <w:lang w:val="lv-LV"/>
                    </w:rPr>
                    <w:t>ēmumu</w:t>
                  </w:r>
                  <w:r w:rsidR="00D07807">
                    <w:rPr>
                      <w:rFonts w:ascii="Times New Roman" w:hAnsi="Times New Roman" w:cs="Times New Roman"/>
                      <w:sz w:val="24"/>
                      <w:szCs w:val="24"/>
                      <w:lang w:val="lv-LV"/>
                    </w:rPr>
                    <w:t>,</w:t>
                  </w:r>
                  <w:r w:rsidR="00C2742A">
                    <w:rPr>
                      <w:rFonts w:ascii="Times New Roman" w:hAnsi="Times New Roman" w:cs="Times New Roman"/>
                      <w:sz w:val="24"/>
                      <w:szCs w:val="24"/>
                      <w:lang w:val="lv-LV"/>
                    </w:rPr>
                    <w:t xml:space="preserve"> </w:t>
                  </w:r>
                  <w:r w:rsidRPr="004919A8">
                    <w:rPr>
                      <w:rFonts w:ascii="Times New Roman" w:hAnsi="Times New Roman" w:cs="Times New Roman"/>
                      <w:bCs/>
                      <w:sz w:val="24"/>
                      <w:szCs w:val="24"/>
                      <w:lang w:val="lv-LV"/>
                    </w:rPr>
                    <w:t xml:space="preserve">"Latvijas Maksājumu pakalpojumu un elektroniskās naudas iestāžu asociācija" </w:t>
                  </w:r>
                  <w:r w:rsidRPr="004919A8">
                    <w:rPr>
                      <w:rFonts w:ascii="Times New Roman" w:hAnsi="Times New Roman" w:cs="Times New Roman"/>
                      <w:sz w:val="24"/>
                      <w:szCs w:val="24"/>
                      <w:lang w:val="lv-LV"/>
                    </w:rPr>
                    <w:t>iekļaujama F</w:t>
                  </w:r>
                  <w:r>
                    <w:rPr>
                      <w:rFonts w:ascii="Times New Roman" w:hAnsi="Times New Roman" w:cs="Times New Roman"/>
                      <w:sz w:val="24"/>
                      <w:szCs w:val="24"/>
                      <w:lang w:val="lv-LV"/>
                    </w:rPr>
                    <w:t xml:space="preserve">inanšu sektora attīstības padomes sastāvā. </w:t>
                  </w:r>
                </w:p>
                <w:p w14:paraId="067A5109" w14:textId="612252CC" w:rsidR="00D07807" w:rsidRPr="004919A8" w:rsidRDefault="00D07807" w:rsidP="003F28E3">
                  <w:pPr>
                    <w:autoSpaceDE w:val="0"/>
                    <w:autoSpaceDN w:val="0"/>
                    <w:adjustRightInd w:val="0"/>
                    <w:spacing w:before="80" w:after="8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w:t>
                  </w:r>
                  <w:r w:rsidR="005E0977" w:rsidRPr="005E0977">
                    <w:rPr>
                      <w:rFonts w:ascii="Times New Roman" w:hAnsi="Times New Roman" w:cs="Times New Roman"/>
                      <w:sz w:val="24"/>
                      <w:szCs w:val="24"/>
                      <w:lang w:val="lv-LV"/>
                    </w:rPr>
                    <w:t>Latvijas Alternatīvo finanšu pakalpojumu asociācija</w:t>
                  </w:r>
                  <w:r>
                    <w:rPr>
                      <w:rFonts w:ascii="Times New Roman" w:hAnsi="Times New Roman" w:cs="Times New Roman"/>
                      <w:sz w:val="24"/>
                      <w:szCs w:val="24"/>
                      <w:lang w:val="lv-LV"/>
                    </w:rPr>
                    <w:t>”</w:t>
                  </w:r>
                  <w:r w:rsidR="005E0977" w:rsidRPr="005E0977">
                    <w:rPr>
                      <w:rFonts w:ascii="Times New Roman" w:hAnsi="Times New Roman" w:cs="Times New Roman"/>
                      <w:sz w:val="24"/>
                      <w:szCs w:val="24"/>
                      <w:lang w:val="lv-LV"/>
                    </w:rPr>
                    <w:t xml:space="preserve"> apvieno ārpus banku sektora esošus uzņēmumus, kas iedzīvotājiem Latvijā sniedz finanšu pakalpojumus.</w:t>
                  </w:r>
                  <w:r w:rsidR="00BE0B33">
                    <w:rPr>
                      <w:rFonts w:ascii="Times New Roman" w:hAnsi="Times New Roman" w:cs="Times New Roman"/>
                      <w:sz w:val="24"/>
                      <w:szCs w:val="24"/>
                      <w:lang w:val="lv-LV"/>
                    </w:rPr>
                    <w:t xml:space="preserve"> </w:t>
                  </w:r>
                  <w:r w:rsidR="005E0977" w:rsidRPr="005E0977">
                    <w:rPr>
                      <w:rFonts w:ascii="Times New Roman" w:hAnsi="Times New Roman" w:cs="Times New Roman"/>
                      <w:sz w:val="24"/>
                      <w:szCs w:val="24"/>
                      <w:lang w:val="lv-LV"/>
                    </w:rPr>
                    <w:t>Asociācijas misija ir veidot uzticamu, atbildīgu un uz ilgtermiņa sadarbību vērstu nozares praksi, ko pozitīvi vērtē patērētāji un tirgu uzraugošās institūcijas, vienlaikus respektējot alternatīvo finanšu pakalpojumu sniegtās iespējas ikviena indivīda un sabiedrības brīvai un n</w:t>
                  </w:r>
                  <w:r w:rsidR="005E0977">
                    <w:rPr>
                      <w:rFonts w:ascii="Times New Roman" w:hAnsi="Times New Roman" w:cs="Times New Roman"/>
                      <w:sz w:val="24"/>
                      <w:szCs w:val="24"/>
                      <w:lang w:val="lv-LV"/>
                    </w:rPr>
                    <w:t>odrošinātai attīstībai.</w:t>
                  </w:r>
                  <w:r w:rsidR="00BE0B33">
                    <w:rPr>
                      <w:rFonts w:ascii="Times New Roman" w:hAnsi="Times New Roman" w:cs="Times New Roman"/>
                      <w:sz w:val="24"/>
                      <w:szCs w:val="24"/>
                      <w:lang w:val="lv-LV"/>
                    </w:rPr>
                    <w:t xml:space="preserve"> </w:t>
                  </w:r>
                  <w:r w:rsidR="005E0977" w:rsidRPr="005E0977">
                    <w:rPr>
                      <w:rFonts w:ascii="Times New Roman" w:hAnsi="Times New Roman" w:cs="Times New Roman"/>
                      <w:sz w:val="24"/>
                      <w:szCs w:val="24"/>
                      <w:lang w:val="lv-LV"/>
                    </w:rPr>
                    <w:t>Asociācija pārstāv nebanku kredītdevējus, kuri izsniedz tiešsaistes patēriņa kredītus, hipotekāros kredītus un kredītus pret kustamu ķīlu. Tāpat starp asociācijas biedriem ir savstarpējo aizdevumu platformas</w:t>
                  </w:r>
                  <w:r>
                    <w:rPr>
                      <w:rFonts w:ascii="Times New Roman" w:hAnsi="Times New Roman" w:cs="Times New Roman"/>
                      <w:sz w:val="24"/>
                      <w:szCs w:val="24"/>
                      <w:lang w:val="lv-LV"/>
                    </w:rPr>
                    <w:t>.</w:t>
                  </w:r>
                  <w:r w:rsidR="00BE0B33">
                    <w:rPr>
                      <w:rFonts w:ascii="Times New Roman" w:hAnsi="Times New Roman" w:cs="Times New Roman"/>
                      <w:sz w:val="24"/>
                      <w:szCs w:val="24"/>
                      <w:lang w:val="lv-LV"/>
                    </w:rPr>
                    <w:t xml:space="preserve"> </w:t>
                  </w:r>
                  <w:r>
                    <w:rPr>
                      <w:rFonts w:ascii="Times New Roman" w:hAnsi="Times New Roman" w:cs="Times New Roman"/>
                      <w:sz w:val="24"/>
                      <w:szCs w:val="24"/>
                      <w:lang w:val="lv-LV"/>
                    </w:rPr>
                    <w:t>Ņemot vērā “</w:t>
                  </w:r>
                  <w:r w:rsidRPr="00D07807">
                    <w:rPr>
                      <w:rFonts w:ascii="Times New Roman" w:hAnsi="Times New Roman" w:cs="Times New Roman"/>
                      <w:sz w:val="24"/>
                      <w:szCs w:val="24"/>
                      <w:lang w:val="lv-LV"/>
                    </w:rPr>
                    <w:t>Latvijas Alternatīvo finanšu pakalpojumu asociācija</w:t>
                  </w:r>
                  <w:r>
                    <w:rPr>
                      <w:rFonts w:ascii="Times New Roman" w:hAnsi="Times New Roman" w:cs="Times New Roman"/>
                      <w:sz w:val="24"/>
                      <w:szCs w:val="24"/>
                      <w:lang w:val="lv-LV"/>
                    </w:rPr>
                    <w:t xml:space="preserve">s” 2016.gada 5.februāra vēstuli </w:t>
                  </w:r>
                  <w:r w:rsidR="002532E7">
                    <w:rPr>
                      <w:rFonts w:ascii="Times New Roman" w:hAnsi="Times New Roman" w:cs="Times New Roman"/>
                      <w:sz w:val="24"/>
                      <w:szCs w:val="24"/>
                      <w:lang w:val="lv-LV"/>
                    </w:rPr>
                    <w:t>Nr IZ-16/6 Latvijas Republikas M</w:t>
                  </w:r>
                  <w:r w:rsidR="00FD2267">
                    <w:rPr>
                      <w:rFonts w:ascii="Times New Roman" w:hAnsi="Times New Roman" w:cs="Times New Roman"/>
                      <w:sz w:val="24"/>
                      <w:szCs w:val="24"/>
                      <w:lang w:val="lv-LV"/>
                    </w:rPr>
                    <w:t>inistru prezidentam</w:t>
                  </w:r>
                  <w:r>
                    <w:rPr>
                      <w:rFonts w:ascii="Times New Roman" w:hAnsi="Times New Roman" w:cs="Times New Roman"/>
                      <w:sz w:val="24"/>
                      <w:szCs w:val="24"/>
                      <w:lang w:val="lv-LV"/>
                    </w:rPr>
                    <w:t xml:space="preserve"> un Valsts kancelejas direktoram, kurā izteikts lūgums iekļaut asociācijas pārstāvjus darba grupās un padomēs, kurās skata jautājumus par finanšu pakalpojumu tirgu un tā attīstību, </w:t>
                  </w:r>
                  <w:r w:rsidR="00365DE6" w:rsidRPr="00365DE6">
                    <w:rPr>
                      <w:rFonts w:ascii="Times New Roman" w:hAnsi="Times New Roman" w:cs="Times New Roman"/>
                      <w:sz w:val="24"/>
                      <w:szCs w:val="24"/>
                      <w:lang w:val="lv-LV"/>
                    </w:rPr>
                    <w:t>“Latvijas Alternatīvo</w:t>
                  </w:r>
                  <w:r w:rsidR="00365DE6">
                    <w:rPr>
                      <w:rFonts w:ascii="Times New Roman" w:hAnsi="Times New Roman" w:cs="Times New Roman"/>
                      <w:sz w:val="24"/>
                      <w:szCs w:val="24"/>
                      <w:lang w:val="lv-LV"/>
                    </w:rPr>
                    <w:t xml:space="preserve"> finanšu pakalpojumu asociācija</w:t>
                  </w:r>
                  <w:r w:rsidR="00365DE6" w:rsidRPr="00365DE6">
                    <w:rPr>
                      <w:rFonts w:ascii="Times New Roman" w:hAnsi="Times New Roman" w:cs="Times New Roman"/>
                      <w:sz w:val="24"/>
                      <w:szCs w:val="24"/>
                      <w:lang w:val="lv-LV"/>
                    </w:rPr>
                    <w:t>”</w:t>
                  </w:r>
                  <w:r w:rsidR="00365DE6">
                    <w:rPr>
                      <w:rFonts w:ascii="Times New Roman" w:hAnsi="Times New Roman" w:cs="Times New Roman"/>
                      <w:sz w:val="24"/>
                      <w:szCs w:val="24"/>
                      <w:lang w:val="lv-LV"/>
                    </w:rPr>
                    <w:t xml:space="preserve"> ir </w:t>
                  </w:r>
                  <w:r w:rsidR="00365DE6" w:rsidRPr="00365DE6">
                    <w:rPr>
                      <w:rFonts w:ascii="Times New Roman" w:hAnsi="Times New Roman" w:cs="Times New Roman"/>
                      <w:sz w:val="24"/>
                      <w:szCs w:val="24"/>
                      <w:lang w:val="lv-LV"/>
                    </w:rPr>
                    <w:t>iekļaujama Finanšu sektora attīstības padomes sastāvā.</w:t>
                  </w:r>
                </w:p>
                <w:p w14:paraId="5A40EAC5" w14:textId="4B507DD0" w:rsidR="00FD2267" w:rsidRPr="00DE6BEB" w:rsidRDefault="00E21B40" w:rsidP="003F28E3">
                  <w:pPr>
                    <w:autoSpaceDE w:val="0"/>
                    <w:autoSpaceDN w:val="0"/>
                    <w:adjustRightInd w:val="0"/>
                    <w:spacing w:before="80" w:after="80" w:line="240" w:lineRule="auto"/>
                    <w:jc w:val="both"/>
                    <w:rPr>
                      <w:rFonts w:ascii="Times New Roman" w:hAnsi="Times New Roman" w:cs="Times New Roman"/>
                      <w:sz w:val="24"/>
                      <w:szCs w:val="24"/>
                      <w:lang w:val="lv-LV"/>
                    </w:rPr>
                  </w:pPr>
                  <w:r w:rsidRPr="004919A8">
                    <w:rPr>
                      <w:rFonts w:ascii="Times New Roman" w:hAnsi="Times New Roman" w:cs="Times New Roman"/>
                      <w:sz w:val="24"/>
                      <w:szCs w:val="24"/>
                      <w:lang w:val="lv-LV"/>
                    </w:rPr>
                    <w:t>V</w:t>
                  </w:r>
                  <w:r w:rsidRPr="00E21B40">
                    <w:rPr>
                      <w:rFonts w:ascii="Times New Roman" w:hAnsi="Times New Roman" w:cs="Times New Roman"/>
                      <w:sz w:val="24"/>
                      <w:szCs w:val="24"/>
                      <w:lang w:val="lv-LV"/>
                    </w:rPr>
                    <w:t xml:space="preserve">ienlaikus no </w:t>
                  </w:r>
                  <w:r>
                    <w:rPr>
                      <w:rFonts w:ascii="Times New Roman" w:hAnsi="Times New Roman" w:cs="Times New Roman"/>
                      <w:sz w:val="24"/>
                      <w:szCs w:val="24"/>
                      <w:lang w:val="lv-LV"/>
                    </w:rPr>
                    <w:t>padomes sastāva</w:t>
                  </w:r>
                  <w:r w:rsidR="006C3D65">
                    <w:rPr>
                      <w:rFonts w:ascii="Times New Roman" w:hAnsi="Times New Roman" w:cs="Times New Roman"/>
                      <w:sz w:val="24"/>
                      <w:szCs w:val="24"/>
                      <w:lang w:val="lv-LV"/>
                    </w:rPr>
                    <w:t xml:space="preserve"> tiek i</w:t>
                  </w:r>
                  <w:r w:rsidRPr="004919A8">
                    <w:rPr>
                      <w:rFonts w:ascii="Times New Roman" w:hAnsi="Times New Roman" w:cs="Times New Roman"/>
                      <w:sz w:val="24"/>
                      <w:szCs w:val="24"/>
                      <w:lang w:val="lv-LV"/>
                    </w:rPr>
                    <w:t>zslē</w:t>
                  </w:r>
                  <w:r w:rsidR="006C3D65">
                    <w:rPr>
                      <w:rFonts w:ascii="Times New Roman" w:hAnsi="Times New Roman" w:cs="Times New Roman"/>
                      <w:sz w:val="24"/>
                      <w:szCs w:val="24"/>
                      <w:lang w:val="lv-LV"/>
                    </w:rPr>
                    <w:t>gta</w:t>
                  </w:r>
                  <w:r w:rsidRPr="00D5589B">
                    <w:rPr>
                      <w:rFonts w:ascii="Times New Roman" w:hAnsi="Times New Roman" w:cs="Times New Roman"/>
                      <w:bCs/>
                      <w:color w:val="000000"/>
                      <w:sz w:val="24"/>
                      <w:szCs w:val="24"/>
                      <w:lang w:val="lv-LV"/>
                    </w:rPr>
                    <w:t xml:space="preserve"> Latvijas Privātbanku asociācija</w:t>
                  </w:r>
                  <w:r>
                    <w:rPr>
                      <w:rFonts w:ascii="Times New Roman" w:hAnsi="Times New Roman" w:cs="Times New Roman"/>
                      <w:bCs/>
                      <w:color w:val="000000"/>
                      <w:sz w:val="24"/>
                      <w:szCs w:val="24"/>
                      <w:lang w:val="lv-LV"/>
                    </w:rPr>
                    <w:t xml:space="preserve"> un </w:t>
                  </w:r>
                  <w:r w:rsidRPr="002F6CCE">
                    <w:rPr>
                      <w:rFonts w:ascii="Times New Roman" w:hAnsi="Times New Roman" w:cs="Times New Roman"/>
                      <w:bCs/>
                      <w:color w:val="000000"/>
                      <w:sz w:val="24"/>
                      <w:szCs w:val="24"/>
                      <w:lang w:val="lv-LV"/>
                    </w:rPr>
                    <w:t>Latvijas Vērtspapīru tirgus profesionālo dalībnieku asociācija</w:t>
                  </w:r>
                  <w:r w:rsidRPr="004919A8">
                    <w:rPr>
                      <w:rFonts w:ascii="Times New Roman" w:hAnsi="Times New Roman" w:cs="Times New Roman"/>
                      <w:sz w:val="24"/>
                      <w:szCs w:val="24"/>
                      <w:lang w:val="lv-LV"/>
                    </w:rPr>
                    <w:t xml:space="preserve">, jo 2016. gadā </w:t>
                  </w:r>
                  <w:r>
                    <w:rPr>
                      <w:rFonts w:ascii="Times New Roman" w:hAnsi="Times New Roman" w:cs="Times New Roman"/>
                      <w:sz w:val="24"/>
                      <w:szCs w:val="24"/>
                      <w:lang w:val="lv-LV"/>
                    </w:rPr>
                    <w:t xml:space="preserve">to </w:t>
                  </w:r>
                  <w:r w:rsidRPr="00E21B40">
                    <w:rPr>
                      <w:rFonts w:ascii="Times New Roman" w:hAnsi="Times New Roman" w:cs="Times New Roman"/>
                      <w:sz w:val="24"/>
                      <w:szCs w:val="24"/>
                      <w:lang w:val="lv-LV"/>
                    </w:rPr>
                    <w:t>darbīb</w:t>
                  </w:r>
                  <w:r>
                    <w:rPr>
                      <w:rFonts w:ascii="Times New Roman" w:hAnsi="Times New Roman" w:cs="Times New Roman"/>
                      <w:sz w:val="24"/>
                      <w:szCs w:val="24"/>
                      <w:lang w:val="lv-LV"/>
                    </w:rPr>
                    <w:t>a tika</w:t>
                  </w:r>
                  <w:r w:rsidRPr="00E21B40">
                    <w:rPr>
                      <w:rFonts w:ascii="Times New Roman" w:hAnsi="Times New Roman" w:cs="Times New Roman"/>
                      <w:sz w:val="24"/>
                      <w:szCs w:val="24"/>
                      <w:lang w:val="lv-LV"/>
                    </w:rPr>
                    <w:t xml:space="preserve"> izbei</w:t>
                  </w:r>
                  <w:r>
                    <w:rPr>
                      <w:rFonts w:ascii="Times New Roman" w:hAnsi="Times New Roman" w:cs="Times New Roman"/>
                      <w:sz w:val="24"/>
                      <w:szCs w:val="24"/>
                      <w:lang w:val="lv-LV"/>
                    </w:rPr>
                    <w:t>gt</w:t>
                  </w:r>
                  <w:r w:rsidRPr="004919A8">
                    <w:rPr>
                      <w:rFonts w:ascii="Times New Roman" w:hAnsi="Times New Roman" w:cs="Times New Roman"/>
                      <w:sz w:val="24"/>
                      <w:szCs w:val="24"/>
                      <w:lang w:val="lv-LV"/>
                    </w:rPr>
                    <w:t>a</w:t>
                  </w:r>
                  <w:r>
                    <w:rPr>
                      <w:rFonts w:ascii="Times New Roman" w:hAnsi="Times New Roman" w:cs="Times New Roman"/>
                      <w:sz w:val="24"/>
                      <w:szCs w:val="24"/>
                      <w:lang w:val="lv-LV"/>
                    </w:rPr>
                    <w:t>.</w:t>
                  </w:r>
                </w:p>
              </w:tc>
            </w:tr>
            <w:tr w:rsidR="00666303" w:rsidRPr="00FC1025" w14:paraId="46EA7C7D" w14:textId="77777777" w:rsidTr="00AF234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52EEF1E" w14:textId="77777777" w:rsidR="00666303" w:rsidRPr="00BA345A" w:rsidRDefault="00666303" w:rsidP="003F28E3">
                  <w:pPr>
                    <w:spacing w:before="80" w:after="80" w:line="240" w:lineRule="auto"/>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4980F7E"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6D208519" w14:textId="77777777" w:rsidR="00666303" w:rsidRDefault="00001EE9" w:rsidP="003F28E3">
                  <w:pPr>
                    <w:autoSpaceDE w:val="0"/>
                    <w:autoSpaceDN w:val="0"/>
                    <w:adjustRightInd w:val="0"/>
                    <w:spacing w:before="80" w:after="80" w:line="240" w:lineRule="auto"/>
                    <w:jc w:val="both"/>
                    <w:rPr>
                      <w:rFonts w:ascii="Times New Roman" w:hAnsi="Times New Roman" w:cs="Times New Roman"/>
                      <w:color w:val="000000" w:themeColor="text1"/>
                      <w:sz w:val="24"/>
                      <w:szCs w:val="24"/>
                      <w:shd w:val="clear" w:color="auto" w:fill="FFFFFF"/>
                      <w:lang w:val="lv-LV"/>
                    </w:rPr>
                  </w:pPr>
                  <w:r w:rsidRPr="00355B11">
                    <w:rPr>
                      <w:rFonts w:ascii="Times New Roman" w:hAnsi="Times New Roman" w:cs="Times New Roman"/>
                      <w:color w:val="000000" w:themeColor="text1"/>
                      <w:sz w:val="24"/>
                      <w:szCs w:val="24"/>
                      <w:shd w:val="clear" w:color="auto" w:fill="FFFFFF"/>
                      <w:lang w:val="lv-LV"/>
                    </w:rPr>
                    <w:t>Finanšu ministrija</w:t>
                  </w:r>
                  <w:r w:rsidR="003F2B20" w:rsidRPr="00355B11">
                    <w:rPr>
                      <w:rFonts w:ascii="Times New Roman" w:hAnsi="Times New Roman" w:cs="Times New Roman"/>
                      <w:color w:val="000000" w:themeColor="text1"/>
                      <w:sz w:val="24"/>
                      <w:szCs w:val="24"/>
                      <w:shd w:val="clear" w:color="auto" w:fill="FFFFFF"/>
                      <w:lang w:val="lv-LV"/>
                    </w:rPr>
                    <w:t xml:space="preserve"> Finanšu un kapitāla tirgus komisija</w:t>
                  </w:r>
                  <w:r w:rsidR="003F2B20">
                    <w:rPr>
                      <w:rFonts w:ascii="Times New Roman" w:hAnsi="Times New Roman" w:cs="Times New Roman"/>
                      <w:color w:val="000000" w:themeColor="text1"/>
                      <w:sz w:val="24"/>
                      <w:szCs w:val="24"/>
                      <w:shd w:val="clear" w:color="auto" w:fill="FFFFFF"/>
                      <w:lang w:val="lv-LV"/>
                    </w:rPr>
                    <w:t>, Latvijas Banka</w:t>
                  </w:r>
                </w:p>
                <w:p w14:paraId="28971417" w14:textId="57A05111" w:rsidR="00EC60F8" w:rsidRPr="00BA345A" w:rsidRDefault="00EC60F8" w:rsidP="003F28E3">
                  <w:pPr>
                    <w:autoSpaceDE w:val="0"/>
                    <w:autoSpaceDN w:val="0"/>
                    <w:adjustRightInd w:val="0"/>
                    <w:spacing w:before="80" w:after="80" w:line="240" w:lineRule="auto"/>
                    <w:jc w:val="both"/>
                    <w:rPr>
                      <w:rFonts w:ascii="Times New Roman" w:eastAsia="Times New Roman" w:hAnsi="Times New Roman" w:cs="Times New Roman"/>
                      <w:color w:val="000000" w:themeColor="text1"/>
                      <w:sz w:val="24"/>
                      <w:szCs w:val="24"/>
                      <w:lang w:val="lv-LV" w:eastAsia="lv-LV"/>
                    </w:rPr>
                  </w:pPr>
                </w:p>
              </w:tc>
            </w:tr>
            <w:tr w:rsidR="00666303" w:rsidRPr="00053728" w14:paraId="65DAE38C" w14:textId="77777777" w:rsidTr="00AF234B">
              <w:tc>
                <w:tcPr>
                  <w:tcW w:w="250" w:type="pct"/>
                  <w:tcBorders>
                    <w:top w:val="outset" w:sz="6" w:space="0" w:color="414142"/>
                    <w:left w:val="outset" w:sz="6" w:space="0" w:color="414142"/>
                    <w:bottom w:val="outset" w:sz="6" w:space="0" w:color="414142"/>
                    <w:right w:val="outset" w:sz="6" w:space="0" w:color="414142"/>
                  </w:tcBorders>
                  <w:hideMark/>
                </w:tcPr>
                <w:p w14:paraId="2CB6A1DA" w14:textId="77777777" w:rsidR="00666303" w:rsidRPr="00BA345A" w:rsidRDefault="00666303" w:rsidP="003F28E3">
                  <w:pPr>
                    <w:spacing w:before="80" w:after="80" w:line="240" w:lineRule="auto"/>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56BE4E2"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39F141C" w14:textId="77777777" w:rsidR="00666303" w:rsidRDefault="00001EE9" w:rsidP="003F28E3">
                  <w:pPr>
                    <w:autoSpaceDE w:val="0"/>
                    <w:autoSpaceDN w:val="0"/>
                    <w:adjustRightInd w:val="0"/>
                    <w:spacing w:before="80" w:after="80" w:line="240" w:lineRule="auto"/>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Nav</w:t>
                  </w:r>
                </w:p>
                <w:p w14:paraId="4738B740" w14:textId="77777777" w:rsidR="00EC60F8" w:rsidRPr="00BA345A" w:rsidRDefault="00EC60F8" w:rsidP="003F28E3">
                  <w:pPr>
                    <w:autoSpaceDE w:val="0"/>
                    <w:autoSpaceDN w:val="0"/>
                    <w:adjustRightInd w:val="0"/>
                    <w:spacing w:before="80" w:after="80" w:line="240" w:lineRule="auto"/>
                    <w:jc w:val="both"/>
                    <w:rPr>
                      <w:rFonts w:ascii="Times New Roman" w:eastAsia="Times New Roman" w:hAnsi="Times New Roman" w:cs="Times New Roman"/>
                      <w:color w:val="000000" w:themeColor="text1"/>
                      <w:sz w:val="24"/>
                      <w:szCs w:val="24"/>
                      <w:lang w:val="lv-LV" w:eastAsia="lv-LV"/>
                    </w:rPr>
                  </w:pPr>
                </w:p>
              </w:tc>
            </w:tr>
          </w:tbl>
          <w:tbl>
            <w:tblPr>
              <w:tblpPr w:leftFromText="180" w:rightFromText="180" w:vertAnchor="text" w:horzAnchor="margin" w:tblpY="560"/>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52"/>
              <w:gridCol w:w="5887"/>
            </w:tblGrid>
            <w:tr w:rsidR="00666303" w:rsidRPr="00053728" w14:paraId="6BD2BE65" w14:textId="77777777" w:rsidTr="00314D8F">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584EC6" w14:textId="77777777" w:rsidR="00666303" w:rsidRPr="00BA345A" w:rsidRDefault="00666303" w:rsidP="003F28E3">
                  <w:pPr>
                    <w:spacing w:before="80" w:after="80" w:line="240" w:lineRule="auto"/>
                    <w:jc w:val="center"/>
                    <w:rPr>
                      <w:rFonts w:ascii="Times New Roman" w:eastAsia="Times New Roman" w:hAnsi="Times New Roman" w:cs="Times New Roman"/>
                      <w:b/>
                      <w:bCs/>
                      <w:color w:val="000000" w:themeColor="text1"/>
                      <w:sz w:val="24"/>
                      <w:szCs w:val="24"/>
                      <w:lang w:val="lv-LV" w:eastAsia="lv-LV"/>
                    </w:rPr>
                  </w:pPr>
                  <w:r w:rsidRPr="00BA345A">
                    <w:rPr>
                      <w:rFonts w:ascii="Times New Roman" w:eastAsia="Times New Roman" w:hAnsi="Times New Roman" w:cs="Times New Roman"/>
                      <w:b/>
                      <w:bCs/>
                      <w:color w:val="000000" w:themeColor="text1"/>
                      <w:sz w:val="24"/>
                      <w:szCs w:val="24"/>
                      <w:lang w:val="lv-LV" w:eastAsia="lv-LV"/>
                    </w:rPr>
                    <w:t>II. Tiesību akta projekta ietekme uz sabiedrību, tautsaimniecības attīstību un administratīvo slogu</w:t>
                  </w:r>
                </w:p>
              </w:tc>
            </w:tr>
            <w:tr w:rsidR="00666303" w:rsidRPr="00652500" w14:paraId="074908AB" w14:textId="77777777" w:rsidTr="00314D8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EDF18F0" w14:textId="77777777" w:rsidR="00666303" w:rsidRPr="00BA345A" w:rsidRDefault="00666303" w:rsidP="003F28E3">
                  <w:pPr>
                    <w:spacing w:before="80" w:after="80" w:line="240" w:lineRule="auto"/>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FCC6690"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F875EB3" w14:textId="77777777" w:rsidR="00666303" w:rsidRPr="00D81793" w:rsidRDefault="002F0528" w:rsidP="003F28E3">
                  <w:pPr>
                    <w:spacing w:before="80" w:after="80" w:line="240" w:lineRule="auto"/>
                    <w:jc w:val="both"/>
                    <w:rPr>
                      <w:rFonts w:ascii="Times New Roman" w:eastAsia="Times New Roman" w:hAnsi="Times New Roman" w:cs="Times New Roman"/>
                      <w:color w:val="000000" w:themeColor="text1"/>
                      <w:sz w:val="24"/>
                      <w:szCs w:val="24"/>
                      <w:lang w:val="lv-LV" w:eastAsia="lv-LV"/>
                    </w:rPr>
                  </w:pPr>
                  <w:r w:rsidRPr="00D81793">
                    <w:rPr>
                      <w:rFonts w:ascii="Times New Roman" w:hAnsi="Times New Roman" w:cs="Times New Roman"/>
                      <w:color w:val="000000" w:themeColor="text1"/>
                      <w:sz w:val="24"/>
                      <w:szCs w:val="24"/>
                      <w:shd w:val="clear" w:color="auto" w:fill="FFFFFF"/>
                      <w:lang w:val="lv-LV"/>
                    </w:rPr>
                    <w:t>Finanšu ministrija</w:t>
                  </w:r>
                </w:p>
              </w:tc>
            </w:tr>
            <w:tr w:rsidR="00666303" w:rsidRPr="00BA345A" w14:paraId="14C82316" w14:textId="77777777" w:rsidTr="00314D8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7DE438B" w14:textId="77777777" w:rsidR="00666303" w:rsidRPr="00BA345A" w:rsidRDefault="00666303" w:rsidP="003F28E3">
                  <w:pPr>
                    <w:spacing w:before="80" w:after="80" w:line="240" w:lineRule="auto"/>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4D1E08C"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2A0256A" w14:textId="086F096C" w:rsidR="00666303" w:rsidRPr="00D81793" w:rsidRDefault="00D30FA2" w:rsidP="003F28E3">
                  <w:pPr>
                    <w:spacing w:before="80" w:after="80" w:line="240" w:lineRule="auto"/>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Ministru kabineta noteikumu </w:t>
                  </w:r>
                  <w:r w:rsidR="004719A2" w:rsidRPr="00D81793">
                    <w:rPr>
                      <w:rFonts w:ascii="Times New Roman" w:eastAsia="Times New Roman" w:hAnsi="Times New Roman" w:cs="Times New Roman"/>
                      <w:color w:val="000000" w:themeColor="text1"/>
                      <w:sz w:val="24"/>
                      <w:szCs w:val="24"/>
                      <w:lang w:val="lv-LV" w:eastAsia="lv-LV"/>
                    </w:rPr>
                    <w:t>projekts nerada administratīvo slogu.</w:t>
                  </w:r>
                </w:p>
              </w:tc>
            </w:tr>
            <w:tr w:rsidR="00666303" w:rsidRPr="000E709C" w14:paraId="48C25E16" w14:textId="77777777" w:rsidTr="00314D8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CF6B2B8" w14:textId="77777777" w:rsidR="00666303" w:rsidRPr="00BA345A" w:rsidRDefault="00666303" w:rsidP="003F28E3">
                  <w:pPr>
                    <w:spacing w:before="80" w:after="80" w:line="240" w:lineRule="auto"/>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7F3331BA"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A07BA8F" w14:textId="7F35C468" w:rsidR="00666303" w:rsidRPr="00DB4BBC" w:rsidRDefault="00D30FA2"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D30FA2">
                    <w:rPr>
                      <w:rFonts w:ascii="Times New Roman" w:eastAsia="Times New Roman" w:hAnsi="Times New Roman" w:cs="Times New Roman"/>
                      <w:color w:val="000000" w:themeColor="text1"/>
                      <w:sz w:val="24"/>
                      <w:szCs w:val="24"/>
                      <w:lang w:val="lv-LV" w:eastAsia="lv-LV"/>
                    </w:rPr>
                    <w:t>Mini</w:t>
                  </w:r>
                  <w:r>
                    <w:rPr>
                      <w:rFonts w:ascii="Times New Roman" w:eastAsia="Times New Roman" w:hAnsi="Times New Roman" w:cs="Times New Roman"/>
                      <w:color w:val="000000" w:themeColor="text1"/>
                      <w:sz w:val="24"/>
                      <w:szCs w:val="24"/>
                      <w:lang w:val="lv-LV" w:eastAsia="lv-LV"/>
                    </w:rPr>
                    <w:t>stru kabineta noteikumu projektam</w:t>
                  </w:r>
                  <w:r w:rsidRPr="00D30FA2">
                    <w:rPr>
                      <w:rFonts w:ascii="Times New Roman" w:eastAsia="Times New Roman" w:hAnsi="Times New Roman" w:cs="Times New Roman"/>
                      <w:color w:val="000000" w:themeColor="text1"/>
                      <w:sz w:val="24"/>
                      <w:szCs w:val="24"/>
                      <w:lang w:val="lv-LV" w:eastAsia="lv-LV"/>
                    </w:rPr>
                    <w:t xml:space="preserve"> </w:t>
                  </w:r>
                  <w:r w:rsidR="000E709C">
                    <w:rPr>
                      <w:rFonts w:ascii="Times New Roman" w:eastAsia="Times New Roman" w:hAnsi="Times New Roman" w:cs="Times New Roman"/>
                      <w:color w:val="000000" w:themeColor="text1"/>
                      <w:sz w:val="24"/>
                      <w:szCs w:val="24"/>
                      <w:lang w:val="lv-LV" w:eastAsia="lv-LV"/>
                    </w:rPr>
                    <w:t xml:space="preserve">nav ietekmes uz administratīvajām izmaksām. </w:t>
                  </w:r>
                </w:p>
                <w:p w14:paraId="458CE1E1"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p>
              </w:tc>
            </w:tr>
            <w:tr w:rsidR="00666303" w:rsidRPr="000E709C" w14:paraId="0D2226E9" w14:textId="77777777" w:rsidTr="00314D8F">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3A05AAA" w14:textId="77777777" w:rsidR="00666303" w:rsidRPr="00BA345A" w:rsidRDefault="00666303" w:rsidP="003F28E3">
                  <w:pPr>
                    <w:spacing w:before="80" w:after="80" w:line="240" w:lineRule="auto"/>
                    <w:jc w:val="center"/>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19C32272"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8D32BBF" w14:textId="77777777" w:rsidR="00666303"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DB4BBC">
                    <w:rPr>
                      <w:rFonts w:ascii="Times New Roman" w:eastAsia="Times New Roman" w:hAnsi="Times New Roman" w:cs="Times New Roman"/>
                      <w:color w:val="000000" w:themeColor="text1"/>
                      <w:sz w:val="24"/>
                      <w:szCs w:val="24"/>
                      <w:lang w:val="lv-LV" w:eastAsia="lv-LV"/>
                    </w:rPr>
                    <w:t xml:space="preserve">Nav </w:t>
                  </w:r>
                </w:p>
                <w:p w14:paraId="6E0D3E76" w14:textId="77777777" w:rsidR="00EC60F8" w:rsidRPr="00DB4BBC" w:rsidRDefault="00EC60F8" w:rsidP="003F28E3">
                  <w:pPr>
                    <w:spacing w:before="80" w:after="80" w:line="240" w:lineRule="auto"/>
                    <w:rPr>
                      <w:rFonts w:ascii="Times New Roman" w:eastAsia="Times New Roman" w:hAnsi="Times New Roman" w:cs="Times New Roman"/>
                      <w:color w:val="000000" w:themeColor="text1"/>
                      <w:sz w:val="24"/>
                      <w:szCs w:val="24"/>
                      <w:lang w:val="lv-LV" w:eastAsia="lv-LV"/>
                    </w:rPr>
                  </w:pPr>
                </w:p>
              </w:tc>
            </w:tr>
          </w:tbl>
          <w:p w14:paraId="02311D4A" w14:textId="77777777" w:rsidR="00314D8F" w:rsidRDefault="00314D8F" w:rsidP="003F28E3">
            <w:pPr>
              <w:spacing w:before="80" w:after="80" w:line="240" w:lineRule="auto"/>
              <w:rPr>
                <w:rFonts w:ascii="Arial" w:eastAsia="Times New Roman" w:hAnsi="Arial" w:cs="Arial"/>
                <w:color w:val="000000" w:themeColor="text1"/>
                <w:sz w:val="24"/>
                <w:szCs w:val="24"/>
                <w:lang w:val="lv-LV" w:eastAsia="lv-LV"/>
              </w:rPr>
            </w:pPr>
          </w:p>
          <w:p w14:paraId="313D3F81" w14:textId="77777777" w:rsidR="00314D8F" w:rsidRPr="00BA345A" w:rsidRDefault="00314D8F" w:rsidP="003F28E3">
            <w:pPr>
              <w:spacing w:before="80" w:after="80" w:line="240" w:lineRule="auto"/>
              <w:ind w:firstLine="272"/>
              <w:rPr>
                <w:rFonts w:ascii="Arial" w:eastAsia="Times New Roman" w:hAnsi="Arial" w:cs="Arial"/>
                <w:color w:val="000000" w:themeColor="text1"/>
                <w:sz w:val="24"/>
                <w:szCs w:val="24"/>
                <w:lang w:val="lv-LV" w:eastAsia="lv-LV"/>
              </w:rPr>
            </w:pPr>
          </w:p>
          <w:tbl>
            <w:tblPr>
              <w:tblpPr w:leftFromText="180" w:rightFromText="180" w:vertAnchor="text" w:horzAnchor="margin" w:tblpY="-237"/>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99"/>
            </w:tblGrid>
            <w:tr w:rsidR="00666303" w:rsidRPr="003F2B20" w14:paraId="5459F28F" w14:textId="77777777" w:rsidTr="00F8491B">
              <w:trPr>
                <w:trHeight w:val="36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561469" w14:textId="77777777" w:rsidR="00666303" w:rsidRPr="00BA345A" w:rsidRDefault="00666303" w:rsidP="003F28E3">
                  <w:pPr>
                    <w:spacing w:before="80" w:after="80" w:line="240" w:lineRule="auto"/>
                    <w:jc w:val="center"/>
                    <w:rPr>
                      <w:rFonts w:ascii="Times New Roman" w:eastAsia="Times New Roman" w:hAnsi="Times New Roman" w:cs="Times New Roman"/>
                      <w:b/>
                      <w:bCs/>
                      <w:color w:val="000000" w:themeColor="text1"/>
                      <w:sz w:val="24"/>
                      <w:szCs w:val="24"/>
                      <w:lang w:val="lv-LV" w:eastAsia="lv-LV"/>
                    </w:rPr>
                  </w:pPr>
                  <w:r w:rsidRPr="00BA345A">
                    <w:rPr>
                      <w:rFonts w:ascii="Times New Roman" w:eastAsia="Times New Roman" w:hAnsi="Times New Roman" w:cs="Times New Roman"/>
                      <w:b/>
                      <w:bCs/>
                      <w:color w:val="000000" w:themeColor="text1"/>
                      <w:sz w:val="24"/>
                      <w:szCs w:val="24"/>
                      <w:lang w:val="lv-LV" w:eastAsia="lv-LV"/>
                    </w:rPr>
                    <w:t>III. Tiesību akta projekta ietekme uz valsts budžetu un pašvaldību budžetiem</w:t>
                  </w:r>
                </w:p>
              </w:tc>
            </w:tr>
            <w:tr w:rsidR="00666303" w:rsidRPr="00BA345A" w14:paraId="3F8E4BBE" w14:textId="77777777" w:rsidTr="00F8491B">
              <w:trPr>
                <w:trHeight w:val="36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42135B" w14:textId="77777777" w:rsidR="00666303" w:rsidRDefault="00666303" w:rsidP="003F28E3">
                  <w:pPr>
                    <w:spacing w:before="80" w:after="80" w:line="240" w:lineRule="auto"/>
                    <w:jc w:val="center"/>
                    <w:rPr>
                      <w:rFonts w:ascii="Times New Roman" w:eastAsia="Times New Roman" w:hAnsi="Times New Roman" w:cs="Times New Roman"/>
                      <w:i/>
                      <w:color w:val="000000" w:themeColor="text1"/>
                      <w:sz w:val="24"/>
                      <w:szCs w:val="24"/>
                      <w:lang w:val="lv-LV" w:eastAsia="lv-LV"/>
                    </w:rPr>
                  </w:pPr>
                  <w:r w:rsidRPr="00BA345A">
                    <w:rPr>
                      <w:rFonts w:ascii="Times New Roman" w:eastAsia="Times New Roman" w:hAnsi="Times New Roman" w:cs="Times New Roman"/>
                      <w:i/>
                      <w:color w:val="000000" w:themeColor="text1"/>
                      <w:sz w:val="24"/>
                      <w:szCs w:val="24"/>
                      <w:lang w:val="lv-LV" w:eastAsia="lv-LV"/>
                    </w:rPr>
                    <w:t>Projekts šo jomu neskar</w:t>
                  </w:r>
                </w:p>
                <w:p w14:paraId="19BB3FE1" w14:textId="77777777" w:rsidR="00EC60F8" w:rsidRPr="00BA345A" w:rsidRDefault="00EC60F8" w:rsidP="003F28E3">
                  <w:pPr>
                    <w:spacing w:before="80" w:after="80" w:line="240" w:lineRule="auto"/>
                    <w:jc w:val="center"/>
                    <w:rPr>
                      <w:rFonts w:ascii="Times New Roman" w:eastAsia="Times New Roman" w:hAnsi="Times New Roman" w:cs="Times New Roman"/>
                      <w:i/>
                      <w:color w:val="000000" w:themeColor="text1"/>
                      <w:sz w:val="24"/>
                      <w:szCs w:val="24"/>
                      <w:lang w:val="lv-LV" w:eastAsia="lv-LV"/>
                    </w:rPr>
                  </w:pPr>
                </w:p>
              </w:tc>
            </w:tr>
          </w:tbl>
          <w:tbl>
            <w:tblPr>
              <w:tblpPr w:leftFromText="180" w:rightFromText="180" w:vertAnchor="text" w:horzAnchor="margin" w:tblpY="-276"/>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99"/>
            </w:tblGrid>
            <w:tr w:rsidR="00666303" w:rsidRPr="00BA345A" w14:paraId="0343EAAB" w14:textId="77777777" w:rsidTr="00F8491B">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0FC89EB" w14:textId="77777777" w:rsidR="00666303" w:rsidRPr="00BA345A" w:rsidRDefault="00666303" w:rsidP="003F28E3">
                  <w:pPr>
                    <w:spacing w:before="80" w:after="80" w:line="240" w:lineRule="auto"/>
                    <w:jc w:val="center"/>
                    <w:rPr>
                      <w:rFonts w:ascii="Times New Roman" w:eastAsia="Times New Roman" w:hAnsi="Times New Roman" w:cs="Times New Roman"/>
                      <w:b/>
                      <w:bCs/>
                      <w:color w:val="000000" w:themeColor="text1"/>
                      <w:sz w:val="24"/>
                      <w:szCs w:val="24"/>
                      <w:lang w:val="lv-LV" w:eastAsia="lv-LV"/>
                    </w:rPr>
                  </w:pPr>
                  <w:r w:rsidRPr="00BA345A">
                    <w:rPr>
                      <w:rFonts w:ascii="Times New Roman" w:eastAsia="Times New Roman" w:hAnsi="Times New Roman" w:cs="Times New Roman"/>
                      <w:b/>
                      <w:bCs/>
                      <w:color w:val="000000" w:themeColor="text1"/>
                      <w:sz w:val="24"/>
                      <w:szCs w:val="24"/>
                      <w:lang w:val="lv-LV" w:eastAsia="lv-LV"/>
                    </w:rPr>
                    <w:t>IV. Tiesību akta projekta ietekme uz spēkā esošo tiesību normu sistēmu</w:t>
                  </w:r>
                </w:p>
              </w:tc>
            </w:tr>
            <w:tr w:rsidR="00666303" w:rsidRPr="00BA345A" w14:paraId="749E876C" w14:textId="77777777" w:rsidTr="00F8491B">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9ED6326" w14:textId="77777777" w:rsidR="00666303" w:rsidRDefault="00666303" w:rsidP="003F28E3">
                  <w:pPr>
                    <w:spacing w:before="80" w:after="80" w:line="240" w:lineRule="auto"/>
                    <w:jc w:val="center"/>
                    <w:rPr>
                      <w:rFonts w:ascii="Times New Roman" w:eastAsia="Times New Roman" w:hAnsi="Times New Roman" w:cs="Times New Roman"/>
                      <w:i/>
                      <w:color w:val="000000" w:themeColor="text1"/>
                      <w:sz w:val="24"/>
                      <w:szCs w:val="24"/>
                      <w:lang w:val="lv-LV" w:eastAsia="lv-LV"/>
                    </w:rPr>
                  </w:pPr>
                  <w:r w:rsidRPr="00BA345A">
                    <w:rPr>
                      <w:rFonts w:ascii="Times New Roman" w:eastAsia="Times New Roman" w:hAnsi="Times New Roman" w:cs="Times New Roman"/>
                      <w:i/>
                      <w:color w:val="000000" w:themeColor="text1"/>
                      <w:sz w:val="24"/>
                      <w:szCs w:val="24"/>
                      <w:lang w:val="lv-LV" w:eastAsia="lv-LV"/>
                    </w:rPr>
                    <w:t>Projekts šo jomu neskar</w:t>
                  </w:r>
                </w:p>
                <w:p w14:paraId="5F8E63FB" w14:textId="77777777" w:rsidR="00EC60F8" w:rsidRPr="00BA345A" w:rsidRDefault="00EC60F8" w:rsidP="003F28E3">
                  <w:pPr>
                    <w:spacing w:before="80" w:after="80" w:line="240" w:lineRule="auto"/>
                    <w:jc w:val="center"/>
                    <w:rPr>
                      <w:rFonts w:ascii="Times New Roman" w:eastAsia="Times New Roman" w:hAnsi="Times New Roman" w:cs="Times New Roman"/>
                      <w:b/>
                      <w:bCs/>
                      <w:color w:val="000000" w:themeColor="text1"/>
                      <w:sz w:val="24"/>
                      <w:szCs w:val="24"/>
                      <w:lang w:val="lv-LV" w:eastAsia="lv-LV"/>
                    </w:rPr>
                  </w:pPr>
                </w:p>
              </w:tc>
            </w:tr>
          </w:tbl>
          <w:tbl>
            <w:tblPr>
              <w:tblpPr w:leftFromText="180" w:rightFromText="180" w:vertAnchor="text" w:horzAnchor="margin" w:tblpY="-292"/>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99"/>
            </w:tblGrid>
            <w:tr w:rsidR="00666303" w:rsidRPr="00BA345A" w14:paraId="1C9E0ED2" w14:textId="77777777" w:rsidTr="00F8491B">
              <w:tc>
                <w:tcPr>
                  <w:tcW w:w="5000" w:type="pct"/>
                  <w:tcBorders>
                    <w:top w:val="outset" w:sz="6" w:space="0" w:color="414142"/>
                    <w:left w:val="outset" w:sz="6" w:space="0" w:color="414142"/>
                    <w:bottom w:val="outset" w:sz="6" w:space="0" w:color="414142"/>
                    <w:right w:val="outset" w:sz="6" w:space="0" w:color="414142"/>
                  </w:tcBorders>
                  <w:vAlign w:val="center"/>
                  <w:hideMark/>
                </w:tcPr>
                <w:p w14:paraId="00BE3904" w14:textId="77777777" w:rsidR="00666303" w:rsidRPr="00BA345A" w:rsidRDefault="00666303" w:rsidP="003F28E3">
                  <w:pPr>
                    <w:spacing w:before="80" w:after="80" w:line="240" w:lineRule="auto"/>
                    <w:jc w:val="center"/>
                    <w:rPr>
                      <w:rFonts w:ascii="Times New Roman" w:eastAsia="Times New Roman" w:hAnsi="Times New Roman" w:cs="Times New Roman"/>
                      <w:b/>
                      <w:bCs/>
                      <w:color w:val="000000" w:themeColor="text1"/>
                      <w:sz w:val="24"/>
                      <w:szCs w:val="24"/>
                      <w:lang w:val="lv-LV" w:eastAsia="lv-LV"/>
                    </w:rPr>
                  </w:pPr>
                  <w:r w:rsidRPr="00BA345A">
                    <w:rPr>
                      <w:rFonts w:ascii="Times New Roman" w:eastAsia="Times New Roman" w:hAnsi="Times New Roman" w:cs="Times New Roman"/>
                      <w:b/>
                      <w:bCs/>
                      <w:color w:val="000000" w:themeColor="text1"/>
                      <w:sz w:val="24"/>
                      <w:szCs w:val="24"/>
                      <w:lang w:val="lv-LV" w:eastAsia="lv-LV"/>
                    </w:rPr>
                    <w:t>V. Tiesību akta projekta atbilstība Latvijas Republikas starptautiskajām saistībām</w:t>
                  </w:r>
                </w:p>
              </w:tc>
            </w:tr>
            <w:tr w:rsidR="00FC1025" w:rsidRPr="00711F98" w14:paraId="4EEE5462" w14:textId="77777777" w:rsidTr="00FC1025">
              <w:tc>
                <w:tcPr>
                  <w:tcW w:w="5000" w:type="pct"/>
                  <w:tcBorders>
                    <w:top w:val="outset" w:sz="6" w:space="0" w:color="414142"/>
                    <w:left w:val="outset" w:sz="6" w:space="0" w:color="414142"/>
                    <w:bottom w:val="outset" w:sz="6" w:space="0" w:color="414142"/>
                    <w:right w:val="outset" w:sz="6" w:space="0" w:color="414142"/>
                  </w:tcBorders>
                </w:tcPr>
                <w:p w14:paraId="76AB42E3" w14:textId="77777777" w:rsidR="00FC1025" w:rsidRPr="00DB4BBC" w:rsidRDefault="00FC1025" w:rsidP="003F28E3">
                  <w:pPr>
                    <w:spacing w:before="80" w:after="80" w:line="240" w:lineRule="auto"/>
                    <w:jc w:val="center"/>
                    <w:rPr>
                      <w:rFonts w:ascii="Times New Roman" w:eastAsia="Times New Roman" w:hAnsi="Times New Roman" w:cs="Times New Roman"/>
                      <w:color w:val="000000" w:themeColor="text1"/>
                      <w:sz w:val="24"/>
                      <w:szCs w:val="24"/>
                      <w:lang w:val="lv-LV" w:eastAsia="lv-LV"/>
                    </w:rPr>
                  </w:pPr>
                  <w:r w:rsidRPr="00FC1025">
                    <w:rPr>
                      <w:rFonts w:ascii="Times New Roman" w:eastAsia="Times New Roman" w:hAnsi="Times New Roman" w:cs="Times New Roman"/>
                      <w:i/>
                      <w:color w:val="000000" w:themeColor="text1"/>
                      <w:sz w:val="24"/>
                      <w:szCs w:val="24"/>
                      <w:lang w:val="lv-LV" w:eastAsia="lv-LV"/>
                    </w:rPr>
                    <w:t>Projekts šo jomu neskar</w:t>
                  </w:r>
                </w:p>
                <w:p w14:paraId="2331F770" w14:textId="77777777" w:rsidR="00FC1025" w:rsidRPr="00BA345A" w:rsidRDefault="00FC1025" w:rsidP="003F28E3">
                  <w:pPr>
                    <w:spacing w:before="80" w:after="80" w:line="240" w:lineRule="auto"/>
                    <w:jc w:val="center"/>
                    <w:rPr>
                      <w:rFonts w:ascii="Times New Roman" w:hAnsi="Times New Roman" w:cs="Times New Roman"/>
                      <w:color w:val="000000" w:themeColor="text1"/>
                      <w:sz w:val="24"/>
                      <w:szCs w:val="24"/>
                      <w:shd w:val="clear" w:color="auto" w:fill="FFFFFF"/>
                      <w:lang w:val="lv-LV"/>
                    </w:rPr>
                  </w:pPr>
                </w:p>
              </w:tc>
            </w:tr>
          </w:tbl>
          <w:tbl>
            <w:tblPr>
              <w:tblpPr w:leftFromText="180" w:rightFromText="180" w:vertAnchor="text" w:horzAnchor="margin" w:tblpY="12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3492"/>
              <w:gridCol w:w="5247"/>
            </w:tblGrid>
            <w:tr w:rsidR="00666303" w:rsidRPr="00BA345A" w14:paraId="27333036" w14:textId="77777777" w:rsidTr="00F8491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828257F" w14:textId="77777777" w:rsidR="00666303" w:rsidRPr="00BA345A" w:rsidRDefault="00666303" w:rsidP="003F28E3">
                  <w:pPr>
                    <w:spacing w:before="80" w:after="80" w:line="240" w:lineRule="auto"/>
                    <w:jc w:val="center"/>
                    <w:rPr>
                      <w:rFonts w:ascii="Times New Roman" w:eastAsia="Times New Roman" w:hAnsi="Times New Roman" w:cs="Times New Roman"/>
                      <w:b/>
                      <w:bCs/>
                      <w:color w:val="000000" w:themeColor="text1"/>
                      <w:sz w:val="24"/>
                      <w:szCs w:val="24"/>
                      <w:lang w:val="lv-LV" w:eastAsia="lv-LV"/>
                    </w:rPr>
                  </w:pPr>
                  <w:r w:rsidRPr="00BA345A">
                    <w:rPr>
                      <w:rFonts w:ascii="Times New Roman" w:eastAsia="Times New Roman" w:hAnsi="Times New Roman" w:cs="Times New Roman"/>
                      <w:b/>
                      <w:bCs/>
                      <w:color w:val="000000" w:themeColor="text1"/>
                      <w:sz w:val="24"/>
                      <w:szCs w:val="24"/>
                      <w:lang w:val="lv-LV" w:eastAsia="lv-LV"/>
                    </w:rPr>
                    <w:t>VI. Sabiedrības līdzdalība un komunikācijas aktivitātes</w:t>
                  </w:r>
                </w:p>
              </w:tc>
            </w:tr>
            <w:tr w:rsidR="00666303" w:rsidRPr="003F2B20" w14:paraId="105A2789" w14:textId="77777777" w:rsidTr="00C44423">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71CD4E7F"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1.</w:t>
                  </w:r>
                </w:p>
              </w:tc>
              <w:tc>
                <w:tcPr>
                  <w:tcW w:w="1898" w:type="pct"/>
                  <w:tcBorders>
                    <w:top w:val="outset" w:sz="6" w:space="0" w:color="414142"/>
                    <w:left w:val="outset" w:sz="6" w:space="0" w:color="414142"/>
                    <w:bottom w:val="outset" w:sz="6" w:space="0" w:color="414142"/>
                    <w:right w:val="outset" w:sz="6" w:space="0" w:color="414142"/>
                  </w:tcBorders>
                  <w:hideMark/>
                </w:tcPr>
                <w:p w14:paraId="6C4957E5" w14:textId="77777777" w:rsidR="00666303" w:rsidRPr="008E4BB1"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8E4BB1">
                    <w:rPr>
                      <w:rFonts w:ascii="Times New Roman" w:eastAsia="Times New Roman" w:hAnsi="Times New Roman" w:cs="Times New Roman"/>
                      <w:color w:val="000000" w:themeColor="text1"/>
                      <w:sz w:val="24"/>
                      <w:szCs w:val="24"/>
                      <w:lang w:val="lv-LV" w:eastAsia="lv-LV"/>
                    </w:rPr>
                    <w:t>Plānotās sabiedrības līdzdalības un komunikācijas aktivitātes saistībā ar projektu</w:t>
                  </w:r>
                </w:p>
              </w:tc>
              <w:tc>
                <w:tcPr>
                  <w:tcW w:w="2852" w:type="pct"/>
                  <w:tcBorders>
                    <w:top w:val="outset" w:sz="6" w:space="0" w:color="414142"/>
                    <w:left w:val="outset" w:sz="6" w:space="0" w:color="414142"/>
                    <w:bottom w:val="outset" w:sz="6" w:space="0" w:color="414142"/>
                    <w:right w:val="outset" w:sz="6" w:space="0" w:color="414142"/>
                  </w:tcBorders>
                  <w:hideMark/>
                </w:tcPr>
                <w:p w14:paraId="54BDCC79" w14:textId="3C52E29A" w:rsidR="00666303" w:rsidRPr="008E4BB1" w:rsidRDefault="00D30FA2" w:rsidP="003F28E3">
                  <w:pPr>
                    <w:autoSpaceDE w:val="0"/>
                    <w:autoSpaceDN w:val="0"/>
                    <w:adjustRightInd w:val="0"/>
                    <w:spacing w:before="80" w:after="80" w:line="240" w:lineRule="auto"/>
                    <w:jc w:val="both"/>
                    <w:rPr>
                      <w:rFonts w:ascii="Times New Roman" w:eastAsia="Times New Roman" w:hAnsi="Times New Roman" w:cs="Times New Roman"/>
                      <w:color w:val="000000" w:themeColor="text1"/>
                      <w:sz w:val="24"/>
                      <w:szCs w:val="24"/>
                      <w:lang w:val="lv-LV" w:eastAsia="lv-LV"/>
                    </w:rPr>
                  </w:pPr>
                  <w:r>
                    <w:rPr>
                      <w:rFonts w:ascii="Times New Roman" w:hAnsi="Times New Roman" w:cs="Times New Roman"/>
                      <w:sz w:val="24"/>
                      <w:szCs w:val="24"/>
                      <w:lang w:val="lv-LV"/>
                    </w:rPr>
                    <w:t>Ministru kabineta noteikumu projekta</w:t>
                  </w:r>
                  <w:r w:rsidR="002E149E" w:rsidRPr="008E4BB1">
                    <w:rPr>
                      <w:rFonts w:ascii="Times New Roman" w:hAnsi="Times New Roman" w:cs="Times New Roman"/>
                      <w:sz w:val="24"/>
                      <w:szCs w:val="24"/>
                      <w:lang w:val="lv-LV"/>
                    </w:rPr>
                    <w:t xml:space="preserve"> izstrādes laikā notika sadarbība un komunikācija ar </w:t>
                  </w:r>
                  <w:r w:rsidR="00415952" w:rsidRPr="008E4BB1">
                    <w:rPr>
                      <w:rFonts w:ascii="Times New Roman" w:hAnsi="Times New Roman" w:cs="Times New Roman"/>
                      <w:sz w:val="24"/>
                      <w:szCs w:val="24"/>
                      <w:lang w:val="lv-LV"/>
                    </w:rPr>
                    <w:t xml:space="preserve">Finanšu </w:t>
                  </w:r>
                  <w:r w:rsidR="007149BE">
                    <w:rPr>
                      <w:rFonts w:ascii="Times New Roman" w:hAnsi="Times New Roman" w:cs="Times New Roman"/>
                      <w:sz w:val="24"/>
                      <w:szCs w:val="24"/>
                      <w:lang w:val="lv-LV"/>
                    </w:rPr>
                    <w:t>un kapitāla tirgus komisiju</w:t>
                  </w:r>
                  <w:r w:rsidR="00623C00">
                    <w:rPr>
                      <w:rFonts w:ascii="Times New Roman" w:hAnsi="Times New Roman" w:cs="Times New Roman"/>
                      <w:sz w:val="24"/>
                      <w:szCs w:val="24"/>
                      <w:lang w:val="lv-LV"/>
                    </w:rPr>
                    <w:t xml:space="preserve">, Latvijas Banku, Tieslietu ministriju, kā arī ar privātā sektora pārstāvjiem - </w:t>
                  </w:r>
                  <w:r w:rsidR="00623C00">
                    <w:rPr>
                      <w:rFonts w:ascii="Times New Roman" w:hAnsi="Times New Roman" w:cs="Times New Roman"/>
                      <w:color w:val="000000" w:themeColor="text1"/>
                      <w:sz w:val="24"/>
                      <w:szCs w:val="24"/>
                      <w:lang w:val="lv-LV"/>
                    </w:rPr>
                    <w:t>Latvijas komercbanku asociāciju, Latvijas Maksājumu pakalpojumu un elektroniskās naudas iestāžu asociāciju, Latvijas apdrošinātāju asociāciju, Latvijas Alternatīvo finanšu pakalpojumu asociāciju un Latvijas Privātā un riska kapitāla asociāciju.</w:t>
                  </w:r>
                </w:p>
              </w:tc>
            </w:tr>
            <w:tr w:rsidR="00666303" w:rsidRPr="003F2B20" w14:paraId="28E85B9B" w14:textId="77777777" w:rsidTr="00C4442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DAB639F"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2.</w:t>
                  </w:r>
                </w:p>
              </w:tc>
              <w:tc>
                <w:tcPr>
                  <w:tcW w:w="1898" w:type="pct"/>
                  <w:tcBorders>
                    <w:top w:val="outset" w:sz="6" w:space="0" w:color="414142"/>
                    <w:left w:val="outset" w:sz="6" w:space="0" w:color="414142"/>
                    <w:bottom w:val="outset" w:sz="6" w:space="0" w:color="414142"/>
                    <w:right w:val="outset" w:sz="6" w:space="0" w:color="414142"/>
                  </w:tcBorders>
                  <w:hideMark/>
                </w:tcPr>
                <w:p w14:paraId="6319B515"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Sabiedrības līdzdalība projekta izstrādē</w:t>
                  </w:r>
                </w:p>
              </w:tc>
              <w:tc>
                <w:tcPr>
                  <w:tcW w:w="2852" w:type="pct"/>
                  <w:tcBorders>
                    <w:top w:val="outset" w:sz="6" w:space="0" w:color="414142"/>
                    <w:left w:val="outset" w:sz="6" w:space="0" w:color="414142"/>
                    <w:bottom w:val="outset" w:sz="6" w:space="0" w:color="414142"/>
                    <w:right w:val="outset" w:sz="6" w:space="0" w:color="414142"/>
                  </w:tcBorders>
                  <w:hideMark/>
                </w:tcPr>
                <w:p w14:paraId="6C44DD3D" w14:textId="58082DB7" w:rsidR="00666303" w:rsidRPr="00BA345A" w:rsidRDefault="00DE6BEB" w:rsidP="003F28E3">
                  <w:pPr>
                    <w:autoSpaceDE w:val="0"/>
                    <w:autoSpaceDN w:val="0"/>
                    <w:adjustRightInd w:val="0"/>
                    <w:spacing w:before="80" w:after="80" w:line="240" w:lineRule="auto"/>
                    <w:jc w:val="both"/>
                    <w:rPr>
                      <w:rFonts w:ascii="Times New Roman" w:eastAsia="Times New Roman" w:hAnsi="Times New Roman" w:cs="Times New Roman"/>
                      <w:color w:val="000000" w:themeColor="text1"/>
                      <w:sz w:val="24"/>
                      <w:szCs w:val="24"/>
                      <w:lang w:val="lv-LV" w:eastAsia="lv-LV"/>
                    </w:rPr>
                  </w:pPr>
                  <w:r>
                    <w:rPr>
                      <w:rFonts w:ascii="Times New Roman" w:hAnsi="Times New Roman" w:cs="Times New Roman"/>
                      <w:color w:val="000000" w:themeColor="text1"/>
                      <w:sz w:val="24"/>
                      <w:szCs w:val="24"/>
                      <w:lang w:val="lv-LV"/>
                    </w:rPr>
                    <w:t xml:space="preserve">Sabiedrības līdzdalība </w:t>
                  </w:r>
                  <w:r w:rsidR="00D30FA2">
                    <w:rPr>
                      <w:rFonts w:ascii="Times New Roman" w:hAnsi="Times New Roman" w:cs="Times New Roman"/>
                      <w:color w:val="000000" w:themeColor="text1"/>
                      <w:sz w:val="24"/>
                      <w:szCs w:val="24"/>
                      <w:lang w:val="lv-LV"/>
                    </w:rPr>
                    <w:t xml:space="preserve">Ministru kabineta noteikumu </w:t>
                  </w:r>
                  <w:r>
                    <w:rPr>
                      <w:rFonts w:ascii="Times New Roman" w:hAnsi="Times New Roman" w:cs="Times New Roman"/>
                      <w:color w:val="000000" w:themeColor="text1"/>
                      <w:sz w:val="24"/>
                      <w:szCs w:val="24"/>
                      <w:lang w:val="lv-LV"/>
                    </w:rPr>
                    <w:t>projekta izstrādē tika nodrošināta</w:t>
                  </w:r>
                  <w:r w:rsidR="00D00CAD">
                    <w:rPr>
                      <w:rFonts w:ascii="Times New Roman" w:hAnsi="Times New Roman" w:cs="Times New Roman"/>
                      <w:color w:val="000000" w:themeColor="text1"/>
                      <w:sz w:val="24"/>
                      <w:szCs w:val="24"/>
                      <w:lang w:val="lv-LV"/>
                    </w:rPr>
                    <w:t xml:space="preserve"> iesaistot Ministru kabineta noteikumu projekta apspriešanā privātā sektora pārstāvjus – Latvijas komercbanku asociāciju, Latvijas Maksājumu pakalpojumu un elektroniskās naudas iestāžu asociāciju, Latvijas apdrošinātāju asociāciju, Latvijas Alternatīvo finanšu pakalpojumu asociāciju un Latvijas Privātā un riska kapitāla asociāciju.   </w:t>
                  </w:r>
                </w:p>
              </w:tc>
            </w:tr>
            <w:tr w:rsidR="00666303" w:rsidRPr="00FC1025" w14:paraId="7FED0051" w14:textId="77777777" w:rsidTr="00C4442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50F1941"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3.</w:t>
                  </w:r>
                </w:p>
              </w:tc>
              <w:tc>
                <w:tcPr>
                  <w:tcW w:w="1898" w:type="pct"/>
                  <w:tcBorders>
                    <w:top w:val="outset" w:sz="6" w:space="0" w:color="414142"/>
                    <w:left w:val="outset" w:sz="6" w:space="0" w:color="414142"/>
                    <w:bottom w:val="outset" w:sz="6" w:space="0" w:color="414142"/>
                    <w:right w:val="outset" w:sz="6" w:space="0" w:color="414142"/>
                  </w:tcBorders>
                  <w:hideMark/>
                </w:tcPr>
                <w:p w14:paraId="5F48CB8C"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Sabiedrības līdzdalības rezultāti</w:t>
                  </w:r>
                </w:p>
              </w:tc>
              <w:tc>
                <w:tcPr>
                  <w:tcW w:w="2852" w:type="pct"/>
                  <w:tcBorders>
                    <w:top w:val="outset" w:sz="6" w:space="0" w:color="414142"/>
                    <w:left w:val="outset" w:sz="6" w:space="0" w:color="414142"/>
                    <w:bottom w:val="outset" w:sz="6" w:space="0" w:color="414142"/>
                    <w:right w:val="outset" w:sz="6" w:space="0" w:color="414142"/>
                  </w:tcBorders>
                  <w:hideMark/>
                </w:tcPr>
                <w:p w14:paraId="06B59A4C" w14:textId="2D4D1AC5" w:rsidR="00666303" w:rsidRPr="00BA345A" w:rsidRDefault="00E217ED" w:rsidP="003F28E3">
                  <w:pPr>
                    <w:spacing w:before="80" w:after="80" w:line="240" w:lineRule="auto"/>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 </w:t>
                  </w:r>
                  <w:r>
                    <w:rPr>
                      <w:rFonts w:ascii="Times New Roman" w:hAnsi="Times New Roman" w:cs="Times New Roman"/>
                      <w:color w:val="000000" w:themeColor="text1"/>
                      <w:sz w:val="24"/>
                      <w:szCs w:val="24"/>
                      <w:lang w:val="lv-LV"/>
                    </w:rPr>
                    <w:t xml:space="preserve">Latvijas komercbanku asociācijas, Latvijas Maksājumu pakalpojumu un elektroniskās naudas iestāžu asociācijas, Latvijas apdrošinātāju asociācijas, Latvijas Alternatīvo finanšu pakalpojumu asociācijas un Latvijas Privātā un riska kapitāla asociācijas </w:t>
                  </w:r>
                  <w:r>
                    <w:rPr>
                      <w:rFonts w:ascii="Times New Roman" w:hAnsi="Times New Roman" w:cs="Times New Roman"/>
                      <w:color w:val="000000" w:themeColor="text1"/>
                      <w:sz w:val="24"/>
                      <w:szCs w:val="24"/>
                      <w:lang w:val="lv-LV"/>
                    </w:rPr>
                    <w:lastRenderedPageBreak/>
                    <w:t xml:space="preserve">iesaistes rezultātā tika panākta vienošanās par Ministru kabineta noteikumu projektu.   </w:t>
                  </w:r>
                </w:p>
              </w:tc>
            </w:tr>
            <w:tr w:rsidR="00666303" w:rsidRPr="003F2B20" w14:paraId="14048F61" w14:textId="77777777" w:rsidTr="00C4442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23211CC"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lastRenderedPageBreak/>
                    <w:t>4.</w:t>
                  </w:r>
                </w:p>
              </w:tc>
              <w:tc>
                <w:tcPr>
                  <w:tcW w:w="1898" w:type="pct"/>
                  <w:tcBorders>
                    <w:top w:val="outset" w:sz="6" w:space="0" w:color="414142"/>
                    <w:left w:val="outset" w:sz="6" w:space="0" w:color="414142"/>
                    <w:bottom w:val="outset" w:sz="6" w:space="0" w:color="414142"/>
                    <w:right w:val="outset" w:sz="6" w:space="0" w:color="414142"/>
                  </w:tcBorders>
                  <w:hideMark/>
                </w:tcPr>
                <w:p w14:paraId="15E18804"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Cita informācija</w:t>
                  </w:r>
                </w:p>
              </w:tc>
              <w:tc>
                <w:tcPr>
                  <w:tcW w:w="2852" w:type="pct"/>
                  <w:tcBorders>
                    <w:top w:val="outset" w:sz="6" w:space="0" w:color="414142"/>
                    <w:left w:val="outset" w:sz="6" w:space="0" w:color="414142"/>
                    <w:bottom w:val="outset" w:sz="6" w:space="0" w:color="414142"/>
                    <w:right w:val="outset" w:sz="6" w:space="0" w:color="414142"/>
                  </w:tcBorders>
                  <w:hideMark/>
                </w:tcPr>
                <w:p w14:paraId="082BD12E" w14:textId="1A5DC6D9" w:rsidR="00666303" w:rsidRPr="007149BE" w:rsidRDefault="007149BE" w:rsidP="003F28E3">
                  <w:pPr>
                    <w:spacing w:before="80" w:after="80" w:line="293" w:lineRule="atLeast"/>
                    <w:jc w:val="both"/>
                    <w:rPr>
                      <w:rFonts w:ascii="Times New Roman" w:eastAsia="Times New Roman" w:hAnsi="Times New Roman" w:cs="Times New Roman"/>
                      <w:color w:val="414142"/>
                      <w:sz w:val="24"/>
                      <w:szCs w:val="24"/>
                      <w:lang w:val="lv-LV" w:eastAsia="lv-LV"/>
                    </w:rPr>
                  </w:pPr>
                  <w:r w:rsidRPr="007149BE">
                    <w:rPr>
                      <w:rFonts w:ascii="Times New Roman" w:hAnsi="Times New Roman"/>
                      <w:sz w:val="24"/>
                      <w:szCs w:val="24"/>
                      <w:lang w:val="lv-LV"/>
                    </w:rPr>
                    <w:t xml:space="preserve">Sabiedrība pēc </w:t>
                  </w:r>
                  <w:r w:rsidR="00D30FA2">
                    <w:rPr>
                      <w:rFonts w:ascii="Times New Roman" w:hAnsi="Times New Roman"/>
                      <w:sz w:val="24"/>
                      <w:szCs w:val="24"/>
                      <w:lang w:val="lv-LV"/>
                    </w:rPr>
                    <w:t>Ministru kabineta noteikumu</w:t>
                  </w:r>
                  <w:r w:rsidRPr="007149BE">
                    <w:rPr>
                      <w:rFonts w:ascii="Times New Roman" w:hAnsi="Times New Roman"/>
                      <w:sz w:val="24"/>
                      <w:szCs w:val="24"/>
                      <w:lang w:val="lv-LV"/>
                    </w:rPr>
                    <w:t xml:space="preserve"> </w:t>
                  </w:r>
                  <w:r w:rsidR="00D30FA2">
                    <w:rPr>
                      <w:rFonts w:ascii="Times New Roman" w:hAnsi="Times New Roman"/>
                      <w:sz w:val="24"/>
                      <w:szCs w:val="24"/>
                      <w:lang w:val="lv-LV"/>
                    </w:rPr>
                    <w:t xml:space="preserve">projekta </w:t>
                  </w:r>
                  <w:r w:rsidRPr="007149BE">
                    <w:rPr>
                      <w:rFonts w:ascii="Times New Roman" w:hAnsi="Times New Roman"/>
                      <w:sz w:val="24"/>
                      <w:szCs w:val="24"/>
                      <w:lang w:val="lv-LV"/>
                    </w:rPr>
                    <w:t>pieņemšanas tiks informēta ar publikāciju oficiālajā izdevumā “Latvijas Vēstnesis”, kā arī ievietojot to bezmaksas normatīvo aktu datu bāzē</w:t>
                  </w:r>
                  <w:r w:rsidRPr="007149BE">
                    <w:rPr>
                      <w:rFonts w:ascii="Times New Roman" w:eastAsia="Times New Roman" w:hAnsi="Times New Roman" w:cs="Times New Roman"/>
                      <w:color w:val="414142"/>
                      <w:sz w:val="24"/>
                      <w:szCs w:val="24"/>
                      <w:lang w:val="lv-LV" w:eastAsia="lv-LV"/>
                    </w:rPr>
                    <w:t xml:space="preserve"> </w:t>
                  </w:r>
                  <w:hyperlink r:id="rId8" w:history="1">
                    <w:r w:rsidRPr="007149BE">
                      <w:rPr>
                        <w:rStyle w:val="Hyperlink"/>
                        <w:rFonts w:ascii="Times New Roman" w:eastAsia="Times New Roman" w:hAnsi="Times New Roman" w:cs="Times New Roman"/>
                        <w:sz w:val="24"/>
                        <w:szCs w:val="24"/>
                        <w:lang w:val="lv-LV" w:eastAsia="lv-LV"/>
                      </w:rPr>
                      <w:t>www.likumi.lv</w:t>
                    </w:r>
                  </w:hyperlink>
                </w:p>
              </w:tc>
            </w:tr>
          </w:tbl>
          <w:tbl>
            <w:tblPr>
              <w:tblpPr w:leftFromText="180" w:rightFromText="180" w:vertAnchor="text" w:horzAnchor="margin" w:tblpY="-275"/>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3496"/>
              <w:gridCol w:w="5243"/>
            </w:tblGrid>
            <w:tr w:rsidR="00666303" w:rsidRPr="003F2B20" w14:paraId="47EDD0B1" w14:textId="77777777" w:rsidTr="00F8491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64B92FF" w14:textId="77777777" w:rsidR="00314D8F" w:rsidRDefault="00314D8F" w:rsidP="003F28E3">
                  <w:pPr>
                    <w:spacing w:before="80" w:after="80" w:line="240" w:lineRule="auto"/>
                    <w:jc w:val="center"/>
                    <w:rPr>
                      <w:rFonts w:ascii="Times New Roman" w:eastAsia="Times New Roman" w:hAnsi="Times New Roman" w:cs="Times New Roman"/>
                      <w:b/>
                      <w:bCs/>
                      <w:color w:val="000000" w:themeColor="text1"/>
                      <w:sz w:val="24"/>
                      <w:szCs w:val="24"/>
                      <w:lang w:val="lv-LV" w:eastAsia="lv-LV"/>
                    </w:rPr>
                  </w:pPr>
                </w:p>
                <w:p w14:paraId="0DFD4286" w14:textId="77777777" w:rsidR="00666303" w:rsidRPr="00BA345A" w:rsidRDefault="00666303" w:rsidP="003F28E3">
                  <w:pPr>
                    <w:spacing w:before="80" w:after="80" w:line="240" w:lineRule="auto"/>
                    <w:jc w:val="center"/>
                    <w:rPr>
                      <w:rFonts w:ascii="Times New Roman" w:eastAsia="Times New Roman" w:hAnsi="Times New Roman" w:cs="Times New Roman"/>
                      <w:b/>
                      <w:bCs/>
                      <w:color w:val="000000" w:themeColor="text1"/>
                      <w:sz w:val="24"/>
                      <w:szCs w:val="24"/>
                      <w:lang w:val="lv-LV" w:eastAsia="lv-LV"/>
                    </w:rPr>
                  </w:pPr>
                  <w:r w:rsidRPr="00BA345A">
                    <w:rPr>
                      <w:rFonts w:ascii="Times New Roman" w:eastAsia="Times New Roman" w:hAnsi="Times New Roman" w:cs="Times New Roman"/>
                      <w:b/>
                      <w:bCs/>
                      <w:color w:val="000000" w:themeColor="text1"/>
                      <w:sz w:val="24"/>
                      <w:szCs w:val="24"/>
                      <w:lang w:val="lv-LV" w:eastAsia="lv-LV"/>
                    </w:rPr>
                    <w:t>VII. Tiesību akta projekta izpildes nodrošināšana un tās ietekme uz institūcijām</w:t>
                  </w:r>
                </w:p>
              </w:tc>
            </w:tr>
            <w:tr w:rsidR="00666303" w:rsidRPr="00FC1025" w14:paraId="0BBCC7E4" w14:textId="77777777" w:rsidTr="00F8491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96BF11E"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D0DC512"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44E0DB7" w14:textId="6FF34F67" w:rsidR="00666303" w:rsidRPr="00BA345A" w:rsidRDefault="007446A4" w:rsidP="003F28E3">
                  <w:pPr>
                    <w:spacing w:before="80" w:after="80" w:line="240" w:lineRule="auto"/>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Finanšu ministrija,</w:t>
                  </w:r>
                  <w:r w:rsidRPr="00BA345A">
                    <w:rPr>
                      <w:rFonts w:ascii="Times New Roman" w:hAnsi="Times New Roman" w:cs="Times New Roman"/>
                      <w:color w:val="000000" w:themeColor="text1"/>
                      <w:sz w:val="24"/>
                      <w:szCs w:val="24"/>
                      <w:lang w:val="lv-LV"/>
                    </w:rPr>
                    <w:t xml:space="preserve"> </w:t>
                  </w:r>
                  <w:r w:rsidR="00666303" w:rsidRPr="00BA345A">
                    <w:rPr>
                      <w:rFonts w:ascii="Times New Roman" w:hAnsi="Times New Roman" w:cs="Times New Roman"/>
                      <w:color w:val="000000" w:themeColor="text1"/>
                      <w:sz w:val="24"/>
                      <w:szCs w:val="24"/>
                      <w:lang w:val="lv-LV"/>
                    </w:rPr>
                    <w:t>Finanšu un kapitāla tirgus komisija</w:t>
                  </w:r>
                  <w:r>
                    <w:rPr>
                      <w:rFonts w:ascii="Times New Roman" w:hAnsi="Times New Roman" w:cs="Times New Roman"/>
                      <w:color w:val="000000" w:themeColor="text1"/>
                      <w:sz w:val="24"/>
                      <w:szCs w:val="24"/>
                      <w:lang w:val="lv-LV"/>
                    </w:rPr>
                    <w:t>, Latvijas Banka</w:t>
                  </w:r>
                  <w:r w:rsidR="00D00CAD">
                    <w:rPr>
                      <w:rFonts w:ascii="Times New Roman" w:hAnsi="Times New Roman" w:cs="Times New Roman"/>
                      <w:color w:val="000000" w:themeColor="text1"/>
                      <w:sz w:val="24"/>
                      <w:szCs w:val="24"/>
                      <w:lang w:val="lv-LV"/>
                    </w:rPr>
                    <w:t>.</w:t>
                  </w:r>
                </w:p>
                <w:p w14:paraId="21711EF1" w14:textId="0208B10A"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p>
              </w:tc>
            </w:tr>
            <w:tr w:rsidR="00666303" w:rsidRPr="003F2B20" w14:paraId="2120384F" w14:textId="77777777" w:rsidTr="00F8491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44D1C1D"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D3C7DC4"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Projekta izpildes ietekme uz pārvaldes funkcijām un institucionālo struktūru.</w:t>
                  </w:r>
                </w:p>
                <w:p w14:paraId="14B1C45D"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2C6D684" w14:textId="7D388102" w:rsidR="00666303" w:rsidRPr="004719A2" w:rsidRDefault="00D30FA2" w:rsidP="003F28E3">
                  <w:pPr>
                    <w:spacing w:before="80" w:after="80" w:line="240" w:lineRule="auto"/>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sz w:val="24"/>
                      <w:szCs w:val="24"/>
                      <w:lang w:val="lv-LV"/>
                    </w:rPr>
                    <w:t>Ministru kabineta noteikumu projekta</w:t>
                  </w:r>
                  <w:r w:rsidR="004719A2" w:rsidRPr="004719A2">
                    <w:rPr>
                      <w:rFonts w:ascii="Times New Roman" w:eastAsia="Times New Roman" w:hAnsi="Times New Roman" w:cs="Times New Roman"/>
                      <w:sz w:val="24"/>
                      <w:szCs w:val="24"/>
                      <w:lang w:val="lv-LV"/>
                    </w:rPr>
                    <w:t xml:space="preserve"> izpildei nav nepieciešams reorganizēt esošās institūcijas, veidot jaunas institūcijas v</w:t>
                  </w:r>
                  <w:r w:rsidR="008E4BB1">
                    <w:rPr>
                      <w:rFonts w:ascii="Times New Roman" w:eastAsia="Times New Roman" w:hAnsi="Times New Roman" w:cs="Times New Roman"/>
                      <w:sz w:val="24"/>
                      <w:szCs w:val="24"/>
                      <w:lang w:val="lv-LV"/>
                    </w:rPr>
                    <w:t>ai likvidēt esošās institūcijas</w:t>
                  </w:r>
                  <w:r w:rsidR="00D81793">
                    <w:rPr>
                      <w:rFonts w:ascii="Times New Roman" w:eastAsia="Times New Roman" w:hAnsi="Times New Roman" w:cs="Times New Roman"/>
                      <w:sz w:val="24"/>
                      <w:szCs w:val="24"/>
                      <w:lang w:val="lv-LV"/>
                    </w:rPr>
                    <w:t>.</w:t>
                  </w:r>
                  <w:r w:rsidR="00E03F2F">
                    <w:rPr>
                      <w:rFonts w:ascii="Times New Roman" w:eastAsia="Times New Roman" w:hAnsi="Times New Roman" w:cs="Times New Roman"/>
                      <w:sz w:val="24"/>
                      <w:szCs w:val="24"/>
                      <w:lang w:val="lv-LV"/>
                    </w:rPr>
                    <w:t xml:space="preserve"> Padomes darba organizācijas un sekretariāta funkcijas nodošana no Finanšu un kapitāla tirgus komisijas Finanšu ministrijai neietekmēs šo iestāžu institucionālo struktūru, cilvēkresursus un finanses. </w:t>
                  </w:r>
                </w:p>
              </w:tc>
            </w:tr>
            <w:tr w:rsidR="00666303" w:rsidRPr="00BA345A" w14:paraId="3285B146" w14:textId="77777777" w:rsidTr="00F8491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C1CE493"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B79BCE3" w14:textId="77777777" w:rsidR="00666303" w:rsidRPr="00BA345A"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BA345A">
                    <w:rPr>
                      <w:rFonts w:ascii="Times New Roman" w:eastAsia="Times New Roman" w:hAnsi="Times New Roman" w:cs="Times New Roman"/>
                      <w:color w:val="000000" w:themeColor="text1"/>
                      <w:sz w:val="24"/>
                      <w:szCs w:val="24"/>
                      <w:lang w:val="lv-LV"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8501013" w14:textId="77777777" w:rsidR="00666303" w:rsidRPr="00DB4BBC" w:rsidRDefault="00666303" w:rsidP="003F28E3">
                  <w:pPr>
                    <w:spacing w:before="80" w:after="80" w:line="240" w:lineRule="auto"/>
                    <w:rPr>
                      <w:rFonts w:ascii="Times New Roman" w:eastAsia="Times New Roman" w:hAnsi="Times New Roman" w:cs="Times New Roman"/>
                      <w:color w:val="000000" w:themeColor="text1"/>
                      <w:sz w:val="24"/>
                      <w:szCs w:val="24"/>
                      <w:lang w:val="lv-LV" w:eastAsia="lv-LV"/>
                    </w:rPr>
                  </w:pPr>
                  <w:r w:rsidRPr="00DB4BBC">
                    <w:rPr>
                      <w:rFonts w:ascii="Times New Roman" w:eastAsia="Times New Roman" w:hAnsi="Times New Roman" w:cs="Times New Roman"/>
                      <w:color w:val="000000" w:themeColor="text1"/>
                      <w:sz w:val="24"/>
                      <w:szCs w:val="24"/>
                      <w:lang w:val="lv-LV" w:eastAsia="lv-LV"/>
                    </w:rPr>
                    <w:t>Nav</w:t>
                  </w:r>
                </w:p>
              </w:tc>
            </w:tr>
          </w:tbl>
          <w:p w14:paraId="4DEE9462" w14:textId="77777777" w:rsidR="00666303" w:rsidRPr="00BA345A" w:rsidRDefault="00666303" w:rsidP="0058180E">
            <w:pPr>
              <w:spacing w:after="0" w:line="240" w:lineRule="auto"/>
              <w:ind w:firstLine="272"/>
              <w:rPr>
                <w:rFonts w:ascii="Arial" w:eastAsia="Times New Roman" w:hAnsi="Arial" w:cs="Arial"/>
                <w:color w:val="000000" w:themeColor="text1"/>
                <w:sz w:val="24"/>
                <w:szCs w:val="24"/>
                <w:lang w:val="lv-LV" w:eastAsia="lv-LV"/>
              </w:rPr>
            </w:pPr>
          </w:p>
        </w:tc>
      </w:tr>
    </w:tbl>
    <w:p w14:paraId="4BA5C73B" w14:textId="77777777" w:rsidR="00356318" w:rsidRPr="00BA345A" w:rsidRDefault="00356318" w:rsidP="00666303">
      <w:pPr>
        <w:pStyle w:val="NormalWeb"/>
        <w:spacing w:before="0" w:beforeAutospacing="0" w:after="0" w:afterAutospacing="0"/>
        <w:ind w:left="540"/>
        <w:rPr>
          <w:color w:val="000000" w:themeColor="text1"/>
          <w:lang w:val="lv-LV"/>
        </w:rPr>
      </w:pPr>
    </w:p>
    <w:p w14:paraId="31D8EDF6" w14:textId="77777777" w:rsidR="008D7BB0" w:rsidRDefault="008D7BB0" w:rsidP="00666303">
      <w:pPr>
        <w:pStyle w:val="NormalWeb"/>
        <w:spacing w:before="0" w:beforeAutospacing="0" w:after="0" w:afterAutospacing="0"/>
        <w:ind w:left="540"/>
        <w:rPr>
          <w:color w:val="000000" w:themeColor="text1"/>
          <w:lang w:val="lv-LV"/>
        </w:rPr>
      </w:pPr>
    </w:p>
    <w:p w14:paraId="6A2DD3CD" w14:textId="77777777" w:rsidR="00666303" w:rsidRPr="00BA345A" w:rsidRDefault="006630B7" w:rsidP="00AF234B">
      <w:pPr>
        <w:pStyle w:val="NormalWeb"/>
        <w:spacing w:before="0" w:beforeAutospacing="0" w:after="0" w:afterAutospacing="0"/>
        <w:rPr>
          <w:color w:val="000000" w:themeColor="text1"/>
          <w:lang w:val="lv-LV"/>
        </w:rPr>
      </w:pPr>
      <w:r w:rsidRPr="00BA345A">
        <w:rPr>
          <w:color w:val="000000" w:themeColor="text1"/>
          <w:lang w:val="lv-LV"/>
        </w:rPr>
        <w:t xml:space="preserve">Finanšu ministre </w:t>
      </w:r>
      <w:r w:rsidRPr="00BA345A">
        <w:rPr>
          <w:color w:val="000000" w:themeColor="text1"/>
          <w:lang w:val="lv-LV"/>
        </w:rPr>
        <w:tab/>
      </w:r>
      <w:r w:rsidRPr="00BA345A">
        <w:rPr>
          <w:color w:val="000000" w:themeColor="text1"/>
          <w:lang w:val="lv-LV"/>
        </w:rPr>
        <w:tab/>
      </w:r>
      <w:r w:rsidRPr="00BA345A">
        <w:rPr>
          <w:color w:val="000000" w:themeColor="text1"/>
          <w:lang w:val="lv-LV"/>
        </w:rPr>
        <w:tab/>
      </w:r>
      <w:r w:rsidRPr="00BA345A">
        <w:rPr>
          <w:color w:val="000000" w:themeColor="text1"/>
          <w:lang w:val="lv-LV"/>
        </w:rPr>
        <w:tab/>
      </w:r>
      <w:r w:rsidRPr="00BA345A">
        <w:rPr>
          <w:color w:val="000000" w:themeColor="text1"/>
          <w:lang w:val="lv-LV"/>
        </w:rPr>
        <w:tab/>
      </w:r>
      <w:r w:rsidR="00AF234B">
        <w:rPr>
          <w:color w:val="000000" w:themeColor="text1"/>
          <w:lang w:val="lv-LV"/>
        </w:rPr>
        <w:tab/>
      </w:r>
      <w:r w:rsidR="00666303" w:rsidRPr="00BA345A">
        <w:rPr>
          <w:color w:val="000000" w:themeColor="text1"/>
          <w:lang w:val="lv-LV"/>
        </w:rPr>
        <w:t xml:space="preserve"> </w:t>
      </w:r>
      <w:r w:rsidRPr="00BA345A">
        <w:rPr>
          <w:color w:val="000000" w:themeColor="text1"/>
          <w:lang w:val="lv-LV"/>
        </w:rPr>
        <w:t>D.</w:t>
      </w:r>
      <w:r w:rsidR="00AF234B">
        <w:rPr>
          <w:color w:val="000000" w:themeColor="text1"/>
          <w:lang w:val="lv-LV"/>
        </w:rPr>
        <w:t> </w:t>
      </w:r>
      <w:r w:rsidRPr="00BA345A">
        <w:rPr>
          <w:color w:val="000000" w:themeColor="text1"/>
          <w:lang w:val="lv-LV"/>
        </w:rPr>
        <w:t>Reizniece-Ozola</w:t>
      </w:r>
    </w:p>
    <w:p w14:paraId="7B234CB7" w14:textId="77777777" w:rsidR="008D7BB0" w:rsidRDefault="008D7BB0" w:rsidP="00666303">
      <w:pPr>
        <w:spacing w:after="0" w:line="240" w:lineRule="auto"/>
        <w:rPr>
          <w:rFonts w:ascii="Times New Roman" w:hAnsi="Times New Roman" w:cs="Times New Roman"/>
          <w:color w:val="000000" w:themeColor="text1"/>
          <w:sz w:val="24"/>
          <w:szCs w:val="24"/>
          <w:lang w:val="lv-LV"/>
        </w:rPr>
      </w:pPr>
    </w:p>
    <w:p w14:paraId="1443023E" w14:textId="77777777" w:rsidR="00420CD0" w:rsidRDefault="00420CD0" w:rsidP="00420CD0">
      <w:pPr>
        <w:spacing w:after="0" w:line="240" w:lineRule="auto"/>
        <w:rPr>
          <w:rFonts w:ascii="Times New Roman" w:hAnsi="Times New Roman" w:cs="Times New Roman"/>
          <w:color w:val="000000" w:themeColor="text1"/>
          <w:sz w:val="20"/>
          <w:szCs w:val="20"/>
          <w:lang w:val="lv-LV"/>
        </w:rPr>
      </w:pPr>
    </w:p>
    <w:p w14:paraId="69B9BE71" w14:textId="77777777" w:rsidR="007149BE" w:rsidRDefault="007149BE" w:rsidP="00420CD0">
      <w:pPr>
        <w:spacing w:after="0" w:line="240" w:lineRule="auto"/>
        <w:rPr>
          <w:rFonts w:ascii="Times New Roman" w:hAnsi="Times New Roman" w:cs="Times New Roman"/>
          <w:color w:val="000000" w:themeColor="text1"/>
          <w:sz w:val="20"/>
          <w:szCs w:val="20"/>
          <w:lang w:val="lv-LV"/>
        </w:rPr>
      </w:pPr>
    </w:p>
    <w:p w14:paraId="15CBDE8D" w14:textId="77777777" w:rsidR="007149BE" w:rsidRDefault="007149BE" w:rsidP="00420CD0">
      <w:pPr>
        <w:spacing w:after="0" w:line="240" w:lineRule="auto"/>
        <w:rPr>
          <w:rFonts w:ascii="Times New Roman" w:hAnsi="Times New Roman" w:cs="Times New Roman"/>
          <w:color w:val="000000" w:themeColor="text1"/>
          <w:sz w:val="20"/>
          <w:szCs w:val="20"/>
          <w:lang w:val="lv-LV"/>
        </w:rPr>
      </w:pPr>
    </w:p>
    <w:p w14:paraId="49259778" w14:textId="77777777" w:rsidR="007149BE" w:rsidRDefault="007149BE" w:rsidP="00420CD0">
      <w:pPr>
        <w:spacing w:after="0" w:line="240" w:lineRule="auto"/>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Forda, 67095585</w:t>
      </w:r>
    </w:p>
    <w:p w14:paraId="4230C50A" w14:textId="77777777" w:rsidR="007149BE" w:rsidRPr="00BA345A" w:rsidRDefault="0057783D" w:rsidP="00420CD0">
      <w:pPr>
        <w:spacing w:after="0" w:line="240" w:lineRule="auto"/>
        <w:rPr>
          <w:rFonts w:ascii="Times New Roman" w:hAnsi="Times New Roman" w:cs="Times New Roman"/>
          <w:color w:val="000000" w:themeColor="text1"/>
          <w:sz w:val="20"/>
          <w:szCs w:val="20"/>
          <w:lang w:val="lv-LV"/>
        </w:rPr>
      </w:pPr>
      <w:hyperlink r:id="rId9" w:history="1">
        <w:r w:rsidR="007149BE" w:rsidRPr="00E20BCE">
          <w:rPr>
            <w:rStyle w:val="Hyperlink"/>
            <w:rFonts w:ascii="Times New Roman" w:hAnsi="Times New Roman" w:cs="Times New Roman"/>
            <w:sz w:val="20"/>
            <w:szCs w:val="20"/>
            <w:lang w:val="lv-LV"/>
          </w:rPr>
          <w:t>Inga.Forda@fm.gov.lv</w:t>
        </w:r>
      </w:hyperlink>
      <w:r w:rsidR="007149BE">
        <w:rPr>
          <w:rFonts w:ascii="Times New Roman" w:hAnsi="Times New Roman" w:cs="Times New Roman"/>
          <w:color w:val="000000" w:themeColor="text1"/>
          <w:sz w:val="20"/>
          <w:szCs w:val="20"/>
          <w:lang w:val="lv-LV"/>
        </w:rPr>
        <w:t xml:space="preserve"> </w:t>
      </w:r>
    </w:p>
    <w:sectPr w:rsidR="007149BE" w:rsidRPr="00BA345A" w:rsidSect="00EC60F8">
      <w:headerReference w:type="default"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93CA3" w14:textId="77777777" w:rsidR="00F73628" w:rsidRDefault="00F73628" w:rsidP="005F1BA8">
      <w:pPr>
        <w:spacing w:after="0" w:line="240" w:lineRule="auto"/>
      </w:pPr>
      <w:r>
        <w:separator/>
      </w:r>
    </w:p>
  </w:endnote>
  <w:endnote w:type="continuationSeparator" w:id="0">
    <w:p w14:paraId="712B61CB" w14:textId="77777777" w:rsidR="00F73628" w:rsidRDefault="00F73628" w:rsidP="005F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81A9" w14:textId="0F22653A" w:rsidR="004E0F99" w:rsidRPr="004E0F99" w:rsidRDefault="00C96FFA">
    <w:pPr>
      <w:pStyle w:val="Footer"/>
      <w:rPr>
        <w:rFonts w:ascii="Times New Roman" w:hAnsi="Times New Roman" w:cs="Times New Roman"/>
        <w:sz w:val="20"/>
      </w:rPr>
    </w:pPr>
    <w:r>
      <w:rPr>
        <w:rFonts w:ascii="Times New Roman" w:hAnsi="Times New Roman" w:cs="Times New Roman"/>
        <w:sz w:val="20"/>
      </w:rPr>
      <w:t>FMAnot_14</w:t>
    </w:r>
    <w:r w:rsidR="004E0F99" w:rsidRPr="004E0F99">
      <w:rPr>
        <w:rFonts w:ascii="Times New Roman" w:hAnsi="Times New Roman" w:cs="Times New Roman"/>
        <w:sz w:val="20"/>
      </w:rPr>
      <w:t>0717_Groz_FSAP_nol.docx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85CCC" w14:textId="77777777" w:rsidR="00F73628" w:rsidRDefault="00F73628" w:rsidP="005F1BA8">
      <w:pPr>
        <w:spacing w:after="0" w:line="240" w:lineRule="auto"/>
      </w:pPr>
      <w:r>
        <w:separator/>
      </w:r>
    </w:p>
  </w:footnote>
  <w:footnote w:type="continuationSeparator" w:id="0">
    <w:p w14:paraId="06E3DD91" w14:textId="77777777" w:rsidR="00F73628" w:rsidRDefault="00F73628" w:rsidP="005F1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891378"/>
      <w:docPartObj>
        <w:docPartGallery w:val="Page Numbers (Top of Page)"/>
        <w:docPartUnique/>
      </w:docPartObj>
    </w:sdtPr>
    <w:sdtEndPr>
      <w:rPr>
        <w:noProof/>
      </w:rPr>
    </w:sdtEndPr>
    <w:sdtContent>
      <w:p w14:paraId="288BB1CF" w14:textId="01F9AD85" w:rsidR="00D41AD8" w:rsidRDefault="0031680C">
        <w:pPr>
          <w:pStyle w:val="Header"/>
          <w:jc w:val="center"/>
        </w:pPr>
        <w:r>
          <w:fldChar w:fldCharType="begin"/>
        </w:r>
        <w:r w:rsidR="00D41AD8">
          <w:instrText xml:space="preserve"> PAGE   \* MERGEFORMAT </w:instrText>
        </w:r>
        <w:r>
          <w:fldChar w:fldCharType="separate"/>
        </w:r>
        <w:r w:rsidR="0057783D">
          <w:rPr>
            <w:noProof/>
          </w:rPr>
          <w:t>2</w:t>
        </w:r>
        <w:r>
          <w:rPr>
            <w:noProof/>
          </w:rPr>
          <w:fldChar w:fldCharType="end"/>
        </w:r>
      </w:p>
    </w:sdtContent>
  </w:sdt>
  <w:p w14:paraId="12310D3F" w14:textId="77777777" w:rsidR="00D41AD8" w:rsidRDefault="00D41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63CE"/>
    <w:multiLevelType w:val="hybridMultilevel"/>
    <w:tmpl w:val="31423F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383F9C"/>
    <w:multiLevelType w:val="hybridMultilevel"/>
    <w:tmpl w:val="C1FA18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552D82"/>
    <w:multiLevelType w:val="hybridMultilevel"/>
    <w:tmpl w:val="D714D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2CF2581"/>
    <w:multiLevelType w:val="hybridMultilevel"/>
    <w:tmpl w:val="494C5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03"/>
    <w:rsid w:val="00001EE9"/>
    <w:rsid w:val="00052C45"/>
    <w:rsid w:val="00053728"/>
    <w:rsid w:val="00064F7F"/>
    <w:rsid w:val="00074F3D"/>
    <w:rsid w:val="000759B0"/>
    <w:rsid w:val="000C3C00"/>
    <w:rsid w:val="000C5CB9"/>
    <w:rsid w:val="000D5FC0"/>
    <w:rsid w:val="000E709C"/>
    <w:rsid w:val="000E79A0"/>
    <w:rsid w:val="000F35EC"/>
    <w:rsid w:val="00105CA1"/>
    <w:rsid w:val="001124A4"/>
    <w:rsid w:val="001320A2"/>
    <w:rsid w:val="00161E49"/>
    <w:rsid w:val="00175F5F"/>
    <w:rsid w:val="0018193B"/>
    <w:rsid w:val="00190AEC"/>
    <w:rsid w:val="001B6B22"/>
    <w:rsid w:val="001D74D0"/>
    <w:rsid w:val="00203CCC"/>
    <w:rsid w:val="002116D1"/>
    <w:rsid w:val="00227388"/>
    <w:rsid w:val="00245F96"/>
    <w:rsid w:val="00250712"/>
    <w:rsid w:val="00252136"/>
    <w:rsid w:val="002532E7"/>
    <w:rsid w:val="002B5A04"/>
    <w:rsid w:val="002C601B"/>
    <w:rsid w:val="002E149E"/>
    <w:rsid w:val="002F0528"/>
    <w:rsid w:val="002F4B58"/>
    <w:rsid w:val="00314D8F"/>
    <w:rsid w:val="0031680C"/>
    <w:rsid w:val="00356318"/>
    <w:rsid w:val="00365DE6"/>
    <w:rsid w:val="00377295"/>
    <w:rsid w:val="00377D1A"/>
    <w:rsid w:val="003847C8"/>
    <w:rsid w:val="00397973"/>
    <w:rsid w:val="003A13D4"/>
    <w:rsid w:val="003C6756"/>
    <w:rsid w:val="003E2C12"/>
    <w:rsid w:val="003F28E3"/>
    <w:rsid w:val="003F2B20"/>
    <w:rsid w:val="003F3512"/>
    <w:rsid w:val="00415952"/>
    <w:rsid w:val="00420CD0"/>
    <w:rsid w:val="00421BA7"/>
    <w:rsid w:val="00422C68"/>
    <w:rsid w:val="0042459C"/>
    <w:rsid w:val="00424BA1"/>
    <w:rsid w:val="00432D91"/>
    <w:rsid w:val="00471214"/>
    <w:rsid w:val="004719A2"/>
    <w:rsid w:val="004919A8"/>
    <w:rsid w:val="004939C1"/>
    <w:rsid w:val="00496EAD"/>
    <w:rsid w:val="004B7D3F"/>
    <w:rsid w:val="004E0F99"/>
    <w:rsid w:val="004F230F"/>
    <w:rsid w:val="0057306E"/>
    <w:rsid w:val="00574B71"/>
    <w:rsid w:val="0057783D"/>
    <w:rsid w:val="0058180E"/>
    <w:rsid w:val="0058523C"/>
    <w:rsid w:val="005D00D2"/>
    <w:rsid w:val="005E0977"/>
    <w:rsid w:val="005E4BB4"/>
    <w:rsid w:val="005F0490"/>
    <w:rsid w:val="005F1BA8"/>
    <w:rsid w:val="005F5ABA"/>
    <w:rsid w:val="00615C80"/>
    <w:rsid w:val="00623C00"/>
    <w:rsid w:val="00624558"/>
    <w:rsid w:val="00630C27"/>
    <w:rsid w:val="00652500"/>
    <w:rsid w:val="0066152F"/>
    <w:rsid w:val="0066303D"/>
    <w:rsid w:val="006630B7"/>
    <w:rsid w:val="00666303"/>
    <w:rsid w:val="00690CC4"/>
    <w:rsid w:val="006A5E2A"/>
    <w:rsid w:val="006C3D65"/>
    <w:rsid w:val="006E3DC8"/>
    <w:rsid w:val="006E7B21"/>
    <w:rsid w:val="006E7D7A"/>
    <w:rsid w:val="006F39E5"/>
    <w:rsid w:val="006F4F46"/>
    <w:rsid w:val="006F749A"/>
    <w:rsid w:val="00702870"/>
    <w:rsid w:val="007076AA"/>
    <w:rsid w:val="0071084E"/>
    <w:rsid w:val="00711F98"/>
    <w:rsid w:val="007149BE"/>
    <w:rsid w:val="00716B24"/>
    <w:rsid w:val="00720048"/>
    <w:rsid w:val="0073161C"/>
    <w:rsid w:val="0073188C"/>
    <w:rsid w:val="0074026B"/>
    <w:rsid w:val="007446A4"/>
    <w:rsid w:val="007647F5"/>
    <w:rsid w:val="007908C6"/>
    <w:rsid w:val="00792DCE"/>
    <w:rsid w:val="007A0A06"/>
    <w:rsid w:val="007A60D3"/>
    <w:rsid w:val="00810035"/>
    <w:rsid w:val="008300BF"/>
    <w:rsid w:val="0083541F"/>
    <w:rsid w:val="00841FD3"/>
    <w:rsid w:val="00856C76"/>
    <w:rsid w:val="008623A5"/>
    <w:rsid w:val="008739B1"/>
    <w:rsid w:val="00884D8C"/>
    <w:rsid w:val="008A49DF"/>
    <w:rsid w:val="008D4E1A"/>
    <w:rsid w:val="008D7BB0"/>
    <w:rsid w:val="008E4BB1"/>
    <w:rsid w:val="008E50EE"/>
    <w:rsid w:val="008E609E"/>
    <w:rsid w:val="008F20DF"/>
    <w:rsid w:val="008F6EF3"/>
    <w:rsid w:val="009268C4"/>
    <w:rsid w:val="00947EBE"/>
    <w:rsid w:val="00976962"/>
    <w:rsid w:val="00981FDA"/>
    <w:rsid w:val="0098235D"/>
    <w:rsid w:val="00982F81"/>
    <w:rsid w:val="009A1800"/>
    <w:rsid w:val="009B40B7"/>
    <w:rsid w:val="009D3F41"/>
    <w:rsid w:val="009E3ACD"/>
    <w:rsid w:val="009F5956"/>
    <w:rsid w:val="00A2527F"/>
    <w:rsid w:val="00A47C1D"/>
    <w:rsid w:val="00A60A35"/>
    <w:rsid w:val="00A6361A"/>
    <w:rsid w:val="00A83AB3"/>
    <w:rsid w:val="00AB166F"/>
    <w:rsid w:val="00AE688F"/>
    <w:rsid w:val="00AF234B"/>
    <w:rsid w:val="00AF6A11"/>
    <w:rsid w:val="00AF6D0E"/>
    <w:rsid w:val="00B1703F"/>
    <w:rsid w:val="00B41EAA"/>
    <w:rsid w:val="00B535C2"/>
    <w:rsid w:val="00B543A7"/>
    <w:rsid w:val="00B57DE9"/>
    <w:rsid w:val="00B747EC"/>
    <w:rsid w:val="00B753A3"/>
    <w:rsid w:val="00B81356"/>
    <w:rsid w:val="00B84658"/>
    <w:rsid w:val="00BA345A"/>
    <w:rsid w:val="00BB0021"/>
    <w:rsid w:val="00BD78B8"/>
    <w:rsid w:val="00BE0B33"/>
    <w:rsid w:val="00BF06EE"/>
    <w:rsid w:val="00C0453A"/>
    <w:rsid w:val="00C2742A"/>
    <w:rsid w:val="00C27CFD"/>
    <w:rsid w:val="00C44423"/>
    <w:rsid w:val="00C47C27"/>
    <w:rsid w:val="00C66A58"/>
    <w:rsid w:val="00C750DA"/>
    <w:rsid w:val="00C96FFA"/>
    <w:rsid w:val="00CA530C"/>
    <w:rsid w:val="00CA6266"/>
    <w:rsid w:val="00CB27EC"/>
    <w:rsid w:val="00CD65D9"/>
    <w:rsid w:val="00D00CAD"/>
    <w:rsid w:val="00D05095"/>
    <w:rsid w:val="00D07807"/>
    <w:rsid w:val="00D30FA2"/>
    <w:rsid w:val="00D337F0"/>
    <w:rsid w:val="00D41AD8"/>
    <w:rsid w:val="00D505BD"/>
    <w:rsid w:val="00D5163B"/>
    <w:rsid w:val="00D569FD"/>
    <w:rsid w:val="00D62AFB"/>
    <w:rsid w:val="00D6632D"/>
    <w:rsid w:val="00D80129"/>
    <w:rsid w:val="00D81793"/>
    <w:rsid w:val="00D92D8F"/>
    <w:rsid w:val="00D96205"/>
    <w:rsid w:val="00DB4BBC"/>
    <w:rsid w:val="00DE5E09"/>
    <w:rsid w:val="00DE6BEB"/>
    <w:rsid w:val="00E03F2F"/>
    <w:rsid w:val="00E17838"/>
    <w:rsid w:val="00E217ED"/>
    <w:rsid w:val="00E21B40"/>
    <w:rsid w:val="00E53666"/>
    <w:rsid w:val="00E60983"/>
    <w:rsid w:val="00EA1785"/>
    <w:rsid w:val="00EC44B4"/>
    <w:rsid w:val="00EC60F8"/>
    <w:rsid w:val="00F02249"/>
    <w:rsid w:val="00F044C2"/>
    <w:rsid w:val="00F12A77"/>
    <w:rsid w:val="00F26128"/>
    <w:rsid w:val="00F34956"/>
    <w:rsid w:val="00F40130"/>
    <w:rsid w:val="00F65649"/>
    <w:rsid w:val="00F6665E"/>
    <w:rsid w:val="00F73628"/>
    <w:rsid w:val="00F8491B"/>
    <w:rsid w:val="00FB2751"/>
    <w:rsid w:val="00FB5C0B"/>
    <w:rsid w:val="00FC1025"/>
    <w:rsid w:val="00FD22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000A"/>
  <w15:docId w15:val="{2D490A54-BB2C-4E4F-B157-6937DB82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6303"/>
  </w:style>
  <w:style w:type="paragraph" w:styleId="Footer">
    <w:name w:val="footer"/>
    <w:basedOn w:val="Normal"/>
    <w:link w:val="FooterChar"/>
    <w:uiPriority w:val="99"/>
    <w:unhideWhenUsed/>
    <w:rsid w:val="006663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6303"/>
  </w:style>
  <w:style w:type="paragraph" w:customStyle="1" w:styleId="default">
    <w:name w:val="default"/>
    <w:basedOn w:val="Normal"/>
    <w:rsid w:val="00666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66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66303"/>
    <w:pPr>
      <w:ind w:left="720"/>
      <w:contextualSpacing/>
    </w:pPr>
  </w:style>
  <w:style w:type="character" w:styleId="CommentReference">
    <w:name w:val="annotation reference"/>
    <w:basedOn w:val="DefaultParagraphFont"/>
    <w:uiPriority w:val="99"/>
    <w:semiHidden/>
    <w:unhideWhenUsed/>
    <w:rsid w:val="00666303"/>
    <w:rPr>
      <w:sz w:val="16"/>
      <w:szCs w:val="16"/>
    </w:rPr>
  </w:style>
  <w:style w:type="paragraph" w:styleId="CommentText">
    <w:name w:val="annotation text"/>
    <w:basedOn w:val="Normal"/>
    <w:link w:val="CommentTextChar"/>
    <w:uiPriority w:val="99"/>
    <w:unhideWhenUsed/>
    <w:rsid w:val="00666303"/>
    <w:pPr>
      <w:spacing w:line="240" w:lineRule="auto"/>
    </w:pPr>
    <w:rPr>
      <w:sz w:val="20"/>
      <w:szCs w:val="20"/>
    </w:rPr>
  </w:style>
  <w:style w:type="character" w:customStyle="1" w:styleId="CommentTextChar">
    <w:name w:val="Comment Text Char"/>
    <w:basedOn w:val="DefaultParagraphFont"/>
    <w:link w:val="CommentText"/>
    <w:uiPriority w:val="99"/>
    <w:rsid w:val="00666303"/>
    <w:rPr>
      <w:sz w:val="20"/>
      <w:szCs w:val="20"/>
    </w:rPr>
  </w:style>
  <w:style w:type="paragraph" w:customStyle="1" w:styleId="naisf">
    <w:name w:val="naisf"/>
    <w:basedOn w:val="Normal"/>
    <w:rsid w:val="0066630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M13">
    <w:name w:val="CM1+3"/>
    <w:basedOn w:val="default"/>
    <w:next w:val="default"/>
    <w:uiPriority w:val="99"/>
    <w:rsid w:val="00666303"/>
    <w:pPr>
      <w:autoSpaceDE w:val="0"/>
      <w:autoSpaceDN w:val="0"/>
      <w:adjustRightInd w:val="0"/>
      <w:spacing w:before="0" w:beforeAutospacing="0" w:after="0" w:afterAutospacing="0"/>
    </w:pPr>
    <w:rPr>
      <w:rFonts w:ascii="EUAlbertina" w:eastAsiaTheme="minorHAnsi" w:hAnsi="EUAlbertina" w:cstheme="minorBidi"/>
      <w:lang w:eastAsia="en-US"/>
    </w:rPr>
  </w:style>
  <w:style w:type="paragraph" w:styleId="CommentSubject">
    <w:name w:val="annotation subject"/>
    <w:basedOn w:val="CommentText"/>
    <w:next w:val="CommentText"/>
    <w:link w:val="CommentSubjectChar"/>
    <w:uiPriority w:val="99"/>
    <w:semiHidden/>
    <w:unhideWhenUsed/>
    <w:rsid w:val="00884D8C"/>
    <w:rPr>
      <w:b/>
      <w:bCs/>
    </w:rPr>
  </w:style>
  <w:style w:type="character" w:customStyle="1" w:styleId="CommentSubjectChar">
    <w:name w:val="Comment Subject Char"/>
    <w:basedOn w:val="CommentTextChar"/>
    <w:link w:val="CommentSubject"/>
    <w:uiPriority w:val="99"/>
    <w:semiHidden/>
    <w:rsid w:val="00884D8C"/>
    <w:rPr>
      <w:b/>
      <w:bCs/>
      <w:sz w:val="20"/>
      <w:szCs w:val="20"/>
    </w:rPr>
  </w:style>
  <w:style w:type="paragraph" w:styleId="BalloonText">
    <w:name w:val="Balloon Text"/>
    <w:basedOn w:val="Normal"/>
    <w:link w:val="BalloonTextChar"/>
    <w:uiPriority w:val="99"/>
    <w:semiHidden/>
    <w:unhideWhenUsed/>
    <w:rsid w:val="0088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D8C"/>
    <w:rPr>
      <w:rFonts w:ascii="Tahoma" w:hAnsi="Tahoma" w:cs="Tahoma"/>
      <w:sz w:val="16"/>
      <w:szCs w:val="16"/>
    </w:rPr>
  </w:style>
  <w:style w:type="paragraph" w:styleId="Header">
    <w:name w:val="header"/>
    <w:basedOn w:val="Normal"/>
    <w:link w:val="HeaderChar"/>
    <w:uiPriority w:val="99"/>
    <w:unhideWhenUsed/>
    <w:rsid w:val="005F1B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1BA8"/>
  </w:style>
  <w:style w:type="character" w:styleId="Hyperlink">
    <w:name w:val="Hyperlink"/>
    <w:basedOn w:val="DefaultParagraphFont"/>
    <w:uiPriority w:val="99"/>
    <w:unhideWhenUsed/>
    <w:rsid w:val="006630B7"/>
    <w:rPr>
      <w:color w:val="0000FF" w:themeColor="hyperlink"/>
      <w:u w:val="single"/>
    </w:rPr>
  </w:style>
  <w:style w:type="paragraph" w:customStyle="1" w:styleId="Nobeigums">
    <w:name w:val="Nobeigums"/>
    <w:basedOn w:val="Normal"/>
    <w:rsid w:val="006630B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352849">
      <w:bodyDiv w:val="1"/>
      <w:marLeft w:val="0"/>
      <w:marRight w:val="0"/>
      <w:marTop w:val="0"/>
      <w:marBottom w:val="0"/>
      <w:divBdr>
        <w:top w:val="none" w:sz="0" w:space="0" w:color="auto"/>
        <w:left w:val="none" w:sz="0" w:space="0" w:color="auto"/>
        <w:bottom w:val="none" w:sz="0" w:space="0" w:color="auto"/>
        <w:right w:val="none" w:sz="0" w:space="0" w:color="auto"/>
      </w:divBdr>
    </w:div>
    <w:div w:id="122533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Forda@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DE81-D6A7-401B-88A1-175BB201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6010</Words>
  <Characters>3426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2007.gada 3.aprīļa noteikumos Nr.233"Finanšu sektora attīstības padomes nolikums"" sākotnējās ietekmes novērtējuma ziņojums (anotācija)</vt:lpstr>
    </vt:vector>
  </TitlesOfParts>
  <Company>Finanšu ministrija</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3.aprīļa noteikumos Nr.233"Finanšu sektora attīstības padomes nolikums"" sākotnējās ietekmes novērtējuma ziņojums (anotācija)</dc:title>
  <dc:creator>inga.forda@fm.gov.lv</dc:creator>
  <dc:description>Forda, 67095585
Inga.Forda@fm.gov.lv</dc:description>
  <cp:lastModifiedBy>Raimonds Grīnbergs</cp:lastModifiedBy>
  <cp:revision>22</cp:revision>
  <cp:lastPrinted>2017-08-23T08:10:00Z</cp:lastPrinted>
  <dcterms:created xsi:type="dcterms:W3CDTF">2017-08-04T12:30:00Z</dcterms:created>
  <dcterms:modified xsi:type="dcterms:W3CDTF">2017-08-23T08:14:00Z</dcterms:modified>
  <cp:category>Likumprojekts</cp:category>
</cp:coreProperties>
</file>