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7ADD" w14:textId="226EE374" w:rsidR="00D97CF8" w:rsidRPr="008079DE" w:rsidRDefault="00773E70" w:rsidP="008079DE">
      <w:pPr>
        <w:spacing w:after="0" w:line="240" w:lineRule="auto"/>
        <w:ind w:firstLine="720"/>
        <w:jc w:val="center"/>
        <w:rPr>
          <w:rFonts w:cs="Times New Roman"/>
          <w:b/>
          <w:sz w:val="26"/>
          <w:szCs w:val="26"/>
        </w:rPr>
      </w:pPr>
      <w:bookmarkStart w:id="0" w:name="OLE_LINK1"/>
      <w:bookmarkStart w:id="1" w:name="OLE_LINK2"/>
      <w:r w:rsidRPr="008079DE">
        <w:rPr>
          <w:rFonts w:cs="Times New Roman"/>
          <w:b/>
          <w:sz w:val="26"/>
          <w:szCs w:val="26"/>
        </w:rPr>
        <w:t>Ministru kabineta n</w:t>
      </w:r>
      <w:r w:rsidR="00D97CF8" w:rsidRPr="008079DE">
        <w:rPr>
          <w:rFonts w:cs="Times New Roman"/>
          <w:b/>
          <w:sz w:val="26"/>
          <w:szCs w:val="26"/>
        </w:rPr>
        <w:t>oteikumu projekta</w:t>
      </w:r>
      <w:bookmarkStart w:id="2" w:name="OLE_LINK5"/>
      <w:bookmarkStart w:id="3" w:name="OLE_LINK6"/>
    </w:p>
    <w:p w14:paraId="1A2D9DC5" w14:textId="1B42E3EF" w:rsidR="00D97CF8" w:rsidRPr="008079DE" w:rsidRDefault="00773E70" w:rsidP="008079DE">
      <w:pPr>
        <w:spacing w:after="0" w:line="240" w:lineRule="auto"/>
        <w:jc w:val="center"/>
        <w:rPr>
          <w:rFonts w:eastAsia="Times New Roman" w:cs="Times New Roman"/>
          <w:sz w:val="26"/>
          <w:szCs w:val="26"/>
          <w:lang w:eastAsia="lv-LV"/>
        </w:rPr>
      </w:pPr>
      <w:r w:rsidRPr="008079DE">
        <w:rPr>
          <w:b/>
          <w:sz w:val="26"/>
          <w:szCs w:val="26"/>
        </w:rPr>
        <w:t>“</w:t>
      </w:r>
      <w:r w:rsidR="00B512E1" w:rsidRPr="008079DE">
        <w:rPr>
          <w:rFonts w:cs="Times New Roman"/>
          <w:b/>
          <w:sz w:val="26"/>
          <w:szCs w:val="26"/>
        </w:rPr>
        <w:t>P</w:t>
      </w:r>
      <w:r w:rsidR="00A562D4" w:rsidRPr="008079DE">
        <w:rPr>
          <w:rFonts w:cs="Times New Roman"/>
          <w:b/>
          <w:sz w:val="26"/>
          <w:szCs w:val="26"/>
        </w:rPr>
        <w:t>reču iznīcināšanas</w:t>
      </w:r>
      <w:r w:rsidR="00B512E1" w:rsidRPr="008079DE">
        <w:rPr>
          <w:rFonts w:cs="Times New Roman"/>
          <w:b/>
          <w:sz w:val="26"/>
          <w:szCs w:val="26"/>
        </w:rPr>
        <w:t xml:space="preserve"> </w:t>
      </w:r>
      <w:r w:rsidR="00A562D4" w:rsidRPr="008079DE">
        <w:rPr>
          <w:rFonts w:cs="Times New Roman"/>
          <w:b/>
          <w:sz w:val="26"/>
          <w:szCs w:val="26"/>
        </w:rPr>
        <w:t xml:space="preserve">un </w:t>
      </w:r>
      <w:r w:rsidR="000E6B30" w:rsidRPr="008079DE">
        <w:rPr>
          <w:rFonts w:cs="Times New Roman"/>
          <w:b/>
          <w:sz w:val="26"/>
          <w:szCs w:val="26"/>
        </w:rPr>
        <w:t xml:space="preserve">atteikšanās </w:t>
      </w:r>
      <w:r w:rsidR="009B0EBE" w:rsidRPr="008079DE">
        <w:rPr>
          <w:rFonts w:cs="Times New Roman"/>
          <w:b/>
          <w:sz w:val="26"/>
          <w:szCs w:val="26"/>
        </w:rPr>
        <w:t>no precēm</w:t>
      </w:r>
      <w:r w:rsidR="00B512E1" w:rsidRPr="008079DE">
        <w:rPr>
          <w:rFonts w:cs="Times New Roman"/>
          <w:b/>
          <w:sz w:val="26"/>
          <w:szCs w:val="26"/>
        </w:rPr>
        <w:t xml:space="preserve"> par labu valstij piemērošanas kārtība</w:t>
      </w:r>
      <w:r w:rsidRPr="008079DE">
        <w:rPr>
          <w:rFonts w:cs="Times New Roman"/>
          <w:b/>
          <w:sz w:val="26"/>
          <w:szCs w:val="26"/>
        </w:rPr>
        <w:t>”</w:t>
      </w:r>
      <w:r w:rsidR="000E6B30" w:rsidRPr="008079DE">
        <w:rPr>
          <w:rFonts w:cs="Times New Roman"/>
          <w:b/>
          <w:sz w:val="26"/>
          <w:szCs w:val="26"/>
        </w:rPr>
        <w:t xml:space="preserve"> </w:t>
      </w:r>
      <w:bookmarkEnd w:id="0"/>
      <w:bookmarkEnd w:id="1"/>
      <w:bookmarkEnd w:id="2"/>
      <w:bookmarkEnd w:id="3"/>
      <w:r w:rsidR="00D97CF8" w:rsidRPr="008079DE">
        <w:rPr>
          <w:rFonts w:eastAsia="Times New Roman" w:cs="Times New Roman"/>
          <w:b/>
          <w:bCs/>
          <w:sz w:val="26"/>
          <w:szCs w:val="26"/>
          <w:lang w:eastAsia="lv-LV"/>
        </w:rPr>
        <w:t>sākotnējās ietekmes novērtējuma ziņojums (anotācija)</w:t>
      </w:r>
    </w:p>
    <w:p w14:paraId="6C25CD8A" w14:textId="77777777" w:rsidR="00A12C9D" w:rsidRPr="008079DE" w:rsidRDefault="00A12C9D" w:rsidP="00A12C9D">
      <w:pPr>
        <w:spacing w:after="0"/>
        <w:jc w:val="center"/>
        <w:rPr>
          <w:rFonts w:eastAsia="Times New Roman" w:cs="Times New Roman"/>
          <w:szCs w:val="24"/>
          <w:lang w:eastAsia="lv-LV"/>
        </w:rPr>
      </w:pPr>
    </w:p>
    <w:tbl>
      <w:tblPr>
        <w:tblpPr w:leftFromText="180" w:rightFromText="180" w:vertAnchor="text" w:tblpY="1"/>
        <w:tblOverlap w:val="neve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3117"/>
        <w:gridCol w:w="5847"/>
      </w:tblGrid>
      <w:tr w:rsidR="005D4AE6" w:rsidRPr="005D4AE6" w14:paraId="519A7B39" w14:textId="77777777" w:rsidTr="00150908">
        <w:trPr>
          <w:trHeight w:val="40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DF4C0F0" w14:textId="77777777" w:rsidR="005D4AE6" w:rsidRPr="005D4AE6" w:rsidRDefault="005D4AE6" w:rsidP="0028129D">
            <w:pPr>
              <w:spacing w:before="100" w:beforeAutospacing="1" w:after="100" w:afterAutospacing="1" w:line="240" w:lineRule="auto"/>
              <w:jc w:val="center"/>
              <w:rPr>
                <w:rFonts w:eastAsia="Times New Roman" w:cs="Times New Roman"/>
                <w:szCs w:val="24"/>
                <w:lang w:eastAsia="lv-LV"/>
              </w:rPr>
            </w:pPr>
            <w:r w:rsidRPr="005D4AE6">
              <w:rPr>
                <w:rFonts w:eastAsia="Times New Roman" w:cs="Times New Roman"/>
                <w:b/>
                <w:bCs/>
                <w:szCs w:val="24"/>
                <w:lang w:eastAsia="lv-LV"/>
              </w:rPr>
              <w:t>I. Tiesību akta projekta izstrādes nepieciešamība</w:t>
            </w:r>
          </w:p>
        </w:tc>
      </w:tr>
      <w:tr w:rsidR="005D4AE6" w:rsidRPr="005D4AE6" w14:paraId="706ACB66" w14:textId="77777777" w:rsidTr="00150908">
        <w:trPr>
          <w:trHeight w:val="405"/>
        </w:trPr>
        <w:tc>
          <w:tcPr>
            <w:tcW w:w="223" w:type="pct"/>
            <w:tcBorders>
              <w:top w:val="outset" w:sz="6" w:space="0" w:color="auto"/>
              <w:left w:val="outset" w:sz="6" w:space="0" w:color="auto"/>
              <w:bottom w:val="outset" w:sz="6" w:space="0" w:color="auto"/>
              <w:right w:val="outset" w:sz="6" w:space="0" w:color="auto"/>
            </w:tcBorders>
            <w:hideMark/>
          </w:tcPr>
          <w:p w14:paraId="2E7610DA" w14:textId="61D3BCE6" w:rsidR="005D4AE6" w:rsidRPr="005D4AE6" w:rsidRDefault="005D4AE6" w:rsidP="000A51F2">
            <w:pPr>
              <w:spacing w:before="120" w:after="120" w:line="240" w:lineRule="auto"/>
              <w:ind w:left="57" w:right="57"/>
              <w:rPr>
                <w:rFonts w:eastAsia="Times New Roman" w:cs="Times New Roman"/>
                <w:szCs w:val="24"/>
                <w:lang w:eastAsia="lv-LV"/>
              </w:rPr>
            </w:pPr>
            <w:r w:rsidRPr="005D4AE6">
              <w:rPr>
                <w:rFonts w:eastAsia="Times New Roman" w:cs="Times New Roman"/>
                <w:szCs w:val="24"/>
                <w:lang w:eastAsia="lv-LV"/>
              </w:rPr>
              <w:t>1</w:t>
            </w:r>
            <w:r w:rsidR="0099143E">
              <w:rPr>
                <w:rFonts w:eastAsia="Times New Roman" w:cs="Times New Roman"/>
                <w:szCs w:val="24"/>
                <w:lang w:eastAsia="lv-LV"/>
              </w:rPr>
              <w:t>.</w:t>
            </w:r>
          </w:p>
        </w:tc>
        <w:tc>
          <w:tcPr>
            <w:tcW w:w="1661" w:type="pct"/>
            <w:tcBorders>
              <w:top w:val="outset" w:sz="6" w:space="0" w:color="auto"/>
              <w:left w:val="outset" w:sz="6" w:space="0" w:color="auto"/>
              <w:bottom w:val="outset" w:sz="6" w:space="0" w:color="auto"/>
              <w:right w:val="outset" w:sz="6" w:space="0" w:color="auto"/>
            </w:tcBorders>
            <w:hideMark/>
          </w:tcPr>
          <w:p w14:paraId="797965B6" w14:textId="43B8130D" w:rsidR="005D4AE6" w:rsidRPr="00AB3096" w:rsidRDefault="005D4AE6" w:rsidP="000A51F2">
            <w:pPr>
              <w:spacing w:before="120" w:after="0" w:line="240" w:lineRule="auto"/>
              <w:ind w:left="57" w:right="57"/>
              <w:rPr>
                <w:rFonts w:eastAsia="Times New Roman" w:cs="Times New Roman"/>
                <w:szCs w:val="24"/>
                <w:lang w:eastAsia="lv-LV"/>
              </w:rPr>
            </w:pPr>
            <w:r w:rsidRPr="00AB3096">
              <w:rPr>
                <w:rFonts w:eastAsia="Times New Roman" w:cs="Times New Roman"/>
                <w:szCs w:val="24"/>
                <w:lang w:eastAsia="lv-LV"/>
              </w:rPr>
              <w:t>Pamatojums</w:t>
            </w:r>
          </w:p>
        </w:tc>
        <w:tc>
          <w:tcPr>
            <w:tcW w:w="3116" w:type="pct"/>
            <w:tcBorders>
              <w:top w:val="outset" w:sz="6" w:space="0" w:color="auto"/>
              <w:left w:val="outset" w:sz="6" w:space="0" w:color="auto"/>
              <w:bottom w:val="outset" w:sz="6" w:space="0" w:color="auto"/>
              <w:right w:val="outset" w:sz="6" w:space="0" w:color="auto"/>
            </w:tcBorders>
            <w:hideMark/>
          </w:tcPr>
          <w:p w14:paraId="7A8F8EEB" w14:textId="7239BA65" w:rsidR="00AB3096" w:rsidRPr="0099143E" w:rsidRDefault="00CA4FA6" w:rsidP="0099143E">
            <w:pPr>
              <w:pStyle w:val="ListParagraph"/>
              <w:tabs>
                <w:tab w:val="left" w:pos="381"/>
              </w:tabs>
              <w:spacing w:before="120" w:after="120"/>
              <w:ind w:left="57" w:right="57"/>
              <w:jc w:val="both"/>
              <w:rPr>
                <w:rFonts w:ascii="Times New Roman" w:hAnsi="Times New Roman" w:cs="Times New Roman"/>
                <w:sz w:val="24"/>
                <w:szCs w:val="24"/>
              </w:rPr>
            </w:pPr>
            <w:r w:rsidRPr="00AB3096">
              <w:rPr>
                <w:rFonts w:ascii="Times New Roman" w:hAnsi="Times New Roman" w:cs="Times New Roman"/>
                <w:sz w:val="24"/>
                <w:szCs w:val="24"/>
              </w:rPr>
              <w:t>Muitas likum</w:t>
            </w:r>
            <w:r w:rsidR="007A2DDA" w:rsidRPr="00AB3096">
              <w:rPr>
                <w:rFonts w:ascii="Times New Roman" w:hAnsi="Times New Roman" w:cs="Times New Roman"/>
                <w:sz w:val="24"/>
                <w:szCs w:val="24"/>
              </w:rPr>
              <w:t>a</w:t>
            </w:r>
            <w:r w:rsidRPr="00AB3096">
              <w:rPr>
                <w:rFonts w:ascii="Times New Roman" w:hAnsi="Times New Roman" w:cs="Times New Roman"/>
                <w:sz w:val="24"/>
                <w:szCs w:val="24"/>
              </w:rPr>
              <w:t xml:space="preserve"> </w:t>
            </w:r>
            <w:r w:rsidR="00EC2BC0" w:rsidRPr="00AB3096">
              <w:rPr>
                <w:rFonts w:ascii="Times New Roman" w:hAnsi="Times New Roman" w:cs="Times New Roman"/>
                <w:sz w:val="24"/>
                <w:szCs w:val="24"/>
              </w:rPr>
              <w:t xml:space="preserve">6.panta </w:t>
            </w:r>
            <w:r w:rsidR="0027589F" w:rsidRPr="00AB3096">
              <w:rPr>
                <w:rFonts w:ascii="Times New Roman" w:hAnsi="Times New Roman" w:cs="Times New Roman"/>
                <w:sz w:val="24"/>
                <w:szCs w:val="24"/>
              </w:rPr>
              <w:t>16</w:t>
            </w:r>
            <w:r w:rsidR="00E23996" w:rsidRPr="00AB3096">
              <w:rPr>
                <w:rFonts w:ascii="Times New Roman" w:hAnsi="Times New Roman" w:cs="Times New Roman"/>
                <w:sz w:val="24"/>
                <w:szCs w:val="24"/>
              </w:rPr>
              <w:t>.</w:t>
            </w:r>
            <w:r w:rsidR="0027589F" w:rsidRPr="00AB3096">
              <w:rPr>
                <w:rFonts w:ascii="Times New Roman" w:hAnsi="Times New Roman" w:cs="Times New Roman"/>
                <w:sz w:val="24"/>
                <w:szCs w:val="24"/>
              </w:rPr>
              <w:t xml:space="preserve"> un 17.</w:t>
            </w:r>
            <w:r w:rsidRPr="00AB3096">
              <w:rPr>
                <w:rFonts w:ascii="Times New Roman" w:hAnsi="Times New Roman" w:cs="Times New Roman"/>
                <w:sz w:val="24"/>
                <w:szCs w:val="24"/>
              </w:rPr>
              <w:t>punkts</w:t>
            </w:r>
          </w:p>
        </w:tc>
      </w:tr>
      <w:tr w:rsidR="005D4AE6" w:rsidRPr="00DF3E7C" w14:paraId="7F947A33" w14:textId="77777777" w:rsidTr="00150908">
        <w:trPr>
          <w:trHeight w:val="465"/>
        </w:trPr>
        <w:tc>
          <w:tcPr>
            <w:tcW w:w="223" w:type="pct"/>
            <w:tcBorders>
              <w:top w:val="outset" w:sz="6" w:space="0" w:color="auto"/>
              <w:left w:val="outset" w:sz="6" w:space="0" w:color="auto"/>
              <w:bottom w:val="outset" w:sz="6" w:space="0" w:color="auto"/>
              <w:right w:val="outset" w:sz="6" w:space="0" w:color="auto"/>
            </w:tcBorders>
            <w:hideMark/>
          </w:tcPr>
          <w:p w14:paraId="4C09F5F9" w14:textId="77777777" w:rsidR="005D4AE6" w:rsidRPr="005D4AE6" w:rsidRDefault="005D4AE6" w:rsidP="000A51F2">
            <w:pPr>
              <w:spacing w:before="120" w:after="120" w:line="240" w:lineRule="auto"/>
              <w:ind w:left="57" w:right="57"/>
              <w:rPr>
                <w:rFonts w:eastAsia="Times New Roman" w:cs="Times New Roman"/>
                <w:szCs w:val="24"/>
                <w:lang w:eastAsia="lv-LV"/>
              </w:rPr>
            </w:pPr>
            <w:r w:rsidRPr="005D4AE6">
              <w:rPr>
                <w:rFonts w:eastAsia="Times New Roman" w:cs="Times New Roman"/>
                <w:szCs w:val="24"/>
                <w:lang w:eastAsia="lv-LV"/>
              </w:rPr>
              <w:t>2.</w:t>
            </w:r>
          </w:p>
        </w:tc>
        <w:tc>
          <w:tcPr>
            <w:tcW w:w="1661" w:type="pct"/>
            <w:tcBorders>
              <w:top w:val="outset" w:sz="6" w:space="0" w:color="auto"/>
              <w:left w:val="outset" w:sz="6" w:space="0" w:color="auto"/>
              <w:bottom w:val="outset" w:sz="6" w:space="0" w:color="auto"/>
              <w:right w:val="outset" w:sz="6" w:space="0" w:color="auto"/>
            </w:tcBorders>
            <w:hideMark/>
          </w:tcPr>
          <w:p w14:paraId="352E3D48" w14:textId="77777777" w:rsidR="00767E59" w:rsidRDefault="005D4AE6" w:rsidP="000A51F2">
            <w:pPr>
              <w:spacing w:before="120" w:after="0" w:line="240" w:lineRule="auto"/>
              <w:ind w:left="57" w:right="57"/>
              <w:jc w:val="both"/>
              <w:rPr>
                <w:rFonts w:eastAsia="Times New Roman" w:cs="Times New Roman"/>
                <w:szCs w:val="24"/>
                <w:lang w:eastAsia="lv-LV"/>
              </w:rPr>
            </w:pPr>
            <w:r w:rsidRPr="005D4AE6">
              <w:rPr>
                <w:rFonts w:eastAsia="Times New Roman" w:cs="Times New Roman"/>
                <w:szCs w:val="24"/>
                <w:lang w:eastAsia="lv-LV"/>
              </w:rPr>
              <w:t>Pašreizējā situācija un problēmas, kuru risināšanai tiesību akta projekts izstrādāts, tiesiskā regulējuma mērķis un būtība</w:t>
            </w:r>
          </w:p>
          <w:p w14:paraId="527327BD" w14:textId="77777777" w:rsidR="005D4AE6" w:rsidRPr="00767E59" w:rsidRDefault="005D4AE6" w:rsidP="008079DE">
            <w:pPr>
              <w:rPr>
                <w:rFonts w:eastAsia="Times New Roman" w:cs="Times New Roman"/>
                <w:szCs w:val="24"/>
                <w:lang w:eastAsia="lv-LV"/>
              </w:rPr>
            </w:pPr>
          </w:p>
        </w:tc>
        <w:tc>
          <w:tcPr>
            <w:tcW w:w="3116" w:type="pct"/>
            <w:tcBorders>
              <w:top w:val="outset" w:sz="6" w:space="0" w:color="auto"/>
              <w:left w:val="outset" w:sz="6" w:space="0" w:color="auto"/>
              <w:bottom w:val="single" w:sz="4" w:space="0" w:color="auto"/>
              <w:right w:val="outset" w:sz="6" w:space="0" w:color="auto"/>
            </w:tcBorders>
            <w:hideMark/>
          </w:tcPr>
          <w:p w14:paraId="5A00B027" w14:textId="56549E0E" w:rsidR="0031138D" w:rsidRPr="00710CCD" w:rsidRDefault="00AB4C05" w:rsidP="00FF1314">
            <w:pPr>
              <w:spacing w:before="120" w:after="120" w:line="240" w:lineRule="auto"/>
              <w:ind w:left="57" w:right="57"/>
              <w:jc w:val="both"/>
            </w:pPr>
            <w:r w:rsidRPr="00710CCD">
              <w:t>Līdz 2017.gada 1.augustam</w:t>
            </w:r>
            <w:r w:rsidR="00E615DD" w:rsidRPr="00710CCD">
              <w:t xml:space="preserve"> kārtību par preču iznīcināšanu </w:t>
            </w:r>
            <w:r w:rsidR="00FF1314">
              <w:t>noteica</w:t>
            </w:r>
            <w:r w:rsidR="00D97CF8" w:rsidRPr="00710CCD">
              <w:t xml:space="preserve"> Ministru kabineta </w:t>
            </w:r>
            <w:r w:rsidR="009B0EBE" w:rsidRPr="00710CCD">
              <w:t>2012.gada 10</w:t>
            </w:r>
            <w:r w:rsidR="00E7026F" w:rsidRPr="00710CCD">
              <w:t>.</w:t>
            </w:r>
            <w:r w:rsidR="00CA4FA6" w:rsidRPr="00710CCD">
              <w:t xml:space="preserve">janvāra </w:t>
            </w:r>
            <w:r w:rsidR="00D97CF8" w:rsidRPr="00710CCD">
              <w:t>noteikumi Nr.</w:t>
            </w:r>
            <w:r w:rsidR="009B0EBE" w:rsidRPr="00710CCD">
              <w:t>34</w:t>
            </w:r>
            <w:r w:rsidR="00D97CF8" w:rsidRPr="00710CCD">
              <w:t xml:space="preserve"> </w:t>
            </w:r>
            <w:r w:rsidR="003F1901" w:rsidRPr="00710CCD">
              <w:t>“</w:t>
            </w:r>
            <w:r w:rsidR="009B0EBE" w:rsidRPr="00710CCD">
              <w:rPr>
                <w:rFonts w:eastAsia="Times New Roman"/>
                <w:lang w:eastAsia="lv-LV"/>
              </w:rPr>
              <w:t xml:space="preserve">Noteikumi par muitošanas režīma – preču iznīcināšana </w:t>
            </w:r>
            <w:r w:rsidR="003F1901" w:rsidRPr="00710CCD">
              <w:rPr>
                <w:rFonts w:eastAsia="Times New Roman"/>
                <w:lang w:eastAsia="lv-LV"/>
              </w:rPr>
              <w:t>–</w:t>
            </w:r>
            <w:r w:rsidR="009B0EBE" w:rsidRPr="00710CCD">
              <w:rPr>
                <w:rFonts w:eastAsia="Times New Roman"/>
                <w:lang w:eastAsia="lv-LV"/>
              </w:rPr>
              <w:t xml:space="preserve"> piemērošanu</w:t>
            </w:r>
            <w:r w:rsidR="00D97CF8" w:rsidRPr="00710CCD">
              <w:t>”</w:t>
            </w:r>
            <w:r w:rsidR="00AE47E4" w:rsidRPr="00710CCD">
              <w:t xml:space="preserve"> (turpmāk – </w:t>
            </w:r>
            <w:r w:rsidR="00773E70" w:rsidRPr="00710CCD">
              <w:t xml:space="preserve">MK </w:t>
            </w:r>
            <w:r w:rsidR="00AE47E4" w:rsidRPr="00710CCD">
              <w:t>noteikumi Nr.</w:t>
            </w:r>
            <w:r w:rsidR="009B0EBE" w:rsidRPr="00710CCD">
              <w:t>34</w:t>
            </w:r>
            <w:r w:rsidR="00AE47E4" w:rsidRPr="00710CCD">
              <w:t>).</w:t>
            </w:r>
            <w:r w:rsidR="00E615DD" w:rsidRPr="00710CCD">
              <w:t xml:space="preserve"> </w:t>
            </w:r>
            <w:r w:rsidR="00973D7C" w:rsidRPr="00710CCD">
              <w:t xml:space="preserve">Kārtība </w:t>
            </w:r>
            <w:r w:rsidR="00E615DD" w:rsidRPr="00710CCD">
              <w:t>par atteikšanos no precēm par labu valstij</w:t>
            </w:r>
            <w:r w:rsidR="00773E70" w:rsidRPr="00710CCD">
              <w:t xml:space="preserve"> tika noteikta </w:t>
            </w:r>
            <w:r w:rsidR="00E04E77" w:rsidRPr="00710CCD">
              <w:t xml:space="preserve">2004.gada 18.marta </w:t>
            </w:r>
            <w:r w:rsidR="00973D7C" w:rsidRPr="00710CCD">
              <w:t>Muitas likumā</w:t>
            </w:r>
            <w:r w:rsidR="00B90EBA" w:rsidRPr="00710CCD">
              <w:t xml:space="preserve">, kas zaudējis spēku ar </w:t>
            </w:r>
            <w:r w:rsidR="002A5CC9" w:rsidRPr="00710CCD">
              <w:t>2016.gada 2.jūnija Muitas l</w:t>
            </w:r>
            <w:r w:rsidR="00B90EBA" w:rsidRPr="00710CCD">
              <w:t>ikum</w:t>
            </w:r>
            <w:r w:rsidR="002A5CC9" w:rsidRPr="00710CCD">
              <w:t>u</w:t>
            </w:r>
            <w:r w:rsidR="00BB0B1B" w:rsidRPr="00710CCD">
              <w:t xml:space="preserve"> (turpmāk – Likums)</w:t>
            </w:r>
            <w:r w:rsidR="00773E70" w:rsidRPr="00710CCD">
              <w:t xml:space="preserve">. </w:t>
            </w:r>
          </w:p>
          <w:p w14:paraId="6D1F8EB3" w14:textId="24C0EF36" w:rsidR="0052204D" w:rsidRPr="00710CCD" w:rsidRDefault="00773E70" w:rsidP="00710CCD">
            <w:pPr>
              <w:spacing w:after="120" w:line="240" w:lineRule="auto"/>
              <w:ind w:left="57" w:right="57"/>
              <w:jc w:val="both"/>
            </w:pPr>
            <w:r w:rsidRPr="00FF1314">
              <w:t>Saskaņā ar Likuma</w:t>
            </w:r>
            <w:r w:rsidR="00BB0B1B" w:rsidRPr="00FF1314">
              <w:t xml:space="preserve"> </w:t>
            </w:r>
            <w:r w:rsidR="003F1901" w:rsidRPr="00FF1314">
              <w:t>p</w:t>
            </w:r>
            <w:r w:rsidRPr="00FF1314">
              <w:t>ārejas noteikumu 2</w:t>
            </w:r>
            <w:r w:rsidR="00341A88" w:rsidRPr="00FF1314">
              <w:rPr>
                <w:vertAlign w:val="superscript"/>
              </w:rPr>
              <w:t>1</w:t>
            </w:r>
            <w:r w:rsidRPr="00FF1314">
              <w:t>.punktu līdz 201</w:t>
            </w:r>
            <w:r w:rsidR="00341A88" w:rsidRPr="00FF1314">
              <w:t>7</w:t>
            </w:r>
            <w:r w:rsidRPr="00FF1314">
              <w:t xml:space="preserve">.gada </w:t>
            </w:r>
            <w:r w:rsidR="00341A88" w:rsidRPr="00FF1314">
              <w:t>1</w:t>
            </w:r>
            <w:r w:rsidRPr="00FF1314">
              <w:t>.</w:t>
            </w:r>
            <w:r w:rsidR="00341A88" w:rsidRPr="00FF1314">
              <w:t xml:space="preserve">augustam </w:t>
            </w:r>
            <w:r w:rsidRPr="00FF1314">
              <w:t xml:space="preserve">jāizdod Ministru kabineta noteikumi, kas skar preču muitošanas kārtību un muitas procedūras. </w:t>
            </w:r>
            <w:r w:rsidR="00C30BC5" w:rsidRPr="00FF1314">
              <w:t>Ņemot vērā minēto</w:t>
            </w:r>
            <w:r w:rsidRPr="00FF1314">
              <w:t xml:space="preserve"> un atbilstoši Likumā noteiktajam pilnvarojumam</w:t>
            </w:r>
            <w:r w:rsidR="00030142" w:rsidRPr="00FF1314">
              <w:t>,</w:t>
            </w:r>
            <w:r w:rsidRPr="00FF1314">
              <w:t xml:space="preserve"> sagatavots </w:t>
            </w:r>
            <w:r w:rsidR="00AE47E4" w:rsidRPr="00FF1314">
              <w:t>Minis</w:t>
            </w:r>
            <w:r w:rsidR="009B0EBE" w:rsidRPr="00FF1314">
              <w:t xml:space="preserve">tru kabineta noteikumu projekts </w:t>
            </w:r>
            <w:r w:rsidR="009B0EBE" w:rsidRPr="00FF1314">
              <w:rPr>
                <w:rFonts w:eastAsia="Times New Roman"/>
                <w:lang w:eastAsia="lv-LV"/>
              </w:rPr>
              <w:t>“</w:t>
            </w:r>
            <w:r w:rsidR="00EC703D" w:rsidRPr="00FF1314">
              <w:t>P</w:t>
            </w:r>
            <w:r w:rsidR="00A562D4" w:rsidRPr="00FF1314">
              <w:t xml:space="preserve">reču </w:t>
            </w:r>
            <w:r w:rsidR="00973D7C" w:rsidRPr="00FF1314">
              <w:t>iznīcināšanas</w:t>
            </w:r>
            <w:r w:rsidR="00EC703D" w:rsidRPr="00FF1314">
              <w:t xml:space="preserve"> </w:t>
            </w:r>
            <w:r w:rsidR="00A562D4" w:rsidRPr="00FF1314">
              <w:t xml:space="preserve">un </w:t>
            </w:r>
            <w:r w:rsidR="00973D7C" w:rsidRPr="00FF1314">
              <w:t xml:space="preserve">atteikšanās </w:t>
            </w:r>
            <w:r w:rsidR="009B0EBE" w:rsidRPr="00FF1314">
              <w:t>no precēm par labu valstij piemērošan</w:t>
            </w:r>
            <w:r w:rsidR="00EC703D" w:rsidRPr="00FF1314">
              <w:t>as</w:t>
            </w:r>
            <w:r w:rsidR="00EC703D" w:rsidRPr="00FF1314">
              <w:rPr>
                <w:rFonts w:eastAsia="Times New Roman"/>
                <w:lang w:eastAsia="lv-LV"/>
              </w:rPr>
              <w:t xml:space="preserve"> kārtība</w:t>
            </w:r>
            <w:r w:rsidRPr="00FF1314">
              <w:rPr>
                <w:rFonts w:eastAsia="Times New Roman"/>
                <w:lang w:eastAsia="lv-LV"/>
              </w:rPr>
              <w:t>”</w:t>
            </w:r>
            <w:r w:rsidR="00AE47E4" w:rsidRPr="00FF1314">
              <w:t xml:space="preserve"> (turpmāk – noteikumu projekts).</w:t>
            </w:r>
          </w:p>
          <w:p w14:paraId="5C1DC575" w14:textId="0A3DCEAB" w:rsidR="00384462" w:rsidRPr="00710CCD" w:rsidRDefault="001077E9" w:rsidP="00710CCD">
            <w:pPr>
              <w:spacing w:after="120" w:line="240" w:lineRule="auto"/>
              <w:ind w:left="57" w:right="57"/>
              <w:jc w:val="both"/>
            </w:pPr>
            <w:r w:rsidRPr="00710CCD">
              <w:t>1</w:t>
            </w:r>
            <w:r w:rsidR="003F1901" w:rsidRPr="00710CCD">
              <w:t xml:space="preserve">. </w:t>
            </w:r>
            <w:r w:rsidRPr="00710CCD">
              <w:t>Noteikumu projekta 2.punkts</w:t>
            </w:r>
            <w:r w:rsidR="00384462" w:rsidRPr="00710CCD">
              <w:t xml:space="preserve"> paredz, ka  </w:t>
            </w:r>
            <w:proofErr w:type="spellStart"/>
            <w:r w:rsidRPr="00710CCD">
              <w:t>ā</w:t>
            </w:r>
            <w:r w:rsidR="00384462" w:rsidRPr="00710CCD">
              <w:t>rpussavienības</w:t>
            </w:r>
            <w:proofErr w:type="spellEnd"/>
            <w:r w:rsidR="00384462" w:rsidRPr="00710CCD">
              <w:t xml:space="preserve"> preci, kas atzīta par valstij piekritīgu mantu, iznīcina saskaņā ar valstij piekritīgās mantas iznīcināšanu reglamentējošiem normatīvajiem aktiem</w:t>
            </w:r>
            <w:r w:rsidRPr="00710CCD">
              <w:t xml:space="preserve"> (</w:t>
            </w:r>
            <w:r w:rsidRPr="00710CCD">
              <w:rPr>
                <w:bCs/>
                <w:shd w:val="clear" w:color="auto" w:fill="FFFFFF"/>
              </w:rPr>
              <w:t>Ministru kabineta 2</w:t>
            </w:r>
            <w:r w:rsidRPr="00710CCD">
              <w:rPr>
                <w:shd w:val="clear" w:color="auto" w:fill="FFFFFF"/>
              </w:rPr>
              <w:t xml:space="preserve">013.gada 26.novembra </w:t>
            </w:r>
            <w:r w:rsidRPr="00710CCD">
              <w:rPr>
                <w:bCs/>
                <w:shd w:val="clear" w:color="auto" w:fill="FFFFFF"/>
              </w:rPr>
              <w:t>noteikumi Nr.1354</w:t>
            </w:r>
            <w:r w:rsidRPr="00710CCD">
              <w:rPr>
                <w:rStyle w:val="apple-converted-space"/>
                <w:rFonts w:cs="Times New Roman"/>
                <w:szCs w:val="24"/>
                <w:shd w:val="clear" w:color="auto" w:fill="FFFFFF"/>
              </w:rPr>
              <w:t xml:space="preserve"> “</w:t>
            </w:r>
            <w:r w:rsidRPr="00710CCD">
              <w:rPr>
                <w:bCs/>
                <w:shd w:val="clear" w:color="auto" w:fill="FFFFFF"/>
              </w:rPr>
              <w:t>Kārtība, kādā veicama valstij piekritīgās mantas uzskaite, novērtēšana, realizācija, nodošana bez maksas, iznīcināšana un realizācijas ieņēmumu ieskaitīšana valsts budžetā</w:t>
            </w:r>
            <w:r w:rsidRPr="00710CCD">
              <w:rPr>
                <w:rStyle w:val="apple-converted-space"/>
                <w:rFonts w:cs="Times New Roman"/>
                <w:szCs w:val="24"/>
                <w:shd w:val="clear" w:color="auto" w:fill="FFFFFF"/>
              </w:rPr>
              <w:t>”</w:t>
            </w:r>
            <w:r w:rsidRPr="00710CCD">
              <w:t>).</w:t>
            </w:r>
          </w:p>
          <w:p w14:paraId="536D23CA" w14:textId="40431254" w:rsidR="00844B43" w:rsidRPr="00710CCD" w:rsidRDefault="00F20269" w:rsidP="00710CCD">
            <w:pPr>
              <w:spacing w:after="120" w:line="240" w:lineRule="auto"/>
              <w:ind w:left="57" w:right="57"/>
              <w:jc w:val="both"/>
            </w:pPr>
            <w:r w:rsidRPr="00710CCD">
              <w:t>2</w:t>
            </w:r>
            <w:r w:rsidR="003F1901" w:rsidRPr="00710CCD">
              <w:t xml:space="preserve">. </w:t>
            </w:r>
            <w:r w:rsidR="00844B43" w:rsidRPr="00710CCD">
              <w:t xml:space="preserve">Ar 2016.gada 1.maiju tiek </w:t>
            </w:r>
            <w:r w:rsidR="00670783" w:rsidRPr="00710CCD">
              <w:t xml:space="preserve">piemērota </w:t>
            </w:r>
            <w:r w:rsidR="00844B43" w:rsidRPr="00710CCD">
              <w:t>Eiropas Parlamenta un Padomes 2013.gada 9.oktobra regula Nr.952/2013 (ES)</w:t>
            </w:r>
            <w:r w:rsidR="003F1901" w:rsidRPr="00710CCD">
              <w:t>,</w:t>
            </w:r>
            <w:r w:rsidR="00844B43" w:rsidRPr="00710CCD">
              <w:t xml:space="preserve"> ar ko izveido Savienības Muitas kodeksu (turpmāk – </w:t>
            </w:r>
            <w:r w:rsidR="003F1901" w:rsidRPr="00710CCD">
              <w:t>R</w:t>
            </w:r>
            <w:r w:rsidR="00844B43" w:rsidRPr="00710CCD">
              <w:t>egula Nr.952/2013)</w:t>
            </w:r>
            <w:r w:rsidR="00844B43" w:rsidRPr="00710CCD">
              <w:rPr>
                <w:iCs/>
              </w:rPr>
              <w:t xml:space="preserve"> </w:t>
            </w:r>
            <w:r w:rsidR="00844B43" w:rsidRPr="00710CCD">
              <w:t xml:space="preserve">(publicēta </w:t>
            </w:r>
            <w:r w:rsidR="003F1901" w:rsidRPr="00710CCD">
              <w:t xml:space="preserve">Eiropas Savienības </w:t>
            </w:r>
            <w:r w:rsidR="00844B43" w:rsidRPr="00710CCD">
              <w:t>Oficiālajā Vēstnesī L269, 10.10.2013</w:t>
            </w:r>
            <w:r w:rsidR="00670783" w:rsidRPr="00710CCD">
              <w:t>.</w:t>
            </w:r>
            <w:r w:rsidR="00844B43" w:rsidRPr="00710CCD">
              <w:t xml:space="preserve">). Papildus Eiropas Komisija saskaņā ar Regulā Nr.952/2013 ietvertajām deleģēšanas un īstenošanas normām ir izstrādājusi </w:t>
            </w:r>
            <w:r w:rsidR="003F1901" w:rsidRPr="00710CCD">
              <w:t>R</w:t>
            </w:r>
            <w:r w:rsidR="00844B43" w:rsidRPr="00710CCD">
              <w:t xml:space="preserve">egulas Nr.952/2013 </w:t>
            </w:r>
            <w:r w:rsidR="003F1901" w:rsidRPr="00710CCD">
              <w:t>d</w:t>
            </w:r>
            <w:r w:rsidR="00844B43" w:rsidRPr="00710CCD">
              <w:t>eleģēto</w:t>
            </w:r>
            <w:r w:rsidR="003F1901" w:rsidRPr="00710CCD">
              <w:t>s</w:t>
            </w:r>
            <w:r w:rsidR="00844B43" w:rsidRPr="00710CCD">
              <w:t xml:space="preserve"> un </w:t>
            </w:r>
            <w:r w:rsidR="003F1901" w:rsidRPr="00710CCD">
              <w:t>ī</w:t>
            </w:r>
            <w:r w:rsidR="00844B43" w:rsidRPr="00710CCD">
              <w:t xml:space="preserve">stenošanas aktus: </w:t>
            </w:r>
          </w:p>
          <w:p w14:paraId="1D02CBBC" w14:textId="6945B60A" w:rsidR="00844B43" w:rsidRPr="00710CCD" w:rsidRDefault="00844B43" w:rsidP="00710CCD">
            <w:pPr>
              <w:spacing w:after="120" w:line="240" w:lineRule="auto"/>
              <w:ind w:left="57" w:right="57"/>
              <w:jc w:val="both"/>
            </w:pPr>
            <w:r w:rsidRPr="00710CCD">
              <w:t xml:space="preserve">- Komisijas 2015.gada 28.jūlija Deleģētā regula (ES) Nr.2015/2446, ar ko papildina Eiropas Parlamenta un Padomes Regulu (ES) Nr.952/2013 attiecībā uz sīki izstrādātiem noteikumiem, kuri attiecas uz dažiem Savienības Muitas kodeksa noteikumiem (turpmāk – </w:t>
            </w:r>
            <w:r w:rsidR="003F1901" w:rsidRPr="00710CCD">
              <w:t>R</w:t>
            </w:r>
            <w:r w:rsidRPr="00710CCD">
              <w:t xml:space="preserve">egula Nr.2015/2446) (publicēta </w:t>
            </w:r>
            <w:r w:rsidR="00A340B0" w:rsidRPr="00710CCD">
              <w:t xml:space="preserve">Eiropas Savienības </w:t>
            </w:r>
            <w:r w:rsidRPr="00710CCD">
              <w:t>Oficiālajā Vēstnesī L343, 29.12.2015</w:t>
            </w:r>
            <w:r w:rsidR="00A340B0" w:rsidRPr="00710CCD">
              <w:t>.</w:t>
            </w:r>
            <w:r w:rsidRPr="00710CCD">
              <w:t>)</w:t>
            </w:r>
            <w:r w:rsidR="003F1901" w:rsidRPr="00710CCD">
              <w:t>;</w:t>
            </w:r>
          </w:p>
          <w:p w14:paraId="0F4EAC7D" w14:textId="7F568D0F" w:rsidR="00844B43" w:rsidRPr="00710CCD" w:rsidRDefault="00844B43" w:rsidP="00710CCD">
            <w:pPr>
              <w:spacing w:after="120" w:line="240" w:lineRule="auto"/>
              <w:ind w:left="57" w:right="57"/>
              <w:jc w:val="both"/>
            </w:pPr>
            <w:r w:rsidRPr="00710CCD">
              <w:lastRenderedPageBreak/>
              <w:t xml:space="preserve">- Komisijas 2015.gada 24.novembra Īstenošanas regula (ES) Nr.2015/2447, ar ko paredz sīki izstrādātus noteikumus, kas vajadzīgi, lai īstenotu konkrētus noteikumus Eiropas Parlamenta un Padomes regulā (ES) Nr.952/2013, ar ko izveido Savienības Muitas kodeksu (turpmāk – </w:t>
            </w:r>
            <w:r w:rsidR="003F1901" w:rsidRPr="00710CCD">
              <w:t>R</w:t>
            </w:r>
            <w:r w:rsidRPr="00710CCD">
              <w:t xml:space="preserve">egula Nr.2015/2447) (publicēta </w:t>
            </w:r>
            <w:r w:rsidR="00670783" w:rsidRPr="00710CCD">
              <w:t xml:space="preserve">Eiropas Savienības </w:t>
            </w:r>
            <w:r w:rsidRPr="00710CCD">
              <w:t>Oficiālajā Vēstnesī L343, 29.12.2015</w:t>
            </w:r>
            <w:r w:rsidR="00A340B0" w:rsidRPr="00710CCD">
              <w:t>.</w:t>
            </w:r>
            <w:r w:rsidRPr="00710CCD">
              <w:t xml:space="preserve">). </w:t>
            </w:r>
          </w:p>
          <w:p w14:paraId="583BEBEF" w14:textId="366E6672" w:rsidR="00844B43" w:rsidRPr="00710CCD" w:rsidRDefault="00844B43" w:rsidP="00710CCD">
            <w:pPr>
              <w:spacing w:after="120" w:line="240" w:lineRule="auto"/>
              <w:ind w:left="57" w:right="57"/>
              <w:jc w:val="both"/>
            </w:pPr>
            <w:r w:rsidRPr="00710CCD">
              <w:t>Noteikumu projekta II, III nodaļā tiek izdalīti vairāki preču iznīcināšanas procesi:</w:t>
            </w:r>
          </w:p>
          <w:p w14:paraId="0DD71654" w14:textId="445CEFC4" w:rsidR="00844B43" w:rsidRPr="00710CCD" w:rsidRDefault="003F1901" w:rsidP="00710CCD">
            <w:pPr>
              <w:spacing w:after="120" w:line="240" w:lineRule="auto"/>
              <w:ind w:left="57" w:right="57"/>
              <w:jc w:val="both"/>
            </w:pPr>
            <w:r w:rsidRPr="00710CCD">
              <w:t>1) p</w:t>
            </w:r>
            <w:r w:rsidR="00844B43" w:rsidRPr="00710CCD">
              <w:t>reču iznīcināšana pēc muitas dienesta pieprasījuma (tiek piemērota gadījumos, kad uz precēm attiecas aizliegumi vai ierobežojumi</w:t>
            </w:r>
            <w:r w:rsidR="00260C1B" w:rsidRPr="00710CCD">
              <w:t xml:space="preserve"> to ievešanai Eiropas Savienībā</w:t>
            </w:r>
            <w:r w:rsidR="00844B43" w:rsidRPr="00710CCD">
              <w:t>);</w:t>
            </w:r>
          </w:p>
          <w:p w14:paraId="0D8991EF" w14:textId="2CB51B06" w:rsidR="00844B43" w:rsidRPr="00710CCD" w:rsidRDefault="003F1901" w:rsidP="00710CCD">
            <w:pPr>
              <w:spacing w:after="120" w:line="240" w:lineRule="auto"/>
              <w:ind w:left="57" w:right="57"/>
              <w:jc w:val="both"/>
            </w:pPr>
            <w:r w:rsidRPr="00710CCD">
              <w:t>2) p</w:t>
            </w:r>
            <w:r w:rsidR="00844B43" w:rsidRPr="00710CCD">
              <w:t xml:space="preserve">reču iznīcināšana </w:t>
            </w:r>
            <w:r w:rsidR="009D2B8B" w:rsidRPr="00710CCD">
              <w:t>pēc personas pieprasījuma</w:t>
            </w:r>
            <w:r w:rsidR="00844B43" w:rsidRPr="00710CCD">
              <w:t xml:space="preserve"> (piem</w:t>
            </w:r>
            <w:r w:rsidR="00E1295F" w:rsidRPr="00710CCD">
              <w:t xml:space="preserve">ēro, ja precēm beidzies derīguma termiņš, bojāts iepakojums, </w:t>
            </w:r>
            <w:r w:rsidR="00565E54" w:rsidRPr="00710CCD">
              <w:t>nav C</w:t>
            </w:r>
            <w:r w:rsidRPr="00710CCD">
              <w:t>E</w:t>
            </w:r>
            <w:r w:rsidR="00565E54" w:rsidRPr="00710CCD">
              <w:t xml:space="preserve"> marķējuma un citos gadījumos)</w:t>
            </w:r>
            <w:r w:rsidR="00844B43" w:rsidRPr="00710CCD">
              <w:t>.</w:t>
            </w:r>
          </w:p>
          <w:p w14:paraId="47B9F54C" w14:textId="3ADA77CB" w:rsidR="00F20269" w:rsidRPr="00710CCD" w:rsidRDefault="00F60BB7" w:rsidP="00710CCD">
            <w:pPr>
              <w:spacing w:after="120" w:line="240" w:lineRule="auto"/>
              <w:ind w:left="57" w:right="57"/>
              <w:jc w:val="both"/>
            </w:pPr>
            <w:r w:rsidRPr="00710CCD">
              <w:t>Regulas Nr.952/2013 preambulas 50.apsvērumā minēts, ka, vienā procedūrā “ievešana pārstrādei” būtu jāiekļauj arī preču iznīcināšana, izņemot, ja iznīcināšanu veic muita.</w:t>
            </w:r>
          </w:p>
          <w:p w14:paraId="54887836" w14:textId="2B7C4EB2" w:rsidR="00C30BC5" w:rsidRPr="00710CCD" w:rsidRDefault="00C30BC5" w:rsidP="00710CCD">
            <w:pPr>
              <w:spacing w:after="120" w:line="240" w:lineRule="auto"/>
              <w:ind w:left="57" w:right="57"/>
              <w:jc w:val="both"/>
              <w:rPr>
                <w:color w:val="000000"/>
              </w:rPr>
            </w:pPr>
            <w:r w:rsidRPr="00710CCD">
              <w:t xml:space="preserve">Regulas Nr.952/2013 197.pants </w:t>
            </w:r>
            <w:r w:rsidR="00176FE5" w:rsidRPr="00710CCD">
              <w:t>noteic</w:t>
            </w:r>
            <w:r w:rsidRPr="00710CCD">
              <w:t xml:space="preserve">, </w:t>
            </w:r>
            <w:r w:rsidRPr="00710CCD">
              <w:rPr>
                <w:color w:val="000000"/>
              </w:rPr>
              <w:t>ja muitas dienestiem ir pamatoti iemesli tā rīkoties, tie var pieprasīt, lai muitai uzrādītās preces tiktu iznīcinātas, un muitas dienesti par to attiecīgi informē preču valdītāju. Iznīcināšanas izmaksas sedz preču valdītājs.</w:t>
            </w:r>
          </w:p>
          <w:p w14:paraId="0323F759" w14:textId="75E37DB3" w:rsidR="0031138D" w:rsidRPr="00710CCD" w:rsidRDefault="0031138D" w:rsidP="00710CCD">
            <w:pPr>
              <w:spacing w:after="120" w:line="240" w:lineRule="auto"/>
              <w:ind w:left="57" w:right="57"/>
              <w:jc w:val="both"/>
            </w:pPr>
            <w:r w:rsidRPr="00710CCD">
              <w:t xml:space="preserve">Saskaņā ar </w:t>
            </w:r>
            <w:r w:rsidR="006C314C" w:rsidRPr="00710CCD">
              <w:t>R</w:t>
            </w:r>
            <w:r w:rsidRPr="00710CCD">
              <w:t>egulas Nr.952/2013 5.panta 37.punkta c)</w:t>
            </w:r>
            <w:r w:rsidR="007A5344" w:rsidRPr="00710CCD">
              <w:t> </w:t>
            </w:r>
            <w:r w:rsidRPr="00710CCD">
              <w:t>apakšpunktu preču iznīcināšana</w:t>
            </w:r>
            <w:r w:rsidRPr="00710CCD" w:rsidDel="00417855">
              <w:t xml:space="preserve"> </w:t>
            </w:r>
            <w:r w:rsidRPr="00710CCD">
              <w:t>ir preču pārstrādes darbības veids.</w:t>
            </w:r>
          </w:p>
          <w:p w14:paraId="7E834D1B" w14:textId="04D466AD" w:rsidR="0031138D" w:rsidRPr="00710CCD" w:rsidRDefault="0031138D" w:rsidP="00710CCD">
            <w:pPr>
              <w:spacing w:after="120" w:line="240" w:lineRule="auto"/>
              <w:ind w:left="57" w:right="57"/>
              <w:jc w:val="both"/>
            </w:pPr>
            <w:r w:rsidRPr="00710CCD">
              <w:t xml:space="preserve">Regulas Nr.952/2013 198.pants nosaka </w:t>
            </w:r>
            <w:r w:rsidR="001077E9" w:rsidRPr="00710CCD">
              <w:t>muitas dienestam</w:t>
            </w:r>
            <w:r w:rsidRPr="00710CCD">
              <w:t xml:space="preserve"> </w:t>
            </w:r>
            <w:r w:rsidR="00A008E9" w:rsidRPr="00710CCD">
              <w:t xml:space="preserve">visus </w:t>
            </w:r>
            <w:r w:rsidRPr="00710CCD">
              <w:t>veicamos pasākumus</w:t>
            </w:r>
            <w:r w:rsidR="00A008E9" w:rsidRPr="00710CCD">
              <w:t>, kas saistīti ar preču atsavināšanu.</w:t>
            </w:r>
          </w:p>
          <w:p w14:paraId="36FFB970" w14:textId="42A59242" w:rsidR="00A008E9" w:rsidRPr="00710CCD" w:rsidRDefault="00A008E9" w:rsidP="00710CCD">
            <w:pPr>
              <w:spacing w:after="120" w:line="240" w:lineRule="auto"/>
              <w:ind w:left="57" w:right="57"/>
              <w:jc w:val="both"/>
              <w:rPr>
                <w:rFonts w:eastAsia="Times New Roman"/>
                <w:bCs/>
                <w:lang w:eastAsia="lv-LV"/>
              </w:rPr>
            </w:pPr>
            <w:r w:rsidRPr="00710CCD">
              <w:rPr>
                <w:rFonts w:eastAsia="Times New Roman"/>
                <w:lang w:eastAsia="lv-LV"/>
              </w:rPr>
              <w:t xml:space="preserve">Ņemot vērā </w:t>
            </w:r>
            <w:r w:rsidRPr="00710CCD">
              <w:t>Regulas Nr.952/2013 197.pantā noteikto</w:t>
            </w:r>
            <w:r w:rsidR="006C314C" w:rsidRPr="00710CCD">
              <w:t>,</w:t>
            </w:r>
            <w:r w:rsidRPr="00710CCD">
              <w:t xml:space="preserve"> noteikumu projekta</w:t>
            </w:r>
            <w:r w:rsidRPr="00710CCD">
              <w:rPr>
                <w:rFonts w:eastAsia="Times New Roman"/>
                <w:lang w:eastAsia="lv-LV"/>
              </w:rPr>
              <w:t xml:space="preserve"> </w:t>
            </w:r>
            <w:r w:rsidR="00F60BB7" w:rsidRPr="00710CCD">
              <w:rPr>
                <w:rFonts w:eastAsia="Times New Roman"/>
                <w:lang w:eastAsia="lv-LV"/>
              </w:rPr>
              <w:t>3</w:t>
            </w:r>
            <w:r w:rsidR="0035527C" w:rsidRPr="00710CCD">
              <w:rPr>
                <w:rFonts w:eastAsia="Times New Roman"/>
                <w:lang w:eastAsia="lv-LV"/>
              </w:rPr>
              <w:t xml:space="preserve">. līdz </w:t>
            </w:r>
            <w:r w:rsidR="00341A88" w:rsidRPr="00710CCD">
              <w:rPr>
                <w:rFonts w:eastAsia="Times New Roman"/>
                <w:lang w:eastAsia="lv-LV"/>
              </w:rPr>
              <w:t>5</w:t>
            </w:r>
            <w:r w:rsidR="0035527C" w:rsidRPr="00710CCD">
              <w:rPr>
                <w:rFonts w:eastAsia="Times New Roman"/>
                <w:lang w:eastAsia="lv-LV"/>
              </w:rPr>
              <w:t>.punkt</w:t>
            </w:r>
            <w:r w:rsidRPr="00710CCD">
              <w:rPr>
                <w:rFonts w:eastAsia="Times New Roman"/>
                <w:lang w:eastAsia="lv-LV"/>
              </w:rPr>
              <w:t>s</w:t>
            </w:r>
            <w:r w:rsidR="0035527C" w:rsidRPr="00710CCD">
              <w:rPr>
                <w:rFonts w:eastAsia="Times New Roman"/>
                <w:lang w:eastAsia="lv-LV"/>
              </w:rPr>
              <w:t xml:space="preserve"> </w:t>
            </w:r>
            <w:r w:rsidRPr="00710CCD">
              <w:rPr>
                <w:rFonts w:eastAsia="Times New Roman"/>
                <w:lang w:eastAsia="lv-LV"/>
              </w:rPr>
              <w:t xml:space="preserve">paredz </w:t>
            </w:r>
            <w:r w:rsidR="00341ADD" w:rsidRPr="00710CCD">
              <w:rPr>
                <w:rFonts w:eastAsia="Times New Roman"/>
                <w:lang w:eastAsia="lv-LV"/>
              </w:rPr>
              <w:t>kartību</w:t>
            </w:r>
            <w:r w:rsidR="0035527C" w:rsidRPr="00710CCD">
              <w:rPr>
                <w:rFonts w:eastAsia="Times New Roman"/>
                <w:lang w:eastAsia="lv-LV"/>
              </w:rPr>
              <w:t xml:space="preserve">, kādā tiek piemērota preču iznīcināšana </w:t>
            </w:r>
            <w:r w:rsidRPr="00710CCD">
              <w:rPr>
                <w:rFonts w:eastAsia="Times New Roman"/>
                <w:lang w:eastAsia="lv-LV"/>
              </w:rPr>
              <w:t xml:space="preserve">precēm, kuras minētas </w:t>
            </w:r>
            <w:r w:rsidRPr="00710CCD">
              <w:t>Regulas Nr.952/2013 198.panta 1.punkta b)</w:t>
            </w:r>
            <w:r w:rsidR="008C020B" w:rsidRPr="00710CCD">
              <w:t xml:space="preserve"> </w:t>
            </w:r>
            <w:r w:rsidRPr="00710CCD">
              <w:t xml:space="preserve">apakšpunkta </w:t>
            </w:r>
            <w:r w:rsidR="006C314C" w:rsidRPr="00710CCD">
              <w:t>ceturtajā</w:t>
            </w:r>
            <w:r w:rsidR="008C020B" w:rsidRPr="00710CCD">
              <w:t xml:space="preserve"> </w:t>
            </w:r>
            <w:r w:rsidR="00E0461D" w:rsidRPr="00710CCD">
              <w:t>ie</w:t>
            </w:r>
            <w:r w:rsidRPr="00710CCD">
              <w:t xml:space="preserve">vilkumā, proti muitas dienesti veic visus vajadzīgos pasākumus – tostarp konfiskāciju un pārdošanu vai arī iznīcināšanu </w:t>
            </w:r>
            <w:r w:rsidR="003504C7" w:rsidRPr="00710CCD">
              <w:t>–</w:t>
            </w:r>
            <w:r w:rsidRPr="00710CCD">
              <w:t>, lai atsavinātu preces gadījumos, ja preces nevar izlaist sakarā ar to, ka uz tām attiec</w:t>
            </w:r>
            <w:r w:rsidR="006C314C" w:rsidRPr="00710CCD">
              <w:t>a</w:t>
            </w:r>
            <w:r w:rsidRPr="00710CCD">
              <w:t>s aizliegumi</w:t>
            </w:r>
            <w:r w:rsidR="004D7969" w:rsidRPr="00710CCD">
              <w:t xml:space="preserve"> </w:t>
            </w:r>
            <w:r w:rsidRPr="00710CCD">
              <w:t xml:space="preserve"> vai ierobežojumi</w:t>
            </w:r>
            <w:r w:rsidR="006E462A" w:rsidRPr="00710CCD">
              <w:t>.</w:t>
            </w:r>
          </w:p>
          <w:p w14:paraId="146A8959" w14:textId="417E9B78" w:rsidR="00DC4BB0" w:rsidRPr="00710CCD" w:rsidRDefault="00A008E9" w:rsidP="00710CCD">
            <w:pPr>
              <w:spacing w:after="120" w:line="240" w:lineRule="auto"/>
              <w:ind w:left="57" w:right="57"/>
              <w:jc w:val="both"/>
              <w:rPr>
                <w:rFonts w:eastAsia="Times New Roman"/>
                <w:lang w:eastAsia="lv-LV"/>
              </w:rPr>
            </w:pPr>
            <w:r w:rsidRPr="00710CCD">
              <w:t>Regulas Nr.952/2013 198.pant</w:t>
            </w:r>
            <w:r w:rsidR="0099143E" w:rsidRPr="00710CCD">
              <w:t>a</w:t>
            </w:r>
            <w:r w:rsidRPr="00710CCD" w:rsidDel="00A008E9">
              <w:rPr>
                <w:rFonts w:eastAsia="Times New Roman"/>
                <w:lang w:eastAsia="lv-LV"/>
              </w:rPr>
              <w:t xml:space="preserve"> </w:t>
            </w:r>
            <w:r w:rsidRPr="00710CCD">
              <w:t>1.punkta b)</w:t>
            </w:r>
            <w:r w:rsidR="00240354" w:rsidRPr="00710CCD">
              <w:t xml:space="preserve"> </w:t>
            </w:r>
            <w:r w:rsidRPr="00710CCD">
              <w:t xml:space="preserve">apakšpunkta </w:t>
            </w:r>
            <w:r w:rsidR="006C314C" w:rsidRPr="00710CCD">
              <w:t>ceturtajā</w:t>
            </w:r>
            <w:r w:rsidR="00240354" w:rsidRPr="00710CCD">
              <w:t xml:space="preserve"> </w:t>
            </w:r>
            <w:r w:rsidR="00E0461D" w:rsidRPr="00710CCD">
              <w:t>ie</w:t>
            </w:r>
            <w:r w:rsidRPr="00710CCD">
              <w:t>vilkumā</w:t>
            </w:r>
            <w:r w:rsidRPr="00710CCD" w:rsidDel="00A008E9">
              <w:rPr>
                <w:rFonts w:eastAsia="Times New Roman"/>
                <w:lang w:eastAsia="lv-LV"/>
              </w:rPr>
              <w:t xml:space="preserve"> </w:t>
            </w:r>
            <w:r w:rsidR="0099143E" w:rsidRPr="00710CCD">
              <w:rPr>
                <w:rFonts w:eastAsia="Times New Roman"/>
                <w:lang w:eastAsia="lv-LV"/>
              </w:rPr>
              <w:t xml:space="preserve">minētie </w:t>
            </w:r>
            <w:r w:rsidRPr="00710CCD">
              <w:rPr>
                <w:rFonts w:eastAsia="Times New Roman"/>
                <w:lang w:eastAsia="lv-LV"/>
              </w:rPr>
              <w:t>aizliegumi</w:t>
            </w:r>
            <w:r w:rsidR="0099143E" w:rsidRPr="00710CCD">
              <w:rPr>
                <w:rFonts w:eastAsia="Times New Roman"/>
                <w:lang w:eastAsia="lv-LV"/>
              </w:rPr>
              <w:t xml:space="preserve"> </w:t>
            </w:r>
            <w:r w:rsidRPr="00710CCD">
              <w:rPr>
                <w:rFonts w:eastAsia="Times New Roman"/>
                <w:lang w:eastAsia="lv-LV"/>
              </w:rPr>
              <w:t xml:space="preserve">vai </w:t>
            </w:r>
            <w:r w:rsidR="007A4DD9" w:rsidRPr="00710CCD">
              <w:rPr>
                <w:rFonts w:eastAsia="Times New Roman"/>
                <w:lang w:eastAsia="lv-LV"/>
              </w:rPr>
              <w:t>ierobežojumi</w:t>
            </w:r>
            <w:r w:rsidRPr="00710CCD">
              <w:rPr>
                <w:rFonts w:eastAsia="Times New Roman"/>
                <w:lang w:eastAsia="lv-LV"/>
              </w:rPr>
              <w:t xml:space="preserve"> </w:t>
            </w:r>
            <w:r w:rsidR="0099143E" w:rsidRPr="00710CCD">
              <w:rPr>
                <w:rFonts w:eastAsia="Times New Roman"/>
                <w:lang w:eastAsia="lv-LV"/>
              </w:rPr>
              <w:t>var būt</w:t>
            </w:r>
            <w:r w:rsidR="00E0461D" w:rsidRPr="00710CCD">
              <w:rPr>
                <w:rFonts w:eastAsia="Times New Roman"/>
                <w:lang w:eastAsia="lv-LV"/>
              </w:rPr>
              <w:t>,</w:t>
            </w:r>
            <w:r w:rsidR="0099143E" w:rsidRPr="00710CCD">
              <w:rPr>
                <w:rFonts w:eastAsia="Times New Roman"/>
                <w:lang w:eastAsia="lv-LV"/>
              </w:rPr>
              <w:t xml:space="preserve"> piem</w:t>
            </w:r>
            <w:r w:rsidR="00E0461D" w:rsidRPr="00710CCD">
              <w:rPr>
                <w:rFonts w:eastAsia="Times New Roman"/>
                <w:lang w:eastAsia="lv-LV"/>
              </w:rPr>
              <w:t>ēram</w:t>
            </w:r>
            <w:r w:rsidR="0099143E" w:rsidRPr="00710CCD">
              <w:rPr>
                <w:rFonts w:eastAsia="Times New Roman"/>
                <w:lang w:eastAsia="lv-LV"/>
              </w:rPr>
              <w:t>,</w:t>
            </w:r>
            <w:r w:rsidR="003F3942" w:rsidRPr="00710CCD">
              <w:rPr>
                <w:rFonts w:eastAsia="Times New Roman"/>
                <w:lang w:eastAsia="lv-LV"/>
              </w:rPr>
              <w:t xml:space="preserve"> </w:t>
            </w:r>
            <w:r w:rsidR="0099143E" w:rsidRPr="00710CCD">
              <w:rPr>
                <w:rFonts w:eastAsia="Times New Roman"/>
                <w:lang w:eastAsia="lv-LV"/>
              </w:rPr>
              <w:t xml:space="preserve">ja </w:t>
            </w:r>
            <w:r w:rsidR="003F3942" w:rsidRPr="00710CCD">
              <w:rPr>
                <w:rFonts w:eastAsia="Times New Roman"/>
                <w:lang w:eastAsia="lv-LV"/>
              </w:rPr>
              <w:t>prec</w:t>
            </w:r>
            <w:r w:rsidR="0099143E" w:rsidRPr="00710CCD">
              <w:rPr>
                <w:rFonts w:eastAsia="Times New Roman"/>
                <w:lang w:eastAsia="lv-LV"/>
              </w:rPr>
              <w:t>ēm</w:t>
            </w:r>
            <w:r w:rsidR="003F3942" w:rsidRPr="00710CCD">
              <w:rPr>
                <w:rFonts w:eastAsia="Times New Roman"/>
                <w:lang w:eastAsia="lv-LV"/>
              </w:rPr>
              <w:t xml:space="preserve"> nav C</w:t>
            </w:r>
            <w:r w:rsidR="00E0461D" w:rsidRPr="00710CCD">
              <w:rPr>
                <w:rFonts w:eastAsia="Times New Roman"/>
                <w:lang w:eastAsia="lv-LV"/>
              </w:rPr>
              <w:t>E</w:t>
            </w:r>
            <w:r w:rsidR="003F3942" w:rsidRPr="00710CCD">
              <w:rPr>
                <w:rFonts w:eastAsia="Times New Roman"/>
                <w:lang w:eastAsia="lv-LV"/>
              </w:rPr>
              <w:t xml:space="preserve"> marķējuma, prec</w:t>
            </w:r>
            <w:r w:rsidR="0099143E" w:rsidRPr="00710CCD">
              <w:rPr>
                <w:rFonts w:eastAsia="Times New Roman"/>
                <w:lang w:eastAsia="lv-LV"/>
              </w:rPr>
              <w:t>ēm</w:t>
            </w:r>
            <w:r w:rsidR="003F3942" w:rsidRPr="00710CCD">
              <w:rPr>
                <w:rFonts w:eastAsia="Times New Roman"/>
                <w:lang w:eastAsia="lv-LV"/>
              </w:rPr>
              <w:t xml:space="preserve"> beidzies derīguma termiņš un citi gadījumi.</w:t>
            </w:r>
            <w:r w:rsidR="00260C1B" w:rsidRPr="00710CCD">
              <w:rPr>
                <w:rFonts w:eastAsia="Times New Roman"/>
                <w:lang w:eastAsia="lv-LV"/>
              </w:rPr>
              <w:t xml:space="preserve"> </w:t>
            </w:r>
            <w:r w:rsidR="00014916" w:rsidRPr="00710CCD">
              <w:rPr>
                <w:rFonts w:eastAsia="Times New Roman"/>
                <w:lang w:eastAsia="lv-LV"/>
              </w:rPr>
              <w:t>S</w:t>
            </w:r>
            <w:r w:rsidR="00F60BB7" w:rsidRPr="00710CCD">
              <w:rPr>
                <w:rFonts w:eastAsia="Times New Roman"/>
                <w:lang w:eastAsia="lv-LV"/>
              </w:rPr>
              <w:t>askaņā ar noteikumu projekta 3</w:t>
            </w:r>
            <w:r w:rsidR="00341ADD" w:rsidRPr="00710CCD">
              <w:rPr>
                <w:rFonts w:eastAsia="Times New Roman"/>
                <w:lang w:eastAsia="lv-LV"/>
              </w:rPr>
              <w:t>.punktu Valsts ieņēmumu dienests</w:t>
            </w:r>
            <w:r w:rsidR="0099143E" w:rsidRPr="00710CCD">
              <w:rPr>
                <w:rFonts w:eastAsia="Times New Roman"/>
                <w:lang w:eastAsia="lv-LV"/>
              </w:rPr>
              <w:t xml:space="preserve"> (turpmāk – VID)</w:t>
            </w:r>
            <w:r w:rsidR="00341ADD" w:rsidRPr="00710CCD">
              <w:rPr>
                <w:rFonts w:eastAsia="Times New Roman"/>
                <w:lang w:eastAsia="lv-LV"/>
              </w:rPr>
              <w:t xml:space="preserve"> pieņem lēmumu par </w:t>
            </w:r>
            <w:r w:rsidR="00341ADD" w:rsidRPr="00710CCD">
              <w:t>Regulas Nr.952/2013 198.pantā</w:t>
            </w:r>
            <w:r w:rsidR="00341ADD" w:rsidRPr="00710CCD" w:rsidDel="00A008E9">
              <w:rPr>
                <w:rFonts w:eastAsia="Times New Roman"/>
                <w:lang w:eastAsia="lv-LV"/>
              </w:rPr>
              <w:t xml:space="preserve"> </w:t>
            </w:r>
            <w:r w:rsidR="00341ADD" w:rsidRPr="00710CCD">
              <w:t xml:space="preserve">1.punkta b) apakšpunkta </w:t>
            </w:r>
            <w:r w:rsidR="00E0461D" w:rsidRPr="00710CCD">
              <w:t>ceturtajā ie</w:t>
            </w:r>
            <w:r w:rsidR="00341ADD" w:rsidRPr="00710CCD">
              <w:t>vilkumā</w:t>
            </w:r>
            <w:r w:rsidR="00341ADD" w:rsidRPr="00710CCD" w:rsidDel="00A008E9">
              <w:rPr>
                <w:rFonts w:eastAsia="Times New Roman"/>
                <w:lang w:eastAsia="lv-LV"/>
              </w:rPr>
              <w:t xml:space="preserve"> </w:t>
            </w:r>
            <w:r w:rsidR="00341ADD" w:rsidRPr="00710CCD">
              <w:rPr>
                <w:rFonts w:eastAsia="Times New Roman"/>
                <w:lang w:eastAsia="lv-LV"/>
              </w:rPr>
              <w:t xml:space="preserve">minēto preču iznīcināšanu saskaņā ar </w:t>
            </w:r>
            <w:r w:rsidR="00341ADD" w:rsidRPr="00710CCD">
              <w:t>Regulas Nr.952/2013 197.pantā noteikto.</w:t>
            </w:r>
          </w:p>
          <w:p w14:paraId="62F75FDB" w14:textId="73DDAFB3" w:rsidR="007A4DD9" w:rsidRPr="00710CCD" w:rsidRDefault="00422596" w:rsidP="00710CCD">
            <w:pPr>
              <w:spacing w:after="120" w:line="240" w:lineRule="auto"/>
              <w:ind w:left="57" w:right="57"/>
              <w:jc w:val="both"/>
            </w:pPr>
            <w:r w:rsidRPr="00710CCD">
              <w:lastRenderedPageBreak/>
              <w:t xml:space="preserve">Saskaņā ar Valsts pārvaldes iekārtas likumā noteikto </w:t>
            </w:r>
            <w:r w:rsidR="0099143E" w:rsidRPr="00710CCD">
              <w:t xml:space="preserve">VID </w:t>
            </w:r>
            <w:r w:rsidRPr="00710CCD">
              <w:t>pieprasa informāciju</w:t>
            </w:r>
            <w:r w:rsidRPr="00710CCD">
              <w:rPr>
                <w:rFonts w:eastAsia="Times New Roman"/>
                <w:lang w:eastAsia="lv-LV"/>
              </w:rPr>
              <w:t xml:space="preserve"> </w:t>
            </w:r>
            <w:r w:rsidRPr="00710CCD">
              <w:t xml:space="preserve">Valsts vides dienestam </w:t>
            </w:r>
            <w:r w:rsidR="00014916" w:rsidRPr="00710CCD">
              <w:rPr>
                <w:rFonts w:eastAsia="Times New Roman"/>
                <w:lang w:eastAsia="lv-LV"/>
              </w:rPr>
              <w:t xml:space="preserve">par </w:t>
            </w:r>
            <w:r w:rsidR="00014916" w:rsidRPr="00710CCD">
              <w:t>attiecīgās preces iznīcināšanas vietu un veidu</w:t>
            </w:r>
            <w:r w:rsidRPr="00710CCD">
              <w:t>.</w:t>
            </w:r>
          </w:p>
          <w:p w14:paraId="0E23A3E3" w14:textId="58C56D4D" w:rsidR="00422596" w:rsidRPr="00710CCD" w:rsidRDefault="00422596" w:rsidP="00710CCD">
            <w:pPr>
              <w:spacing w:after="120" w:line="240" w:lineRule="auto"/>
              <w:ind w:left="57" w:right="57"/>
              <w:jc w:val="both"/>
            </w:pPr>
            <w:r w:rsidRPr="00710CCD">
              <w:t>Noteikumu projekta 4.p</w:t>
            </w:r>
            <w:r w:rsidR="00CD0BD4" w:rsidRPr="00710CCD">
              <w:t>u</w:t>
            </w:r>
            <w:r w:rsidRPr="00710CCD">
              <w:t xml:space="preserve">nkts paredz, ka preces var iznīcināt </w:t>
            </w:r>
            <w:r w:rsidRPr="00710CCD">
              <w:rPr>
                <w:bCs/>
              </w:rPr>
              <w:t xml:space="preserve">preču īpašnieks vai tā pilnvarotā persona, vai preču valdītājs. Šādos gadījumos preču iznīcināšana </w:t>
            </w:r>
            <w:r w:rsidRPr="00710CCD">
              <w:t>notiek muitas amatpersonu klātbūtnē.</w:t>
            </w:r>
            <w:bookmarkStart w:id="4" w:name="p10"/>
            <w:bookmarkStart w:id="5" w:name="p-420433"/>
            <w:bookmarkStart w:id="6" w:name="p11"/>
            <w:bookmarkStart w:id="7" w:name="p-420434"/>
            <w:bookmarkEnd w:id="4"/>
            <w:bookmarkEnd w:id="5"/>
            <w:bookmarkEnd w:id="6"/>
            <w:bookmarkEnd w:id="7"/>
            <w:r w:rsidRPr="00710CCD">
              <w:t xml:space="preserve"> Noteikumu projekta 5.punkts paredz, ka pēc preču iznīcināšanas muitas amatpersona aizpilda aktu par preces iznīcināšanu divos eksemplāros, viens eksemplārs tiek glabāts VID, savukārt otru izsniedz preču valdītājam. Akts par preces iznīcināšanu tiek noteikts noteikumu projekta pielikumā.</w:t>
            </w:r>
          </w:p>
          <w:p w14:paraId="020BCF14" w14:textId="3CA22F77" w:rsidR="000A553B" w:rsidRPr="00710CCD" w:rsidRDefault="00C20E02" w:rsidP="00710CCD">
            <w:pPr>
              <w:spacing w:after="120" w:line="240" w:lineRule="auto"/>
              <w:ind w:left="57" w:right="57"/>
              <w:jc w:val="both"/>
            </w:pPr>
            <w:r w:rsidRPr="00710CCD">
              <w:t>3</w:t>
            </w:r>
            <w:r w:rsidR="00CD2842" w:rsidRPr="00710CCD">
              <w:t xml:space="preserve">) </w:t>
            </w:r>
            <w:r w:rsidR="00E0461D" w:rsidRPr="00710CCD">
              <w:t>n</w:t>
            </w:r>
            <w:r w:rsidR="000A553B" w:rsidRPr="00710CCD">
              <w:t>oteikumu projekta III nodaļā minētā per</w:t>
            </w:r>
            <w:r w:rsidR="009D2B8B" w:rsidRPr="00710CCD">
              <w:t>s</w:t>
            </w:r>
            <w:r w:rsidR="000A553B" w:rsidRPr="00710CCD">
              <w:t xml:space="preserve">ona ir </w:t>
            </w:r>
            <w:r w:rsidR="009D2B8B" w:rsidRPr="00710CCD">
              <w:t>preču īpašnieks, tā pilnvarota persona, valdītājs vai saņēmējs.</w:t>
            </w:r>
          </w:p>
          <w:p w14:paraId="6F4A03FC" w14:textId="35FDF3DB" w:rsidR="006D2CB0" w:rsidRPr="00710CCD" w:rsidRDefault="00973D7C" w:rsidP="00710CCD">
            <w:pPr>
              <w:spacing w:after="120" w:line="240" w:lineRule="auto"/>
              <w:ind w:left="57" w:right="57"/>
              <w:jc w:val="both"/>
              <w:rPr>
                <w:rFonts w:eastAsia="Times New Roman"/>
                <w:lang w:eastAsia="lv-LV"/>
              </w:rPr>
            </w:pPr>
            <w:r w:rsidRPr="00710CCD">
              <w:t>N</w:t>
            </w:r>
            <w:r w:rsidR="00055422" w:rsidRPr="00710CCD">
              <w:rPr>
                <w:rFonts w:eastAsia="Times New Roman"/>
                <w:lang w:eastAsia="lv-LV"/>
              </w:rPr>
              <w:t xml:space="preserve">oteikumu </w:t>
            </w:r>
            <w:r w:rsidR="0035527C" w:rsidRPr="00710CCD">
              <w:rPr>
                <w:rFonts w:eastAsia="Times New Roman"/>
                <w:lang w:eastAsia="lv-LV"/>
              </w:rPr>
              <w:t xml:space="preserve">projekta </w:t>
            </w:r>
            <w:r w:rsidR="00CD0BD4" w:rsidRPr="00710CCD">
              <w:rPr>
                <w:rFonts w:eastAsia="Times New Roman"/>
                <w:lang w:eastAsia="lv-LV"/>
              </w:rPr>
              <w:t>6. līdz 11</w:t>
            </w:r>
            <w:r w:rsidR="0035527C" w:rsidRPr="00710CCD">
              <w:rPr>
                <w:rFonts w:eastAsia="Times New Roman"/>
                <w:lang w:eastAsia="lv-LV"/>
              </w:rPr>
              <w:t>.punkt</w:t>
            </w:r>
            <w:r w:rsidR="003F632D" w:rsidRPr="00710CCD">
              <w:rPr>
                <w:rFonts w:eastAsia="Times New Roman"/>
                <w:lang w:eastAsia="lv-LV"/>
              </w:rPr>
              <w:t>ā</w:t>
            </w:r>
            <w:r w:rsidR="009B18A1" w:rsidRPr="00710CCD">
              <w:rPr>
                <w:rFonts w:eastAsia="Times New Roman"/>
                <w:lang w:eastAsia="lv-LV"/>
              </w:rPr>
              <w:t xml:space="preserve"> noteikta kārtība</w:t>
            </w:r>
            <w:r w:rsidR="009B0EBE" w:rsidRPr="00710CCD">
              <w:rPr>
                <w:rFonts w:eastAsia="Times New Roman"/>
                <w:lang w:eastAsia="lv-LV"/>
              </w:rPr>
              <w:t>, kādā tiek piemērota preču iznīcināšana</w:t>
            </w:r>
            <w:r w:rsidR="00EC703D" w:rsidRPr="00710CCD">
              <w:rPr>
                <w:rFonts w:eastAsia="Times New Roman"/>
                <w:lang w:eastAsia="lv-LV"/>
              </w:rPr>
              <w:t xml:space="preserve"> gadījumos, ja to piesaka </w:t>
            </w:r>
            <w:r w:rsidR="00341ADD" w:rsidRPr="00710CCD">
              <w:rPr>
                <w:rFonts w:eastAsia="Times New Roman"/>
                <w:lang w:eastAsia="lv-LV"/>
              </w:rPr>
              <w:t>persona</w:t>
            </w:r>
            <w:r w:rsidR="00865B63" w:rsidRPr="00710CCD">
              <w:rPr>
                <w:rFonts w:eastAsia="Times New Roman"/>
                <w:lang w:eastAsia="lv-LV"/>
              </w:rPr>
              <w:t xml:space="preserve">, </w:t>
            </w:r>
            <w:r w:rsidR="003F632D" w:rsidRPr="00710CCD">
              <w:rPr>
                <w:rFonts w:eastAsia="Times New Roman"/>
                <w:lang w:eastAsia="lv-LV"/>
              </w:rPr>
              <w:t>kas iesniedz muitas deklarāciju vai kuras vārdā minētā deklarācija ir iesniegta, vai persona, kurai ir nodotas tiesības un pienākumi attiecībā uz muitas procedūru</w:t>
            </w:r>
            <w:r w:rsidR="00865B63" w:rsidRPr="00710CCD">
              <w:t>.</w:t>
            </w:r>
            <w:r w:rsidR="007D71E9" w:rsidRPr="00710CCD">
              <w:rPr>
                <w:rFonts w:eastAsia="Times New Roman"/>
                <w:lang w:eastAsia="lv-LV"/>
              </w:rPr>
              <w:t xml:space="preserve"> </w:t>
            </w:r>
            <w:r w:rsidR="00865B63" w:rsidRPr="00710CCD">
              <w:rPr>
                <w:rFonts w:eastAsia="Times New Roman"/>
                <w:lang w:eastAsia="lv-LV"/>
              </w:rPr>
              <w:t xml:space="preserve">Saskaņā ar noteikumu projekta </w:t>
            </w:r>
            <w:r w:rsidR="00CD0BD4" w:rsidRPr="00710CCD">
              <w:rPr>
                <w:rFonts w:eastAsia="Times New Roman"/>
                <w:lang w:eastAsia="lv-LV"/>
              </w:rPr>
              <w:t>6</w:t>
            </w:r>
            <w:r w:rsidR="00865B63" w:rsidRPr="00710CCD">
              <w:rPr>
                <w:rFonts w:eastAsia="Times New Roman"/>
                <w:lang w:eastAsia="lv-LV"/>
              </w:rPr>
              <w:t xml:space="preserve">.punktā paredzēto persona </w:t>
            </w:r>
            <w:r w:rsidR="00987C52" w:rsidRPr="00710CCD">
              <w:rPr>
                <w:rFonts w:eastAsia="Times New Roman"/>
                <w:lang w:eastAsia="lv-LV"/>
              </w:rPr>
              <w:t>VID</w:t>
            </w:r>
            <w:r w:rsidR="00865B63" w:rsidRPr="00710CCD">
              <w:rPr>
                <w:rFonts w:eastAsia="Times New Roman"/>
                <w:lang w:eastAsia="lv-LV"/>
              </w:rPr>
              <w:t xml:space="preserve"> iesniedz muitas deklarāciju</w:t>
            </w:r>
            <w:r w:rsidR="001948B5" w:rsidRPr="00710CCD">
              <w:rPr>
                <w:rFonts w:eastAsia="Times New Roman"/>
                <w:lang w:eastAsia="lv-LV"/>
              </w:rPr>
              <w:t>,</w:t>
            </w:r>
            <w:r w:rsidR="00C86866" w:rsidRPr="00710CCD">
              <w:rPr>
                <w:rFonts w:eastAsia="Times New Roman"/>
                <w:lang w:eastAsia="lv-LV"/>
              </w:rPr>
              <w:t xml:space="preserve"> kam pievienot</w:t>
            </w:r>
            <w:r w:rsidR="004953C6" w:rsidRPr="00710CCD">
              <w:rPr>
                <w:rFonts w:eastAsia="Times New Roman"/>
                <w:lang w:eastAsia="lv-LV"/>
              </w:rPr>
              <w:t>s priekšlikums</w:t>
            </w:r>
            <w:r w:rsidR="00865B63" w:rsidRPr="00710CCD">
              <w:rPr>
                <w:rFonts w:eastAsia="Times New Roman"/>
                <w:lang w:eastAsia="lv-LV"/>
              </w:rPr>
              <w:t xml:space="preserve"> par pārstrādes atļaujas saņemšanu</w:t>
            </w:r>
            <w:r w:rsidR="00987C52" w:rsidRPr="00710CCD">
              <w:rPr>
                <w:rFonts w:eastAsia="Times New Roman"/>
                <w:lang w:eastAsia="lv-LV"/>
              </w:rPr>
              <w:t xml:space="preserve"> (Regulas Nr.</w:t>
            </w:r>
            <w:r w:rsidR="00260C1B" w:rsidRPr="00710CCD">
              <w:rPr>
                <w:rFonts w:eastAsia="Times New Roman"/>
                <w:lang w:eastAsia="lv-LV"/>
              </w:rPr>
              <w:t xml:space="preserve">2015/2446 163.panta 1.punkta </w:t>
            </w:r>
            <w:r w:rsidR="004953C6" w:rsidRPr="00710CCD">
              <w:rPr>
                <w:rFonts w:eastAsia="Times New Roman"/>
                <w:lang w:eastAsia="lv-LV"/>
              </w:rPr>
              <w:t>c</w:t>
            </w:r>
            <w:r w:rsidR="007C1160" w:rsidRPr="00710CCD">
              <w:rPr>
                <w:rFonts w:eastAsia="Times New Roman"/>
                <w:lang w:eastAsia="lv-LV"/>
              </w:rPr>
              <w:t>) </w:t>
            </w:r>
            <w:r w:rsidR="00260C1B" w:rsidRPr="00710CCD">
              <w:rPr>
                <w:rFonts w:eastAsia="Times New Roman"/>
                <w:lang w:eastAsia="lv-LV"/>
              </w:rPr>
              <w:t xml:space="preserve"> apakšpunkts)</w:t>
            </w:r>
            <w:r w:rsidR="00865B63" w:rsidRPr="00710CCD">
              <w:rPr>
                <w:rFonts w:eastAsia="Times New Roman"/>
                <w:lang w:eastAsia="lv-LV"/>
              </w:rPr>
              <w:t xml:space="preserve">. Personai iesniedzot attiecīgo pieteikumu papildus </w:t>
            </w:r>
            <w:r w:rsidR="001948B5" w:rsidRPr="00710CCD">
              <w:rPr>
                <w:rFonts w:eastAsia="Times New Roman"/>
                <w:lang w:eastAsia="lv-LV"/>
              </w:rPr>
              <w:t xml:space="preserve">nepieciešams </w:t>
            </w:r>
            <w:r w:rsidR="00D66AFD" w:rsidRPr="00710CCD">
              <w:rPr>
                <w:rFonts w:eastAsia="Times New Roman"/>
                <w:lang w:eastAsia="lv-LV"/>
              </w:rPr>
              <w:t>iesniegt informācij</w:t>
            </w:r>
            <w:r w:rsidR="001948B5" w:rsidRPr="00710CCD">
              <w:rPr>
                <w:rFonts w:eastAsia="Times New Roman"/>
                <w:lang w:eastAsia="lv-LV"/>
              </w:rPr>
              <w:t>u</w:t>
            </w:r>
            <w:r w:rsidR="00D66AFD" w:rsidRPr="00710CCD">
              <w:rPr>
                <w:rFonts w:eastAsia="Times New Roman"/>
                <w:lang w:eastAsia="lv-LV"/>
              </w:rPr>
              <w:t xml:space="preserve"> par preci</w:t>
            </w:r>
            <w:r w:rsidR="00EC703D" w:rsidRPr="00710CCD">
              <w:rPr>
                <w:rFonts w:eastAsia="Times New Roman"/>
                <w:lang w:eastAsia="lv-LV"/>
              </w:rPr>
              <w:t xml:space="preserve"> </w:t>
            </w:r>
            <w:r w:rsidR="007D71E9" w:rsidRPr="00710CCD">
              <w:rPr>
                <w:rFonts w:eastAsia="Times New Roman"/>
                <w:lang w:eastAsia="lv-LV"/>
              </w:rPr>
              <w:t>saskaņā</w:t>
            </w:r>
            <w:r w:rsidR="00E61BF9" w:rsidRPr="00710CCD">
              <w:rPr>
                <w:rFonts w:eastAsia="Times New Roman"/>
                <w:lang w:eastAsia="lv-LV"/>
              </w:rPr>
              <w:t xml:space="preserve"> </w:t>
            </w:r>
            <w:r w:rsidR="007D71E9" w:rsidRPr="00710CCD">
              <w:rPr>
                <w:rFonts w:eastAsia="Times New Roman"/>
                <w:lang w:eastAsia="lv-LV"/>
              </w:rPr>
              <w:t>ar</w:t>
            </w:r>
            <w:r w:rsidR="00EC703D" w:rsidRPr="00710CCD">
              <w:rPr>
                <w:rFonts w:eastAsia="Times New Roman"/>
                <w:lang w:eastAsia="lv-LV"/>
              </w:rPr>
              <w:t xml:space="preserve"> </w:t>
            </w:r>
            <w:r w:rsidR="007C1160" w:rsidRPr="00710CCD">
              <w:rPr>
                <w:rFonts w:eastAsia="Times New Roman"/>
                <w:bCs/>
                <w:lang w:eastAsia="lv-LV"/>
              </w:rPr>
              <w:t>R</w:t>
            </w:r>
            <w:r w:rsidR="002641F7" w:rsidRPr="00710CCD">
              <w:rPr>
                <w:rFonts w:eastAsia="Times New Roman"/>
                <w:bCs/>
                <w:lang w:eastAsia="lv-LV"/>
              </w:rPr>
              <w:t>egula</w:t>
            </w:r>
            <w:r w:rsidR="00EA7955" w:rsidRPr="00710CCD">
              <w:rPr>
                <w:rFonts w:eastAsia="Times New Roman"/>
                <w:bCs/>
                <w:lang w:eastAsia="lv-LV"/>
              </w:rPr>
              <w:t>s</w:t>
            </w:r>
            <w:r w:rsidR="002641F7" w:rsidRPr="00710CCD">
              <w:rPr>
                <w:rFonts w:eastAsia="Times New Roman"/>
                <w:bCs/>
                <w:lang w:eastAsia="lv-LV"/>
              </w:rPr>
              <w:t xml:space="preserve"> Nr.2446/2015</w:t>
            </w:r>
            <w:r w:rsidR="007D71E9" w:rsidRPr="00710CCD">
              <w:rPr>
                <w:rFonts w:eastAsia="Times New Roman"/>
                <w:bCs/>
                <w:lang w:eastAsia="lv-LV"/>
              </w:rPr>
              <w:t xml:space="preserve"> 2.panta 8.punktu</w:t>
            </w:r>
            <w:r w:rsidR="005C67EF" w:rsidRPr="00710CCD">
              <w:rPr>
                <w:rFonts w:eastAsia="Times New Roman"/>
                <w:lang w:eastAsia="lv-LV"/>
              </w:rPr>
              <w:t xml:space="preserve">, kas norādīta </w:t>
            </w:r>
            <w:r w:rsidR="00392B40" w:rsidRPr="00710CCD">
              <w:rPr>
                <w:rFonts w:eastAsia="Times New Roman"/>
                <w:lang w:eastAsia="lv-LV"/>
              </w:rPr>
              <w:t>Regul</w:t>
            </w:r>
            <w:r w:rsidR="008C020B" w:rsidRPr="00710CCD">
              <w:rPr>
                <w:rFonts w:eastAsia="Times New Roman"/>
                <w:lang w:eastAsia="lv-LV"/>
              </w:rPr>
              <w:t>as</w:t>
            </w:r>
            <w:r w:rsidR="00392B40" w:rsidRPr="00710CCD">
              <w:rPr>
                <w:rFonts w:eastAsia="Times New Roman"/>
                <w:lang w:eastAsia="lv-LV"/>
              </w:rPr>
              <w:t xml:space="preserve"> Nr.952/2013 </w:t>
            </w:r>
            <w:r w:rsidR="00015014" w:rsidRPr="00710CCD">
              <w:rPr>
                <w:rFonts w:eastAsia="Times New Roman"/>
                <w:lang w:eastAsia="lv-LV"/>
              </w:rPr>
              <w:t>55.panta 8.punkt</w:t>
            </w:r>
            <w:r w:rsidR="005C67EF" w:rsidRPr="00710CCD">
              <w:rPr>
                <w:rFonts w:eastAsia="Times New Roman"/>
                <w:lang w:eastAsia="lv-LV"/>
              </w:rPr>
              <w:t>ā</w:t>
            </w:r>
            <w:r w:rsidR="00015014" w:rsidRPr="00710CCD">
              <w:rPr>
                <w:rFonts w:eastAsia="Times New Roman"/>
                <w:lang w:eastAsia="lv-LV"/>
              </w:rPr>
              <w:t>.</w:t>
            </w:r>
          </w:p>
          <w:p w14:paraId="03606C4C" w14:textId="3261B78A" w:rsidR="00E61BF9" w:rsidRPr="00710CCD" w:rsidRDefault="00246E28" w:rsidP="00710CCD">
            <w:pPr>
              <w:spacing w:after="120" w:line="240" w:lineRule="auto"/>
              <w:ind w:left="57" w:right="57"/>
              <w:jc w:val="both"/>
              <w:rPr>
                <w:rFonts w:eastAsia="Times New Roman"/>
                <w:lang w:eastAsia="lv-LV"/>
              </w:rPr>
            </w:pPr>
            <w:r w:rsidRPr="00710CCD">
              <w:rPr>
                <w:rFonts w:eastAsia="Times New Roman"/>
                <w:lang w:eastAsia="lv-LV"/>
              </w:rPr>
              <w:t xml:space="preserve">Noteikumu projekta </w:t>
            </w:r>
            <w:r w:rsidR="00CD0BD4" w:rsidRPr="00710CCD">
              <w:rPr>
                <w:rFonts w:eastAsia="Times New Roman"/>
                <w:lang w:eastAsia="lv-LV"/>
              </w:rPr>
              <w:t>6</w:t>
            </w:r>
            <w:r w:rsidR="006B0793" w:rsidRPr="00710CCD">
              <w:rPr>
                <w:rFonts w:eastAsia="Times New Roman"/>
                <w:lang w:eastAsia="lv-LV"/>
              </w:rPr>
              <w:t xml:space="preserve">. un </w:t>
            </w:r>
            <w:r w:rsidR="00CD0BD4" w:rsidRPr="00710CCD">
              <w:rPr>
                <w:rFonts w:eastAsia="Times New Roman"/>
                <w:lang w:eastAsia="lv-LV"/>
              </w:rPr>
              <w:t>8</w:t>
            </w:r>
            <w:r w:rsidR="006B0793" w:rsidRPr="00710CCD">
              <w:rPr>
                <w:rFonts w:eastAsia="Times New Roman"/>
                <w:lang w:eastAsia="lv-LV"/>
              </w:rPr>
              <w:t>.punktā minētos dokumentus persona iesniedz</w:t>
            </w:r>
            <w:r w:rsidRPr="00710CCD">
              <w:rPr>
                <w:rFonts w:eastAsia="Times New Roman"/>
                <w:lang w:eastAsia="lv-LV"/>
              </w:rPr>
              <w:t xml:space="preserve"> </w:t>
            </w:r>
            <w:r w:rsidR="00987C52" w:rsidRPr="00710CCD">
              <w:rPr>
                <w:rFonts w:eastAsia="Times New Roman"/>
                <w:lang w:eastAsia="lv-LV"/>
              </w:rPr>
              <w:t>VID</w:t>
            </w:r>
            <w:r w:rsidRPr="00710CCD">
              <w:rPr>
                <w:rFonts w:eastAsia="Times New Roman"/>
                <w:lang w:eastAsia="lv-LV"/>
              </w:rPr>
              <w:t xml:space="preserve"> vienkāršotā kārtībā</w:t>
            </w:r>
            <w:r w:rsidR="00653DD0" w:rsidRPr="00710CCD">
              <w:rPr>
                <w:rFonts w:eastAsia="Times New Roman"/>
                <w:lang w:eastAsia="lv-LV"/>
              </w:rPr>
              <w:t xml:space="preserve"> saskaņā ar</w:t>
            </w:r>
            <w:r w:rsidR="007C5436" w:rsidRPr="00710CCD">
              <w:rPr>
                <w:rFonts w:eastAsia="Times New Roman"/>
                <w:lang w:eastAsia="lv-LV"/>
              </w:rPr>
              <w:t xml:space="preserve"> </w:t>
            </w:r>
            <w:r w:rsidR="007C1160" w:rsidRPr="00710CCD">
              <w:rPr>
                <w:rFonts w:eastAsia="Times New Roman"/>
                <w:lang w:eastAsia="lv-LV"/>
              </w:rPr>
              <w:t>R</w:t>
            </w:r>
            <w:r w:rsidR="007C5436" w:rsidRPr="00710CCD">
              <w:rPr>
                <w:rFonts w:eastAsia="Times New Roman"/>
                <w:lang w:eastAsia="lv-LV"/>
              </w:rPr>
              <w:t>egula</w:t>
            </w:r>
            <w:r w:rsidR="005C67EF" w:rsidRPr="00710CCD">
              <w:rPr>
                <w:rFonts w:eastAsia="Times New Roman"/>
                <w:lang w:eastAsia="lv-LV"/>
              </w:rPr>
              <w:t>s</w:t>
            </w:r>
            <w:r w:rsidR="007C5436" w:rsidRPr="00710CCD">
              <w:rPr>
                <w:rFonts w:eastAsia="Times New Roman"/>
                <w:lang w:eastAsia="lv-LV"/>
              </w:rPr>
              <w:t xml:space="preserve"> </w:t>
            </w:r>
            <w:r w:rsidR="002641F7" w:rsidRPr="00710CCD">
              <w:rPr>
                <w:rFonts w:eastAsia="Times New Roman"/>
                <w:lang w:eastAsia="lv-LV"/>
              </w:rPr>
              <w:t>Nr.</w:t>
            </w:r>
            <w:r w:rsidR="007C5436" w:rsidRPr="00710CCD">
              <w:rPr>
                <w:rFonts w:eastAsia="Times New Roman"/>
                <w:lang w:eastAsia="lv-LV"/>
              </w:rPr>
              <w:t>2015/2446</w:t>
            </w:r>
            <w:r w:rsidR="00C0603B" w:rsidRPr="00710CCD">
              <w:rPr>
                <w:rFonts w:eastAsia="Times New Roman"/>
                <w:lang w:eastAsia="lv-LV"/>
              </w:rPr>
              <w:t xml:space="preserve"> 163.pantu.</w:t>
            </w:r>
          </w:p>
          <w:p w14:paraId="4E075BE5" w14:textId="5C35EF6E" w:rsidR="004953C6" w:rsidRPr="00710CCD" w:rsidRDefault="004953C6" w:rsidP="00710CCD">
            <w:pPr>
              <w:spacing w:after="120" w:line="240" w:lineRule="auto"/>
              <w:ind w:left="57" w:right="57"/>
              <w:jc w:val="both"/>
              <w:rPr>
                <w:rFonts w:eastAsia="Times New Roman"/>
                <w:lang w:eastAsia="lv-LV"/>
              </w:rPr>
            </w:pPr>
            <w:r w:rsidRPr="00710CCD">
              <w:rPr>
                <w:rFonts w:eastAsia="Times New Roman"/>
                <w:lang w:eastAsia="lv-LV"/>
              </w:rPr>
              <w:t>Regulas Nr.952/2013 211.panta 1.</w:t>
            </w:r>
            <w:r w:rsidR="00AE03EA" w:rsidRPr="00710CCD">
              <w:rPr>
                <w:rFonts w:eastAsia="Times New Roman"/>
                <w:lang w:eastAsia="lv-LV"/>
              </w:rPr>
              <w:t xml:space="preserve">punkta </w:t>
            </w:r>
            <w:r w:rsidRPr="00710CCD">
              <w:rPr>
                <w:rFonts w:eastAsia="Times New Roman"/>
                <w:lang w:eastAsia="lv-LV"/>
              </w:rPr>
              <w:t xml:space="preserve">a) apakšpunkts paredz, ka </w:t>
            </w:r>
            <w:r w:rsidRPr="00710CCD">
              <w:rPr>
                <w:color w:val="000000"/>
              </w:rPr>
              <w:t xml:space="preserve">muitas dienestu atļauja ir vajadzīga, lai izmantotu ievešanas pārstrādei vai izvešanas pārstrādei procedūru, pagaidu ievešanas procedūru vai </w:t>
            </w:r>
            <w:proofErr w:type="spellStart"/>
            <w:r w:rsidRPr="00710CCD">
              <w:rPr>
                <w:color w:val="000000"/>
              </w:rPr>
              <w:t>galapatēriņa</w:t>
            </w:r>
            <w:proofErr w:type="spellEnd"/>
            <w:r w:rsidRPr="00710CCD">
              <w:rPr>
                <w:color w:val="000000"/>
              </w:rPr>
              <w:t xml:space="preserve"> procedūru. </w:t>
            </w:r>
            <w:r w:rsidRPr="00710CCD">
              <w:t xml:space="preserve">Saskaņā ar </w:t>
            </w:r>
            <w:r w:rsidR="007C1160" w:rsidRPr="00710CCD">
              <w:t>R</w:t>
            </w:r>
            <w:r w:rsidRPr="00710CCD">
              <w:t>egulas Nr.952/2013 5.panta 37.punkta c)</w:t>
            </w:r>
            <w:r w:rsidR="007C1160" w:rsidRPr="00710CCD">
              <w:t> </w:t>
            </w:r>
            <w:r w:rsidRPr="00710CCD">
              <w:t>apakšpunktu preču iznīcināšana</w:t>
            </w:r>
            <w:r w:rsidRPr="00710CCD" w:rsidDel="00417855">
              <w:t xml:space="preserve"> </w:t>
            </w:r>
            <w:r w:rsidRPr="00710CCD">
              <w:t xml:space="preserve">ir preču pārstrādes darbības veids. </w:t>
            </w:r>
          </w:p>
          <w:p w14:paraId="0B5D4A25" w14:textId="46141F5A" w:rsidR="004953C6" w:rsidRPr="00710CCD" w:rsidRDefault="004953C6" w:rsidP="00710CCD">
            <w:pPr>
              <w:spacing w:after="120" w:line="240" w:lineRule="auto"/>
              <w:ind w:left="57" w:right="57"/>
              <w:jc w:val="both"/>
              <w:rPr>
                <w:rFonts w:eastAsia="Times New Roman"/>
                <w:lang w:eastAsia="lv-LV"/>
              </w:rPr>
            </w:pPr>
            <w:r w:rsidRPr="00710CCD">
              <w:rPr>
                <w:rFonts w:eastAsia="Times New Roman"/>
                <w:lang w:eastAsia="lv-LV"/>
              </w:rPr>
              <w:t xml:space="preserve">Noteikumu projekta </w:t>
            </w:r>
            <w:r w:rsidR="00CD0BD4" w:rsidRPr="00710CCD">
              <w:rPr>
                <w:rFonts w:eastAsia="Times New Roman"/>
                <w:lang w:eastAsia="lv-LV"/>
              </w:rPr>
              <w:t>7</w:t>
            </w:r>
            <w:r w:rsidRPr="00710CCD">
              <w:rPr>
                <w:rFonts w:eastAsia="Times New Roman"/>
                <w:lang w:eastAsia="lv-LV"/>
              </w:rPr>
              <w:t>.punktā paredzēts, ka</w:t>
            </w:r>
            <w:r w:rsidR="007C1160" w:rsidRPr="00710CCD">
              <w:rPr>
                <w:rFonts w:eastAsia="Times New Roman"/>
                <w:lang w:eastAsia="lv-LV"/>
              </w:rPr>
              <w:t xml:space="preserve"> persona</w:t>
            </w:r>
            <w:r w:rsidRPr="00710CCD">
              <w:rPr>
                <w:rFonts w:eastAsia="Times New Roman"/>
                <w:lang w:eastAsia="lv-LV"/>
              </w:rPr>
              <w:t xml:space="preserve">, lai saņemtu atļauju iznīcināt </w:t>
            </w:r>
            <w:r w:rsidR="007C1160" w:rsidRPr="00710CCD">
              <w:rPr>
                <w:rFonts w:eastAsia="Times New Roman"/>
                <w:lang w:eastAsia="lv-LV"/>
              </w:rPr>
              <w:t>R</w:t>
            </w:r>
            <w:r w:rsidRPr="00710CCD">
              <w:rPr>
                <w:rFonts w:eastAsia="Times New Roman"/>
                <w:lang w:eastAsia="lv-LV"/>
              </w:rPr>
              <w:t xml:space="preserve">egulas Nr.2015/2446 </w:t>
            </w:r>
            <w:r w:rsidR="007C1160" w:rsidRPr="00710CCD">
              <w:rPr>
                <w:rFonts w:eastAsia="Times New Roman"/>
                <w:lang w:eastAsia="lv-LV"/>
              </w:rPr>
              <w:br/>
            </w:r>
            <w:r w:rsidRPr="00710CCD">
              <w:rPr>
                <w:rFonts w:eastAsia="Times New Roman"/>
                <w:lang w:eastAsia="lv-LV"/>
              </w:rPr>
              <w:t>71-02</w:t>
            </w:r>
            <w:r w:rsidR="007C1160" w:rsidRPr="00710CCD">
              <w:rPr>
                <w:rFonts w:eastAsia="Times New Roman"/>
                <w:lang w:eastAsia="lv-LV"/>
              </w:rPr>
              <w:t>. </w:t>
            </w:r>
            <w:r w:rsidRPr="00710CCD">
              <w:rPr>
                <w:rFonts w:eastAsia="Times New Roman"/>
                <w:lang w:eastAsia="lv-LV"/>
              </w:rPr>
              <w:t xml:space="preserve">pielikumā minētās </w:t>
            </w:r>
            <w:r w:rsidRPr="00710CCD">
              <w:rPr>
                <w:color w:val="000000"/>
              </w:rPr>
              <w:t>p</w:t>
            </w:r>
            <w:r w:rsidRPr="00710CCD">
              <w:rPr>
                <w:bCs/>
                <w:color w:val="000000"/>
              </w:rPr>
              <w:t xml:space="preserve">aaugstināta riska preces un produktus, </w:t>
            </w:r>
            <w:r w:rsidRPr="00710CCD">
              <w:rPr>
                <w:rFonts w:eastAsia="Times New Roman"/>
                <w:lang w:eastAsia="lv-LV"/>
              </w:rPr>
              <w:t xml:space="preserve">iesniedz </w:t>
            </w:r>
            <w:r w:rsidR="006E462A" w:rsidRPr="00710CCD">
              <w:rPr>
                <w:bCs/>
                <w:color w:val="000000"/>
              </w:rPr>
              <w:t xml:space="preserve">VID </w:t>
            </w:r>
            <w:r w:rsidRPr="00710CCD">
              <w:rPr>
                <w:rFonts w:eastAsia="Times New Roman"/>
                <w:lang w:eastAsia="lv-LV"/>
              </w:rPr>
              <w:t xml:space="preserve">papīra formā vai elektroniska dokumenta veidā, vai izmantojot VID </w:t>
            </w:r>
            <w:r w:rsidR="0001109E" w:rsidRPr="00710CCD">
              <w:rPr>
                <w:rFonts w:eastAsia="Times New Roman"/>
                <w:lang w:eastAsia="lv-LV"/>
              </w:rPr>
              <w:t>E</w:t>
            </w:r>
            <w:r w:rsidRPr="00710CCD">
              <w:rPr>
                <w:rFonts w:eastAsia="Times New Roman"/>
                <w:lang w:eastAsia="lv-LV"/>
              </w:rPr>
              <w:t xml:space="preserve">lektroniskās deklarēšanas sistēmu </w:t>
            </w:r>
            <w:r w:rsidR="007C1160" w:rsidRPr="00710CCD">
              <w:rPr>
                <w:rFonts w:eastAsia="Times New Roman"/>
                <w:lang w:eastAsia="lv-LV"/>
              </w:rPr>
              <w:t>R</w:t>
            </w:r>
            <w:r w:rsidRPr="00710CCD">
              <w:rPr>
                <w:rFonts w:eastAsia="Times New Roman"/>
                <w:lang w:eastAsia="lv-LV"/>
              </w:rPr>
              <w:t>egulas Nr.2016/341 12.</w:t>
            </w:r>
            <w:r w:rsidR="007C1160" w:rsidRPr="00710CCD">
              <w:rPr>
                <w:rFonts w:eastAsia="Times New Roman"/>
                <w:lang w:eastAsia="lv-LV"/>
              </w:rPr>
              <w:t>pielikumā noteikto veidlapu</w:t>
            </w:r>
            <w:r w:rsidRPr="00710CCD">
              <w:rPr>
                <w:rFonts w:eastAsia="Times New Roman"/>
                <w:lang w:eastAsia="lv-LV"/>
              </w:rPr>
              <w:t xml:space="preserve"> “Pieteikums atļaujai izmantot īpašo procedūru, kas nav tranzīts”</w:t>
            </w:r>
            <w:r w:rsidR="006E462A" w:rsidRPr="00710CCD">
              <w:rPr>
                <w:rFonts w:eastAsia="Times New Roman"/>
                <w:lang w:eastAsia="lv-LV"/>
              </w:rPr>
              <w:t>.</w:t>
            </w:r>
            <w:r w:rsidRPr="00710CCD">
              <w:rPr>
                <w:rFonts w:eastAsia="Times New Roman"/>
                <w:lang w:eastAsia="lv-LV"/>
              </w:rPr>
              <w:t xml:space="preserve"> Pēc atļaujas saņemšanas persona noformē muitas deklarāciju.</w:t>
            </w:r>
          </w:p>
          <w:p w14:paraId="62F56A91" w14:textId="1FFE6606" w:rsidR="007A5344" w:rsidRPr="00710CCD" w:rsidRDefault="007A5344" w:rsidP="00710CCD">
            <w:pPr>
              <w:spacing w:after="120" w:line="240" w:lineRule="auto"/>
              <w:ind w:left="57" w:right="57"/>
              <w:jc w:val="both"/>
              <w:rPr>
                <w:bCs/>
              </w:rPr>
            </w:pPr>
            <w:r w:rsidRPr="00710CCD">
              <w:rPr>
                <w:rFonts w:eastAsia="Times New Roman"/>
                <w:lang w:eastAsia="lv-LV"/>
              </w:rPr>
              <w:lastRenderedPageBreak/>
              <w:t xml:space="preserve">Saskaņā ar noteikumu projekta </w:t>
            </w:r>
            <w:r w:rsidR="00CD0BD4" w:rsidRPr="00710CCD">
              <w:rPr>
                <w:rFonts w:eastAsia="Times New Roman"/>
                <w:lang w:eastAsia="lv-LV"/>
              </w:rPr>
              <w:t>8</w:t>
            </w:r>
            <w:r w:rsidRPr="00710CCD">
              <w:rPr>
                <w:rFonts w:eastAsia="Times New Roman"/>
                <w:lang w:eastAsia="lv-LV"/>
              </w:rPr>
              <w:t xml:space="preserve">.punktu </w:t>
            </w:r>
            <w:r w:rsidR="003A7352" w:rsidRPr="00710CCD">
              <w:rPr>
                <w:bCs/>
              </w:rPr>
              <w:t>p</w:t>
            </w:r>
            <w:r w:rsidRPr="00710CCD">
              <w:rPr>
                <w:bCs/>
              </w:rPr>
              <w:t xml:space="preserve">ersona muitas deklarācijai pievieno: </w:t>
            </w:r>
          </w:p>
          <w:p w14:paraId="0B7B98F2" w14:textId="64B0F0B3" w:rsidR="00C47C2C" w:rsidRPr="00710CCD" w:rsidRDefault="003A7352" w:rsidP="00710CCD">
            <w:pPr>
              <w:spacing w:after="120" w:line="240" w:lineRule="auto"/>
              <w:ind w:left="57" w:right="57"/>
              <w:jc w:val="both"/>
              <w:rPr>
                <w:color w:val="000000"/>
              </w:rPr>
            </w:pPr>
            <w:r w:rsidRPr="00710CCD">
              <w:rPr>
                <w:bCs/>
              </w:rPr>
              <w:t xml:space="preserve">1) </w:t>
            </w:r>
            <w:r w:rsidR="007A5344" w:rsidRPr="00710CCD">
              <w:rPr>
                <w:bCs/>
              </w:rPr>
              <w:t>pielikumu, kurā ir iekļauta Regulas Nr. 2015/2446 2. panta 8. punktā noteiktā informācija</w:t>
            </w:r>
            <w:r w:rsidRPr="00710CCD">
              <w:rPr>
                <w:color w:val="000000"/>
              </w:rPr>
              <w:t>:</w:t>
            </w:r>
          </w:p>
          <w:p w14:paraId="69B29971" w14:textId="23F3F74A" w:rsidR="00C47C2C" w:rsidRPr="00710CCD" w:rsidRDefault="003A7352" w:rsidP="00710CCD">
            <w:pPr>
              <w:spacing w:after="120" w:line="240" w:lineRule="auto"/>
              <w:ind w:left="57" w:right="57"/>
              <w:jc w:val="both"/>
              <w:rPr>
                <w:color w:val="000000"/>
              </w:rPr>
            </w:pPr>
            <w:r w:rsidRPr="00710CCD">
              <w:rPr>
                <w:color w:val="000000"/>
              </w:rPr>
              <w:t xml:space="preserve">- </w:t>
            </w:r>
            <w:r w:rsidR="00C47C2C" w:rsidRPr="00710CCD">
              <w:rPr>
                <w:color w:val="000000"/>
              </w:rPr>
              <w:t xml:space="preserve">preču pārstrādes veids, </w:t>
            </w:r>
          </w:p>
          <w:p w14:paraId="03B5690F" w14:textId="3D1F428F" w:rsidR="00C47C2C" w:rsidRPr="00710CCD" w:rsidRDefault="003A7352" w:rsidP="00710CCD">
            <w:pPr>
              <w:spacing w:after="120" w:line="240" w:lineRule="auto"/>
              <w:ind w:left="57" w:right="57"/>
              <w:jc w:val="both"/>
              <w:rPr>
                <w:color w:val="000000"/>
              </w:rPr>
            </w:pPr>
            <w:r w:rsidRPr="00710CCD">
              <w:rPr>
                <w:color w:val="000000"/>
              </w:rPr>
              <w:t>-</w:t>
            </w:r>
            <w:r w:rsidR="00C47C2C" w:rsidRPr="00710CCD">
              <w:rPr>
                <w:color w:val="000000"/>
              </w:rPr>
              <w:t xml:space="preserve"> preču un/vai pārstrādes produktu tehniskie apraksti un to identificēšanas līdzekļi, </w:t>
            </w:r>
          </w:p>
          <w:p w14:paraId="618C123B" w14:textId="42792AE5" w:rsidR="00C47C2C" w:rsidRPr="00710CCD" w:rsidRDefault="003A7352" w:rsidP="00710CCD">
            <w:pPr>
              <w:spacing w:after="120" w:line="240" w:lineRule="auto"/>
              <w:ind w:left="57" w:right="57"/>
              <w:jc w:val="both"/>
              <w:rPr>
                <w:color w:val="000000"/>
              </w:rPr>
            </w:pPr>
            <w:r w:rsidRPr="00710CCD">
              <w:rPr>
                <w:color w:val="000000"/>
              </w:rPr>
              <w:t>-</w:t>
            </w:r>
            <w:r w:rsidR="00C47C2C" w:rsidRPr="00710CCD">
              <w:rPr>
                <w:color w:val="000000"/>
              </w:rPr>
              <w:t xml:space="preserve"> paredzamais noslēgšanas laikposms, </w:t>
            </w:r>
          </w:p>
          <w:p w14:paraId="55A43A99" w14:textId="3ED230CE" w:rsidR="00C47C2C" w:rsidRPr="00710CCD" w:rsidRDefault="003A7352" w:rsidP="00710CCD">
            <w:pPr>
              <w:spacing w:after="120" w:line="240" w:lineRule="auto"/>
              <w:ind w:left="57" w:right="57"/>
              <w:jc w:val="both"/>
              <w:rPr>
                <w:color w:val="000000"/>
              </w:rPr>
            </w:pPr>
            <w:r w:rsidRPr="00710CCD">
              <w:rPr>
                <w:color w:val="000000"/>
              </w:rPr>
              <w:t>-</w:t>
            </w:r>
            <w:r w:rsidR="00C47C2C" w:rsidRPr="00710CCD">
              <w:rPr>
                <w:color w:val="000000"/>
              </w:rPr>
              <w:t xml:space="preserve"> ierosinātā noslēgšanas iestāde (nepiemēro </w:t>
            </w:r>
            <w:proofErr w:type="spellStart"/>
            <w:r w:rsidR="00C47C2C" w:rsidRPr="00710CCD">
              <w:rPr>
                <w:color w:val="000000"/>
              </w:rPr>
              <w:t>galapatēriņam</w:t>
            </w:r>
            <w:proofErr w:type="spellEnd"/>
            <w:r w:rsidR="00C47C2C" w:rsidRPr="00710CCD">
              <w:rPr>
                <w:color w:val="000000"/>
              </w:rPr>
              <w:t xml:space="preserve">) un </w:t>
            </w:r>
          </w:p>
          <w:p w14:paraId="1868DF45" w14:textId="0E0419FC" w:rsidR="00C47C2C" w:rsidRPr="00710CCD" w:rsidRDefault="003A7352" w:rsidP="00710CCD">
            <w:pPr>
              <w:spacing w:after="120" w:line="240" w:lineRule="auto"/>
              <w:ind w:left="57" w:right="57"/>
              <w:jc w:val="both"/>
              <w:rPr>
                <w:color w:val="000000"/>
              </w:rPr>
            </w:pPr>
            <w:r w:rsidRPr="00710CCD">
              <w:rPr>
                <w:color w:val="000000"/>
              </w:rPr>
              <w:t>-</w:t>
            </w:r>
            <w:r w:rsidR="00C47C2C" w:rsidRPr="00710CCD">
              <w:rPr>
                <w:color w:val="000000"/>
              </w:rPr>
              <w:t xml:space="preserve"> pārstrādes vieta; </w:t>
            </w:r>
          </w:p>
          <w:p w14:paraId="55B44224" w14:textId="03D6169A" w:rsidR="00C47C2C" w:rsidRPr="00710CCD" w:rsidRDefault="003A7352" w:rsidP="00710CCD">
            <w:pPr>
              <w:spacing w:after="120" w:line="240" w:lineRule="auto"/>
              <w:ind w:left="57" w:right="57"/>
              <w:jc w:val="both"/>
              <w:rPr>
                <w:color w:val="000000"/>
              </w:rPr>
            </w:pPr>
            <w:r w:rsidRPr="00710CCD">
              <w:rPr>
                <w:color w:val="000000"/>
              </w:rPr>
              <w:t>-</w:t>
            </w:r>
            <w:r w:rsidR="00C47C2C" w:rsidRPr="00710CCD">
              <w:rPr>
                <w:color w:val="000000"/>
              </w:rPr>
              <w:t xml:space="preserve"> ekonomisko nosacījumu kodi, kas minēti </w:t>
            </w:r>
            <w:r w:rsidRPr="00710CCD">
              <w:rPr>
                <w:color w:val="000000"/>
              </w:rPr>
              <w:t>r</w:t>
            </w:r>
            <w:r w:rsidR="00C47C2C" w:rsidRPr="00710CCD">
              <w:rPr>
                <w:color w:val="000000"/>
              </w:rPr>
              <w:t xml:space="preserve">egulas </w:t>
            </w:r>
            <w:r w:rsidRPr="00710CCD">
              <w:rPr>
                <w:color w:val="000000"/>
              </w:rPr>
              <w:t>Nr. </w:t>
            </w:r>
            <w:r w:rsidR="00C47C2C" w:rsidRPr="00710CCD">
              <w:rPr>
                <w:color w:val="000000"/>
              </w:rPr>
              <w:t xml:space="preserve">2016/341 12. pielikumā, </w:t>
            </w:r>
          </w:p>
          <w:p w14:paraId="7F5A4A86" w14:textId="7B7E3BFC" w:rsidR="00C47C2C" w:rsidRPr="00710CCD" w:rsidRDefault="003A7352" w:rsidP="00710CCD">
            <w:pPr>
              <w:spacing w:after="120" w:line="240" w:lineRule="auto"/>
              <w:ind w:left="57" w:right="57"/>
              <w:jc w:val="both"/>
              <w:rPr>
                <w:color w:val="000000"/>
              </w:rPr>
            </w:pPr>
            <w:r w:rsidRPr="00710CCD">
              <w:rPr>
                <w:color w:val="000000"/>
              </w:rPr>
              <w:t>-</w:t>
            </w:r>
            <w:r w:rsidR="00C47C2C" w:rsidRPr="00710CCD">
              <w:rPr>
                <w:color w:val="000000"/>
              </w:rPr>
              <w:t xml:space="preserve"> aplēstā ieguves norma vai metode, kā to nosaka, un </w:t>
            </w:r>
          </w:p>
          <w:p w14:paraId="27B4C017" w14:textId="5F7C7B3F" w:rsidR="007A5344" w:rsidRPr="00710CCD" w:rsidRDefault="003A7352" w:rsidP="00710CCD">
            <w:pPr>
              <w:spacing w:after="120" w:line="240" w:lineRule="auto"/>
              <w:ind w:left="57" w:right="57"/>
              <w:jc w:val="both"/>
              <w:rPr>
                <w:bCs/>
              </w:rPr>
            </w:pPr>
            <w:r w:rsidRPr="00710CCD">
              <w:rPr>
                <w:color w:val="000000"/>
              </w:rPr>
              <w:t>-</w:t>
            </w:r>
            <w:r w:rsidR="00C47C2C" w:rsidRPr="00710CCD">
              <w:rPr>
                <w:color w:val="000000"/>
              </w:rPr>
              <w:t xml:space="preserve"> vai ievedmuitas nodokļa summas aprēķins būtu jāveic saskaņā ar Kodeksa 86. panta 3. punktu (norādiet “jā</w:t>
            </w:r>
            <w:r w:rsidRPr="00710CCD">
              <w:rPr>
                <w:color w:val="000000"/>
              </w:rPr>
              <w:t>” vai “ne”)</w:t>
            </w:r>
            <w:r w:rsidR="007A5344" w:rsidRPr="00710CCD">
              <w:rPr>
                <w:bCs/>
              </w:rPr>
              <w:t>;</w:t>
            </w:r>
          </w:p>
          <w:p w14:paraId="53690419" w14:textId="7334C646" w:rsidR="003A7352" w:rsidRPr="00710CCD" w:rsidRDefault="003A7352" w:rsidP="00710CCD">
            <w:pPr>
              <w:spacing w:after="120" w:line="240" w:lineRule="auto"/>
              <w:ind w:left="57" w:right="57"/>
              <w:jc w:val="both"/>
              <w:rPr>
                <w:color w:val="000000"/>
              </w:rPr>
            </w:pPr>
            <w:r w:rsidRPr="00710CCD">
              <w:rPr>
                <w:bCs/>
              </w:rPr>
              <w:t>2)</w:t>
            </w:r>
            <w:r w:rsidR="007A5344" w:rsidRPr="00710CCD">
              <w:rPr>
                <w:bCs/>
              </w:rPr>
              <w:t xml:space="preserve"> Regulas Nr. 952/2013 163. pantā noteiktos preču pavaddokumentus</w:t>
            </w:r>
            <w:r w:rsidRPr="00710CCD">
              <w:rPr>
                <w:color w:val="000000"/>
              </w:rPr>
              <w:t xml:space="preserve"> (pavaddokumentus, kas vajadzīgi, lai varētu piemērot noteikumus, ar kuriem reglamentē muitas procedūru, kam preces tiek deklarētas, ir deklarētāja rīcībā un pieejami muitas dienestiem muitas deklarācijas iesniegšanas brīdī. </w:t>
            </w:r>
          </w:p>
          <w:p w14:paraId="359D1DC2" w14:textId="74E99A03" w:rsidR="007A5344" w:rsidRPr="00710CCD" w:rsidRDefault="003A7352" w:rsidP="00710CCD">
            <w:pPr>
              <w:spacing w:after="120" w:line="240" w:lineRule="auto"/>
              <w:ind w:left="57" w:right="57"/>
              <w:jc w:val="both"/>
              <w:rPr>
                <w:color w:val="000000"/>
              </w:rPr>
            </w:pPr>
            <w:r w:rsidRPr="00710CCD">
              <w:rPr>
                <w:bCs/>
              </w:rPr>
              <w:t>3)</w:t>
            </w:r>
            <w:r w:rsidR="007A5344" w:rsidRPr="00710CCD">
              <w:rPr>
                <w:bCs/>
              </w:rPr>
              <w:t xml:space="preserve"> pieteikumu, kurā iekļauta Regulas Nr. 2015/2446 A pielikuma I sadaļas “Pieteikumi un lēmumi” 1.nodaļas “Īpašās procedūras” 8.f slejā noteiktā informācija</w:t>
            </w:r>
            <w:r w:rsidRPr="00710CCD">
              <w:rPr>
                <w:bCs/>
              </w:rPr>
              <w:t xml:space="preserve"> - </w:t>
            </w:r>
            <w:r w:rsidRPr="00710CCD">
              <w:rPr>
                <w:color w:val="000000"/>
              </w:rPr>
              <w:t>pieteikums un atļauja, lai izmantotu ievešanas pārstrādei procedūru situācijās, kad piemērojams 163. pants.</w:t>
            </w:r>
          </w:p>
          <w:p w14:paraId="40519F7D" w14:textId="0F3F2802" w:rsidR="000A51F2" w:rsidRPr="00710CCD" w:rsidRDefault="000A51F2" w:rsidP="00710CCD">
            <w:pPr>
              <w:spacing w:after="120" w:line="240" w:lineRule="auto"/>
              <w:ind w:left="57" w:right="57"/>
              <w:jc w:val="both"/>
            </w:pPr>
            <w:r w:rsidRPr="00710CCD">
              <w:t>L</w:t>
            </w:r>
            <w:r w:rsidR="00CD0BD4" w:rsidRPr="00710CCD">
              <w:t>ai saņemtu noteikuma projekta 11</w:t>
            </w:r>
            <w:r w:rsidRPr="00710CCD">
              <w:t>.punktā minēto informāciju par muitas amatpersonu klātbūtni iznīcināšanas procesā</w:t>
            </w:r>
            <w:r w:rsidRPr="00710CCD">
              <w:rPr>
                <w:color w:val="44546A"/>
              </w:rPr>
              <w:t xml:space="preserve">, </w:t>
            </w:r>
            <w:r w:rsidRPr="00710CCD">
              <w:t xml:space="preserve">personai jārīkojas atbilstoši VID </w:t>
            </w:r>
            <w:r w:rsidR="00E6795C" w:rsidRPr="00710CCD">
              <w:t>tīmekļa vietnē</w:t>
            </w:r>
            <w:r w:rsidRPr="00710CCD">
              <w:t xml:space="preserve"> (</w:t>
            </w:r>
            <w:hyperlink r:id="rId8" w:history="1">
              <w:r w:rsidRPr="00710CCD">
                <w:rPr>
                  <w:rStyle w:val="Hyperlink"/>
                  <w:rFonts w:cs="Times New Roman"/>
                  <w:szCs w:val="24"/>
                </w:rPr>
                <w:t>https://www.vid.gov.lv/lv/ievesana-parstradei</w:t>
              </w:r>
            </w:hyperlink>
            <w:r w:rsidRPr="00710CCD">
              <w:t>) norādītajai informācijai.</w:t>
            </w:r>
          </w:p>
          <w:p w14:paraId="5793DA9F" w14:textId="65A73A7A" w:rsidR="000A51F2" w:rsidRPr="00710CCD" w:rsidRDefault="000A51F2" w:rsidP="00710CCD">
            <w:pPr>
              <w:spacing w:after="120" w:line="240" w:lineRule="auto"/>
              <w:ind w:left="57" w:right="57"/>
              <w:jc w:val="both"/>
            </w:pPr>
            <w:r w:rsidRPr="00710CCD">
              <w:t xml:space="preserve">Savukārt līdz ar jaunas Elektroniskās muitas datu apstrādes sistēmas funkcionalitātes izveidošanu par muitas amatpersonu klātbūtni iznīcināšanas procesā tiks paziņots elektroniski vienlaikus ar preču izlaišanu muitas procedūrai </w:t>
            </w:r>
            <w:r w:rsidR="00E6795C" w:rsidRPr="00710CCD">
              <w:t xml:space="preserve">– </w:t>
            </w:r>
            <w:r w:rsidRPr="00710CCD">
              <w:t>ievešana pārstrādei (iznīcināšana</w:t>
            </w:r>
            <w:r w:rsidR="00AE03EA" w:rsidRPr="00710CCD">
              <w:t>i</w:t>
            </w:r>
            <w:r w:rsidRPr="00710CCD">
              <w:t>).</w:t>
            </w:r>
          </w:p>
          <w:p w14:paraId="4CE7ADFA" w14:textId="15A62CC2" w:rsidR="009770DC" w:rsidRPr="00710CCD" w:rsidRDefault="001948B5" w:rsidP="00710CCD">
            <w:pPr>
              <w:spacing w:after="120" w:line="240" w:lineRule="auto"/>
              <w:ind w:left="57" w:right="57"/>
              <w:jc w:val="both"/>
            </w:pPr>
            <w:r w:rsidRPr="00710CCD">
              <w:t xml:space="preserve">Noteikumu projekta </w:t>
            </w:r>
            <w:r w:rsidR="00CD0BD4" w:rsidRPr="00710CCD">
              <w:t>10</w:t>
            </w:r>
            <w:r w:rsidRPr="00710CCD">
              <w:t xml:space="preserve">.punkts paredz, ka </w:t>
            </w:r>
            <w:r w:rsidR="000A553B" w:rsidRPr="00710CCD">
              <w:t>persona</w:t>
            </w:r>
            <w:r w:rsidR="009770DC" w:rsidRPr="00710CCD">
              <w:t xml:space="preserve"> pēc preču </w:t>
            </w:r>
            <w:r w:rsidR="006E462A" w:rsidRPr="00710CCD">
              <w:t xml:space="preserve">iznīcināšanas </w:t>
            </w:r>
            <w:r w:rsidR="009770DC" w:rsidRPr="00710CCD">
              <w:t xml:space="preserve">aizpilda </w:t>
            </w:r>
            <w:r w:rsidR="008807DB" w:rsidRPr="00710CCD">
              <w:t>a</w:t>
            </w:r>
            <w:r w:rsidR="009770DC" w:rsidRPr="00710CCD">
              <w:t>ktu par preces iznīcināšanu (</w:t>
            </w:r>
            <w:hyperlink r:id="rId9" w:anchor="piel2" w:tgtFrame="_blank" w:history="1">
              <w:r w:rsidR="009770DC" w:rsidRPr="00710CCD">
                <w:rPr>
                  <w:rStyle w:val="Hyperlink"/>
                  <w:rFonts w:cs="Times New Roman"/>
                  <w:color w:val="auto"/>
                  <w:szCs w:val="24"/>
                  <w:u w:val="none"/>
                </w:rPr>
                <w:t>pielikums</w:t>
              </w:r>
            </w:hyperlink>
            <w:r w:rsidR="009770DC" w:rsidRPr="00710CCD">
              <w:t>)</w:t>
            </w:r>
            <w:r w:rsidR="00B951BC" w:rsidRPr="00710CCD">
              <w:t xml:space="preserve"> (</w:t>
            </w:r>
            <w:r w:rsidR="004A3BE1" w:rsidRPr="00710CCD">
              <w:t>Regulas Nr.2015/2446 175.panta izpratnē – A</w:t>
            </w:r>
            <w:r w:rsidR="00B951BC" w:rsidRPr="00710CCD">
              <w:t>kts</w:t>
            </w:r>
            <w:r w:rsidR="004A3BE1" w:rsidRPr="00710CCD">
              <w:t xml:space="preserve"> par preču iznīcināšanu</w:t>
            </w:r>
            <w:r w:rsidR="00B951BC" w:rsidRPr="00710CCD">
              <w:t xml:space="preserve"> tiek uzskatīts par izpildes dokumentu)</w:t>
            </w:r>
            <w:r w:rsidR="009770DC" w:rsidRPr="00710CCD">
              <w:t xml:space="preserve"> divos eksemplāros, no kuriem viens glabājas </w:t>
            </w:r>
            <w:r w:rsidR="009770DC" w:rsidRPr="00710CCD">
              <w:lastRenderedPageBreak/>
              <w:t xml:space="preserve">pie </w:t>
            </w:r>
            <w:r w:rsidR="00C72F66" w:rsidRPr="00710CCD">
              <w:t xml:space="preserve">personas, bet </w:t>
            </w:r>
            <w:r w:rsidR="009770DC" w:rsidRPr="00710CCD">
              <w:t xml:space="preserve">otrs trīs darbdienu laikā pēc preču iznīcināšanas pabeigšanas tiek iesniegts </w:t>
            </w:r>
            <w:r w:rsidR="00987C52" w:rsidRPr="00710CCD">
              <w:t>VID</w:t>
            </w:r>
            <w:r w:rsidR="009770DC" w:rsidRPr="00710CCD">
              <w:t>.</w:t>
            </w:r>
          </w:p>
          <w:p w14:paraId="30F0944E" w14:textId="3E921F78" w:rsidR="00D7511B" w:rsidRPr="00710CCD" w:rsidRDefault="009D2B8B" w:rsidP="00710CCD">
            <w:pPr>
              <w:spacing w:after="120" w:line="240" w:lineRule="auto"/>
              <w:ind w:left="57" w:right="57"/>
              <w:jc w:val="both"/>
            </w:pPr>
            <w:r w:rsidRPr="00710CCD">
              <w:t>Atkritumiem vai lūžņiem, kas būs radušies pēc attiecīgo preču iznīcināšanas</w:t>
            </w:r>
            <w:r w:rsidR="00E6795C" w:rsidRPr="00710CCD">
              <w:t>,</w:t>
            </w:r>
            <w:r w:rsidRPr="00710CCD">
              <w:t xml:space="preserve"> jāpiemēro </w:t>
            </w:r>
            <w:r w:rsidR="00E6795C" w:rsidRPr="00710CCD">
              <w:t xml:space="preserve">nākamā </w:t>
            </w:r>
            <w:r w:rsidRPr="00710CCD">
              <w:t>muit</w:t>
            </w:r>
            <w:r w:rsidR="00E1295F" w:rsidRPr="00710CCD">
              <w:t xml:space="preserve">as </w:t>
            </w:r>
            <w:proofErr w:type="spellStart"/>
            <w:r w:rsidR="00E1295F" w:rsidRPr="00710CCD">
              <w:t>procedūra</w:t>
            </w:r>
            <w:r w:rsidR="00E6795C" w:rsidRPr="00710CCD">
              <w:t>.</w:t>
            </w:r>
            <w:r w:rsidR="00D7511B" w:rsidRPr="00710CCD">
              <w:t>Saskaņā</w:t>
            </w:r>
            <w:proofErr w:type="spellEnd"/>
            <w:r w:rsidR="00D7511B" w:rsidRPr="00710CCD">
              <w:t xml:space="preserve"> ar </w:t>
            </w:r>
            <w:r w:rsidR="00E6795C" w:rsidRPr="00710CCD">
              <w:t>R</w:t>
            </w:r>
            <w:r w:rsidR="00D7511B" w:rsidRPr="00710CCD">
              <w:t xml:space="preserve">egulas Nr.952/2013 257.pantu muitas dienesti nosaka laikposmu, kādā ievešanas pārstrādei procedūra ir jānoslēdz. Šis laikposms sākas dienā, kad </w:t>
            </w:r>
            <w:proofErr w:type="spellStart"/>
            <w:r w:rsidR="00D7511B" w:rsidRPr="00710CCD">
              <w:t>ārpussavienības</w:t>
            </w:r>
            <w:proofErr w:type="spellEnd"/>
            <w:r w:rsidR="00D7511B" w:rsidRPr="00710CCD">
              <w:t xml:space="preserve"> precēm piemēro šo procedūru, un </w:t>
            </w:r>
            <w:r w:rsidR="00E6795C" w:rsidRPr="00710CCD">
              <w:t xml:space="preserve">termiņa </w:t>
            </w:r>
            <w:r w:rsidR="00D7511B" w:rsidRPr="00710CCD">
              <w:t>no</w:t>
            </w:r>
            <w:r w:rsidR="00E6795C" w:rsidRPr="00710CCD">
              <w:t>teikšanai</w:t>
            </w:r>
            <w:r w:rsidR="00D7511B" w:rsidRPr="00710CCD">
              <w:t xml:space="preserve"> ņem vērā laiku, kāds vajadzīgs pārstrādes darbību veikšanai un procedūras noslēgšanai. </w:t>
            </w:r>
          </w:p>
          <w:p w14:paraId="7A3CD23C" w14:textId="48F276C5" w:rsidR="001948B5" w:rsidRPr="00710CCD" w:rsidRDefault="00D7511B" w:rsidP="00710CCD">
            <w:pPr>
              <w:spacing w:after="120" w:line="240" w:lineRule="auto"/>
              <w:ind w:left="57" w:right="57"/>
              <w:jc w:val="both"/>
            </w:pPr>
            <w:r w:rsidRPr="00710CCD">
              <w:t xml:space="preserve">Saskaņā ar </w:t>
            </w:r>
            <w:r w:rsidR="00E6795C" w:rsidRPr="00710CCD">
              <w:t>R</w:t>
            </w:r>
            <w:r w:rsidRPr="00710CCD">
              <w:t>egulas Nr.952/20013 215.pantu procedūra ir pabeigta, kad precēm, kurām bijusi piemērota šī</w:t>
            </w:r>
            <w:r w:rsidRPr="00710CCD">
              <w:rPr>
                <w:color w:val="000000"/>
                <w:shd w:val="clear" w:color="auto" w:fill="FFFFFF"/>
              </w:rPr>
              <w:t xml:space="preserve"> </w:t>
            </w:r>
            <w:r w:rsidRPr="00710CCD">
              <w:t>procedūra, vai pārstrādes produktiem tiek piemērota nākamā muitas procedūra, tie ir izvesti no Savienības muitas teritorijas vai iznīcināti, neatstājot pārpalikumus, vai kad no tiem atsakās par labu valstij.</w:t>
            </w:r>
          </w:p>
          <w:p w14:paraId="55EC324B" w14:textId="4528D9E3" w:rsidR="0001554D" w:rsidRPr="00710CCD" w:rsidRDefault="00413F51" w:rsidP="00710CCD">
            <w:pPr>
              <w:spacing w:after="120" w:line="240" w:lineRule="auto"/>
              <w:ind w:left="57" w:right="57"/>
              <w:jc w:val="both"/>
              <w:rPr>
                <w:bCs/>
              </w:rPr>
            </w:pPr>
            <w:r w:rsidRPr="00710CCD">
              <w:rPr>
                <w:rFonts w:eastAsia="Times New Roman"/>
                <w:iCs/>
              </w:rPr>
              <w:t>4</w:t>
            </w:r>
            <w:r w:rsidR="00CD2842" w:rsidRPr="00710CCD">
              <w:rPr>
                <w:rFonts w:eastAsia="Times New Roman"/>
                <w:iCs/>
              </w:rPr>
              <w:t xml:space="preserve">) </w:t>
            </w:r>
            <w:r w:rsidR="00E81D3E" w:rsidRPr="00710CCD">
              <w:rPr>
                <w:rFonts w:eastAsia="Times New Roman"/>
                <w:iCs/>
              </w:rPr>
              <w:t>R</w:t>
            </w:r>
            <w:r w:rsidR="00A95EFF" w:rsidRPr="00710CCD">
              <w:rPr>
                <w:rFonts w:eastAsia="Times New Roman"/>
                <w:iCs/>
              </w:rPr>
              <w:t xml:space="preserve">egulas Nr.952/2013 199.pants </w:t>
            </w:r>
            <w:r w:rsidR="0001109E" w:rsidRPr="00710CCD">
              <w:rPr>
                <w:rFonts w:eastAsia="Times New Roman"/>
                <w:iCs/>
              </w:rPr>
              <w:t>noteic</w:t>
            </w:r>
            <w:r w:rsidR="00A95EFF" w:rsidRPr="00710CCD">
              <w:rPr>
                <w:rFonts w:eastAsia="Times New Roman"/>
                <w:iCs/>
              </w:rPr>
              <w:t xml:space="preserve">, ka </w:t>
            </w:r>
            <w:r w:rsidR="00A95EFF" w:rsidRPr="00710CCD">
              <w:rPr>
                <w:color w:val="000000"/>
              </w:rPr>
              <w:t xml:space="preserve">no </w:t>
            </w:r>
            <w:proofErr w:type="spellStart"/>
            <w:r w:rsidR="00A95EFF" w:rsidRPr="00710CCD">
              <w:rPr>
                <w:color w:val="000000"/>
              </w:rPr>
              <w:t>ārpussavienības</w:t>
            </w:r>
            <w:proofErr w:type="spellEnd"/>
            <w:r w:rsidR="00A95EFF" w:rsidRPr="00710CCD">
              <w:rPr>
                <w:color w:val="000000"/>
              </w:rPr>
              <w:t xml:space="preserve"> precēm un precēm, kas pakļautas </w:t>
            </w:r>
            <w:proofErr w:type="spellStart"/>
            <w:r w:rsidR="00A95EFF" w:rsidRPr="00710CCD">
              <w:rPr>
                <w:color w:val="000000"/>
              </w:rPr>
              <w:t>galapatēriņa</w:t>
            </w:r>
            <w:proofErr w:type="spellEnd"/>
            <w:r w:rsidR="00A95EFF" w:rsidRPr="00710CCD">
              <w:rPr>
                <w:color w:val="000000"/>
              </w:rPr>
              <w:t xml:space="preserve"> procedūrai, procedūras izmantotājs vai attiecīgā gadījumā preču valdītājs ar muitas dienestu iepriekšēju atļauju var atteikties par labu valstij. Ņemot vērā minēto</w:t>
            </w:r>
            <w:r w:rsidR="0097528B" w:rsidRPr="00710CCD">
              <w:rPr>
                <w:color w:val="000000"/>
              </w:rPr>
              <w:t>,</w:t>
            </w:r>
            <w:r w:rsidR="00A95EFF" w:rsidRPr="00710CCD">
              <w:rPr>
                <w:color w:val="000000"/>
              </w:rPr>
              <w:t xml:space="preserve"> </w:t>
            </w:r>
            <w:r w:rsidR="0097528B" w:rsidRPr="00710CCD">
              <w:rPr>
                <w:rFonts w:eastAsia="Times New Roman"/>
                <w:lang w:eastAsia="lv-LV"/>
              </w:rPr>
              <w:t>n</w:t>
            </w:r>
            <w:r w:rsidR="00CD2842" w:rsidRPr="00710CCD">
              <w:rPr>
                <w:rFonts w:eastAsia="Times New Roman"/>
                <w:lang w:eastAsia="lv-LV"/>
              </w:rPr>
              <w:t xml:space="preserve">oteikumu projekta </w:t>
            </w:r>
            <w:r w:rsidR="004C1781" w:rsidRPr="00710CCD">
              <w:rPr>
                <w:rFonts w:eastAsia="Times New Roman"/>
                <w:lang w:eastAsia="lv-LV"/>
              </w:rPr>
              <w:t xml:space="preserve">IV nodaļā </w:t>
            </w:r>
            <w:r w:rsidR="0001109E" w:rsidRPr="00710CCD">
              <w:rPr>
                <w:rFonts w:eastAsia="Times New Roman"/>
                <w:lang w:eastAsia="lv-LV"/>
              </w:rPr>
              <w:br/>
            </w:r>
            <w:r w:rsidR="004C1781" w:rsidRPr="00710CCD">
              <w:rPr>
                <w:rFonts w:eastAsia="Times New Roman"/>
                <w:lang w:eastAsia="lv-LV"/>
              </w:rPr>
              <w:t>(</w:t>
            </w:r>
            <w:r w:rsidR="00CD2842" w:rsidRPr="00710CCD">
              <w:rPr>
                <w:rFonts w:eastAsia="Times New Roman"/>
                <w:lang w:eastAsia="lv-LV"/>
              </w:rPr>
              <w:t>1</w:t>
            </w:r>
            <w:r w:rsidR="00CD0BD4" w:rsidRPr="00710CCD">
              <w:rPr>
                <w:rFonts w:eastAsia="Times New Roman"/>
                <w:lang w:eastAsia="lv-LV"/>
              </w:rPr>
              <w:t>2</w:t>
            </w:r>
            <w:r w:rsidR="00CD2842" w:rsidRPr="00710CCD">
              <w:rPr>
                <w:rFonts w:eastAsia="Times New Roman"/>
                <w:lang w:eastAsia="lv-LV"/>
              </w:rPr>
              <w:t>.</w:t>
            </w:r>
            <w:r w:rsidR="0001109E" w:rsidRPr="00710CCD">
              <w:rPr>
                <w:rFonts w:eastAsia="Times New Roman"/>
                <w:lang w:eastAsia="lv-LV"/>
              </w:rPr>
              <w:t>–</w:t>
            </w:r>
            <w:r w:rsidR="0001554D" w:rsidRPr="00710CCD">
              <w:rPr>
                <w:rFonts w:eastAsia="Times New Roman"/>
                <w:lang w:eastAsia="lv-LV"/>
              </w:rPr>
              <w:t>1</w:t>
            </w:r>
            <w:r w:rsidR="00CD0BD4" w:rsidRPr="00710CCD">
              <w:rPr>
                <w:rFonts w:eastAsia="Times New Roman"/>
                <w:lang w:eastAsia="lv-LV"/>
              </w:rPr>
              <w:t>5</w:t>
            </w:r>
            <w:r w:rsidR="0001554D" w:rsidRPr="00710CCD">
              <w:rPr>
                <w:rFonts w:eastAsia="Times New Roman"/>
                <w:lang w:eastAsia="lv-LV"/>
              </w:rPr>
              <w:t>.punktā</w:t>
            </w:r>
            <w:r w:rsidR="004C1781" w:rsidRPr="00710CCD">
              <w:rPr>
                <w:rFonts w:eastAsia="Times New Roman"/>
                <w:lang w:eastAsia="lv-LV"/>
              </w:rPr>
              <w:t>)</w:t>
            </w:r>
            <w:r w:rsidR="0001554D" w:rsidRPr="00710CCD">
              <w:rPr>
                <w:rFonts w:eastAsia="Times New Roman"/>
                <w:lang w:eastAsia="lv-LV"/>
              </w:rPr>
              <w:t xml:space="preserve"> tiek noteikta kārtība, kādā persona, kas ir </w:t>
            </w:r>
            <w:r w:rsidR="0001554D" w:rsidRPr="00710CCD">
              <w:t xml:space="preserve">preču īpašnieks, tā pilnvarotā persona, valdītājs (turpmāk – </w:t>
            </w:r>
            <w:r w:rsidR="0001554D" w:rsidRPr="00710CCD">
              <w:rPr>
                <w:bCs/>
              </w:rPr>
              <w:t xml:space="preserve">persona), iesniedz iesniegumu </w:t>
            </w:r>
            <w:r w:rsidR="00987C52" w:rsidRPr="00710CCD">
              <w:rPr>
                <w:bCs/>
              </w:rPr>
              <w:t xml:space="preserve">VID </w:t>
            </w:r>
            <w:r w:rsidR="0001554D" w:rsidRPr="00710CCD">
              <w:rPr>
                <w:rFonts w:eastAsia="Times New Roman"/>
                <w:lang w:eastAsia="lv-LV"/>
              </w:rPr>
              <w:t>par atteikšanos no precēm par labu valstij</w:t>
            </w:r>
            <w:r w:rsidR="004C1781" w:rsidRPr="00710CCD">
              <w:rPr>
                <w:rFonts w:eastAsia="Times New Roman"/>
                <w:lang w:eastAsia="lv-LV"/>
              </w:rPr>
              <w:t xml:space="preserve"> (turpmāk </w:t>
            </w:r>
            <w:r w:rsidR="0001109E" w:rsidRPr="00710CCD">
              <w:rPr>
                <w:rFonts w:eastAsia="Times New Roman"/>
                <w:lang w:eastAsia="lv-LV"/>
              </w:rPr>
              <w:t>–</w:t>
            </w:r>
            <w:r w:rsidR="004C1781" w:rsidRPr="00710CCD">
              <w:rPr>
                <w:rFonts w:eastAsia="Times New Roman"/>
                <w:lang w:eastAsia="lv-LV"/>
              </w:rPr>
              <w:t xml:space="preserve"> Iesniegums)</w:t>
            </w:r>
            <w:r w:rsidR="0001554D" w:rsidRPr="00710CCD">
              <w:rPr>
                <w:rFonts w:eastAsia="Times New Roman"/>
                <w:lang w:eastAsia="lv-LV"/>
              </w:rPr>
              <w:t>.</w:t>
            </w:r>
            <w:r w:rsidR="0001554D" w:rsidRPr="00710CCD">
              <w:rPr>
                <w:bCs/>
              </w:rPr>
              <w:t xml:space="preserve"> Personai</w:t>
            </w:r>
            <w:r w:rsidR="0001109E" w:rsidRPr="00710CCD">
              <w:rPr>
                <w:bCs/>
              </w:rPr>
              <w:t>,</w:t>
            </w:r>
            <w:r w:rsidR="0001554D" w:rsidRPr="00710CCD">
              <w:rPr>
                <w:bCs/>
              </w:rPr>
              <w:t xml:space="preserve"> atsakoties no preces par labu valstij</w:t>
            </w:r>
            <w:r w:rsidR="0001109E" w:rsidRPr="00710CCD">
              <w:rPr>
                <w:bCs/>
              </w:rPr>
              <w:t>,</w:t>
            </w:r>
            <w:r w:rsidR="0001554D" w:rsidRPr="00710CCD">
              <w:rPr>
                <w:bCs/>
              </w:rPr>
              <w:t xml:space="preserve"> jāiesniedz </w:t>
            </w:r>
            <w:r w:rsidR="00987C52" w:rsidRPr="00710CCD">
              <w:rPr>
                <w:bCs/>
              </w:rPr>
              <w:t>VID</w:t>
            </w:r>
            <w:r w:rsidR="0097528B" w:rsidRPr="00710CCD">
              <w:rPr>
                <w:bCs/>
              </w:rPr>
              <w:t xml:space="preserve"> </w:t>
            </w:r>
            <w:r w:rsidR="004C1781" w:rsidRPr="00710CCD">
              <w:rPr>
                <w:bCs/>
              </w:rPr>
              <w:t>I</w:t>
            </w:r>
            <w:r w:rsidR="0001554D" w:rsidRPr="00710CCD">
              <w:rPr>
                <w:bCs/>
              </w:rPr>
              <w:t>esniegum</w:t>
            </w:r>
            <w:r w:rsidR="0097528B" w:rsidRPr="00710CCD">
              <w:rPr>
                <w:bCs/>
              </w:rPr>
              <w:t>s</w:t>
            </w:r>
            <w:r w:rsidR="0001554D" w:rsidRPr="00710CCD">
              <w:rPr>
                <w:bCs/>
              </w:rPr>
              <w:t xml:space="preserve"> un pre</w:t>
            </w:r>
            <w:r w:rsidR="004C1781" w:rsidRPr="00710CCD">
              <w:rPr>
                <w:bCs/>
              </w:rPr>
              <w:t>ču pavaddokumenti</w:t>
            </w:r>
            <w:r w:rsidR="0001554D" w:rsidRPr="00710CCD">
              <w:rPr>
                <w:bCs/>
              </w:rPr>
              <w:t xml:space="preserve"> papīra formā vai elektroniska dokumenta veidā, vai izmantojot </w:t>
            </w:r>
            <w:r w:rsidR="00987C52" w:rsidRPr="00710CCD">
              <w:rPr>
                <w:bCs/>
              </w:rPr>
              <w:t>VID</w:t>
            </w:r>
            <w:r w:rsidR="0001554D" w:rsidRPr="00710CCD">
              <w:rPr>
                <w:bCs/>
              </w:rPr>
              <w:t xml:space="preserve"> Elektroniskās deklarēšanas sistēmu.</w:t>
            </w:r>
          </w:p>
          <w:p w14:paraId="66864592" w14:textId="77777777" w:rsidR="006658CC" w:rsidRPr="00710CCD" w:rsidRDefault="0097528B" w:rsidP="00710CCD">
            <w:pPr>
              <w:spacing w:after="120" w:line="240" w:lineRule="auto"/>
              <w:ind w:left="57" w:right="57"/>
              <w:jc w:val="both"/>
            </w:pPr>
            <w:r w:rsidRPr="00710CCD">
              <w:t>P</w:t>
            </w:r>
            <w:r w:rsidR="004C1781" w:rsidRPr="00710CCD">
              <w:t xml:space="preserve">ersonas </w:t>
            </w:r>
            <w:r w:rsidR="00413F51" w:rsidRPr="00710CCD">
              <w:t xml:space="preserve">Iesniegumā </w:t>
            </w:r>
            <w:r w:rsidR="004C1781" w:rsidRPr="00710CCD">
              <w:t xml:space="preserve">norāda visu aktuālo informāciju par preci, proti, </w:t>
            </w:r>
            <w:r w:rsidR="0001554D" w:rsidRPr="00710CCD">
              <w:t>preču īpašniek</w:t>
            </w:r>
            <w:r w:rsidR="004C1781" w:rsidRPr="00710CCD">
              <w:t>u</w:t>
            </w:r>
            <w:r w:rsidR="0001554D" w:rsidRPr="00710CCD">
              <w:t xml:space="preserve"> vai valdītāju, </w:t>
            </w:r>
            <w:r w:rsidR="004C1781" w:rsidRPr="00710CCD">
              <w:t xml:space="preserve">vai tā </w:t>
            </w:r>
            <w:r w:rsidR="0001554D" w:rsidRPr="00710CCD">
              <w:t>pilnvarot</w:t>
            </w:r>
            <w:r w:rsidR="004C1781" w:rsidRPr="00710CCD">
              <w:t>o</w:t>
            </w:r>
            <w:r w:rsidR="0001554D" w:rsidRPr="00710CCD">
              <w:t xml:space="preserve"> person</w:t>
            </w:r>
            <w:r w:rsidR="004C1781" w:rsidRPr="00710CCD">
              <w:t>u</w:t>
            </w:r>
            <w:r w:rsidR="0001554D" w:rsidRPr="00710CCD">
              <w:t xml:space="preserve"> preču saņēmēju</w:t>
            </w:r>
            <w:r w:rsidR="004C1781" w:rsidRPr="00710CCD">
              <w:t xml:space="preserve">, </w:t>
            </w:r>
            <w:r w:rsidR="0001554D" w:rsidRPr="00710CCD">
              <w:t xml:space="preserve">preču veidu, </w:t>
            </w:r>
            <w:r w:rsidR="00C3693F" w:rsidRPr="00710CCD">
              <w:t>K</w:t>
            </w:r>
            <w:r w:rsidR="0001554D" w:rsidRPr="00710CCD">
              <w:t xml:space="preserve">ombinētās nomenklatūras kodu, daudzumu (bruto un neto </w:t>
            </w:r>
            <w:r w:rsidR="00952316" w:rsidRPr="00710CCD">
              <w:t>svaru</w:t>
            </w:r>
            <w:r w:rsidR="0001554D" w:rsidRPr="00710CCD">
              <w:t xml:space="preserve">), vērtību, </w:t>
            </w:r>
            <w:r w:rsidR="004C1781" w:rsidRPr="00710CCD">
              <w:t>pavaddokumenta</w:t>
            </w:r>
            <w:r w:rsidR="0001554D" w:rsidRPr="00710CCD">
              <w:t xml:space="preserve"> reģistra numuru.</w:t>
            </w:r>
          </w:p>
          <w:p w14:paraId="55C8488F" w14:textId="470D049D" w:rsidR="00965F1B" w:rsidRPr="00710CCD" w:rsidRDefault="006658CC" w:rsidP="00710CCD">
            <w:pPr>
              <w:spacing w:after="120" w:line="240" w:lineRule="auto"/>
              <w:ind w:left="57" w:right="57"/>
              <w:jc w:val="both"/>
              <w:rPr>
                <w:sz w:val="22"/>
              </w:rPr>
            </w:pPr>
            <w:r w:rsidRPr="00710CCD">
              <w:t xml:space="preserve">Tāpat </w:t>
            </w:r>
            <w:r w:rsidR="00CD0BD4" w:rsidRPr="00710CCD">
              <w:t>saskaņā ar noteikuma projekta 14</w:t>
            </w:r>
            <w:r w:rsidRPr="00710CCD">
              <w:t xml:space="preserve">.punktu persona Iesniegumam pievieno kompetentās iestādes (piem., Ārlietu ministrijas Stratēģiskas nozīmes preču eksporta kontroles nodaļas, Ārlietu ministrijas Ārējās tirdzniecības un ārējo ekonomisko sakaru veicināšanas departamenta, Valsts policijas Galvenās kartības policijas </w:t>
            </w:r>
            <w:proofErr w:type="spellStart"/>
            <w:r w:rsidRPr="00710CCD">
              <w:t>Prevencijas</w:t>
            </w:r>
            <w:proofErr w:type="spellEnd"/>
            <w:r w:rsidRPr="00710CCD">
              <w:t xml:space="preserve"> pārvaldes Licencēšanas un atļauju sistēmas nodaļas, Patērētāju tiesību aizsardzības centra, Veselības inspekcijas, Zāļu valsts aģentūras, Valsts kultūras pieminekļu aizsardzības inspekcijas, Dabas aizsardzības pārvaldes, </w:t>
            </w:r>
            <w:r w:rsidR="007A5344" w:rsidRPr="00710CCD">
              <w:t>Pārtikas un veterinārais dienest</w:t>
            </w:r>
            <w:r w:rsidR="00CD4344" w:rsidRPr="00710CCD">
              <w:t>a</w:t>
            </w:r>
            <w:r w:rsidRPr="00710CCD">
              <w:t>, Valsts augu aizsardzības dienesta, Valsts vides dienesta R</w:t>
            </w:r>
            <w:r w:rsidR="00647EE6">
              <w:t>adiācijas drošības centra u.c.)</w:t>
            </w:r>
            <w:r w:rsidR="000443A7" w:rsidRPr="00710CCD">
              <w:rPr>
                <w:sz w:val="28"/>
                <w:szCs w:val="28"/>
              </w:rPr>
              <w:t xml:space="preserve"> </w:t>
            </w:r>
            <w:r w:rsidR="00647EE6">
              <w:rPr>
                <w:szCs w:val="28"/>
              </w:rPr>
              <w:t xml:space="preserve">dokumentu, ja </w:t>
            </w:r>
            <w:r w:rsidR="000443A7" w:rsidRPr="00710CCD">
              <w:rPr>
                <w:szCs w:val="28"/>
              </w:rPr>
              <w:t xml:space="preserve">precēm </w:t>
            </w:r>
            <w:r w:rsidR="000443A7" w:rsidRPr="00710CCD">
              <w:rPr>
                <w:bCs/>
                <w:szCs w:val="28"/>
              </w:rPr>
              <w:t xml:space="preserve">ir nepieciešama </w:t>
            </w:r>
            <w:r w:rsidR="000443A7" w:rsidRPr="00710CCD">
              <w:rPr>
                <w:bCs/>
                <w:szCs w:val="28"/>
              </w:rPr>
              <w:lastRenderedPageBreak/>
              <w:t>kontrole vai atļauja, vai atzinums to</w:t>
            </w:r>
            <w:r w:rsidR="000443A7" w:rsidRPr="00710CCD">
              <w:rPr>
                <w:szCs w:val="28"/>
              </w:rPr>
              <w:t xml:space="preserve"> atbilstībai obligātajām nekaitīguma un drošuma prasībām.</w:t>
            </w:r>
          </w:p>
        </w:tc>
      </w:tr>
      <w:tr w:rsidR="005D4AE6" w:rsidRPr="005D4AE6" w14:paraId="575C12AA" w14:textId="77777777" w:rsidTr="00150908">
        <w:trPr>
          <w:trHeight w:val="465"/>
        </w:trPr>
        <w:tc>
          <w:tcPr>
            <w:tcW w:w="223" w:type="pct"/>
            <w:tcBorders>
              <w:top w:val="outset" w:sz="6" w:space="0" w:color="auto"/>
              <w:left w:val="outset" w:sz="6" w:space="0" w:color="auto"/>
              <w:bottom w:val="outset" w:sz="6" w:space="0" w:color="auto"/>
              <w:right w:val="outset" w:sz="6" w:space="0" w:color="auto"/>
            </w:tcBorders>
            <w:hideMark/>
          </w:tcPr>
          <w:p w14:paraId="7E20F813" w14:textId="10D3BE10" w:rsidR="005D4AE6" w:rsidRPr="005D4AE6" w:rsidRDefault="005D4AE6" w:rsidP="006A07E5">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lastRenderedPageBreak/>
              <w:t>3.</w:t>
            </w:r>
          </w:p>
        </w:tc>
        <w:tc>
          <w:tcPr>
            <w:tcW w:w="1661" w:type="pct"/>
            <w:tcBorders>
              <w:top w:val="outset" w:sz="6" w:space="0" w:color="auto"/>
              <w:left w:val="outset" w:sz="6" w:space="0" w:color="auto"/>
              <w:bottom w:val="outset" w:sz="6" w:space="0" w:color="auto"/>
              <w:right w:val="outset" w:sz="6" w:space="0" w:color="auto"/>
            </w:tcBorders>
            <w:hideMark/>
          </w:tcPr>
          <w:p w14:paraId="51D9F35A" w14:textId="77777777" w:rsidR="005D4AE6" w:rsidRPr="005D4AE6" w:rsidRDefault="005D4AE6" w:rsidP="006A07E5">
            <w:pPr>
              <w:spacing w:after="0" w:line="240" w:lineRule="auto"/>
              <w:rPr>
                <w:rFonts w:eastAsia="Times New Roman" w:cs="Times New Roman"/>
                <w:szCs w:val="24"/>
                <w:lang w:eastAsia="lv-LV"/>
              </w:rPr>
            </w:pPr>
            <w:r w:rsidRPr="005D4AE6">
              <w:rPr>
                <w:rFonts w:eastAsia="Times New Roman" w:cs="Times New Roman"/>
                <w:szCs w:val="24"/>
                <w:lang w:eastAsia="lv-LV"/>
              </w:rPr>
              <w:t>Projekta izstrādē iesaistītās institūcijas</w:t>
            </w:r>
          </w:p>
        </w:tc>
        <w:tc>
          <w:tcPr>
            <w:tcW w:w="3116" w:type="pct"/>
            <w:tcBorders>
              <w:top w:val="single" w:sz="4" w:space="0" w:color="auto"/>
              <w:left w:val="outset" w:sz="6" w:space="0" w:color="auto"/>
              <w:bottom w:val="outset" w:sz="6" w:space="0" w:color="auto"/>
              <w:right w:val="outset" w:sz="6" w:space="0" w:color="auto"/>
            </w:tcBorders>
            <w:hideMark/>
          </w:tcPr>
          <w:p w14:paraId="3159A6AD" w14:textId="1C59B4B6" w:rsidR="005D4AE6" w:rsidRPr="00305F40" w:rsidRDefault="00987C52" w:rsidP="001F3D85">
            <w:pPr>
              <w:spacing w:after="0" w:line="240" w:lineRule="auto"/>
              <w:rPr>
                <w:rFonts w:eastAsia="Times New Roman" w:cs="Times New Roman"/>
                <w:szCs w:val="24"/>
                <w:lang w:eastAsia="lv-LV"/>
              </w:rPr>
            </w:pPr>
            <w:r>
              <w:rPr>
                <w:rFonts w:eastAsia="Times New Roman" w:cs="Times New Roman"/>
                <w:szCs w:val="24"/>
                <w:lang w:eastAsia="lv-LV"/>
              </w:rPr>
              <w:t>VID</w:t>
            </w:r>
          </w:p>
        </w:tc>
      </w:tr>
      <w:tr w:rsidR="005D4AE6" w:rsidRPr="005D4AE6" w14:paraId="39DD626D" w14:textId="77777777" w:rsidTr="00150908">
        <w:tc>
          <w:tcPr>
            <w:tcW w:w="223" w:type="pct"/>
            <w:tcBorders>
              <w:top w:val="outset" w:sz="6" w:space="0" w:color="auto"/>
              <w:left w:val="outset" w:sz="6" w:space="0" w:color="auto"/>
              <w:bottom w:val="single" w:sz="4" w:space="0" w:color="auto"/>
              <w:right w:val="outset" w:sz="6" w:space="0" w:color="auto"/>
            </w:tcBorders>
            <w:hideMark/>
          </w:tcPr>
          <w:p w14:paraId="0244D91B" w14:textId="77777777" w:rsidR="005D4AE6" w:rsidRPr="005D4AE6" w:rsidRDefault="005D4AE6" w:rsidP="006A07E5">
            <w:pPr>
              <w:spacing w:before="100" w:beforeAutospacing="1" w:after="100" w:afterAutospacing="1" w:line="240" w:lineRule="auto"/>
              <w:rPr>
                <w:rFonts w:eastAsia="Times New Roman" w:cs="Times New Roman"/>
                <w:szCs w:val="24"/>
                <w:lang w:eastAsia="lv-LV"/>
              </w:rPr>
            </w:pPr>
            <w:r w:rsidRPr="005D4AE6">
              <w:rPr>
                <w:rFonts w:eastAsia="Times New Roman" w:cs="Times New Roman"/>
                <w:szCs w:val="24"/>
                <w:lang w:eastAsia="lv-LV"/>
              </w:rPr>
              <w:t>4.</w:t>
            </w:r>
          </w:p>
        </w:tc>
        <w:tc>
          <w:tcPr>
            <w:tcW w:w="1661" w:type="pct"/>
            <w:tcBorders>
              <w:top w:val="outset" w:sz="6" w:space="0" w:color="auto"/>
              <w:left w:val="outset" w:sz="6" w:space="0" w:color="auto"/>
              <w:bottom w:val="single" w:sz="4" w:space="0" w:color="auto"/>
              <w:right w:val="outset" w:sz="6" w:space="0" w:color="auto"/>
            </w:tcBorders>
            <w:hideMark/>
          </w:tcPr>
          <w:p w14:paraId="26499004" w14:textId="77777777" w:rsidR="005D4AE6" w:rsidRPr="005D4AE6" w:rsidRDefault="005D4AE6" w:rsidP="006A07E5">
            <w:pPr>
              <w:spacing w:after="0" w:line="240" w:lineRule="auto"/>
              <w:rPr>
                <w:rFonts w:eastAsia="Times New Roman" w:cs="Times New Roman"/>
                <w:szCs w:val="24"/>
                <w:lang w:eastAsia="lv-LV"/>
              </w:rPr>
            </w:pPr>
            <w:r w:rsidRPr="005D4AE6">
              <w:rPr>
                <w:rFonts w:eastAsia="Times New Roman" w:cs="Times New Roman"/>
                <w:szCs w:val="24"/>
                <w:lang w:eastAsia="lv-LV"/>
              </w:rPr>
              <w:t>Cita informācija</w:t>
            </w:r>
          </w:p>
        </w:tc>
        <w:tc>
          <w:tcPr>
            <w:tcW w:w="3116" w:type="pct"/>
            <w:tcBorders>
              <w:top w:val="outset" w:sz="6" w:space="0" w:color="auto"/>
              <w:left w:val="outset" w:sz="6" w:space="0" w:color="auto"/>
              <w:bottom w:val="single" w:sz="4" w:space="0" w:color="auto"/>
              <w:right w:val="outset" w:sz="6" w:space="0" w:color="auto"/>
            </w:tcBorders>
            <w:hideMark/>
          </w:tcPr>
          <w:p w14:paraId="6F26AD90" w14:textId="654AC33F" w:rsidR="005D4AE6" w:rsidRPr="00647EE6" w:rsidRDefault="00647EE6" w:rsidP="00647EE6">
            <w:pPr>
              <w:spacing w:before="120" w:after="120" w:line="240" w:lineRule="auto"/>
              <w:ind w:left="57" w:right="57"/>
              <w:jc w:val="both"/>
              <w:rPr>
                <w:rFonts w:eastAsia="Calibri"/>
                <w:szCs w:val="24"/>
              </w:rPr>
            </w:pPr>
            <w:r>
              <w:rPr>
                <w:szCs w:val="24"/>
                <w:lang w:eastAsia="lv-LV"/>
              </w:rPr>
              <w:t>Noteikumu p</w:t>
            </w:r>
            <w:r w:rsidRPr="00647EE6">
              <w:rPr>
                <w:szCs w:val="24"/>
                <w:lang w:eastAsia="lv-LV"/>
              </w:rPr>
              <w:t>rojekts saistīts ar Mini</w:t>
            </w:r>
            <w:r>
              <w:rPr>
                <w:szCs w:val="24"/>
                <w:lang w:eastAsia="lv-LV"/>
              </w:rPr>
              <w:t>stru kabineta noteikumu projektu</w:t>
            </w:r>
            <w:r w:rsidRPr="00647EE6">
              <w:rPr>
                <w:szCs w:val="24"/>
                <w:lang w:eastAsia="lv-LV"/>
              </w:rPr>
              <w:t xml:space="preserve"> “</w:t>
            </w:r>
            <w:r w:rsidRPr="00647EE6">
              <w:rPr>
                <w:bCs/>
                <w:szCs w:val="24"/>
              </w:rPr>
              <w:t>Muitas maksājumu parāda galvojumu un avansa iemaksu administrēšanas noteikumi” (Valsts sekretāru 2017. gada 25. maija sanāksmes prot. Nr. 20, 5.</w:t>
            </w:r>
            <w:r w:rsidRPr="00647EE6">
              <w:rPr>
                <w:szCs w:val="24"/>
              </w:rPr>
              <w:t>§., VSS-541).</w:t>
            </w:r>
          </w:p>
        </w:tc>
      </w:tr>
    </w:tbl>
    <w:p w14:paraId="7D15C5D6" w14:textId="686CB94A" w:rsidR="005D4AE6" w:rsidRPr="00FD7341" w:rsidRDefault="005D4AE6" w:rsidP="00150908">
      <w:pPr>
        <w:spacing w:after="0" w:line="240" w:lineRule="auto"/>
        <w:rPr>
          <w:rFonts w:eastAsia="Times New Roman" w:cs="Times New Roman"/>
          <w:vanish/>
          <w:sz w:val="28"/>
          <w:szCs w:val="28"/>
          <w:lang w:eastAsia="lv-LV"/>
        </w:rPr>
      </w:pPr>
    </w:p>
    <w:tbl>
      <w:tblPr>
        <w:tblW w:w="5000" w:type="pct"/>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
        <w:gridCol w:w="424"/>
        <w:gridCol w:w="19"/>
        <w:gridCol w:w="15"/>
        <w:gridCol w:w="8"/>
        <w:gridCol w:w="2554"/>
        <w:gridCol w:w="129"/>
        <w:gridCol w:w="208"/>
        <w:gridCol w:w="58"/>
        <w:gridCol w:w="81"/>
        <w:gridCol w:w="10"/>
        <w:gridCol w:w="612"/>
        <w:gridCol w:w="518"/>
        <w:gridCol w:w="2151"/>
        <w:gridCol w:w="268"/>
        <w:gridCol w:w="2209"/>
        <w:gridCol w:w="39"/>
        <w:gridCol w:w="26"/>
        <w:gridCol w:w="17"/>
      </w:tblGrid>
      <w:tr w:rsidR="005D4AE6" w:rsidRPr="005D4AE6" w14:paraId="6F038B35" w14:textId="77777777" w:rsidTr="00150908">
        <w:trPr>
          <w:gridAfter w:val="3"/>
          <w:wAfter w:w="45" w:type="pct"/>
          <w:trHeight w:val="555"/>
        </w:trPr>
        <w:tc>
          <w:tcPr>
            <w:tcW w:w="4955" w:type="pct"/>
            <w:gridSpan w:val="16"/>
            <w:tcBorders>
              <w:top w:val="outset" w:sz="6" w:space="0" w:color="auto"/>
              <w:left w:val="outset" w:sz="6" w:space="0" w:color="auto"/>
              <w:bottom w:val="outset" w:sz="6" w:space="0" w:color="auto"/>
              <w:right w:val="outset" w:sz="6" w:space="0" w:color="auto"/>
            </w:tcBorders>
            <w:vAlign w:val="center"/>
            <w:hideMark/>
          </w:tcPr>
          <w:p w14:paraId="4753A591" w14:textId="77777777" w:rsidR="005D4AE6" w:rsidRPr="005D4AE6" w:rsidRDefault="005D4AE6" w:rsidP="005D4AE6">
            <w:pPr>
              <w:spacing w:before="100" w:beforeAutospacing="1" w:after="100" w:afterAutospacing="1" w:line="240" w:lineRule="auto"/>
              <w:rPr>
                <w:rFonts w:eastAsia="Times New Roman" w:cs="Times New Roman"/>
                <w:szCs w:val="24"/>
                <w:lang w:eastAsia="lv-LV"/>
              </w:rPr>
            </w:pPr>
            <w:r w:rsidRPr="005D4AE6">
              <w:rPr>
                <w:rFonts w:eastAsia="Times New Roman" w:cs="Times New Roman"/>
                <w:b/>
                <w:bCs/>
                <w:szCs w:val="24"/>
                <w:lang w:eastAsia="lv-LV"/>
              </w:rPr>
              <w:t>II. Tiesību akta projekta ietekme uz sabiedrību, tautsaimniecības attīstību un administratīvo slogu</w:t>
            </w:r>
          </w:p>
        </w:tc>
      </w:tr>
      <w:tr w:rsidR="005D4AE6" w:rsidRPr="00305F40" w14:paraId="07F71C90" w14:textId="77777777" w:rsidTr="00150908">
        <w:trPr>
          <w:gridAfter w:val="3"/>
          <w:wAfter w:w="45" w:type="pct"/>
          <w:trHeight w:val="465"/>
        </w:trPr>
        <w:tc>
          <w:tcPr>
            <w:tcW w:w="244" w:type="pct"/>
            <w:gridSpan w:val="2"/>
            <w:tcBorders>
              <w:top w:val="outset" w:sz="6" w:space="0" w:color="auto"/>
              <w:left w:val="outset" w:sz="6" w:space="0" w:color="auto"/>
              <w:bottom w:val="outset" w:sz="6" w:space="0" w:color="auto"/>
              <w:right w:val="outset" w:sz="6" w:space="0" w:color="auto"/>
            </w:tcBorders>
            <w:hideMark/>
          </w:tcPr>
          <w:p w14:paraId="760060CB"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594" w:type="pct"/>
            <w:gridSpan w:val="7"/>
            <w:tcBorders>
              <w:top w:val="outset" w:sz="6" w:space="0" w:color="auto"/>
              <w:left w:val="outset" w:sz="6" w:space="0" w:color="auto"/>
              <w:bottom w:val="outset" w:sz="6" w:space="0" w:color="auto"/>
              <w:right w:val="outset" w:sz="6" w:space="0" w:color="auto"/>
            </w:tcBorders>
            <w:hideMark/>
          </w:tcPr>
          <w:p w14:paraId="078E455C"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Sabiedrības </w:t>
            </w:r>
            <w:proofErr w:type="spellStart"/>
            <w:r w:rsidRPr="00305F40">
              <w:rPr>
                <w:rFonts w:eastAsia="Times New Roman" w:cs="Times New Roman"/>
                <w:szCs w:val="24"/>
                <w:lang w:eastAsia="lv-LV"/>
              </w:rPr>
              <w:t>mērķgrupas</w:t>
            </w:r>
            <w:proofErr w:type="spellEnd"/>
            <w:r w:rsidRPr="00305F40">
              <w:rPr>
                <w:rFonts w:eastAsia="Times New Roman" w:cs="Times New Roman"/>
                <w:szCs w:val="24"/>
                <w:lang w:eastAsia="lv-LV"/>
              </w:rPr>
              <w:t>, kuras tiesiskais regulējums ietekmē vai varētu ietekmēt</w:t>
            </w:r>
          </w:p>
        </w:tc>
        <w:tc>
          <w:tcPr>
            <w:tcW w:w="3116" w:type="pct"/>
            <w:gridSpan w:val="7"/>
            <w:tcBorders>
              <w:top w:val="outset" w:sz="6" w:space="0" w:color="auto"/>
              <w:left w:val="outset" w:sz="6" w:space="0" w:color="auto"/>
              <w:bottom w:val="outset" w:sz="6" w:space="0" w:color="auto"/>
              <w:right w:val="outset" w:sz="6" w:space="0" w:color="auto"/>
            </w:tcBorders>
            <w:hideMark/>
          </w:tcPr>
          <w:p w14:paraId="709E678A" w14:textId="0C54FE0D" w:rsidR="005D4AE6" w:rsidRPr="00305F40" w:rsidRDefault="00BD4DA5" w:rsidP="00D83B50">
            <w:pPr>
              <w:spacing w:after="0" w:line="240" w:lineRule="auto"/>
              <w:ind w:right="46"/>
              <w:jc w:val="both"/>
              <w:rPr>
                <w:rFonts w:eastAsia="Times New Roman" w:cs="Times New Roman"/>
                <w:szCs w:val="24"/>
                <w:lang w:eastAsia="lv-LV"/>
              </w:rPr>
            </w:pPr>
            <w:r>
              <w:rPr>
                <w:rFonts w:eastAsia="Times New Roman" w:cs="Times New Roman"/>
                <w:szCs w:val="24"/>
                <w:lang w:eastAsia="lv-LV"/>
              </w:rPr>
              <w:t>J</w:t>
            </w:r>
            <w:r w:rsidR="00CE1371" w:rsidRPr="00CE1371">
              <w:rPr>
                <w:rFonts w:eastAsia="Times New Roman" w:cs="Times New Roman"/>
                <w:szCs w:val="24"/>
                <w:lang w:eastAsia="lv-LV"/>
              </w:rPr>
              <w:t xml:space="preserve">ebkura persona, kura ir preču īpašnieks vai preču valdītājs un </w:t>
            </w:r>
            <w:r w:rsidRPr="00CE1371">
              <w:rPr>
                <w:rFonts w:eastAsia="Times New Roman" w:cs="Times New Roman"/>
                <w:szCs w:val="24"/>
                <w:lang w:eastAsia="lv-LV"/>
              </w:rPr>
              <w:t>k</w:t>
            </w:r>
            <w:r>
              <w:rPr>
                <w:rFonts w:eastAsia="Times New Roman" w:cs="Times New Roman"/>
                <w:szCs w:val="24"/>
                <w:lang w:eastAsia="lv-LV"/>
              </w:rPr>
              <w:t>ura</w:t>
            </w:r>
            <w:r w:rsidR="00EC703D">
              <w:rPr>
                <w:rFonts w:eastAsia="Times New Roman" w:cs="Times New Roman"/>
                <w:szCs w:val="24"/>
                <w:lang w:eastAsia="lv-LV"/>
              </w:rPr>
              <w:t xml:space="preserve"> </w:t>
            </w:r>
            <w:r w:rsidR="00662285">
              <w:rPr>
                <w:rFonts w:eastAsia="Times New Roman" w:cs="Times New Roman"/>
                <w:szCs w:val="24"/>
                <w:lang w:eastAsia="lv-LV"/>
              </w:rPr>
              <w:t xml:space="preserve">piesaka </w:t>
            </w:r>
            <w:r w:rsidR="00EC703D">
              <w:rPr>
                <w:rFonts w:eastAsia="Times New Roman" w:cs="Times New Roman"/>
                <w:szCs w:val="24"/>
                <w:lang w:eastAsia="lv-LV"/>
              </w:rPr>
              <w:t>preču iznīc</w:t>
            </w:r>
            <w:r w:rsidR="007D71E9">
              <w:rPr>
                <w:rFonts w:eastAsia="Times New Roman" w:cs="Times New Roman"/>
                <w:szCs w:val="24"/>
                <w:lang w:eastAsia="lv-LV"/>
              </w:rPr>
              <w:t xml:space="preserve">ināšanu vai </w:t>
            </w:r>
            <w:r w:rsidR="00662285">
              <w:rPr>
                <w:rFonts w:eastAsia="Times New Roman" w:cs="Times New Roman"/>
                <w:szCs w:val="24"/>
                <w:lang w:eastAsia="lv-LV"/>
              </w:rPr>
              <w:t xml:space="preserve">atteikšanos </w:t>
            </w:r>
            <w:r w:rsidR="007D71E9">
              <w:rPr>
                <w:rFonts w:eastAsia="Times New Roman" w:cs="Times New Roman"/>
                <w:szCs w:val="24"/>
                <w:lang w:eastAsia="lv-LV"/>
              </w:rPr>
              <w:t>no precēm</w:t>
            </w:r>
            <w:r w:rsidRPr="00CE1371">
              <w:rPr>
                <w:rFonts w:eastAsia="Times New Roman" w:cs="Times New Roman"/>
                <w:szCs w:val="24"/>
                <w:lang w:eastAsia="lv-LV"/>
              </w:rPr>
              <w:t xml:space="preserve"> </w:t>
            </w:r>
            <w:r w:rsidR="00CE1371" w:rsidRPr="00CE1371">
              <w:rPr>
                <w:rFonts w:eastAsia="Times New Roman" w:cs="Times New Roman"/>
                <w:szCs w:val="24"/>
                <w:lang w:eastAsia="lv-LV"/>
              </w:rPr>
              <w:t>par labu valstij</w:t>
            </w:r>
            <w:r w:rsidR="00662285">
              <w:rPr>
                <w:rFonts w:eastAsia="Times New Roman" w:cs="Times New Roman"/>
                <w:szCs w:val="24"/>
                <w:lang w:eastAsia="lv-LV"/>
              </w:rPr>
              <w:t xml:space="preserve"> vai kura piemēro </w:t>
            </w:r>
            <w:r w:rsidR="000E6B30">
              <w:rPr>
                <w:rFonts w:eastAsia="Times New Roman" w:cs="Times New Roman"/>
                <w:szCs w:val="24"/>
                <w:lang w:eastAsia="lv-LV"/>
              </w:rPr>
              <w:t xml:space="preserve">preču </w:t>
            </w:r>
            <w:r w:rsidR="00662285">
              <w:rPr>
                <w:rFonts w:eastAsia="Times New Roman" w:cs="Times New Roman"/>
                <w:szCs w:val="24"/>
                <w:lang w:eastAsia="lv-LV"/>
              </w:rPr>
              <w:t>iznīcināšanu pēc muitas iestādes pieprasījuma</w:t>
            </w:r>
            <w:r w:rsidR="007D71E9">
              <w:rPr>
                <w:rFonts w:eastAsia="Times New Roman" w:cs="Times New Roman"/>
                <w:szCs w:val="24"/>
                <w:lang w:eastAsia="lv-LV"/>
              </w:rPr>
              <w:t>.</w:t>
            </w:r>
            <w:r w:rsidR="00CE1371" w:rsidRPr="00CE1371">
              <w:rPr>
                <w:rFonts w:eastAsia="Times New Roman" w:cs="Times New Roman"/>
                <w:szCs w:val="24"/>
                <w:lang w:eastAsia="lv-LV"/>
              </w:rPr>
              <w:t xml:space="preserve"> </w:t>
            </w:r>
          </w:p>
        </w:tc>
      </w:tr>
      <w:tr w:rsidR="005D4AE6" w:rsidRPr="00305F40" w14:paraId="159E652F" w14:textId="77777777" w:rsidTr="00150908">
        <w:trPr>
          <w:gridAfter w:val="3"/>
          <w:wAfter w:w="45" w:type="pct"/>
          <w:trHeight w:val="510"/>
        </w:trPr>
        <w:tc>
          <w:tcPr>
            <w:tcW w:w="244" w:type="pct"/>
            <w:gridSpan w:val="2"/>
            <w:tcBorders>
              <w:top w:val="outset" w:sz="6" w:space="0" w:color="auto"/>
              <w:left w:val="outset" w:sz="6" w:space="0" w:color="auto"/>
              <w:bottom w:val="outset" w:sz="6" w:space="0" w:color="auto"/>
              <w:right w:val="outset" w:sz="6" w:space="0" w:color="auto"/>
            </w:tcBorders>
            <w:hideMark/>
          </w:tcPr>
          <w:p w14:paraId="2E0F6481"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w:t>
            </w:r>
          </w:p>
        </w:tc>
        <w:tc>
          <w:tcPr>
            <w:tcW w:w="1594" w:type="pct"/>
            <w:gridSpan w:val="7"/>
            <w:tcBorders>
              <w:top w:val="outset" w:sz="6" w:space="0" w:color="auto"/>
              <w:left w:val="outset" w:sz="6" w:space="0" w:color="auto"/>
              <w:bottom w:val="outset" w:sz="6" w:space="0" w:color="auto"/>
              <w:right w:val="outset" w:sz="6" w:space="0" w:color="auto"/>
            </w:tcBorders>
            <w:hideMark/>
          </w:tcPr>
          <w:p w14:paraId="1F8F7870"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Tiesiskā regulējuma ietekme uz tautsaimniecību un administratīvo slogu</w:t>
            </w:r>
          </w:p>
        </w:tc>
        <w:tc>
          <w:tcPr>
            <w:tcW w:w="3116" w:type="pct"/>
            <w:gridSpan w:val="7"/>
            <w:tcBorders>
              <w:top w:val="outset" w:sz="6" w:space="0" w:color="auto"/>
              <w:left w:val="outset" w:sz="6" w:space="0" w:color="auto"/>
              <w:bottom w:val="outset" w:sz="6" w:space="0" w:color="auto"/>
              <w:right w:val="outset" w:sz="6" w:space="0" w:color="auto"/>
            </w:tcBorders>
            <w:hideMark/>
          </w:tcPr>
          <w:p w14:paraId="5E0C36C7" w14:textId="37E7A617" w:rsidR="00D02456" w:rsidRPr="00305F40" w:rsidRDefault="00015014" w:rsidP="00015014">
            <w:pPr>
              <w:spacing w:line="240" w:lineRule="auto"/>
              <w:ind w:right="46"/>
              <w:jc w:val="both"/>
              <w:rPr>
                <w:rFonts w:eastAsia="Times New Roman" w:cs="Times New Roman"/>
                <w:szCs w:val="24"/>
              </w:rPr>
            </w:pPr>
            <w:r>
              <w:rPr>
                <w:rFonts w:eastAsia="Times New Roman" w:cs="Times New Roman"/>
                <w:szCs w:val="24"/>
              </w:rPr>
              <w:t>S</w:t>
            </w:r>
            <w:r w:rsidRPr="00015014">
              <w:rPr>
                <w:rFonts w:eastAsia="Times New Roman" w:cs="Times New Roman"/>
                <w:szCs w:val="24"/>
              </w:rPr>
              <w:t>abiedrības grupām un institūcijām projekta tiesiskais regulējums nemaina tiesības un pienākumus, kā arī veicamās darbības</w:t>
            </w:r>
            <w:r w:rsidR="00394572">
              <w:rPr>
                <w:rFonts w:eastAsia="Times New Roman" w:cs="Times New Roman"/>
                <w:szCs w:val="24"/>
              </w:rPr>
              <w:t>.</w:t>
            </w:r>
          </w:p>
        </w:tc>
      </w:tr>
      <w:tr w:rsidR="005D4AE6" w:rsidRPr="00305F40" w14:paraId="5477F667" w14:textId="77777777" w:rsidTr="00150908">
        <w:trPr>
          <w:gridAfter w:val="3"/>
          <w:wAfter w:w="45" w:type="pct"/>
          <w:trHeight w:val="510"/>
        </w:trPr>
        <w:tc>
          <w:tcPr>
            <w:tcW w:w="244" w:type="pct"/>
            <w:gridSpan w:val="2"/>
            <w:tcBorders>
              <w:top w:val="outset" w:sz="6" w:space="0" w:color="auto"/>
              <w:left w:val="outset" w:sz="6" w:space="0" w:color="auto"/>
              <w:bottom w:val="outset" w:sz="6" w:space="0" w:color="auto"/>
              <w:right w:val="outset" w:sz="6" w:space="0" w:color="auto"/>
            </w:tcBorders>
            <w:hideMark/>
          </w:tcPr>
          <w:p w14:paraId="789C7D55"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3.</w:t>
            </w:r>
          </w:p>
        </w:tc>
        <w:tc>
          <w:tcPr>
            <w:tcW w:w="1594" w:type="pct"/>
            <w:gridSpan w:val="7"/>
            <w:tcBorders>
              <w:top w:val="outset" w:sz="6" w:space="0" w:color="auto"/>
              <w:left w:val="outset" w:sz="6" w:space="0" w:color="auto"/>
              <w:bottom w:val="outset" w:sz="6" w:space="0" w:color="auto"/>
              <w:right w:val="outset" w:sz="6" w:space="0" w:color="auto"/>
            </w:tcBorders>
            <w:hideMark/>
          </w:tcPr>
          <w:p w14:paraId="26812E1A"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Administratīvo izmaksu monetārs novērtējums</w:t>
            </w:r>
          </w:p>
        </w:tc>
        <w:tc>
          <w:tcPr>
            <w:tcW w:w="3116" w:type="pct"/>
            <w:gridSpan w:val="7"/>
            <w:tcBorders>
              <w:top w:val="outset" w:sz="6" w:space="0" w:color="auto"/>
              <w:left w:val="outset" w:sz="6" w:space="0" w:color="auto"/>
              <w:bottom w:val="outset" w:sz="6" w:space="0" w:color="auto"/>
              <w:right w:val="outset" w:sz="6" w:space="0" w:color="auto"/>
            </w:tcBorders>
            <w:hideMark/>
          </w:tcPr>
          <w:p w14:paraId="44D2579D" w14:textId="33A30334" w:rsidR="005D4AE6" w:rsidRPr="007D71E9" w:rsidRDefault="00BD4DA5" w:rsidP="00A437CA">
            <w:pPr>
              <w:spacing w:after="0" w:line="240" w:lineRule="auto"/>
              <w:ind w:right="46"/>
              <w:jc w:val="both"/>
              <w:rPr>
                <w:rFonts w:eastAsia="Times New Roman" w:cs="Times New Roman"/>
                <w:szCs w:val="24"/>
              </w:rPr>
            </w:pPr>
            <w:r w:rsidRPr="007D71E9">
              <w:rPr>
                <w:szCs w:val="24"/>
              </w:rPr>
              <w:t>Projekts šo jomu neskar</w:t>
            </w:r>
          </w:p>
        </w:tc>
      </w:tr>
      <w:tr w:rsidR="005D4AE6" w:rsidRPr="00305F40" w14:paraId="64C2A6A2" w14:textId="77777777" w:rsidTr="00150908">
        <w:trPr>
          <w:gridAfter w:val="3"/>
          <w:wAfter w:w="45" w:type="pct"/>
          <w:trHeight w:val="345"/>
        </w:trPr>
        <w:tc>
          <w:tcPr>
            <w:tcW w:w="244" w:type="pct"/>
            <w:gridSpan w:val="2"/>
            <w:tcBorders>
              <w:top w:val="outset" w:sz="6" w:space="0" w:color="auto"/>
              <w:left w:val="outset" w:sz="6" w:space="0" w:color="auto"/>
              <w:bottom w:val="single" w:sz="4" w:space="0" w:color="auto"/>
              <w:right w:val="outset" w:sz="6" w:space="0" w:color="auto"/>
            </w:tcBorders>
            <w:hideMark/>
          </w:tcPr>
          <w:p w14:paraId="1934BB7E"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4.</w:t>
            </w:r>
          </w:p>
        </w:tc>
        <w:tc>
          <w:tcPr>
            <w:tcW w:w="1594" w:type="pct"/>
            <w:gridSpan w:val="7"/>
            <w:tcBorders>
              <w:top w:val="outset" w:sz="6" w:space="0" w:color="auto"/>
              <w:left w:val="outset" w:sz="6" w:space="0" w:color="auto"/>
              <w:bottom w:val="single" w:sz="4" w:space="0" w:color="auto"/>
              <w:right w:val="outset" w:sz="6" w:space="0" w:color="auto"/>
            </w:tcBorders>
            <w:hideMark/>
          </w:tcPr>
          <w:p w14:paraId="17097DBC"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116" w:type="pct"/>
            <w:gridSpan w:val="7"/>
            <w:tcBorders>
              <w:top w:val="outset" w:sz="6" w:space="0" w:color="auto"/>
              <w:left w:val="outset" w:sz="6" w:space="0" w:color="auto"/>
              <w:bottom w:val="single" w:sz="4" w:space="0" w:color="auto"/>
              <w:right w:val="outset" w:sz="6" w:space="0" w:color="auto"/>
            </w:tcBorders>
            <w:hideMark/>
          </w:tcPr>
          <w:p w14:paraId="6229482C" w14:textId="2252F651" w:rsidR="00BA47B1" w:rsidRPr="00305F40" w:rsidRDefault="00FB42C5"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Nav</w:t>
            </w:r>
          </w:p>
        </w:tc>
      </w:tr>
      <w:tr w:rsidR="00150908" w:rsidRPr="00305F40" w14:paraId="7F0BB69E" w14:textId="77777777" w:rsidTr="00150908">
        <w:trPr>
          <w:gridAfter w:val="3"/>
          <w:wAfter w:w="45" w:type="pct"/>
          <w:trHeight w:val="345"/>
        </w:trPr>
        <w:tc>
          <w:tcPr>
            <w:tcW w:w="244" w:type="pct"/>
            <w:gridSpan w:val="2"/>
            <w:tcBorders>
              <w:top w:val="single" w:sz="4" w:space="0" w:color="auto"/>
              <w:left w:val="nil"/>
              <w:bottom w:val="nil"/>
              <w:right w:val="nil"/>
            </w:tcBorders>
          </w:tcPr>
          <w:p w14:paraId="111794FC" w14:textId="77777777" w:rsidR="00150908" w:rsidRPr="00305F40" w:rsidRDefault="00150908" w:rsidP="005D4AE6">
            <w:pPr>
              <w:spacing w:after="0" w:line="240" w:lineRule="auto"/>
              <w:rPr>
                <w:rFonts w:eastAsia="Times New Roman" w:cs="Times New Roman"/>
                <w:szCs w:val="24"/>
                <w:lang w:eastAsia="lv-LV"/>
              </w:rPr>
            </w:pPr>
          </w:p>
        </w:tc>
        <w:tc>
          <w:tcPr>
            <w:tcW w:w="1594" w:type="pct"/>
            <w:gridSpan w:val="7"/>
            <w:tcBorders>
              <w:top w:val="single" w:sz="4" w:space="0" w:color="auto"/>
              <w:left w:val="nil"/>
              <w:bottom w:val="nil"/>
              <w:right w:val="nil"/>
            </w:tcBorders>
          </w:tcPr>
          <w:p w14:paraId="50BB45F6" w14:textId="77777777" w:rsidR="00150908" w:rsidRPr="00305F40" w:rsidRDefault="00150908" w:rsidP="005D4AE6">
            <w:pPr>
              <w:spacing w:after="0" w:line="240" w:lineRule="auto"/>
              <w:rPr>
                <w:rFonts w:eastAsia="Times New Roman" w:cs="Times New Roman"/>
                <w:szCs w:val="24"/>
                <w:lang w:eastAsia="lv-LV"/>
              </w:rPr>
            </w:pPr>
          </w:p>
        </w:tc>
        <w:tc>
          <w:tcPr>
            <w:tcW w:w="3116" w:type="pct"/>
            <w:gridSpan w:val="7"/>
            <w:tcBorders>
              <w:top w:val="single" w:sz="4" w:space="0" w:color="auto"/>
              <w:left w:val="nil"/>
              <w:bottom w:val="nil"/>
              <w:right w:val="nil"/>
            </w:tcBorders>
          </w:tcPr>
          <w:p w14:paraId="3B77D3F8" w14:textId="77777777" w:rsidR="00150908" w:rsidRPr="00305F40" w:rsidRDefault="00150908" w:rsidP="005D4AE6">
            <w:pPr>
              <w:spacing w:before="100" w:beforeAutospacing="1" w:after="100" w:afterAutospacing="1" w:line="240" w:lineRule="auto"/>
              <w:rPr>
                <w:rFonts w:eastAsia="Times New Roman" w:cs="Times New Roman"/>
                <w:szCs w:val="24"/>
                <w:lang w:eastAsia="lv-LV"/>
              </w:rPr>
            </w:pPr>
          </w:p>
        </w:tc>
      </w:tr>
      <w:tr w:rsidR="00BA47B1" w:rsidRPr="00305F40" w14:paraId="0D769740" w14:textId="77777777" w:rsidTr="00150908">
        <w:tblPrEx>
          <w:jc w:val="center"/>
          <w:tblInd w:w="0" w:type="dxa"/>
        </w:tblPrEx>
        <w:trPr>
          <w:gridAfter w:val="2"/>
          <w:wAfter w:w="23" w:type="pct"/>
          <w:trHeight w:val="450"/>
          <w:jc w:val="center"/>
        </w:trPr>
        <w:tc>
          <w:tcPr>
            <w:tcW w:w="4977" w:type="pct"/>
            <w:gridSpan w:val="17"/>
            <w:tcBorders>
              <w:top w:val="outset" w:sz="6" w:space="0" w:color="auto"/>
              <w:left w:val="outset" w:sz="6" w:space="0" w:color="auto"/>
              <w:bottom w:val="outset" w:sz="6" w:space="0" w:color="auto"/>
              <w:right w:val="outset" w:sz="6" w:space="0" w:color="auto"/>
            </w:tcBorders>
            <w:vAlign w:val="center"/>
            <w:hideMark/>
          </w:tcPr>
          <w:p w14:paraId="0FE2DE4B" w14:textId="77777777" w:rsidR="00BA47B1" w:rsidRPr="00305F40" w:rsidRDefault="00BA47B1" w:rsidP="003F0328">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IV. Tiesību akta projekta ietekme uz spēkā esošo tiesību normu sistēmu</w:t>
            </w:r>
          </w:p>
        </w:tc>
      </w:tr>
      <w:tr w:rsidR="00BA47B1" w:rsidRPr="00305F40" w14:paraId="0ECFAE52" w14:textId="77777777" w:rsidTr="00150908">
        <w:tblPrEx>
          <w:jc w:val="center"/>
          <w:tblInd w:w="0" w:type="dxa"/>
        </w:tblPrEx>
        <w:trPr>
          <w:gridAfter w:val="2"/>
          <w:wAfter w:w="23" w:type="pct"/>
          <w:jc w:val="center"/>
        </w:trPr>
        <w:tc>
          <w:tcPr>
            <w:tcW w:w="246" w:type="pct"/>
            <w:gridSpan w:val="2"/>
            <w:tcBorders>
              <w:top w:val="outset" w:sz="6" w:space="0" w:color="auto"/>
              <w:left w:val="outset" w:sz="6" w:space="0" w:color="auto"/>
              <w:bottom w:val="outset" w:sz="6" w:space="0" w:color="auto"/>
              <w:right w:val="outset" w:sz="6" w:space="0" w:color="auto"/>
            </w:tcBorders>
            <w:hideMark/>
          </w:tcPr>
          <w:p w14:paraId="199527FA" w14:textId="77777777" w:rsidR="00BA47B1" w:rsidRPr="00305F40" w:rsidRDefault="00BA47B1" w:rsidP="003F0328">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563" w:type="pct"/>
            <w:gridSpan w:val="6"/>
            <w:tcBorders>
              <w:top w:val="outset" w:sz="6" w:space="0" w:color="auto"/>
              <w:left w:val="outset" w:sz="6" w:space="0" w:color="auto"/>
              <w:bottom w:val="outset" w:sz="6" w:space="0" w:color="auto"/>
              <w:right w:val="outset" w:sz="6" w:space="0" w:color="auto"/>
            </w:tcBorders>
            <w:hideMark/>
          </w:tcPr>
          <w:p w14:paraId="0A2B5E5E" w14:textId="77777777" w:rsidR="00BA47B1" w:rsidRPr="00305F40" w:rsidRDefault="00BA47B1" w:rsidP="003F0328">
            <w:pPr>
              <w:spacing w:after="0" w:line="240" w:lineRule="auto"/>
              <w:rPr>
                <w:rFonts w:eastAsia="Times New Roman" w:cs="Times New Roman"/>
                <w:szCs w:val="24"/>
                <w:lang w:eastAsia="lv-LV"/>
              </w:rPr>
            </w:pPr>
            <w:r w:rsidRPr="00305F40">
              <w:rPr>
                <w:rFonts w:eastAsia="Times New Roman" w:cs="Times New Roman"/>
                <w:szCs w:val="24"/>
                <w:lang w:eastAsia="lv-LV"/>
              </w:rPr>
              <w:t>Nepieciešamie saistītie tiesību aktu projekti</w:t>
            </w:r>
          </w:p>
        </w:tc>
        <w:tc>
          <w:tcPr>
            <w:tcW w:w="3168" w:type="pct"/>
            <w:gridSpan w:val="9"/>
            <w:tcBorders>
              <w:top w:val="outset" w:sz="6" w:space="0" w:color="auto"/>
              <w:left w:val="outset" w:sz="6" w:space="0" w:color="auto"/>
              <w:bottom w:val="outset" w:sz="6" w:space="0" w:color="auto"/>
              <w:right w:val="outset" w:sz="6" w:space="0" w:color="auto"/>
            </w:tcBorders>
          </w:tcPr>
          <w:p w14:paraId="0DDAA54D" w14:textId="0FBEAA80" w:rsidR="003E63BA" w:rsidRPr="003E63BA" w:rsidRDefault="003E63BA" w:rsidP="0028129D">
            <w:pPr>
              <w:tabs>
                <w:tab w:val="left" w:pos="381"/>
              </w:tabs>
              <w:spacing w:after="0" w:line="240" w:lineRule="auto"/>
              <w:jc w:val="both"/>
              <w:rPr>
                <w:rFonts w:cs="Times New Roman"/>
                <w:szCs w:val="24"/>
              </w:rPr>
            </w:pPr>
            <w:r w:rsidRPr="003E63BA">
              <w:rPr>
                <w:rFonts w:cs="Times New Roman"/>
                <w:szCs w:val="24"/>
              </w:rPr>
              <w:t>Līdz ar noteikumu projekta stāšanos spēkā spēku zaudē M</w:t>
            </w:r>
            <w:r>
              <w:rPr>
                <w:rFonts w:cs="Times New Roman"/>
                <w:szCs w:val="24"/>
              </w:rPr>
              <w:t xml:space="preserve">K </w:t>
            </w:r>
            <w:r w:rsidRPr="003E63BA">
              <w:rPr>
                <w:rFonts w:cs="Times New Roman"/>
                <w:szCs w:val="24"/>
              </w:rPr>
              <w:t>noteikumi Nr.34.</w:t>
            </w:r>
          </w:p>
          <w:p w14:paraId="3CCFE6A2" w14:textId="46CBA736" w:rsidR="00BA47B1" w:rsidRPr="00305F40" w:rsidRDefault="00BA47B1" w:rsidP="003F0328">
            <w:pPr>
              <w:spacing w:after="0" w:line="240" w:lineRule="auto"/>
              <w:jc w:val="both"/>
              <w:rPr>
                <w:rFonts w:eastAsia="Times New Roman" w:cs="Times New Roman"/>
                <w:szCs w:val="24"/>
                <w:lang w:eastAsia="lv-LV"/>
              </w:rPr>
            </w:pPr>
          </w:p>
        </w:tc>
      </w:tr>
      <w:tr w:rsidR="00BA47B1" w:rsidRPr="00305F40" w14:paraId="6CA6EF6E" w14:textId="77777777" w:rsidTr="00150908">
        <w:tblPrEx>
          <w:jc w:val="center"/>
          <w:tblInd w:w="0" w:type="dxa"/>
        </w:tblPrEx>
        <w:trPr>
          <w:gridAfter w:val="2"/>
          <w:wAfter w:w="23" w:type="pct"/>
          <w:jc w:val="center"/>
        </w:trPr>
        <w:tc>
          <w:tcPr>
            <w:tcW w:w="246" w:type="pct"/>
            <w:gridSpan w:val="2"/>
            <w:tcBorders>
              <w:top w:val="outset" w:sz="6" w:space="0" w:color="auto"/>
              <w:left w:val="outset" w:sz="6" w:space="0" w:color="auto"/>
              <w:bottom w:val="outset" w:sz="6" w:space="0" w:color="auto"/>
              <w:right w:val="outset" w:sz="6" w:space="0" w:color="auto"/>
            </w:tcBorders>
            <w:hideMark/>
          </w:tcPr>
          <w:p w14:paraId="505F2E9E" w14:textId="77777777" w:rsidR="00BA47B1" w:rsidRPr="00305F40" w:rsidRDefault="00BA47B1" w:rsidP="003F0328">
            <w:pPr>
              <w:spacing w:after="0" w:line="240" w:lineRule="auto"/>
              <w:rPr>
                <w:rFonts w:eastAsia="Times New Roman" w:cs="Times New Roman"/>
                <w:szCs w:val="24"/>
                <w:lang w:eastAsia="lv-LV"/>
              </w:rPr>
            </w:pPr>
            <w:r w:rsidRPr="00305F40">
              <w:rPr>
                <w:rFonts w:eastAsia="Times New Roman" w:cs="Times New Roman"/>
                <w:szCs w:val="24"/>
                <w:lang w:eastAsia="lv-LV"/>
              </w:rPr>
              <w:t>2.</w:t>
            </w:r>
          </w:p>
        </w:tc>
        <w:tc>
          <w:tcPr>
            <w:tcW w:w="1563" w:type="pct"/>
            <w:gridSpan w:val="6"/>
            <w:tcBorders>
              <w:top w:val="outset" w:sz="6" w:space="0" w:color="auto"/>
              <w:left w:val="outset" w:sz="6" w:space="0" w:color="auto"/>
              <w:bottom w:val="outset" w:sz="6" w:space="0" w:color="auto"/>
              <w:right w:val="outset" w:sz="6" w:space="0" w:color="auto"/>
            </w:tcBorders>
            <w:hideMark/>
          </w:tcPr>
          <w:p w14:paraId="6E8C5164" w14:textId="77777777" w:rsidR="00BA47B1" w:rsidRPr="00305F40" w:rsidRDefault="00BA47B1" w:rsidP="003F0328">
            <w:pPr>
              <w:spacing w:after="0" w:line="240" w:lineRule="auto"/>
              <w:rPr>
                <w:rFonts w:eastAsia="Times New Roman" w:cs="Times New Roman"/>
                <w:szCs w:val="24"/>
                <w:lang w:eastAsia="lv-LV"/>
              </w:rPr>
            </w:pPr>
            <w:r w:rsidRPr="00305F40">
              <w:rPr>
                <w:rFonts w:eastAsia="Times New Roman" w:cs="Times New Roman"/>
                <w:szCs w:val="24"/>
                <w:lang w:eastAsia="lv-LV"/>
              </w:rPr>
              <w:t>Atbildīgā institūcija</w:t>
            </w:r>
          </w:p>
        </w:tc>
        <w:tc>
          <w:tcPr>
            <w:tcW w:w="3168" w:type="pct"/>
            <w:gridSpan w:val="9"/>
            <w:tcBorders>
              <w:top w:val="outset" w:sz="6" w:space="0" w:color="auto"/>
              <w:left w:val="outset" w:sz="6" w:space="0" w:color="auto"/>
              <w:bottom w:val="outset" w:sz="6" w:space="0" w:color="auto"/>
              <w:right w:val="outset" w:sz="6" w:space="0" w:color="auto"/>
            </w:tcBorders>
            <w:hideMark/>
          </w:tcPr>
          <w:p w14:paraId="181B5C0C" w14:textId="338AB7CE" w:rsidR="00BA47B1" w:rsidRPr="00305F40" w:rsidRDefault="005C7453" w:rsidP="003F0328">
            <w:pPr>
              <w:spacing w:after="0" w:line="240" w:lineRule="auto"/>
              <w:rPr>
                <w:rFonts w:eastAsia="Times New Roman" w:cs="Times New Roman"/>
                <w:szCs w:val="24"/>
                <w:lang w:eastAsia="lv-LV"/>
              </w:rPr>
            </w:pPr>
            <w:r>
              <w:rPr>
                <w:rFonts w:eastAsia="Times New Roman" w:cs="Times New Roman"/>
                <w:szCs w:val="24"/>
                <w:lang w:eastAsia="lv-LV"/>
              </w:rPr>
              <w:t>Finanšu ministrija</w:t>
            </w:r>
          </w:p>
        </w:tc>
      </w:tr>
      <w:tr w:rsidR="00BA47B1" w:rsidRPr="00305F40" w14:paraId="0DF327E8" w14:textId="77777777" w:rsidTr="00150908">
        <w:tblPrEx>
          <w:jc w:val="center"/>
          <w:tblInd w:w="0" w:type="dxa"/>
        </w:tblPrEx>
        <w:trPr>
          <w:gridAfter w:val="2"/>
          <w:wAfter w:w="23" w:type="pct"/>
          <w:jc w:val="center"/>
        </w:trPr>
        <w:tc>
          <w:tcPr>
            <w:tcW w:w="246" w:type="pct"/>
            <w:gridSpan w:val="2"/>
            <w:tcBorders>
              <w:top w:val="outset" w:sz="6" w:space="0" w:color="auto"/>
              <w:left w:val="outset" w:sz="6" w:space="0" w:color="auto"/>
              <w:bottom w:val="single" w:sz="4" w:space="0" w:color="auto"/>
              <w:right w:val="outset" w:sz="6" w:space="0" w:color="auto"/>
            </w:tcBorders>
            <w:hideMark/>
          </w:tcPr>
          <w:p w14:paraId="5B3C3C34" w14:textId="77777777" w:rsidR="00BA47B1" w:rsidRPr="00305F40" w:rsidRDefault="00BA47B1" w:rsidP="003F0328">
            <w:pPr>
              <w:spacing w:after="0" w:line="240" w:lineRule="auto"/>
              <w:rPr>
                <w:rFonts w:eastAsia="Times New Roman" w:cs="Times New Roman"/>
                <w:szCs w:val="24"/>
                <w:lang w:eastAsia="lv-LV"/>
              </w:rPr>
            </w:pPr>
            <w:r w:rsidRPr="00305F40">
              <w:rPr>
                <w:rFonts w:eastAsia="Times New Roman" w:cs="Times New Roman"/>
                <w:szCs w:val="24"/>
                <w:lang w:eastAsia="lv-LV"/>
              </w:rPr>
              <w:t>3.</w:t>
            </w:r>
          </w:p>
        </w:tc>
        <w:tc>
          <w:tcPr>
            <w:tcW w:w="1563" w:type="pct"/>
            <w:gridSpan w:val="6"/>
            <w:tcBorders>
              <w:top w:val="outset" w:sz="6" w:space="0" w:color="auto"/>
              <w:left w:val="outset" w:sz="6" w:space="0" w:color="auto"/>
              <w:bottom w:val="single" w:sz="4" w:space="0" w:color="auto"/>
              <w:right w:val="outset" w:sz="6" w:space="0" w:color="auto"/>
            </w:tcBorders>
            <w:hideMark/>
          </w:tcPr>
          <w:p w14:paraId="30DE90CD" w14:textId="77777777" w:rsidR="00BA47B1" w:rsidRPr="00305F40" w:rsidRDefault="00BA47B1" w:rsidP="003F0328">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168" w:type="pct"/>
            <w:gridSpan w:val="9"/>
            <w:tcBorders>
              <w:top w:val="outset" w:sz="6" w:space="0" w:color="auto"/>
              <w:left w:val="outset" w:sz="6" w:space="0" w:color="auto"/>
              <w:bottom w:val="single" w:sz="4" w:space="0" w:color="auto"/>
              <w:right w:val="outset" w:sz="6" w:space="0" w:color="auto"/>
            </w:tcBorders>
            <w:hideMark/>
          </w:tcPr>
          <w:p w14:paraId="6565D041" w14:textId="77777777" w:rsidR="00BA47B1" w:rsidRPr="00305F40" w:rsidRDefault="00BA47B1" w:rsidP="003F0328">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Nav</w:t>
            </w:r>
          </w:p>
        </w:tc>
      </w:tr>
      <w:tr w:rsidR="00150908" w:rsidRPr="00305F40" w14:paraId="4CA8496A" w14:textId="77777777" w:rsidTr="00150908">
        <w:tblPrEx>
          <w:jc w:val="center"/>
          <w:tblInd w:w="0" w:type="dxa"/>
        </w:tblPrEx>
        <w:trPr>
          <w:gridAfter w:val="2"/>
          <w:wAfter w:w="23" w:type="pct"/>
          <w:jc w:val="center"/>
        </w:trPr>
        <w:tc>
          <w:tcPr>
            <w:tcW w:w="246" w:type="pct"/>
            <w:gridSpan w:val="2"/>
            <w:tcBorders>
              <w:top w:val="single" w:sz="4" w:space="0" w:color="auto"/>
              <w:left w:val="nil"/>
              <w:bottom w:val="nil"/>
              <w:right w:val="nil"/>
            </w:tcBorders>
          </w:tcPr>
          <w:p w14:paraId="72375640" w14:textId="77777777" w:rsidR="00150908" w:rsidRPr="00305F40" w:rsidRDefault="00150908" w:rsidP="003F0328">
            <w:pPr>
              <w:spacing w:after="0" w:line="240" w:lineRule="auto"/>
              <w:rPr>
                <w:rFonts w:eastAsia="Times New Roman" w:cs="Times New Roman"/>
                <w:szCs w:val="24"/>
                <w:lang w:eastAsia="lv-LV"/>
              </w:rPr>
            </w:pPr>
          </w:p>
        </w:tc>
        <w:tc>
          <w:tcPr>
            <w:tcW w:w="1563" w:type="pct"/>
            <w:gridSpan w:val="6"/>
            <w:tcBorders>
              <w:top w:val="single" w:sz="4" w:space="0" w:color="auto"/>
              <w:left w:val="nil"/>
              <w:bottom w:val="nil"/>
              <w:right w:val="nil"/>
            </w:tcBorders>
          </w:tcPr>
          <w:p w14:paraId="4FF4D24E" w14:textId="77777777" w:rsidR="00150908" w:rsidRPr="00305F40" w:rsidRDefault="00150908" w:rsidP="003F0328">
            <w:pPr>
              <w:spacing w:after="0" w:line="240" w:lineRule="auto"/>
              <w:rPr>
                <w:rFonts w:eastAsia="Times New Roman" w:cs="Times New Roman"/>
                <w:szCs w:val="24"/>
                <w:lang w:eastAsia="lv-LV"/>
              </w:rPr>
            </w:pPr>
          </w:p>
        </w:tc>
        <w:tc>
          <w:tcPr>
            <w:tcW w:w="3168" w:type="pct"/>
            <w:gridSpan w:val="9"/>
            <w:tcBorders>
              <w:top w:val="single" w:sz="4" w:space="0" w:color="auto"/>
              <w:left w:val="nil"/>
              <w:bottom w:val="nil"/>
              <w:right w:val="nil"/>
            </w:tcBorders>
          </w:tcPr>
          <w:p w14:paraId="7E34DA51" w14:textId="77777777" w:rsidR="00150908" w:rsidRPr="00305F40" w:rsidRDefault="00150908" w:rsidP="003F0328">
            <w:pPr>
              <w:spacing w:before="100" w:beforeAutospacing="1" w:after="100" w:afterAutospacing="1" w:line="240" w:lineRule="auto"/>
              <w:rPr>
                <w:rFonts w:eastAsia="Times New Roman" w:cs="Times New Roman"/>
                <w:szCs w:val="24"/>
                <w:lang w:eastAsia="lv-LV"/>
              </w:rPr>
            </w:pPr>
          </w:p>
        </w:tc>
      </w:tr>
      <w:tr w:rsidR="005D4AE6" w:rsidRPr="00305F40" w14:paraId="0867A510" w14:textId="77777777" w:rsidTr="00150908">
        <w:trPr>
          <w:gridBefore w:val="1"/>
          <w:gridAfter w:val="2"/>
          <w:wBefore w:w="20" w:type="pct"/>
          <w:wAfter w:w="23" w:type="pct"/>
        </w:trPr>
        <w:tc>
          <w:tcPr>
            <w:tcW w:w="4957" w:type="pct"/>
            <w:gridSpan w:val="16"/>
            <w:tcBorders>
              <w:top w:val="outset" w:sz="6" w:space="0" w:color="auto"/>
              <w:left w:val="outset" w:sz="6" w:space="0" w:color="auto"/>
              <w:bottom w:val="outset" w:sz="6" w:space="0" w:color="auto"/>
              <w:right w:val="outset" w:sz="6" w:space="0" w:color="auto"/>
            </w:tcBorders>
            <w:vAlign w:val="center"/>
            <w:hideMark/>
          </w:tcPr>
          <w:p w14:paraId="3709A765"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V. Tiesību akta projekta atbilstība Latvijas Republikas starptautiskajām saistībām</w:t>
            </w:r>
          </w:p>
        </w:tc>
      </w:tr>
      <w:tr w:rsidR="005D4AE6" w:rsidRPr="00305F40" w14:paraId="661E9919" w14:textId="77777777" w:rsidTr="00150908">
        <w:trPr>
          <w:gridBefore w:val="1"/>
          <w:gridAfter w:val="2"/>
          <w:wBefore w:w="20" w:type="pct"/>
          <w:wAfter w:w="23" w:type="pct"/>
        </w:trPr>
        <w:tc>
          <w:tcPr>
            <w:tcW w:w="248" w:type="pct"/>
            <w:gridSpan w:val="4"/>
            <w:tcBorders>
              <w:top w:val="outset" w:sz="6" w:space="0" w:color="auto"/>
              <w:left w:val="outset" w:sz="6" w:space="0" w:color="auto"/>
              <w:bottom w:val="single" w:sz="4" w:space="0" w:color="auto"/>
              <w:right w:val="outset" w:sz="6" w:space="0" w:color="auto"/>
            </w:tcBorders>
            <w:hideMark/>
          </w:tcPr>
          <w:p w14:paraId="0B340259"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430" w:type="pct"/>
            <w:gridSpan w:val="2"/>
            <w:tcBorders>
              <w:top w:val="outset" w:sz="6" w:space="0" w:color="auto"/>
              <w:left w:val="outset" w:sz="6" w:space="0" w:color="auto"/>
              <w:bottom w:val="single" w:sz="4" w:space="0" w:color="auto"/>
              <w:right w:val="outset" w:sz="6" w:space="0" w:color="auto"/>
            </w:tcBorders>
            <w:hideMark/>
          </w:tcPr>
          <w:p w14:paraId="654AD843"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Saistības pret Eiropas Savienību</w:t>
            </w:r>
          </w:p>
        </w:tc>
        <w:tc>
          <w:tcPr>
            <w:tcW w:w="3279" w:type="pct"/>
            <w:gridSpan w:val="10"/>
            <w:tcBorders>
              <w:top w:val="outset" w:sz="6" w:space="0" w:color="auto"/>
              <w:left w:val="outset" w:sz="6" w:space="0" w:color="auto"/>
              <w:bottom w:val="single" w:sz="4" w:space="0" w:color="auto"/>
              <w:right w:val="outset" w:sz="6" w:space="0" w:color="auto"/>
            </w:tcBorders>
            <w:hideMark/>
          </w:tcPr>
          <w:p w14:paraId="03576A92" w14:textId="63A7195B" w:rsidR="00A437CA" w:rsidRDefault="00A437CA" w:rsidP="00A437CA">
            <w:pPr>
              <w:spacing w:after="0" w:line="240" w:lineRule="auto"/>
              <w:jc w:val="both"/>
              <w:rPr>
                <w:szCs w:val="28"/>
              </w:rPr>
            </w:pPr>
            <w:r w:rsidRPr="00A437CA">
              <w:rPr>
                <w:szCs w:val="28"/>
              </w:rPr>
              <w:t xml:space="preserve">Eiropas Parlamenta un Padomes 2013.gada 9.oktobra </w:t>
            </w:r>
            <w:r w:rsidR="00BD4DA5">
              <w:rPr>
                <w:szCs w:val="28"/>
              </w:rPr>
              <w:t>R</w:t>
            </w:r>
            <w:r w:rsidR="00BD4DA5" w:rsidRPr="00A437CA">
              <w:rPr>
                <w:szCs w:val="28"/>
              </w:rPr>
              <w:t xml:space="preserve">egula </w:t>
            </w:r>
            <w:r w:rsidRPr="00A437CA">
              <w:rPr>
                <w:szCs w:val="28"/>
              </w:rPr>
              <w:t>Nr.952/2013 (ES)</w:t>
            </w:r>
            <w:r w:rsidR="00E04E77">
              <w:rPr>
                <w:szCs w:val="28"/>
              </w:rPr>
              <w:t>,</w:t>
            </w:r>
            <w:r w:rsidRPr="00A437CA">
              <w:rPr>
                <w:szCs w:val="28"/>
              </w:rPr>
              <w:t xml:space="preserve"> ar ko izv</w:t>
            </w:r>
            <w:r>
              <w:rPr>
                <w:szCs w:val="28"/>
              </w:rPr>
              <w:t>eido Savienības Muitas kodeksu.</w:t>
            </w:r>
          </w:p>
          <w:p w14:paraId="1C849EF0" w14:textId="477703AB" w:rsidR="00EA7955" w:rsidRDefault="00EA7955" w:rsidP="00A437CA">
            <w:pPr>
              <w:spacing w:after="0" w:line="240" w:lineRule="auto"/>
              <w:jc w:val="both"/>
              <w:rPr>
                <w:szCs w:val="28"/>
              </w:rPr>
            </w:pPr>
          </w:p>
          <w:p w14:paraId="3BD4948F" w14:textId="0821490D" w:rsidR="00EA7955" w:rsidRDefault="00EA7955" w:rsidP="00A437CA">
            <w:pPr>
              <w:spacing w:after="0" w:line="240" w:lineRule="auto"/>
              <w:jc w:val="both"/>
              <w:rPr>
                <w:szCs w:val="28"/>
              </w:rPr>
            </w:pPr>
            <w:r w:rsidRPr="00A95EFF">
              <w:rPr>
                <w:rFonts w:eastAsia="Times New Roman" w:cs="Times New Roman"/>
                <w:bCs/>
                <w:szCs w:val="24"/>
                <w:lang w:eastAsia="lv-LV"/>
              </w:rPr>
              <w:t xml:space="preserve">Komisijas 2015.gada 28.jūlija Deleģētās regulas (ES) 2015/2446, ar ko papildina Eiropas Parlamenta un Padomes </w:t>
            </w:r>
            <w:r w:rsidRPr="003E63BA">
              <w:rPr>
                <w:rFonts w:eastAsia="Times New Roman" w:cs="Times New Roman"/>
                <w:bCs/>
                <w:szCs w:val="24"/>
                <w:lang w:eastAsia="lv-LV"/>
              </w:rPr>
              <w:t>Regulu (ES) Nr. 952/2013 attiecībā uz sīki izstrādātiem noteikumiem, kuri attiecas uz dažiem Savienības Muitas kodeksa noteikumiem</w:t>
            </w:r>
            <w:r>
              <w:rPr>
                <w:rFonts w:eastAsia="Times New Roman" w:cs="Times New Roman"/>
                <w:bCs/>
                <w:szCs w:val="24"/>
                <w:lang w:eastAsia="lv-LV"/>
              </w:rPr>
              <w:t>.</w:t>
            </w:r>
          </w:p>
          <w:p w14:paraId="04CE3C11" w14:textId="77777777" w:rsidR="00413F51" w:rsidRDefault="00413F51" w:rsidP="00E04E77">
            <w:pPr>
              <w:spacing w:after="0" w:line="240" w:lineRule="auto"/>
              <w:jc w:val="both"/>
              <w:rPr>
                <w:szCs w:val="28"/>
              </w:rPr>
            </w:pPr>
          </w:p>
          <w:p w14:paraId="420C1F6E" w14:textId="209FA45A" w:rsidR="005D4AE6" w:rsidRPr="00305F40" w:rsidRDefault="00DB1A62" w:rsidP="00E04E77">
            <w:pPr>
              <w:spacing w:after="0" w:line="240" w:lineRule="auto"/>
              <w:jc w:val="both"/>
              <w:rPr>
                <w:rFonts w:cs="Times New Roman"/>
                <w:szCs w:val="24"/>
              </w:rPr>
            </w:pPr>
            <w:r>
              <w:rPr>
                <w:szCs w:val="28"/>
              </w:rPr>
              <w:t xml:space="preserve">2015.gada 17.decembra Deleģētās </w:t>
            </w:r>
            <w:r w:rsidR="00E04E77">
              <w:rPr>
                <w:szCs w:val="28"/>
              </w:rPr>
              <w:t>r</w:t>
            </w:r>
            <w:r w:rsidR="000E6B30">
              <w:rPr>
                <w:szCs w:val="28"/>
              </w:rPr>
              <w:t xml:space="preserve">egulas </w:t>
            </w:r>
            <w:r>
              <w:rPr>
                <w:szCs w:val="28"/>
              </w:rPr>
              <w:t>(ES) Nr.2016/341</w:t>
            </w:r>
            <w:r w:rsidR="00E04E77">
              <w:rPr>
                <w:szCs w:val="28"/>
              </w:rPr>
              <w:t>,</w:t>
            </w:r>
            <w:r>
              <w:rPr>
                <w:szCs w:val="28"/>
              </w:rPr>
              <w:t xml:space="preserve"> ar ko papildina Eiropas Parlamenta un Padomes regulu (ES) Nr.952/2013 attiecībā uz pārejas noteikumiem, kurus paredz attiecībā uz konkrētiem Savienības Muitas Kodeksa </w:t>
            </w:r>
            <w:r>
              <w:rPr>
                <w:szCs w:val="28"/>
              </w:rPr>
              <w:lastRenderedPageBreak/>
              <w:t>noteikumiem, ja attiecīg</w:t>
            </w:r>
            <w:r w:rsidR="004970B2">
              <w:rPr>
                <w:szCs w:val="28"/>
              </w:rPr>
              <w:t>ā</w:t>
            </w:r>
            <w:r>
              <w:rPr>
                <w:szCs w:val="28"/>
              </w:rPr>
              <w:t>s elektroniskās sistēmas vēl nedarbojas, un groza Deleģēto regulu Nr.2015/2446.</w:t>
            </w:r>
          </w:p>
        </w:tc>
      </w:tr>
      <w:tr w:rsidR="005D4AE6" w:rsidRPr="00305F40" w14:paraId="216CE68A" w14:textId="77777777" w:rsidTr="00150908">
        <w:trPr>
          <w:gridBefore w:val="1"/>
          <w:gridAfter w:val="2"/>
          <w:wBefore w:w="20" w:type="pct"/>
          <w:wAfter w:w="23" w:type="pct"/>
        </w:trPr>
        <w:tc>
          <w:tcPr>
            <w:tcW w:w="248" w:type="pct"/>
            <w:gridSpan w:val="4"/>
            <w:tcBorders>
              <w:top w:val="single" w:sz="4" w:space="0" w:color="auto"/>
              <w:left w:val="single" w:sz="4" w:space="0" w:color="auto"/>
              <w:bottom w:val="single" w:sz="4" w:space="0" w:color="auto"/>
              <w:right w:val="single" w:sz="4" w:space="0" w:color="auto"/>
            </w:tcBorders>
            <w:hideMark/>
          </w:tcPr>
          <w:p w14:paraId="3EE441A1"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lastRenderedPageBreak/>
              <w:t>2.</w:t>
            </w:r>
          </w:p>
        </w:tc>
        <w:tc>
          <w:tcPr>
            <w:tcW w:w="1430" w:type="pct"/>
            <w:gridSpan w:val="2"/>
            <w:tcBorders>
              <w:top w:val="single" w:sz="4" w:space="0" w:color="auto"/>
              <w:left w:val="single" w:sz="4" w:space="0" w:color="auto"/>
              <w:bottom w:val="single" w:sz="4" w:space="0" w:color="auto"/>
              <w:right w:val="single" w:sz="4" w:space="0" w:color="auto"/>
            </w:tcBorders>
            <w:hideMark/>
          </w:tcPr>
          <w:p w14:paraId="55B68664"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Citas starptautiskās saistības</w:t>
            </w:r>
          </w:p>
        </w:tc>
        <w:tc>
          <w:tcPr>
            <w:tcW w:w="3279" w:type="pct"/>
            <w:gridSpan w:val="10"/>
            <w:tcBorders>
              <w:top w:val="single" w:sz="4" w:space="0" w:color="auto"/>
              <w:left w:val="single" w:sz="4" w:space="0" w:color="auto"/>
              <w:bottom w:val="single" w:sz="4" w:space="0" w:color="auto"/>
              <w:right w:val="single" w:sz="4" w:space="0" w:color="auto"/>
            </w:tcBorders>
            <w:hideMark/>
          </w:tcPr>
          <w:p w14:paraId="564EA06A" w14:textId="2770DED9" w:rsidR="005D4AE6" w:rsidRPr="00305F40" w:rsidRDefault="00AA5FB2" w:rsidP="005D4AE6">
            <w:pPr>
              <w:spacing w:after="0" w:line="240" w:lineRule="auto"/>
              <w:rPr>
                <w:rFonts w:eastAsia="Times New Roman" w:cs="Times New Roman"/>
                <w:szCs w:val="24"/>
                <w:lang w:eastAsia="lv-LV"/>
              </w:rPr>
            </w:pPr>
            <w:r>
              <w:rPr>
                <w:rFonts w:eastAsia="Times New Roman" w:cs="Times New Roman"/>
                <w:szCs w:val="24"/>
                <w:lang w:eastAsia="lv-LV"/>
              </w:rPr>
              <w:t>Projekts šo jomu neskar</w:t>
            </w:r>
          </w:p>
        </w:tc>
      </w:tr>
      <w:tr w:rsidR="005D4AE6" w:rsidRPr="00305F40" w14:paraId="4BEE6C8A" w14:textId="77777777" w:rsidTr="00150908">
        <w:trPr>
          <w:gridBefore w:val="1"/>
          <w:gridAfter w:val="2"/>
          <w:wBefore w:w="20" w:type="pct"/>
          <w:wAfter w:w="23" w:type="pct"/>
        </w:trPr>
        <w:tc>
          <w:tcPr>
            <w:tcW w:w="248" w:type="pct"/>
            <w:gridSpan w:val="4"/>
            <w:tcBorders>
              <w:top w:val="single" w:sz="4" w:space="0" w:color="auto"/>
              <w:left w:val="single" w:sz="4" w:space="0" w:color="auto"/>
              <w:bottom w:val="single" w:sz="4" w:space="0" w:color="auto"/>
              <w:right w:val="single" w:sz="4" w:space="0" w:color="auto"/>
            </w:tcBorders>
            <w:hideMark/>
          </w:tcPr>
          <w:p w14:paraId="69D5026A"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3.</w:t>
            </w:r>
          </w:p>
        </w:tc>
        <w:tc>
          <w:tcPr>
            <w:tcW w:w="1430" w:type="pct"/>
            <w:gridSpan w:val="2"/>
            <w:tcBorders>
              <w:top w:val="single" w:sz="4" w:space="0" w:color="auto"/>
              <w:left w:val="single" w:sz="4" w:space="0" w:color="auto"/>
              <w:bottom w:val="single" w:sz="4" w:space="0" w:color="auto"/>
              <w:right w:val="single" w:sz="4" w:space="0" w:color="auto"/>
            </w:tcBorders>
            <w:hideMark/>
          </w:tcPr>
          <w:p w14:paraId="2BCA84E2"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279" w:type="pct"/>
            <w:gridSpan w:val="10"/>
            <w:tcBorders>
              <w:top w:val="single" w:sz="4" w:space="0" w:color="auto"/>
              <w:left w:val="single" w:sz="4" w:space="0" w:color="auto"/>
              <w:bottom w:val="single" w:sz="4" w:space="0" w:color="auto"/>
              <w:right w:val="single" w:sz="4" w:space="0" w:color="auto"/>
            </w:tcBorders>
            <w:hideMark/>
          </w:tcPr>
          <w:p w14:paraId="1358ACEB" w14:textId="77777777" w:rsidR="005D4AE6" w:rsidRPr="00305F40" w:rsidRDefault="00FB42C5"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Nav</w:t>
            </w:r>
          </w:p>
        </w:tc>
      </w:tr>
      <w:tr w:rsidR="00150908" w:rsidRPr="00305F40" w14:paraId="6AB3EDA9" w14:textId="77777777" w:rsidTr="00150908">
        <w:trPr>
          <w:gridBefore w:val="1"/>
          <w:gridAfter w:val="2"/>
          <w:wBefore w:w="20" w:type="pct"/>
          <w:wAfter w:w="23" w:type="pct"/>
        </w:trPr>
        <w:tc>
          <w:tcPr>
            <w:tcW w:w="248" w:type="pct"/>
            <w:gridSpan w:val="4"/>
            <w:tcBorders>
              <w:top w:val="single" w:sz="4" w:space="0" w:color="auto"/>
              <w:left w:val="nil"/>
              <w:bottom w:val="nil"/>
              <w:right w:val="nil"/>
            </w:tcBorders>
          </w:tcPr>
          <w:p w14:paraId="222546D3" w14:textId="77777777" w:rsidR="00150908" w:rsidRPr="00305F40" w:rsidRDefault="00150908" w:rsidP="005D4AE6">
            <w:pPr>
              <w:spacing w:after="0" w:line="240" w:lineRule="auto"/>
              <w:rPr>
                <w:rFonts w:eastAsia="Times New Roman" w:cs="Times New Roman"/>
                <w:szCs w:val="24"/>
                <w:lang w:eastAsia="lv-LV"/>
              </w:rPr>
            </w:pPr>
          </w:p>
        </w:tc>
        <w:tc>
          <w:tcPr>
            <w:tcW w:w="1430" w:type="pct"/>
            <w:gridSpan w:val="2"/>
            <w:tcBorders>
              <w:top w:val="single" w:sz="4" w:space="0" w:color="auto"/>
              <w:left w:val="nil"/>
              <w:bottom w:val="nil"/>
              <w:right w:val="nil"/>
            </w:tcBorders>
          </w:tcPr>
          <w:p w14:paraId="0B1AC454" w14:textId="77777777" w:rsidR="00150908" w:rsidRPr="00305F40" w:rsidRDefault="00150908" w:rsidP="005D4AE6">
            <w:pPr>
              <w:spacing w:after="0" w:line="240" w:lineRule="auto"/>
              <w:rPr>
                <w:rFonts w:eastAsia="Times New Roman" w:cs="Times New Roman"/>
                <w:szCs w:val="24"/>
                <w:lang w:eastAsia="lv-LV"/>
              </w:rPr>
            </w:pPr>
          </w:p>
        </w:tc>
        <w:tc>
          <w:tcPr>
            <w:tcW w:w="3279" w:type="pct"/>
            <w:gridSpan w:val="10"/>
            <w:tcBorders>
              <w:top w:val="single" w:sz="4" w:space="0" w:color="auto"/>
              <w:left w:val="nil"/>
              <w:bottom w:val="nil"/>
              <w:right w:val="nil"/>
            </w:tcBorders>
          </w:tcPr>
          <w:p w14:paraId="1CEA7C6C" w14:textId="77777777" w:rsidR="00150908" w:rsidRPr="00305F40" w:rsidRDefault="00150908" w:rsidP="005D4AE6">
            <w:pPr>
              <w:spacing w:before="100" w:beforeAutospacing="1" w:after="100" w:afterAutospacing="1" w:line="240" w:lineRule="auto"/>
              <w:rPr>
                <w:rFonts w:eastAsia="Times New Roman" w:cs="Times New Roman"/>
                <w:szCs w:val="24"/>
                <w:lang w:eastAsia="lv-LV"/>
              </w:rPr>
            </w:pPr>
          </w:p>
        </w:tc>
      </w:tr>
      <w:tr w:rsidR="005D4AE6" w:rsidRPr="00305F40" w14:paraId="7DB1953F" w14:textId="77777777" w:rsidTr="00150908">
        <w:tblPrEx>
          <w:jc w:val="center"/>
          <w:tblInd w:w="0" w:type="dxa"/>
        </w:tblPrEx>
        <w:trPr>
          <w:gridAfter w:val="1"/>
          <w:wAfter w:w="9" w:type="pct"/>
          <w:jc w:val="center"/>
        </w:trPr>
        <w:tc>
          <w:tcPr>
            <w:tcW w:w="4990" w:type="pct"/>
            <w:gridSpan w:val="18"/>
            <w:tcBorders>
              <w:top w:val="outset" w:sz="6" w:space="0" w:color="auto"/>
              <w:left w:val="outset" w:sz="6" w:space="0" w:color="auto"/>
              <w:bottom w:val="outset" w:sz="6" w:space="0" w:color="auto"/>
              <w:right w:val="outset" w:sz="6" w:space="0" w:color="auto"/>
            </w:tcBorders>
            <w:vAlign w:val="center"/>
            <w:hideMark/>
          </w:tcPr>
          <w:p w14:paraId="2BBFF1F2" w14:textId="77777777" w:rsidR="005D4AE6" w:rsidRPr="00305F40" w:rsidRDefault="005D4AE6" w:rsidP="00710CCD">
            <w:pPr>
              <w:spacing w:before="100" w:beforeAutospacing="1" w:after="100" w:afterAutospacing="1" w:line="240" w:lineRule="auto"/>
              <w:jc w:val="center"/>
              <w:rPr>
                <w:rFonts w:eastAsia="Times New Roman" w:cs="Times New Roman"/>
                <w:szCs w:val="24"/>
                <w:lang w:eastAsia="lv-LV"/>
              </w:rPr>
            </w:pPr>
            <w:r w:rsidRPr="00305F40">
              <w:rPr>
                <w:rFonts w:eastAsia="Times New Roman" w:cs="Times New Roman"/>
                <w:b/>
                <w:bCs/>
                <w:szCs w:val="24"/>
                <w:lang w:eastAsia="lv-LV"/>
              </w:rPr>
              <w:t>1.tabula</w:t>
            </w:r>
            <w:r w:rsidRPr="00305F40">
              <w:rPr>
                <w:rFonts w:eastAsia="Times New Roman" w:cs="Times New Roman"/>
                <w:b/>
                <w:bCs/>
                <w:szCs w:val="24"/>
                <w:lang w:eastAsia="lv-LV"/>
              </w:rPr>
              <w:br/>
              <w:t>Tiesību akta projekta atbilstība ES tiesību aktiem</w:t>
            </w:r>
          </w:p>
        </w:tc>
      </w:tr>
      <w:tr w:rsidR="005D4AE6" w:rsidRPr="00305F40" w14:paraId="49E21FFB"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outset" w:sz="6" w:space="0" w:color="auto"/>
              <w:right w:val="outset" w:sz="6" w:space="0" w:color="auto"/>
            </w:tcBorders>
            <w:hideMark/>
          </w:tcPr>
          <w:p w14:paraId="20B784E7"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Attiecīgā ES tiesību akta datums, numurs un nosaukums</w:t>
            </w:r>
          </w:p>
        </w:tc>
        <w:tc>
          <w:tcPr>
            <w:tcW w:w="3362" w:type="pct"/>
            <w:gridSpan w:val="12"/>
            <w:tcBorders>
              <w:top w:val="outset" w:sz="6" w:space="0" w:color="auto"/>
              <w:left w:val="outset" w:sz="6" w:space="0" w:color="auto"/>
              <w:bottom w:val="outset" w:sz="6" w:space="0" w:color="auto"/>
              <w:right w:val="outset" w:sz="6" w:space="0" w:color="auto"/>
            </w:tcBorders>
            <w:hideMark/>
          </w:tcPr>
          <w:p w14:paraId="2E944F0C" w14:textId="33C2E17E" w:rsidR="004E4559" w:rsidRDefault="005D0C29" w:rsidP="005D0C29">
            <w:pPr>
              <w:spacing w:after="0" w:line="240" w:lineRule="auto"/>
              <w:jc w:val="both"/>
              <w:rPr>
                <w:szCs w:val="28"/>
              </w:rPr>
            </w:pPr>
            <w:r w:rsidRPr="00A437CA">
              <w:rPr>
                <w:szCs w:val="28"/>
              </w:rPr>
              <w:t xml:space="preserve">Eiropas Parlamenta un Padomes 2013.gada 9.oktobra </w:t>
            </w:r>
            <w:r>
              <w:rPr>
                <w:szCs w:val="28"/>
              </w:rPr>
              <w:t>R</w:t>
            </w:r>
            <w:r w:rsidRPr="00A437CA">
              <w:rPr>
                <w:szCs w:val="28"/>
              </w:rPr>
              <w:t xml:space="preserve">egula </w:t>
            </w:r>
            <w:r w:rsidRPr="004E4559">
              <w:rPr>
                <w:szCs w:val="28"/>
              </w:rPr>
              <w:t>Nr.952/2013 (ES)</w:t>
            </w:r>
            <w:r w:rsidR="00E04E77">
              <w:rPr>
                <w:szCs w:val="28"/>
              </w:rPr>
              <w:t>,</w:t>
            </w:r>
            <w:r w:rsidRPr="004E4559">
              <w:rPr>
                <w:szCs w:val="28"/>
              </w:rPr>
              <w:t xml:space="preserve"> ar ko izveido Savienības Muitas kodeksu.</w:t>
            </w:r>
          </w:p>
          <w:p w14:paraId="495E9729" w14:textId="77777777" w:rsidR="003E63BA" w:rsidRPr="004E4559" w:rsidRDefault="003E63BA" w:rsidP="005D0C29">
            <w:pPr>
              <w:spacing w:after="0" w:line="240" w:lineRule="auto"/>
              <w:jc w:val="both"/>
              <w:rPr>
                <w:szCs w:val="28"/>
              </w:rPr>
            </w:pPr>
          </w:p>
          <w:p w14:paraId="1D1213BD" w14:textId="3021EF9E" w:rsidR="004E4559" w:rsidRDefault="004E4559" w:rsidP="005D0C29">
            <w:pPr>
              <w:spacing w:after="0" w:line="240" w:lineRule="auto"/>
              <w:jc w:val="both"/>
              <w:rPr>
                <w:szCs w:val="28"/>
              </w:rPr>
            </w:pPr>
            <w:r w:rsidRPr="004E4559">
              <w:rPr>
                <w:szCs w:val="28"/>
              </w:rPr>
              <w:t xml:space="preserve">Komisijas </w:t>
            </w:r>
            <w:r w:rsidR="000E6B30">
              <w:rPr>
                <w:szCs w:val="28"/>
              </w:rPr>
              <w:t xml:space="preserve">2015.gada 28.jūlija </w:t>
            </w:r>
            <w:r w:rsidRPr="004E4559">
              <w:rPr>
                <w:szCs w:val="28"/>
              </w:rPr>
              <w:t xml:space="preserve">Deleģētā </w:t>
            </w:r>
            <w:r w:rsidR="00E04E77">
              <w:rPr>
                <w:szCs w:val="28"/>
              </w:rPr>
              <w:t>r</w:t>
            </w:r>
            <w:r w:rsidR="000E6B30" w:rsidRPr="004E4559">
              <w:rPr>
                <w:szCs w:val="28"/>
              </w:rPr>
              <w:t xml:space="preserve">egula </w:t>
            </w:r>
            <w:r w:rsidRPr="004E4559">
              <w:rPr>
                <w:szCs w:val="28"/>
              </w:rPr>
              <w:t xml:space="preserve">(ES) </w:t>
            </w:r>
            <w:r w:rsidR="006A6D2B">
              <w:rPr>
                <w:szCs w:val="28"/>
              </w:rPr>
              <w:t>Nr.</w:t>
            </w:r>
            <w:r w:rsidRPr="004E4559">
              <w:rPr>
                <w:szCs w:val="28"/>
              </w:rPr>
              <w:t>2015/2446, ar ko papildina Eiropas Parlamenta un Padomes Regulu (ES) Nr.</w:t>
            </w:r>
            <w:r w:rsidR="004970B2">
              <w:rPr>
                <w:szCs w:val="28"/>
              </w:rPr>
              <w:t> </w:t>
            </w:r>
            <w:r w:rsidRPr="004E4559">
              <w:rPr>
                <w:szCs w:val="28"/>
              </w:rPr>
              <w:t>952/2013 attiecībā uz sīki izstrādātiem noteikumiem, kuri attiecas uz dažiem Savienības Muitas kodeksa noteikumiem</w:t>
            </w:r>
            <w:r w:rsidR="0035527C">
              <w:rPr>
                <w:szCs w:val="28"/>
              </w:rPr>
              <w:t>.</w:t>
            </w:r>
          </w:p>
          <w:p w14:paraId="0DDAB8BB" w14:textId="77777777" w:rsidR="0035527C" w:rsidRPr="004E4559" w:rsidRDefault="0035527C" w:rsidP="005D0C29">
            <w:pPr>
              <w:spacing w:after="0" w:line="240" w:lineRule="auto"/>
              <w:jc w:val="both"/>
              <w:rPr>
                <w:szCs w:val="28"/>
              </w:rPr>
            </w:pPr>
          </w:p>
          <w:p w14:paraId="68882436" w14:textId="20F25080" w:rsidR="00FB42C5" w:rsidRPr="00305F40" w:rsidRDefault="00EA7955" w:rsidP="004E4559">
            <w:pPr>
              <w:spacing w:after="0" w:line="240" w:lineRule="auto"/>
              <w:jc w:val="both"/>
              <w:rPr>
                <w:rFonts w:eastAsia="Times New Roman" w:cs="Times New Roman"/>
                <w:szCs w:val="24"/>
                <w:lang w:eastAsia="lv-LV"/>
              </w:rPr>
            </w:pPr>
            <w:r>
              <w:rPr>
                <w:szCs w:val="28"/>
              </w:rPr>
              <w:t>2015.gada 17.decembra Deleģētās regulas (ES) Nr.2016/341, ar ko papildina Eiropas Parlamenta un Padomes regulu (ES) Nr.952/2013 attiecībā uz pārejas noteikumiem, kurus paredz attiecībā uz konkrētiem Savienības Muitas Kodeksa noteikumiem, ja attiecīg</w:t>
            </w:r>
            <w:r w:rsidR="004970B2">
              <w:rPr>
                <w:szCs w:val="28"/>
              </w:rPr>
              <w:t>ā</w:t>
            </w:r>
            <w:r>
              <w:rPr>
                <w:szCs w:val="28"/>
              </w:rPr>
              <w:t>s elektroniskās sistēmas vēl nedarbojas, un groza Deleģēto regulu Nr.2015/2446.</w:t>
            </w:r>
          </w:p>
        </w:tc>
      </w:tr>
      <w:tr w:rsidR="005D4AE6" w:rsidRPr="00305F40" w14:paraId="4AFDEB7F"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outset" w:sz="6" w:space="0" w:color="auto"/>
              <w:right w:val="outset" w:sz="6" w:space="0" w:color="auto"/>
            </w:tcBorders>
            <w:vAlign w:val="center"/>
            <w:hideMark/>
          </w:tcPr>
          <w:p w14:paraId="02F1BD66" w14:textId="77777777" w:rsidR="005D4AE6" w:rsidRPr="00305F40" w:rsidRDefault="005D4AE6" w:rsidP="0028129D">
            <w:pPr>
              <w:spacing w:before="100" w:beforeAutospacing="1" w:after="100" w:afterAutospacing="1" w:line="240" w:lineRule="auto"/>
              <w:jc w:val="center"/>
              <w:rPr>
                <w:rFonts w:eastAsia="Times New Roman" w:cs="Times New Roman"/>
                <w:szCs w:val="24"/>
                <w:lang w:eastAsia="lv-LV"/>
              </w:rPr>
            </w:pPr>
            <w:r w:rsidRPr="00305F40">
              <w:rPr>
                <w:rFonts w:eastAsia="Times New Roman" w:cs="Times New Roman"/>
                <w:szCs w:val="24"/>
                <w:lang w:eastAsia="lv-LV"/>
              </w:rPr>
              <w:t>A</w:t>
            </w:r>
          </w:p>
        </w:tc>
        <w:tc>
          <w:tcPr>
            <w:tcW w:w="861" w:type="pct"/>
            <w:gridSpan w:val="7"/>
            <w:tcBorders>
              <w:top w:val="outset" w:sz="6" w:space="0" w:color="auto"/>
              <w:left w:val="outset" w:sz="6" w:space="0" w:color="auto"/>
              <w:bottom w:val="outset" w:sz="6" w:space="0" w:color="auto"/>
              <w:right w:val="outset" w:sz="6" w:space="0" w:color="auto"/>
            </w:tcBorders>
            <w:vAlign w:val="center"/>
            <w:hideMark/>
          </w:tcPr>
          <w:p w14:paraId="0EFBA409" w14:textId="77777777" w:rsidR="005D4AE6" w:rsidRPr="00305F40" w:rsidRDefault="005D4AE6" w:rsidP="0028129D">
            <w:pPr>
              <w:spacing w:before="100" w:beforeAutospacing="1" w:after="100" w:afterAutospacing="1" w:line="240" w:lineRule="auto"/>
              <w:jc w:val="center"/>
              <w:rPr>
                <w:rFonts w:eastAsia="Times New Roman" w:cs="Times New Roman"/>
                <w:szCs w:val="24"/>
                <w:lang w:eastAsia="lv-LV"/>
              </w:rPr>
            </w:pPr>
            <w:r w:rsidRPr="00305F40">
              <w:rPr>
                <w:rFonts w:eastAsia="Times New Roman" w:cs="Times New Roman"/>
                <w:szCs w:val="24"/>
                <w:lang w:eastAsia="lv-LV"/>
              </w:rPr>
              <w:t>B</w:t>
            </w:r>
          </w:p>
        </w:tc>
        <w:tc>
          <w:tcPr>
            <w:tcW w:w="1289" w:type="pct"/>
            <w:gridSpan w:val="2"/>
            <w:tcBorders>
              <w:top w:val="outset" w:sz="6" w:space="0" w:color="auto"/>
              <w:left w:val="outset" w:sz="6" w:space="0" w:color="auto"/>
              <w:bottom w:val="outset" w:sz="6" w:space="0" w:color="auto"/>
              <w:right w:val="outset" w:sz="6" w:space="0" w:color="auto"/>
            </w:tcBorders>
            <w:vAlign w:val="center"/>
            <w:hideMark/>
          </w:tcPr>
          <w:p w14:paraId="66D0A6AA" w14:textId="77777777" w:rsidR="005D4AE6" w:rsidRPr="00305F40" w:rsidRDefault="005D4AE6" w:rsidP="0028129D">
            <w:pPr>
              <w:spacing w:before="100" w:beforeAutospacing="1" w:after="100" w:afterAutospacing="1" w:line="240" w:lineRule="auto"/>
              <w:jc w:val="center"/>
              <w:rPr>
                <w:rFonts w:eastAsia="Times New Roman" w:cs="Times New Roman"/>
                <w:szCs w:val="24"/>
                <w:lang w:eastAsia="lv-LV"/>
              </w:rPr>
            </w:pPr>
            <w:r w:rsidRPr="00305F40">
              <w:rPr>
                <w:rFonts w:eastAsia="Times New Roman" w:cs="Times New Roman"/>
                <w:szCs w:val="24"/>
                <w:lang w:eastAsia="lv-LV"/>
              </w:rPr>
              <w:t>C</w:t>
            </w:r>
          </w:p>
        </w:tc>
        <w:tc>
          <w:tcPr>
            <w:tcW w:w="1212" w:type="pct"/>
            <w:gridSpan w:val="3"/>
            <w:tcBorders>
              <w:top w:val="outset" w:sz="6" w:space="0" w:color="auto"/>
              <w:left w:val="outset" w:sz="6" w:space="0" w:color="auto"/>
              <w:bottom w:val="outset" w:sz="6" w:space="0" w:color="auto"/>
              <w:right w:val="outset" w:sz="6" w:space="0" w:color="auto"/>
            </w:tcBorders>
            <w:vAlign w:val="center"/>
            <w:hideMark/>
          </w:tcPr>
          <w:p w14:paraId="6D96BDD8" w14:textId="77777777" w:rsidR="005D4AE6" w:rsidRPr="00305F40" w:rsidRDefault="005D4AE6" w:rsidP="0028129D">
            <w:pPr>
              <w:spacing w:before="100" w:beforeAutospacing="1" w:after="100" w:afterAutospacing="1" w:line="240" w:lineRule="auto"/>
              <w:jc w:val="center"/>
              <w:rPr>
                <w:rFonts w:eastAsia="Times New Roman" w:cs="Times New Roman"/>
                <w:szCs w:val="24"/>
                <w:lang w:eastAsia="lv-LV"/>
              </w:rPr>
            </w:pPr>
            <w:r w:rsidRPr="00305F40">
              <w:rPr>
                <w:rFonts w:eastAsia="Times New Roman" w:cs="Times New Roman"/>
                <w:szCs w:val="24"/>
                <w:lang w:eastAsia="lv-LV"/>
              </w:rPr>
              <w:t>D</w:t>
            </w:r>
          </w:p>
        </w:tc>
      </w:tr>
      <w:tr w:rsidR="006621F7" w:rsidRPr="00305F40" w14:paraId="6B81F1C9"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outset" w:sz="6" w:space="0" w:color="auto"/>
              <w:right w:val="outset" w:sz="6" w:space="0" w:color="auto"/>
            </w:tcBorders>
            <w:vAlign w:val="center"/>
          </w:tcPr>
          <w:p w14:paraId="0A4053DC" w14:textId="7B09C53F" w:rsidR="006621F7" w:rsidRPr="00FD7DFC" w:rsidRDefault="00413F51" w:rsidP="00801FB9">
            <w:pPr>
              <w:spacing w:before="100" w:beforeAutospacing="1" w:after="100" w:afterAutospacing="1" w:line="240" w:lineRule="auto"/>
              <w:rPr>
                <w:rFonts w:eastAsia="Times New Roman" w:cs="Times New Roman"/>
                <w:szCs w:val="24"/>
                <w:lang w:eastAsia="lv-LV"/>
              </w:rPr>
            </w:pPr>
            <w:r w:rsidRPr="00FD7DFC">
              <w:rPr>
                <w:szCs w:val="28"/>
              </w:rPr>
              <w:t>Regula</w:t>
            </w:r>
            <w:r w:rsidR="004970B2">
              <w:rPr>
                <w:szCs w:val="28"/>
              </w:rPr>
              <w:t>s</w:t>
            </w:r>
            <w:r w:rsidRPr="00FD7DFC">
              <w:rPr>
                <w:szCs w:val="28"/>
              </w:rPr>
              <w:t xml:space="preserve"> </w:t>
            </w:r>
            <w:r w:rsidR="00801FB9" w:rsidRPr="00FD7DFC">
              <w:rPr>
                <w:szCs w:val="28"/>
              </w:rPr>
              <w:t>Nr.952/2013</w:t>
            </w:r>
            <w:r w:rsidR="006621F7" w:rsidRPr="00FD7DFC">
              <w:rPr>
                <w:szCs w:val="28"/>
              </w:rPr>
              <w:t xml:space="preserve"> </w:t>
            </w:r>
            <w:r w:rsidR="003D33E5" w:rsidRPr="00FD7DFC">
              <w:rPr>
                <w:szCs w:val="28"/>
              </w:rPr>
              <w:t>197.pants</w:t>
            </w:r>
          </w:p>
        </w:tc>
        <w:tc>
          <w:tcPr>
            <w:tcW w:w="861" w:type="pct"/>
            <w:gridSpan w:val="7"/>
            <w:tcBorders>
              <w:top w:val="outset" w:sz="6" w:space="0" w:color="auto"/>
              <w:left w:val="outset" w:sz="6" w:space="0" w:color="auto"/>
              <w:bottom w:val="outset" w:sz="6" w:space="0" w:color="auto"/>
              <w:right w:val="outset" w:sz="6" w:space="0" w:color="auto"/>
            </w:tcBorders>
            <w:vAlign w:val="center"/>
          </w:tcPr>
          <w:p w14:paraId="60DDE7E6" w14:textId="452D48C7" w:rsidR="006621F7" w:rsidRPr="00FD7DFC" w:rsidRDefault="004970B2" w:rsidP="00CD0BD4">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Noteikumu projekta</w:t>
            </w:r>
            <w:r w:rsidR="005B7537" w:rsidRPr="00FD7DFC">
              <w:rPr>
                <w:rFonts w:eastAsia="Times New Roman" w:cs="Times New Roman"/>
                <w:szCs w:val="24"/>
                <w:lang w:eastAsia="lv-LV"/>
              </w:rPr>
              <w:t xml:space="preserve"> </w:t>
            </w:r>
            <w:r w:rsidR="00FD7DFC" w:rsidRPr="00FD7DFC">
              <w:rPr>
                <w:rFonts w:eastAsia="Times New Roman" w:cs="Times New Roman"/>
                <w:szCs w:val="24"/>
                <w:lang w:eastAsia="lv-LV"/>
              </w:rPr>
              <w:t>3</w:t>
            </w:r>
            <w:r w:rsidR="00FD7DFC">
              <w:rPr>
                <w:rFonts w:eastAsia="Times New Roman" w:cs="Times New Roman"/>
                <w:szCs w:val="24"/>
                <w:lang w:eastAsia="lv-LV"/>
              </w:rPr>
              <w:t>.</w:t>
            </w:r>
            <w:r w:rsidR="006621F7" w:rsidRPr="00FD7DFC">
              <w:rPr>
                <w:rFonts w:eastAsia="Times New Roman" w:cs="Times New Roman"/>
                <w:szCs w:val="24"/>
                <w:lang w:eastAsia="lv-LV"/>
              </w:rPr>
              <w:t>punkts</w:t>
            </w:r>
          </w:p>
        </w:tc>
        <w:tc>
          <w:tcPr>
            <w:tcW w:w="1289" w:type="pct"/>
            <w:gridSpan w:val="2"/>
            <w:tcBorders>
              <w:top w:val="outset" w:sz="6" w:space="0" w:color="auto"/>
              <w:left w:val="outset" w:sz="6" w:space="0" w:color="auto"/>
              <w:bottom w:val="outset" w:sz="6" w:space="0" w:color="auto"/>
              <w:right w:val="outset" w:sz="6" w:space="0" w:color="auto"/>
            </w:tcBorders>
            <w:vAlign w:val="center"/>
          </w:tcPr>
          <w:p w14:paraId="3C165F9C" w14:textId="77777777" w:rsidR="006621F7" w:rsidRPr="00FD7DFC" w:rsidRDefault="00D02456" w:rsidP="005D4AE6">
            <w:pPr>
              <w:spacing w:before="100" w:beforeAutospacing="1" w:after="100" w:afterAutospacing="1" w:line="240" w:lineRule="auto"/>
              <w:rPr>
                <w:rFonts w:eastAsia="Times New Roman" w:cs="Times New Roman"/>
                <w:szCs w:val="24"/>
                <w:lang w:eastAsia="lv-LV"/>
              </w:rPr>
            </w:pPr>
            <w:r w:rsidRPr="00FD7DFC">
              <w:rPr>
                <w:rFonts w:eastAsia="Times New Roman" w:cs="Times New Roman"/>
                <w:szCs w:val="24"/>
                <w:lang w:eastAsia="lv-LV"/>
              </w:rPr>
              <w:t>Tiek ieviests pilnībā</w:t>
            </w:r>
          </w:p>
        </w:tc>
        <w:tc>
          <w:tcPr>
            <w:tcW w:w="1212" w:type="pct"/>
            <w:gridSpan w:val="3"/>
            <w:tcBorders>
              <w:top w:val="outset" w:sz="6" w:space="0" w:color="auto"/>
              <w:left w:val="outset" w:sz="6" w:space="0" w:color="auto"/>
              <w:bottom w:val="outset" w:sz="6" w:space="0" w:color="auto"/>
              <w:right w:val="outset" w:sz="6" w:space="0" w:color="auto"/>
            </w:tcBorders>
            <w:vAlign w:val="center"/>
          </w:tcPr>
          <w:p w14:paraId="415EC395" w14:textId="77777777" w:rsidR="006621F7" w:rsidRPr="00FD7DFC" w:rsidRDefault="005B7537" w:rsidP="005D4AE6">
            <w:pPr>
              <w:spacing w:before="100" w:beforeAutospacing="1" w:after="100" w:afterAutospacing="1" w:line="240" w:lineRule="auto"/>
              <w:rPr>
                <w:rFonts w:eastAsia="Times New Roman" w:cs="Times New Roman"/>
                <w:szCs w:val="24"/>
                <w:lang w:eastAsia="lv-LV"/>
              </w:rPr>
            </w:pPr>
            <w:r w:rsidRPr="00FD7DFC">
              <w:rPr>
                <w:rFonts w:eastAsia="Times New Roman" w:cs="Times New Roman"/>
                <w:szCs w:val="24"/>
                <w:lang w:eastAsia="lv-LV"/>
              </w:rPr>
              <w:t>Nacionālais tiesību akts neparedz stingrākas prasības</w:t>
            </w:r>
          </w:p>
        </w:tc>
      </w:tr>
      <w:tr w:rsidR="00413F51" w:rsidRPr="00305F40" w14:paraId="3AE6DF56"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9AFEFD" w14:textId="2920E0E0" w:rsidR="00413F51" w:rsidRPr="00FD7DFC" w:rsidRDefault="00413F51" w:rsidP="00801FB9">
            <w:pPr>
              <w:spacing w:before="100" w:beforeAutospacing="1" w:after="100" w:afterAutospacing="1" w:line="240" w:lineRule="auto"/>
              <w:rPr>
                <w:color w:val="000000" w:themeColor="text1"/>
                <w:szCs w:val="24"/>
              </w:rPr>
            </w:pPr>
            <w:r w:rsidRPr="00FD7DFC">
              <w:rPr>
                <w:color w:val="000000" w:themeColor="text1"/>
                <w:szCs w:val="28"/>
              </w:rPr>
              <w:t>Regula</w:t>
            </w:r>
            <w:r w:rsidR="004970B2">
              <w:rPr>
                <w:color w:val="000000" w:themeColor="text1"/>
                <w:szCs w:val="28"/>
              </w:rPr>
              <w:t>s</w:t>
            </w:r>
            <w:r w:rsidRPr="00FD7DFC">
              <w:rPr>
                <w:color w:val="000000" w:themeColor="text1"/>
                <w:szCs w:val="28"/>
              </w:rPr>
              <w:t xml:space="preserve"> Nr.952/2013 198.pants </w:t>
            </w:r>
          </w:p>
        </w:tc>
        <w:tc>
          <w:tcPr>
            <w:tcW w:w="861" w:type="pct"/>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34F91D" w14:textId="1E240237" w:rsidR="00413F51" w:rsidRPr="00FD7DFC" w:rsidRDefault="004970B2" w:rsidP="00CD0BD4">
            <w:pPr>
              <w:spacing w:before="100" w:beforeAutospacing="1" w:after="100" w:afterAutospacing="1" w:line="240" w:lineRule="auto"/>
              <w:rPr>
                <w:rFonts w:eastAsia="Times New Roman" w:cs="Times New Roman"/>
                <w:color w:val="000000" w:themeColor="text1"/>
                <w:szCs w:val="24"/>
                <w:lang w:eastAsia="lv-LV"/>
              </w:rPr>
            </w:pPr>
            <w:r>
              <w:rPr>
                <w:rFonts w:eastAsia="Times New Roman" w:cs="Times New Roman"/>
                <w:szCs w:val="24"/>
                <w:lang w:eastAsia="lv-LV"/>
              </w:rPr>
              <w:t>Noteikumu projekta</w:t>
            </w:r>
            <w:r w:rsidR="00CD0BD4">
              <w:rPr>
                <w:rFonts w:eastAsia="Times New Roman" w:cs="Times New Roman"/>
                <w:szCs w:val="24"/>
                <w:lang w:eastAsia="lv-LV"/>
              </w:rPr>
              <w:t xml:space="preserve"> </w:t>
            </w:r>
            <w:r w:rsidR="00FD7DFC">
              <w:rPr>
                <w:rFonts w:eastAsia="Times New Roman" w:cs="Times New Roman"/>
                <w:color w:val="000000" w:themeColor="text1"/>
                <w:szCs w:val="24"/>
                <w:lang w:eastAsia="lv-LV"/>
              </w:rPr>
              <w:t>3.</w:t>
            </w:r>
            <w:r w:rsidR="00CD0BD4">
              <w:rPr>
                <w:rFonts w:eastAsia="Times New Roman" w:cs="Times New Roman"/>
                <w:color w:val="000000" w:themeColor="text1"/>
                <w:szCs w:val="24"/>
                <w:lang w:eastAsia="lv-LV"/>
              </w:rPr>
              <w:t xml:space="preserve"> - </w:t>
            </w:r>
            <w:r w:rsidR="00CD0BD4" w:rsidRPr="00341A88">
              <w:rPr>
                <w:rFonts w:eastAsia="Times New Roman" w:cs="Times New Roman"/>
                <w:b/>
                <w:color w:val="000000" w:themeColor="text1"/>
                <w:szCs w:val="24"/>
                <w:lang w:eastAsia="lv-LV"/>
              </w:rPr>
              <w:t>5</w:t>
            </w:r>
            <w:r w:rsidR="00413F51" w:rsidRPr="00341A88">
              <w:rPr>
                <w:rFonts w:eastAsia="Times New Roman" w:cs="Times New Roman"/>
                <w:b/>
                <w:color w:val="000000" w:themeColor="text1"/>
                <w:szCs w:val="24"/>
                <w:lang w:eastAsia="lv-LV"/>
              </w:rPr>
              <w:t>.</w:t>
            </w:r>
            <w:r w:rsidR="00413F51" w:rsidRPr="00FD7DFC">
              <w:rPr>
                <w:rFonts w:eastAsia="Times New Roman" w:cs="Times New Roman"/>
                <w:color w:val="000000" w:themeColor="text1"/>
                <w:szCs w:val="24"/>
                <w:lang w:eastAsia="lv-LV"/>
              </w:rPr>
              <w:t>punkts</w:t>
            </w:r>
          </w:p>
        </w:tc>
        <w:tc>
          <w:tcPr>
            <w:tcW w:w="128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45B923" w14:textId="668651A3" w:rsidR="00413F51" w:rsidRPr="00FD7DFC" w:rsidRDefault="00413F51" w:rsidP="00413F51">
            <w:pPr>
              <w:spacing w:before="100" w:beforeAutospacing="1" w:after="100" w:afterAutospacing="1" w:line="240" w:lineRule="auto"/>
              <w:rPr>
                <w:rFonts w:eastAsia="Times New Roman" w:cs="Times New Roman"/>
                <w:color w:val="000000" w:themeColor="text1"/>
                <w:szCs w:val="24"/>
                <w:lang w:eastAsia="lv-LV"/>
              </w:rPr>
            </w:pPr>
            <w:r w:rsidRPr="00FD7DFC">
              <w:rPr>
                <w:rFonts w:eastAsia="Times New Roman" w:cs="Times New Roman"/>
                <w:color w:val="000000" w:themeColor="text1"/>
                <w:szCs w:val="24"/>
                <w:lang w:eastAsia="lv-LV"/>
              </w:rPr>
              <w:t xml:space="preserve">Tiek ieviests pilnībā </w:t>
            </w:r>
          </w:p>
        </w:tc>
        <w:tc>
          <w:tcPr>
            <w:tcW w:w="1212"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DC20E5" w14:textId="05A14B13" w:rsidR="00413F51" w:rsidRPr="00FD7DFC" w:rsidRDefault="00413F51" w:rsidP="004970B2">
            <w:pPr>
              <w:spacing w:before="100" w:beforeAutospacing="1" w:after="100" w:afterAutospacing="1" w:line="240" w:lineRule="auto"/>
              <w:rPr>
                <w:rFonts w:eastAsia="Times New Roman" w:cs="Times New Roman"/>
                <w:color w:val="000000" w:themeColor="text1"/>
                <w:szCs w:val="24"/>
                <w:lang w:eastAsia="lv-LV"/>
              </w:rPr>
            </w:pPr>
            <w:r w:rsidRPr="00FD7DFC">
              <w:rPr>
                <w:rFonts w:eastAsia="Times New Roman" w:cs="Times New Roman"/>
                <w:color w:val="000000" w:themeColor="text1"/>
                <w:szCs w:val="24"/>
                <w:lang w:eastAsia="lv-LV"/>
              </w:rPr>
              <w:t xml:space="preserve">Nacionālais tiesību akts paredz regulējumu, kas attiecināms uz Regulas 198.panta </w:t>
            </w:r>
            <w:r w:rsidRPr="00FD7DFC">
              <w:rPr>
                <w:rFonts w:cs="Times New Roman"/>
                <w:color w:val="000000" w:themeColor="text1"/>
                <w:szCs w:val="24"/>
              </w:rPr>
              <w:t xml:space="preserve">1.punkta b) apakšpunkta </w:t>
            </w:r>
            <w:r w:rsidR="004970B2">
              <w:rPr>
                <w:rFonts w:cs="Times New Roman"/>
                <w:color w:val="000000" w:themeColor="text1"/>
                <w:szCs w:val="24"/>
              </w:rPr>
              <w:t>ceturtajā ie</w:t>
            </w:r>
            <w:r w:rsidRPr="00FD7DFC">
              <w:rPr>
                <w:rFonts w:cs="Times New Roman"/>
                <w:color w:val="000000" w:themeColor="text1"/>
                <w:szCs w:val="24"/>
              </w:rPr>
              <w:t>vilkumā</w:t>
            </w:r>
            <w:r w:rsidRPr="00FD7DFC">
              <w:rPr>
                <w:rFonts w:eastAsia="Times New Roman" w:cs="Times New Roman"/>
                <w:color w:val="000000" w:themeColor="text1"/>
                <w:szCs w:val="24"/>
                <w:lang w:eastAsia="lv-LV"/>
              </w:rPr>
              <w:t xml:space="preserve"> minēto.</w:t>
            </w:r>
          </w:p>
        </w:tc>
      </w:tr>
      <w:tr w:rsidR="005B7537" w:rsidRPr="00D41FBF" w14:paraId="03AA3409"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outset" w:sz="6" w:space="0" w:color="auto"/>
              <w:right w:val="outset" w:sz="6" w:space="0" w:color="auto"/>
            </w:tcBorders>
            <w:vAlign w:val="center"/>
          </w:tcPr>
          <w:p w14:paraId="732590DF" w14:textId="459DEFAE" w:rsidR="005B7537" w:rsidRPr="00FD7DFC" w:rsidRDefault="00413F51" w:rsidP="00801FB9">
            <w:pPr>
              <w:spacing w:before="100" w:beforeAutospacing="1" w:after="100" w:afterAutospacing="1" w:line="240" w:lineRule="auto"/>
              <w:rPr>
                <w:szCs w:val="24"/>
              </w:rPr>
            </w:pPr>
            <w:r w:rsidRPr="00FD7DFC">
              <w:rPr>
                <w:szCs w:val="28"/>
              </w:rPr>
              <w:t>Regula</w:t>
            </w:r>
            <w:r w:rsidR="004970B2">
              <w:rPr>
                <w:szCs w:val="28"/>
              </w:rPr>
              <w:t>s</w:t>
            </w:r>
            <w:r w:rsidRPr="00FD7DFC">
              <w:rPr>
                <w:szCs w:val="28"/>
              </w:rPr>
              <w:t xml:space="preserve"> </w:t>
            </w:r>
            <w:r w:rsidR="003D33E5" w:rsidRPr="00FD7DFC">
              <w:rPr>
                <w:szCs w:val="28"/>
              </w:rPr>
              <w:t>Nr.952/2013 199.pants</w:t>
            </w:r>
          </w:p>
          <w:p w14:paraId="0333A7BD" w14:textId="77777777" w:rsidR="003D33E5" w:rsidRPr="00FD7DFC" w:rsidRDefault="003D33E5" w:rsidP="003D33E5">
            <w:pPr>
              <w:spacing w:before="100" w:beforeAutospacing="1" w:after="100" w:afterAutospacing="1" w:line="240" w:lineRule="auto"/>
              <w:jc w:val="both"/>
              <w:rPr>
                <w:szCs w:val="24"/>
              </w:rPr>
            </w:pPr>
          </w:p>
        </w:tc>
        <w:tc>
          <w:tcPr>
            <w:tcW w:w="861" w:type="pct"/>
            <w:gridSpan w:val="7"/>
            <w:tcBorders>
              <w:top w:val="outset" w:sz="6" w:space="0" w:color="auto"/>
              <w:left w:val="outset" w:sz="6" w:space="0" w:color="auto"/>
              <w:bottom w:val="outset" w:sz="6" w:space="0" w:color="auto"/>
              <w:right w:val="outset" w:sz="6" w:space="0" w:color="auto"/>
            </w:tcBorders>
            <w:vAlign w:val="center"/>
          </w:tcPr>
          <w:p w14:paraId="6FB6A059" w14:textId="132EB96C" w:rsidR="005B7537" w:rsidRPr="00AB4C05" w:rsidRDefault="004970B2" w:rsidP="00E767B4">
            <w:pPr>
              <w:spacing w:before="100" w:beforeAutospacing="1" w:after="100" w:afterAutospacing="1" w:line="240" w:lineRule="auto"/>
              <w:rPr>
                <w:rFonts w:eastAsia="Times New Roman" w:cs="Times New Roman"/>
                <w:szCs w:val="24"/>
                <w:lang w:eastAsia="lv-LV"/>
              </w:rPr>
            </w:pPr>
            <w:r w:rsidRPr="00AB4C05">
              <w:rPr>
                <w:rFonts w:eastAsia="Times New Roman" w:cs="Times New Roman"/>
                <w:szCs w:val="24"/>
                <w:lang w:eastAsia="lv-LV"/>
              </w:rPr>
              <w:t xml:space="preserve">Noteikumu projekta </w:t>
            </w:r>
            <w:r w:rsidR="00CD0BD4" w:rsidRPr="00AB4C05">
              <w:rPr>
                <w:rFonts w:eastAsia="Times New Roman" w:cs="Times New Roman"/>
                <w:szCs w:val="24"/>
                <w:lang w:eastAsia="lv-LV"/>
              </w:rPr>
              <w:t>13</w:t>
            </w:r>
            <w:r w:rsidR="005B7537" w:rsidRPr="00AB4C05">
              <w:rPr>
                <w:rFonts w:eastAsia="Times New Roman" w:cs="Times New Roman"/>
                <w:szCs w:val="24"/>
                <w:lang w:eastAsia="lv-LV"/>
              </w:rPr>
              <w:t>.punkts</w:t>
            </w:r>
          </w:p>
        </w:tc>
        <w:tc>
          <w:tcPr>
            <w:tcW w:w="1289" w:type="pct"/>
            <w:gridSpan w:val="2"/>
            <w:tcBorders>
              <w:top w:val="outset" w:sz="6" w:space="0" w:color="auto"/>
              <w:left w:val="outset" w:sz="6" w:space="0" w:color="auto"/>
              <w:bottom w:val="outset" w:sz="6" w:space="0" w:color="auto"/>
              <w:right w:val="outset" w:sz="6" w:space="0" w:color="auto"/>
            </w:tcBorders>
            <w:vAlign w:val="center"/>
          </w:tcPr>
          <w:p w14:paraId="4C327A5C" w14:textId="77777777" w:rsidR="005B7537" w:rsidRPr="00FD7DFC" w:rsidRDefault="005B7537" w:rsidP="005B7537">
            <w:pPr>
              <w:spacing w:before="100" w:beforeAutospacing="1" w:after="100" w:afterAutospacing="1" w:line="240" w:lineRule="auto"/>
              <w:rPr>
                <w:rFonts w:eastAsia="Times New Roman" w:cs="Times New Roman"/>
                <w:szCs w:val="24"/>
                <w:lang w:eastAsia="lv-LV"/>
              </w:rPr>
            </w:pPr>
            <w:r w:rsidRPr="00FD7DFC">
              <w:rPr>
                <w:rFonts w:eastAsia="Times New Roman" w:cs="Times New Roman"/>
                <w:szCs w:val="24"/>
                <w:lang w:eastAsia="lv-LV"/>
              </w:rPr>
              <w:t>Tiek ieviests pilnībā</w:t>
            </w:r>
          </w:p>
        </w:tc>
        <w:tc>
          <w:tcPr>
            <w:tcW w:w="1212" w:type="pct"/>
            <w:gridSpan w:val="3"/>
            <w:tcBorders>
              <w:top w:val="outset" w:sz="6" w:space="0" w:color="auto"/>
              <w:left w:val="outset" w:sz="6" w:space="0" w:color="auto"/>
              <w:bottom w:val="outset" w:sz="6" w:space="0" w:color="auto"/>
              <w:right w:val="outset" w:sz="6" w:space="0" w:color="auto"/>
            </w:tcBorders>
            <w:vAlign w:val="center"/>
          </w:tcPr>
          <w:p w14:paraId="478CE7EC" w14:textId="77777777" w:rsidR="005B7537" w:rsidRPr="00FD7DFC" w:rsidRDefault="005B7537" w:rsidP="009B77E3">
            <w:pPr>
              <w:spacing w:before="100" w:beforeAutospacing="1" w:after="100" w:afterAutospacing="1" w:line="240" w:lineRule="auto"/>
              <w:rPr>
                <w:rFonts w:eastAsia="Times New Roman" w:cs="Times New Roman"/>
                <w:szCs w:val="24"/>
                <w:lang w:eastAsia="lv-LV"/>
              </w:rPr>
            </w:pPr>
            <w:r w:rsidRPr="00FD7DFC">
              <w:rPr>
                <w:rFonts w:eastAsia="Times New Roman" w:cs="Times New Roman"/>
                <w:szCs w:val="24"/>
                <w:lang w:eastAsia="lv-LV"/>
              </w:rPr>
              <w:t>Nacionālais tiesību akts neparedz stingrākas prasības</w:t>
            </w:r>
          </w:p>
        </w:tc>
      </w:tr>
      <w:tr w:rsidR="00FD7DFC" w:rsidRPr="00D41FBF" w14:paraId="23D9B712"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outset" w:sz="6" w:space="0" w:color="auto"/>
              <w:right w:val="outset" w:sz="6" w:space="0" w:color="auto"/>
            </w:tcBorders>
            <w:vAlign w:val="center"/>
          </w:tcPr>
          <w:p w14:paraId="2A0447EB" w14:textId="32D7020F" w:rsidR="00FD7DFC" w:rsidRPr="00FD7DFC" w:rsidRDefault="00FD7DFC" w:rsidP="00FD7DFC">
            <w:pPr>
              <w:spacing w:before="100" w:beforeAutospacing="1" w:after="100" w:afterAutospacing="1" w:line="240" w:lineRule="auto"/>
              <w:rPr>
                <w:szCs w:val="28"/>
              </w:rPr>
            </w:pPr>
            <w:r>
              <w:rPr>
                <w:szCs w:val="28"/>
              </w:rPr>
              <w:t>Regula</w:t>
            </w:r>
            <w:r w:rsidR="004970B2">
              <w:rPr>
                <w:szCs w:val="28"/>
              </w:rPr>
              <w:t>s</w:t>
            </w:r>
            <w:r>
              <w:rPr>
                <w:szCs w:val="28"/>
              </w:rPr>
              <w:t xml:space="preserve"> </w:t>
            </w:r>
            <w:r w:rsidR="004970B2">
              <w:rPr>
                <w:szCs w:val="28"/>
              </w:rPr>
              <w:t>N</w:t>
            </w:r>
            <w:r>
              <w:rPr>
                <w:szCs w:val="28"/>
              </w:rPr>
              <w:t>r.2015/2446 163.pants</w:t>
            </w:r>
          </w:p>
        </w:tc>
        <w:tc>
          <w:tcPr>
            <w:tcW w:w="861" w:type="pct"/>
            <w:gridSpan w:val="7"/>
            <w:tcBorders>
              <w:top w:val="outset" w:sz="6" w:space="0" w:color="auto"/>
              <w:left w:val="outset" w:sz="6" w:space="0" w:color="auto"/>
              <w:bottom w:val="outset" w:sz="6" w:space="0" w:color="auto"/>
              <w:right w:val="outset" w:sz="6" w:space="0" w:color="auto"/>
            </w:tcBorders>
            <w:vAlign w:val="center"/>
          </w:tcPr>
          <w:p w14:paraId="0147BFBE" w14:textId="30725B2D" w:rsidR="00FD7DFC" w:rsidRPr="00AB4C05" w:rsidRDefault="004970B2" w:rsidP="00FD7DFC">
            <w:pPr>
              <w:spacing w:before="100" w:beforeAutospacing="1" w:after="100" w:afterAutospacing="1" w:line="240" w:lineRule="auto"/>
              <w:rPr>
                <w:rFonts w:eastAsia="Times New Roman" w:cs="Times New Roman"/>
                <w:szCs w:val="24"/>
                <w:lang w:eastAsia="lv-LV"/>
              </w:rPr>
            </w:pPr>
            <w:r w:rsidRPr="00AB4C05">
              <w:rPr>
                <w:rFonts w:eastAsia="Times New Roman" w:cs="Times New Roman"/>
                <w:szCs w:val="24"/>
                <w:lang w:eastAsia="lv-LV"/>
              </w:rPr>
              <w:t>Noteikumu projekta</w:t>
            </w:r>
            <w:r w:rsidR="00CD0BD4" w:rsidRPr="00AB4C05">
              <w:rPr>
                <w:rFonts w:eastAsia="Times New Roman" w:cs="Times New Roman"/>
                <w:szCs w:val="24"/>
                <w:lang w:eastAsia="lv-LV"/>
              </w:rPr>
              <w:t xml:space="preserve"> 6. un 8</w:t>
            </w:r>
            <w:r w:rsidR="00FD7DFC" w:rsidRPr="00AB4C05">
              <w:rPr>
                <w:rFonts w:eastAsia="Times New Roman" w:cs="Times New Roman"/>
                <w:szCs w:val="24"/>
                <w:lang w:eastAsia="lv-LV"/>
              </w:rPr>
              <w:t>.punkts</w:t>
            </w:r>
          </w:p>
        </w:tc>
        <w:tc>
          <w:tcPr>
            <w:tcW w:w="1289" w:type="pct"/>
            <w:gridSpan w:val="2"/>
            <w:tcBorders>
              <w:top w:val="outset" w:sz="6" w:space="0" w:color="auto"/>
              <w:left w:val="outset" w:sz="6" w:space="0" w:color="auto"/>
              <w:bottom w:val="outset" w:sz="6" w:space="0" w:color="auto"/>
              <w:right w:val="outset" w:sz="6" w:space="0" w:color="auto"/>
            </w:tcBorders>
            <w:vAlign w:val="center"/>
          </w:tcPr>
          <w:p w14:paraId="3893866F" w14:textId="6533323C" w:rsidR="00FD7DFC" w:rsidRPr="00FD7DFC" w:rsidRDefault="00FD7DFC" w:rsidP="00FD7DFC">
            <w:pPr>
              <w:spacing w:before="100" w:beforeAutospacing="1" w:after="100" w:afterAutospacing="1" w:line="240" w:lineRule="auto"/>
              <w:rPr>
                <w:rFonts w:eastAsia="Times New Roman" w:cs="Times New Roman"/>
                <w:szCs w:val="24"/>
                <w:lang w:eastAsia="lv-LV"/>
              </w:rPr>
            </w:pPr>
            <w:r w:rsidRPr="00FD7DFC">
              <w:rPr>
                <w:rFonts w:eastAsia="Times New Roman" w:cs="Times New Roman"/>
                <w:szCs w:val="24"/>
                <w:lang w:eastAsia="lv-LV"/>
              </w:rPr>
              <w:t>Tiek ieviests pilnībā</w:t>
            </w:r>
          </w:p>
        </w:tc>
        <w:tc>
          <w:tcPr>
            <w:tcW w:w="1212" w:type="pct"/>
            <w:gridSpan w:val="3"/>
            <w:tcBorders>
              <w:top w:val="outset" w:sz="6" w:space="0" w:color="auto"/>
              <w:left w:val="outset" w:sz="6" w:space="0" w:color="auto"/>
              <w:bottom w:val="outset" w:sz="6" w:space="0" w:color="auto"/>
              <w:right w:val="outset" w:sz="6" w:space="0" w:color="auto"/>
            </w:tcBorders>
            <w:vAlign w:val="center"/>
          </w:tcPr>
          <w:p w14:paraId="0E9922D3" w14:textId="781B24C6" w:rsidR="00FD7DFC" w:rsidRPr="00FD7DFC" w:rsidRDefault="00FD7DFC" w:rsidP="00FD7DFC">
            <w:pPr>
              <w:spacing w:before="100" w:beforeAutospacing="1" w:after="100" w:afterAutospacing="1" w:line="240" w:lineRule="auto"/>
              <w:rPr>
                <w:rFonts w:eastAsia="Times New Roman" w:cs="Times New Roman"/>
                <w:szCs w:val="24"/>
                <w:lang w:eastAsia="lv-LV"/>
              </w:rPr>
            </w:pPr>
            <w:r w:rsidRPr="00FD7DFC">
              <w:rPr>
                <w:rFonts w:eastAsia="Times New Roman" w:cs="Times New Roman"/>
                <w:szCs w:val="24"/>
                <w:lang w:eastAsia="lv-LV"/>
              </w:rPr>
              <w:t>Nacionālais tiesību akts neparedz stingrākas prasības</w:t>
            </w:r>
          </w:p>
        </w:tc>
      </w:tr>
      <w:tr w:rsidR="00F84321" w:rsidRPr="00D41FBF" w14:paraId="7C1FBC7A"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34D7B954" w14:textId="512D3FB8" w:rsidR="00F84321" w:rsidRDefault="00F84321" w:rsidP="00F84321">
            <w:pPr>
              <w:spacing w:before="100" w:beforeAutospacing="1" w:after="100" w:afterAutospacing="1" w:line="240" w:lineRule="auto"/>
              <w:rPr>
                <w:szCs w:val="28"/>
              </w:rPr>
            </w:pPr>
            <w:r>
              <w:rPr>
                <w:szCs w:val="28"/>
              </w:rPr>
              <w:t>Regulas Nr.2015/2446 2.panta 8.punkts (Regulas Nr.2016/341 55.punkt</w:t>
            </w:r>
            <w:r w:rsidR="004970B2">
              <w:rPr>
                <w:szCs w:val="28"/>
              </w:rPr>
              <w:t>s</w:t>
            </w:r>
            <w:r>
              <w:rPr>
                <w:szCs w:val="28"/>
              </w:rPr>
              <w:t>)</w:t>
            </w:r>
          </w:p>
        </w:tc>
        <w:tc>
          <w:tcPr>
            <w:tcW w:w="861" w:type="pct"/>
            <w:gridSpan w:val="7"/>
            <w:tcBorders>
              <w:top w:val="outset" w:sz="6" w:space="0" w:color="auto"/>
              <w:left w:val="outset" w:sz="6" w:space="0" w:color="auto"/>
              <w:bottom w:val="outset" w:sz="6" w:space="0" w:color="auto"/>
              <w:right w:val="outset" w:sz="6" w:space="0" w:color="auto"/>
            </w:tcBorders>
            <w:shd w:val="clear" w:color="auto" w:fill="auto"/>
            <w:vAlign w:val="center"/>
          </w:tcPr>
          <w:p w14:paraId="52ED8D01" w14:textId="7DA81785" w:rsidR="00F84321" w:rsidRPr="00AB4C05" w:rsidRDefault="00CD0BD4" w:rsidP="00F84321">
            <w:pPr>
              <w:spacing w:before="100" w:beforeAutospacing="1" w:after="100" w:afterAutospacing="1" w:line="240" w:lineRule="auto"/>
              <w:rPr>
                <w:rFonts w:eastAsia="Times New Roman" w:cs="Times New Roman"/>
                <w:szCs w:val="24"/>
                <w:lang w:eastAsia="lv-LV"/>
              </w:rPr>
            </w:pPr>
            <w:r w:rsidRPr="00AB4C05">
              <w:rPr>
                <w:rFonts w:eastAsia="Times New Roman" w:cs="Times New Roman"/>
                <w:szCs w:val="24"/>
                <w:lang w:eastAsia="lv-LV"/>
              </w:rPr>
              <w:t>Noteikumu projekta 8</w:t>
            </w:r>
            <w:r w:rsidR="00F84321" w:rsidRPr="00AB4C05">
              <w:rPr>
                <w:rFonts w:eastAsia="Times New Roman" w:cs="Times New Roman"/>
                <w:szCs w:val="24"/>
                <w:lang w:eastAsia="lv-LV"/>
              </w:rPr>
              <w:t>.1.apakšpunkts</w:t>
            </w:r>
          </w:p>
        </w:tc>
        <w:tc>
          <w:tcPr>
            <w:tcW w:w="128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472FC2" w14:textId="4FF25FB7" w:rsidR="00F84321" w:rsidRPr="00FD7DFC" w:rsidRDefault="00F84321" w:rsidP="00F84321">
            <w:pPr>
              <w:spacing w:before="100" w:beforeAutospacing="1" w:after="100" w:afterAutospacing="1" w:line="240" w:lineRule="auto"/>
              <w:rPr>
                <w:rFonts w:eastAsia="Times New Roman" w:cs="Times New Roman"/>
                <w:szCs w:val="24"/>
                <w:lang w:eastAsia="lv-LV"/>
              </w:rPr>
            </w:pPr>
            <w:r w:rsidRPr="003D075B">
              <w:rPr>
                <w:rFonts w:eastAsia="Times New Roman" w:cs="Times New Roman"/>
                <w:szCs w:val="24"/>
                <w:lang w:eastAsia="lv-LV"/>
              </w:rPr>
              <w:t>Tiek ieviests pilnībā</w:t>
            </w:r>
          </w:p>
        </w:tc>
        <w:tc>
          <w:tcPr>
            <w:tcW w:w="121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C0021DC" w14:textId="04B17BC6" w:rsidR="00F84321" w:rsidRPr="00FD7DFC" w:rsidRDefault="00F84321" w:rsidP="00F84321">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Nacionālais tiesību akts neparedz stingrākas prasības</w:t>
            </w:r>
          </w:p>
        </w:tc>
      </w:tr>
      <w:tr w:rsidR="00F84321" w:rsidRPr="00305F40" w14:paraId="3627FB88"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outset" w:sz="6" w:space="0" w:color="auto"/>
              <w:right w:val="outset" w:sz="6" w:space="0" w:color="auto"/>
            </w:tcBorders>
            <w:hideMark/>
          </w:tcPr>
          <w:p w14:paraId="63C9BCAA" w14:textId="77777777" w:rsidR="00F84321" w:rsidRPr="00305F40" w:rsidRDefault="00F84321" w:rsidP="00F84321">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Kā ir izmantota ES tiesību aktā paredzētā rīcības brīvība dalībvalstij pārņemt vai ieviest noteiktas ES tiesību akta </w:t>
            </w:r>
            <w:r w:rsidRPr="00305F40">
              <w:rPr>
                <w:rFonts w:eastAsia="Times New Roman" w:cs="Times New Roman"/>
                <w:szCs w:val="24"/>
                <w:lang w:eastAsia="lv-LV"/>
              </w:rPr>
              <w:lastRenderedPageBreak/>
              <w:t>normas?</w:t>
            </w:r>
            <w:r w:rsidRPr="00305F40">
              <w:rPr>
                <w:rFonts w:eastAsia="Times New Roman" w:cs="Times New Roman"/>
                <w:szCs w:val="24"/>
                <w:lang w:eastAsia="lv-LV"/>
              </w:rPr>
              <w:br/>
              <w:t>Kādēļ?</w:t>
            </w:r>
          </w:p>
        </w:tc>
        <w:tc>
          <w:tcPr>
            <w:tcW w:w="3362" w:type="pct"/>
            <w:gridSpan w:val="12"/>
            <w:tcBorders>
              <w:top w:val="outset" w:sz="6" w:space="0" w:color="auto"/>
              <w:left w:val="outset" w:sz="6" w:space="0" w:color="auto"/>
              <w:bottom w:val="outset" w:sz="6" w:space="0" w:color="auto"/>
              <w:right w:val="outset" w:sz="6" w:space="0" w:color="auto"/>
            </w:tcBorders>
            <w:hideMark/>
          </w:tcPr>
          <w:p w14:paraId="4D57A37E" w14:textId="204EE293" w:rsidR="00F84321" w:rsidRPr="00305F40" w:rsidRDefault="00F84321" w:rsidP="00F84321">
            <w:pPr>
              <w:spacing w:after="0" w:line="240" w:lineRule="auto"/>
              <w:rPr>
                <w:rFonts w:eastAsia="Times New Roman" w:cs="Times New Roman"/>
                <w:szCs w:val="24"/>
                <w:lang w:eastAsia="lv-LV"/>
              </w:rPr>
            </w:pPr>
            <w:r>
              <w:rPr>
                <w:rFonts w:eastAsia="Times New Roman" w:cs="Times New Roman"/>
                <w:szCs w:val="24"/>
                <w:lang w:eastAsia="lv-LV"/>
              </w:rPr>
              <w:lastRenderedPageBreak/>
              <w:t>Projekts šo jomu neskar</w:t>
            </w:r>
          </w:p>
        </w:tc>
      </w:tr>
      <w:tr w:rsidR="00F84321" w:rsidRPr="00305F40" w14:paraId="765FE8CB"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outset" w:sz="6" w:space="0" w:color="auto"/>
              <w:right w:val="outset" w:sz="6" w:space="0" w:color="auto"/>
            </w:tcBorders>
            <w:hideMark/>
          </w:tcPr>
          <w:p w14:paraId="36E95351" w14:textId="77777777" w:rsidR="00F84321" w:rsidRPr="00305F40" w:rsidRDefault="00F84321" w:rsidP="00F84321">
            <w:pPr>
              <w:spacing w:after="0" w:line="240" w:lineRule="auto"/>
              <w:rPr>
                <w:rFonts w:eastAsia="Times New Roman" w:cs="Times New Roman"/>
                <w:szCs w:val="24"/>
                <w:lang w:eastAsia="lv-LV"/>
              </w:rPr>
            </w:pPr>
            <w:r w:rsidRPr="00305F40">
              <w:rPr>
                <w:rFonts w:eastAsia="Times New Roman" w:cs="Times New Roman"/>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62" w:type="pct"/>
            <w:gridSpan w:val="12"/>
            <w:tcBorders>
              <w:top w:val="outset" w:sz="6" w:space="0" w:color="auto"/>
              <w:left w:val="outset" w:sz="6" w:space="0" w:color="auto"/>
              <w:bottom w:val="outset" w:sz="6" w:space="0" w:color="auto"/>
              <w:right w:val="outset" w:sz="6" w:space="0" w:color="auto"/>
            </w:tcBorders>
            <w:hideMark/>
          </w:tcPr>
          <w:p w14:paraId="302E2C22" w14:textId="0D56D4E2" w:rsidR="00F84321" w:rsidRPr="00305F40" w:rsidRDefault="00F84321" w:rsidP="00F84321">
            <w:pPr>
              <w:spacing w:after="0" w:line="240" w:lineRule="auto"/>
              <w:rPr>
                <w:rFonts w:eastAsia="Times New Roman" w:cs="Times New Roman"/>
                <w:szCs w:val="24"/>
                <w:lang w:eastAsia="lv-LV"/>
              </w:rPr>
            </w:pPr>
            <w:r>
              <w:rPr>
                <w:rFonts w:eastAsia="Times New Roman" w:cs="Times New Roman"/>
                <w:szCs w:val="24"/>
                <w:lang w:eastAsia="lv-LV"/>
              </w:rPr>
              <w:t>Projekts šo jomu neskar</w:t>
            </w:r>
          </w:p>
        </w:tc>
      </w:tr>
      <w:tr w:rsidR="00F84321" w:rsidRPr="00305F40" w14:paraId="49155BB3" w14:textId="77777777" w:rsidTr="00150908">
        <w:tblPrEx>
          <w:jc w:val="center"/>
          <w:tblInd w:w="0" w:type="dxa"/>
        </w:tblPrEx>
        <w:trPr>
          <w:gridAfter w:val="1"/>
          <w:wAfter w:w="9" w:type="pct"/>
          <w:jc w:val="center"/>
        </w:trPr>
        <w:tc>
          <w:tcPr>
            <w:tcW w:w="1629" w:type="pct"/>
            <w:gridSpan w:val="6"/>
            <w:tcBorders>
              <w:top w:val="outset" w:sz="6" w:space="0" w:color="auto"/>
              <w:left w:val="outset" w:sz="6" w:space="0" w:color="auto"/>
              <w:bottom w:val="single" w:sz="4" w:space="0" w:color="auto"/>
              <w:right w:val="outset" w:sz="6" w:space="0" w:color="auto"/>
            </w:tcBorders>
            <w:hideMark/>
          </w:tcPr>
          <w:p w14:paraId="5872A8C8" w14:textId="77777777" w:rsidR="00F84321" w:rsidRPr="00305F40" w:rsidRDefault="00F84321" w:rsidP="00F84321">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362" w:type="pct"/>
            <w:gridSpan w:val="12"/>
            <w:tcBorders>
              <w:top w:val="outset" w:sz="6" w:space="0" w:color="auto"/>
              <w:left w:val="outset" w:sz="6" w:space="0" w:color="auto"/>
              <w:bottom w:val="single" w:sz="4" w:space="0" w:color="auto"/>
              <w:right w:val="outset" w:sz="6" w:space="0" w:color="auto"/>
            </w:tcBorders>
            <w:hideMark/>
          </w:tcPr>
          <w:p w14:paraId="41C1F65E" w14:textId="77777777" w:rsidR="00F84321" w:rsidRPr="00305F40" w:rsidRDefault="00F84321" w:rsidP="00F84321">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Nav</w:t>
            </w:r>
          </w:p>
        </w:tc>
      </w:tr>
      <w:tr w:rsidR="00150908" w:rsidRPr="00305F40" w14:paraId="7AD6EDF0" w14:textId="77777777" w:rsidTr="00150908">
        <w:tblPrEx>
          <w:jc w:val="center"/>
          <w:tblInd w:w="0" w:type="dxa"/>
        </w:tblPrEx>
        <w:trPr>
          <w:gridAfter w:val="1"/>
          <w:wAfter w:w="9" w:type="pct"/>
          <w:jc w:val="center"/>
        </w:trPr>
        <w:tc>
          <w:tcPr>
            <w:tcW w:w="1629" w:type="pct"/>
            <w:gridSpan w:val="6"/>
            <w:tcBorders>
              <w:top w:val="single" w:sz="4" w:space="0" w:color="auto"/>
              <w:left w:val="nil"/>
              <w:bottom w:val="nil"/>
              <w:right w:val="nil"/>
            </w:tcBorders>
          </w:tcPr>
          <w:p w14:paraId="189C4F00" w14:textId="77777777" w:rsidR="00150908" w:rsidRPr="00305F40" w:rsidRDefault="00150908" w:rsidP="00F84321">
            <w:pPr>
              <w:spacing w:after="0" w:line="240" w:lineRule="auto"/>
              <w:rPr>
                <w:rFonts w:eastAsia="Times New Roman" w:cs="Times New Roman"/>
                <w:szCs w:val="24"/>
                <w:lang w:eastAsia="lv-LV"/>
              </w:rPr>
            </w:pPr>
          </w:p>
        </w:tc>
        <w:tc>
          <w:tcPr>
            <w:tcW w:w="3362" w:type="pct"/>
            <w:gridSpan w:val="12"/>
            <w:tcBorders>
              <w:top w:val="single" w:sz="4" w:space="0" w:color="auto"/>
              <w:left w:val="nil"/>
              <w:bottom w:val="nil"/>
              <w:right w:val="nil"/>
            </w:tcBorders>
          </w:tcPr>
          <w:p w14:paraId="3F8F6308" w14:textId="77777777" w:rsidR="00150908" w:rsidRPr="00305F40" w:rsidRDefault="00150908" w:rsidP="00F84321">
            <w:pPr>
              <w:spacing w:before="100" w:beforeAutospacing="1" w:after="100" w:afterAutospacing="1" w:line="240" w:lineRule="auto"/>
              <w:rPr>
                <w:rFonts w:eastAsia="Times New Roman" w:cs="Times New Roman"/>
                <w:szCs w:val="24"/>
                <w:lang w:eastAsia="lv-LV"/>
              </w:rPr>
            </w:pPr>
          </w:p>
        </w:tc>
      </w:tr>
      <w:tr w:rsidR="00DE02FC" w:rsidRPr="00305F40" w14:paraId="673B4382" w14:textId="77777777" w:rsidTr="00150908">
        <w:tblPrEx>
          <w:jc w:val="center"/>
          <w:tblInd w:w="0" w:type="dxa"/>
        </w:tblPrEx>
        <w:trPr>
          <w:jc w:val="center"/>
        </w:trPr>
        <w:tc>
          <w:tcPr>
            <w:tcW w:w="4999" w:type="pct"/>
            <w:gridSpan w:val="19"/>
            <w:tcBorders>
              <w:top w:val="outset" w:sz="6" w:space="0" w:color="auto"/>
              <w:left w:val="outset" w:sz="6" w:space="0" w:color="auto"/>
              <w:bottom w:val="outset" w:sz="6" w:space="0" w:color="auto"/>
              <w:right w:val="outset" w:sz="6" w:space="0" w:color="auto"/>
            </w:tcBorders>
            <w:vAlign w:val="center"/>
            <w:hideMark/>
          </w:tcPr>
          <w:p w14:paraId="536BBCEA" w14:textId="77777777" w:rsidR="00DE02FC" w:rsidRPr="00305F40" w:rsidRDefault="00DE02FC"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2.tabula</w:t>
            </w:r>
            <w:r w:rsidRPr="00305F40">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305F40">
              <w:rPr>
                <w:rFonts w:eastAsia="Times New Roman" w:cs="Times New Roman"/>
                <w:b/>
                <w:bCs/>
                <w:szCs w:val="24"/>
                <w:lang w:eastAsia="lv-LV"/>
              </w:rPr>
              <w:br/>
              <w:t>Pasākumi šo saistību izpildei</w:t>
            </w:r>
          </w:p>
        </w:tc>
      </w:tr>
      <w:tr w:rsidR="00DE02FC" w:rsidRPr="00305F40" w14:paraId="2B6AC81C" w14:textId="77777777" w:rsidTr="00150908">
        <w:tblPrEx>
          <w:jc w:val="center"/>
          <w:tblInd w:w="0" w:type="dxa"/>
        </w:tblPrEx>
        <w:trPr>
          <w:jc w:val="center"/>
        </w:trPr>
        <w:tc>
          <w:tcPr>
            <w:tcW w:w="2214" w:type="pct"/>
            <w:gridSpan w:val="12"/>
            <w:tcBorders>
              <w:top w:val="outset" w:sz="6" w:space="0" w:color="auto"/>
              <w:left w:val="outset" w:sz="6" w:space="0" w:color="auto"/>
              <w:bottom w:val="outset" w:sz="6" w:space="0" w:color="auto"/>
              <w:right w:val="outset" w:sz="6" w:space="0" w:color="auto"/>
            </w:tcBorders>
            <w:vAlign w:val="center"/>
            <w:hideMark/>
          </w:tcPr>
          <w:p w14:paraId="6799BEA5" w14:textId="77777777" w:rsidR="00DE02FC" w:rsidRPr="00305F40" w:rsidRDefault="00DE02FC" w:rsidP="00974D87">
            <w:pPr>
              <w:spacing w:after="0" w:line="240" w:lineRule="auto"/>
              <w:rPr>
                <w:rFonts w:eastAsia="Times New Roman" w:cs="Times New Roman"/>
                <w:szCs w:val="24"/>
                <w:lang w:eastAsia="lv-LV"/>
              </w:rPr>
            </w:pPr>
            <w:r w:rsidRPr="00305F40">
              <w:rPr>
                <w:rFonts w:eastAsia="Times New Roman" w:cs="Times New Roman"/>
                <w:szCs w:val="24"/>
                <w:lang w:eastAsia="lv-LV"/>
              </w:rPr>
              <w:t>Attiecīgā starptautiskā tiesību akta vai starptautiskas institūcijas vai organizācijas dokumenta (turpmāk – starptautiskais dokuments) datums, numurs un nosaukums</w:t>
            </w:r>
          </w:p>
        </w:tc>
        <w:tc>
          <w:tcPr>
            <w:tcW w:w="2785" w:type="pct"/>
            <w:gridSpan w:val="7"/>
            <w:tcBorders>
              <w:top w:val="outset" w:sz="6" w:space="0" w:color="auto"/>
              <w:left w:val="outset" w:sz="6" w:space="0" w:color="auto"/>
              <w:bottom w:val="outset" w:sz="6" w:space="0" w:color="auto"/>
              <w:right w:val="outset" w:sz="6" w:space="0" w:color="auto"/>
            </w:tcBorders>
            <w:hideMark/>
          </w:tcPr>
          <w:p w14:paraId="1033B9C7" w14:textId="57318D69" w:rsidR="00DE02FC" w:rsidRPr="00305F40" w:rsidRDefault="008518C3" w:rsidP="00974D87">
            <w:pPr>
              <w:spacing w:after="0" w:line="240" w:lineRule="auto"/>
              <w:rPr>
                <w:rFonts w:eastAsia="Times New Roman" w:cs="Times New Roman"/>
                <w:szCs w:val="24"/>
                <w:lang w:eastAsia="lv-LV"/>
              </w:rPr>
            </w:pPr>
            <w:r>
              <w:rPr>
                <w:rFonts w:eastAsia="Times New Roman" w:cs="Times New Roman"/>
                <w:szCs w:val="24"/>
                <w:lang w:eastAsia="lv-LV"/>
              </w:rPr>
              <w:t>Projekts šo jomu neskar</w:t>
            </w:r>
          </w:p>
        </w:tc>
      </w:tr>
      <w:tr w:rsidR="00DE02FC" w:rsidRPr="00305F40" w14:paraId="5291CC36" w14:textId="77777777" w:rsidTr="00150908">
        <w:tblPrEx>
          <w:jc w:val="center"/>
          <w:tblInd w:w="0" w:type="dxa"/>
        </w:tblPrEx>
        <w:trPr>
          <w:jc w:val="center"/>
        </w:trPr>
        <w:tc>
          <w:tcPr>
            <w:tcW w:w="2214" w:type="pct"/>
            <w:gridSpan w:val="12"/>
            <w:tcBorders>
              <w:top w:val="outset" w:sz="6" w:space="0" w:color="auto"/>
              <w:left w:val="outset" w:sz="6" w:space="0" w:color="auto"/>
              <w:bottom w:val="outset" w:sz="6" w:space="0" w:color="auto"/>
              <w:right w:val="outset" w:sz="6" w:space="0" w:color="auto"/>
            </w:tcBorders>
            <w:vAlign w:val="center"/>
            <w:hideMark/>
          </w:tcPr>
          <w:p w14:paraId="3A8B9238" w14:textId="77777777" w:rsidR="00DE02FC" w:rsidRPr="00305F40" w:rsidRDefault="00DE02FC"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A</w:t>
            </w:r>
          </w:p>
        </w:tc>
        <w:tc>
          <w:tcPr>
            <w:tcW w:w="1422" w:type="pct"/>
            <w:gridSpan w:val="2"/>
            <w:tcBorders>
              <w:top w:val="outset" w:sz="6" w:space="0" w:color="auto"/>
              <w:left w:val="outset" w:sz="6" w:space="0" w:color="auto"/>
              <w:bottom w:val="outset" w:sz="6" w:space="0" w:color="auto"/>
              <w:right w:val="outset" w:sz="6" w:space="0" w:color="auto"/>
            </w:tcBorders>
            <w:vAlign w:val="center"/>
            <w:hideMark/>
          </w:tcPr>
          <w:p w14:paraId="17754317" w14:textId="77777777" w:rsidR="00DE02FC" w:rsidRPr="00305F40" w:rsidRDefault="00DE02FC"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B</w:t>
            </w:r>
          </w:p>
        </w:tc>
        <w:tc>
          <w:tcPr>
            <w:tcW w:w="1363" w:type="pct"/>
            <w:gridSpan w:val="5"/>
            <w:tcBorders>
              <w:top w:val="outset" w:sz="6" w:space="0" w:color="auto"/>
              <w:left w:val="outset" w:sz="6" w:space="0" w:color="auto"/>
              <w:bottom w:val="outset" w:sz="6" w:space="0" w:color="auto"/>
              <w:right w:val="outset" w:sz="6" w:space="0" w:color="auto"/>
            </w:tcBorders>
            <w:vAlign w:val="center"/>
            <w:hideMark/>
          </w:tcPr>
          <w:p w14:paraId="089B8D8B" w14:textId="77777777" w:rsidR="00DE02FC" w:rsidRPr="00305F40" w:rsidRDefault="00DE02FC"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C</w:t>
            </w:r>
          </w:p>
        </w:tc>
      </w:tr>
      <w:tr w:rsidR="00DE02FC" w:rsidRPr="00305F40" w14:paraId="7461A799" w14:textId="77777777" w:rsidTr="00150908">
        <w:tblPrEx>
          <w:jc w:val="center"/>
          <w:tblInd w:w="0" w:type="dxa"/>
        </w:tblPrEx>
        <w:trPr>
          <w:jc w:val="center"/>
        </w:trPr>
        <w:tc>
          <w:tcPr>
            <w:tcW w:w="2214" w:type="pct"/>
            <w:gridSpan w:val="12"/>
            <w:tcBorders>
              <w:top w:val="outset" w:sz="6" w:space="0" w:color="auto"/>
              <w:left w:val="outset" w:sz="6" w:space="0" w:color="auto"/>
              <w:bottom w:val="outset" w:sz="6" w:space="0" w:color="auto"/>
              <w:right w:val="outset" w:sz="6" w:space="0" w:color="auto"/>
            </w:tcBorders>
            <w:hideMark/>
          </w:tcPr>
          <w:p w14:paraId="3E540EBB" w14:textId="77777777" w:rsidR="00DE02FC" w:rsidRPr="00305F40" w:rsidRDefault="00DE02FC" w:rsidP="00974D87">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Starptautiskās saistības (pēc būtības), kas izriet no norādītā starptautiskā dokumenta. </w:t>
            </w:r>
          </w:p>
          <w:p w14:paraId="39C5F0FA" w14:textId="77777777" w:rsidR="00DE02FC" w:rsidRPr="00305F40" w:rsidRDefault="00DE02FC" w:rsidP="00974D87">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Konkrēti veicamie pasākumi vai uzdevumi, kas nepieciešami šo starptautisko saistību izpildei</w:t>
            </w:r>
          </w:p>
        </w:tc>
        <w:tc>
          <w:tcPr>
            <w:tcW w:w="1422" w:type="pct"/>
            <w:gridSpan w:val="2"/>
            <w:tcBorders>
              <w:top w:val="outset" w:sz="6" w:space="0" w:color="auto"/>
              <w:left w:val="outset" w:sz="6" w:space="0" w:color="auto"/>
              <w:bottom w:val="outset" w:sz="6" w:space="0" w:color="auto"/>
              <w:right w:val="outset" w:sz="6" w:space="0" w:color="auto"/>
            </w:tcBorders>
            <w:hideMark/>
          </w:tcPr>
          <w:p w14:paraId="79BA86E0" w14:textId="230ACE89" w:rsidR="00DE02FC" w:rsidRPr="00305F40" w:rsidRDefault="008518C3" w:rsidP="00974D87">
            <w:pPr>
              <w:spacing w:after="0" w:line="240" w:lineRule="auto"/>
              <w:rPr>
                <w:rFonts w:eastAsia="Times New Roman" w:cs="Times New Roman"/>
                <w:szCs w:val="24"/>
                <w:lang w:eastAsia="lv-LV"/>
              </w:rPr>
            </w:pPr>
            <w:r>
              <w:rPr>
                <w:rFonts w:eastAsia="Times New Roman" w:cs="Times New Roman"/>
                <w:szCs w:val="24"/>
                <w:lang w:eastAsia="lv-LV"/>
              </w:rPr>
              <w:t>Projekts šo jomu neskar</w:t>
            </w:r>
          </w:p>
        </w:tc>
        <w:tc>
          <w:tcPr>
            <w:tcW w:w="1363" w:type="pct"/>
            <w:gridSpan w:val="5"/>
            <w:tcBorders>
              <w:top w:val="outset" w:sz="6" w:space="0" w:color="auto"/>
              <w:left w:val="outset" w:sz="6" w:space="0" w:color="auto"/>
              <w:bottom w:val="outset" w:sz="6" w:space="0" w:color="auto"/>
              <w:right w:val="outset" w:sz="6" w:space="0" w:color="auto"/>
            </w:tcBorders>
            <w:hideMark/>
          </w:tcPr>
          <w:p w14:paraId="03D53A56" w14:textId="37DCD5DE" w:rsidR="00DE02FC" w:rsidRPr="00305F40" w:rsidRDefault="008518C3" w:rsidP="00517BE6">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Projekts šo jomu neskar</w:t>
            </w:r>
          </w:p>
          <w:p w14:paraId="262BAB91" w14:textId="77777777" w:rsidR="00DE02FC" w:rsidRPr="00305F40" w:rsidRDefault="00DE02FC" w:rsidP="00974D87">
            <w:pPr>
              <w:spacing w:before="100" w:beforeAutospacing="1" w:after="100" w:afterAutospacing="1" w:line="240" w:lineRule="auto"/>
              <w:rPr>
                <w:rFonts w:eastAsia="Times New Roman" w:cs="Times New Roman"/>
                <w:szCs w:val="24"/>
                <w:lang w:eastAsia="lv-LV"/>
              </w:rPr>
            </w:pPr>
          </w:p>
        </w:tc>
      </w:tr>
      <w:tr w:rsidR="00DE02FC" w:rsidRPr="00305F40" w14:paraId="09BDECD0" w14:textId="77777777" w:rsidTr="00150908">
        <w:tblPrEx>
          <w:jc w:val="center"/>
          <w:tblInd w:w="0" w:type="dxa"/>
        </w:tblPrEx>
        <w:trPr>
          <w:jc w:val="center"/>
        </w:trPr>
        <w:tc>
          <w:tcPr>
            <w:tcW w:w="2214" w:type="pct"/>
            <w:gridSpan w:val="12"/>
            <w:tcBorders>
              <w:top w:val="outset" w:sz="6" w:space="0" w:color="auto"/>
              <w:left w:val="outset" w:sz="6" w:space="0" w:color="auto"/>
              <w:bottom w:val="outset" w:sz="6" w:space="0" w:color="auto"/>
              <w:right w:val="outset" w:sz="6" w:space="0" w:color="auto"/>
            </w:tcBorders>
            <w:hideMark/>
          </w:tcPr>
          <w:p w14:paraId="61679530" w14:textId="77777777" w:rsidR="00DE02FC" w:rsidRPr="00305F40" w:rsidRDefault="00DE02FC" w:rsidP="00974D87">
            <w:pPr>
              <w:spacing w:after="0" w:line="240" w:lineRule="auto"/>
              <w:rPr>
                <w:rFonts w:eastAsia="Times New Roman" w:cs="Times New Roman"/>
                <w:szCs w:val="24"/>
                <w:lang w:eastAsia="lv-LV"/>
              </w:rPr>
            </w:pPr>
            <w:r w:rsidRPr="00305F40">
              <w:rPr>
                <w:rFonts w:eastAsia="Times New Roman" w:cs="Times New Roman"/>
                <w:szCs w:val="24"/>
                <w:lang w:eastAsia="lv-LV"/>
              </w:rPr>
              <w:t>Vai starptautiskajā dokumentā paredzētās saistības nav pretrunā ar jau esošajām Latvijas Republikas starptautiskajām saistībām</w:t>
            </w:r>
          </w:p>
        </w:tc>
        <w:tc>
          <w:tcPr>
            <w:tcW w:w="2785" w:type="pct"/>
            <w:gridSpan w:val="7"/>
            <w:tcBorders>
              <w:top w:val="outset" w:sz="6" w:space="0" w:color="auto"/>
              <w:left w:val="outset" w:sz="6" w:space="0" w:color="auto"/>
              <w:bottom w:val="outset" w:sz="6" w:space="0" w:color="auto"/>
              <w:right w:val="outset" w:sz="6" w:space="0" w:color="auto"/>
            </w:tcBorders>
            <w:hideMark/>
          </w:tcPr>
          <w:p w14:paraId="5DD32EF9" w14:textId="70A22BFE" w:rsidR="00DE02FC" w:rsidRPr="00305F40" w:rsidRDefault="008518C3" w:rsidP="00974D87">
            <w:pPr>
              <w:spacing w:after="0" w:line="240" w:lineRule="auto"/>
              <w:rPr>
                <w:rFonts w:eastAsia="Times New Roman" w:cs="Times New Roman"/>
                <w:szCs w:val="24"/>
                <w:lang w:eastAsia="lv-LV"/>
              </w:rPr>
            </w:pPr>
            <w:r>
              <w:rPr>
                <w:rFonts w:eastAsia="Times New Roman" w:cs="Times New Roman"/>
                <w:szCs w:val="24"/>
                <w:lang w:eastAsia="lv-LV"/>
              </w:rPr>
              <w:t>Projekts šo jomu neskar</w:t>
            </w:r>
          </w:p>
        </w:tc>
      </w:tr>
      <w:tr w:rsidR="00DE02FC" w:rsidRPr="00305F40" w14:paraId="738A4EF2" w14:textId="77777777" w:rsidTr="00150908">
        <w:tblPrEx>
          <w:jc w:val="center"/>
          <w:tblInd w:w="0" w:type="dxa"/>
        </w:tblPrEx>
        <w:trPr>
          <w:jc w:val="center"/>
        </w:trPr>
        <w:tc>
          <w:tcPr>
            <w:tcW w:w="2214" w:type="pct"/>
            <w:gridSpan w:val="12"/>
            <w:tcBorders>
              <w:top w:val="outset" w:sz="6" w:space="0" w:color="auto"/>
              <w:left w:val="outset" w:sz="6" w:space="0" w:color="auto"/>
              <w:bottom w:val="single" w:sz="4" w:space="0" w:color="auto"/>
              <w:right w:val="outset" w:sz="6" w:space="0" w:color="auto"/>
            </w:tcBorders>
            <w:hideMark/>
          </w:tcPr>
          <w:p w14:paraId="56329FAF" w14:textId="77777777" w:rsidR="00DE02FC" w:rsidRPr="00305F40" w:rsidRDefault="00DE02FC" w:rsidP="00974D87">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2785" w:type="pct"/>
            <w:gridSpan w:val="7"/>
            <w:tcBorders>
              <w:top w:val="outset" w:sz="6" w:space="0" w:color="auto"/>
              <w:left w:val="outset" w:sz="6" w:space="0" w:color="auto"/>
              <w:bottom w:val="single" w:sz="4" w:space="0" w:color="auto"/>
              <w:right w:val="outset" w:sz="6" w:space="0" w:color="auto"/>
            </w:tcBorders>
            <w:hideMark/>
          </w:tcPr>
          <w:p w14:paraId="6F24D849" w14:textId="77777777" w:rsidR="00DE02FC" w:rsidRPr="00305F40" w:rsidRDefault="00DE02FC" w:rsidP="00974D87">
            <w:p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Nav</w:t>
            </w:r>
          </w:p>
        </w:tc>
      </w:tr>
      <w:tr w:rsidR="00150908" w:rsidRPr="00305F40" w14:paraId="180E25DA" w14:textId="77777777" w:rsidTr="00150908">
        <w:tblPrEx>
          <w:jc w:val="center"/>
          <w:tblInd w:w="0" w:type="dxa"/>
        </w:tblPrEx>
        <w:trPr>
          <w:jc w:val="center"/>
        </w:trPr>
        <w:tc>
          <w:tcPr>
            <w:tcW w:w="2214" w:type="pct"/>
            <w:gridSpan w:val="12"/>
            <w:tcBorders>
              <w:top w:val="single" w:sz="4" w:space="0" w:color="auto"/>
              <w:left w:val="nil"/>
              <w:bottom w:val="nil"/>
              <w:right w:val="nil"/>
            </w:tcBorders>
          </w:tcPr>
          <w:p w14:paraId="6E5EA452" w14:textId="77777777" w:rsidR="00150908" w:rsidRPr="00305F40" w:rsidRDefault="00150908" w:rsidP="00974D87">
            <w:pPr>
              <w:spacing w:after="0" w:line="240" w:lineRule="auto"/>
              <w:rPr>
                <w:rFonts w:eastAsia="Times New Roman" w:cs="Times New Roman"/>
                <w:szCs w:val="24"/>
                <w:lang w:eastAsia="lv-LV"/>
              </w:rPr>
            </w:pPr>
          </w:p>
        </w:tc>
        <w:tc>
          <w:tcPr>
            <w:tcW w:w="2785" w:type="pct"/>
            <w:gridSpan w:val="7"/>
            <w:tcBorders>
              <w:top w:val="single" w:sz="4" w:space="0" w:color="auto"/>
              <w:left w:val="nil"/>
              <w:bottom w:val="nil"/>
              <w:right w:val="nil"/>
            </w:tcBorders>
          </w:tcPr>
          <w:p w14:paraId="3FD2E0FD" w14:textId="77777777" w:rsidR="00150908" w:rsidRDefault="00150908" w:rsidP="00974D87">
            <w:pPr>
              <w:spacing w:before="100" w:beforeAutospacing="1" w:after="100" w:afterAutospacing="1" w:line="240" w:lineRule="auto"/>
              <w:rPr>
                <w:rFonts w:eastAsia="Times New Roman" w:cs="Times New Roman"/>
                <w:szCs w:val="24"/>
                <w:lang w:eastAsia="lv-LV"/>
              </w:rPr>
            </w:pPr>
          </w:p>
        </w:tc>
      </w:tr>
      <w:tr w:rsidR="005D4AE6" w:rsidRPr="00305F40" w14:paraId="35EA5339" w14:textId="77777777" w:rsidTr="00150908">
        <w:tblPrEx>
          <w:jc w:val="center"/>
          <w:tblInd w:w="0" w:type="dxa"/>
        </w:tblPrEx>
        <w:trPr>
          <w:trHeight w:val="420"/>
          <w:jc w:val="center"/>
        </w:trPr>
        <w:tc>
          <w:tcPr>
            <w:tcW w:w="4999" w:type="pct"/>
            <w:gridSpan w:val="19"/>
            <w:tcBorders>
              <w:top w:val="outset" w:sz="6" w:space="0" w:color="auto"/>
              <w:left w:val="outset" w:sz="6" w:space="0" w:color="auto"/>
              <w:bottom w:val="outset" w:sz="6" w:space="0" w:color="auto"/>
              <w:right w:val="outset" w:sz="6" w:space="0" w:color="auto"/>
            </w:tcBorders>
            <w:vAlign w:val="center"/>
            <w:hideMark/>
          </w:tcPr>
          <w:p w14:paraId="4D3CF0AF"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VI. Sabiedrības līdzdalība un komunikācijas aktivitātes</w:t>
            </w:r>
          </w:p>
        </w:tc>
      </w:tr>
      <w:tr w:rsidR="005D4AE6" w:rsidRPr="00305F40" w14:paraId="36A61E43" w14:textId="77777777" w:rsidTr="00150908">
        <w:tblPrEx>
          <w:jc w:val="center"/>
          <w:tblInd w:w="0" w:type="dxa"/>
        </w:tblPrEx>
        <w:trPr>
          <w:trHeight w:val="540"/>
          <w:jc w:val="center"/>
        </w:trPr>
        <w:tc>
          <w:tcPr>
            <w:tcW w:w="264" w:type="pct"/>
            <w:gridSpan w:val="4"/>
            <w:tcBorders>
              <w:top w:val="outset" w:sz="6" w:space="0" w:color="auto"/>
              <w:left w:val="outset" w:sz="6" w:space="0" w:color="auto"/>
              <w:bottom w:val="outset" w:sz="6" w:space="0" w:color="auto"/>
              <w:right w:val="outset" w:sz="6" w:space="0" w:color="auto"/>
            </w:tcBorders>
            <w:hideMark/>
          </w:tcPr>
          <w:p w14:paraId="79878FE4"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619" w:type="pct"/>
            <w:gridSpan w:val="6"/>
            <w:tcBorders>
              <w:top w:val="outset" w:sz="6" w:space="0" w:color="auto"/>
              <w:left w:val="outset" w:sz="6" w:space="0" w:color="auto"/>
              <w:bottom w:val="outset" w:sz="6" w:space="0" w:color="auto"/>
              <w:right w:val="outset" w:sz="6" w:space="0" w:color="auto"/>
            </w:tcBorders>
            <w:hideMark/>
          </w:tcPr>
          <w:p w14:paraId="60A80407"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Plānotās sabiedrības līdzdalības un komunikācijas aktivitātes saistībā ar projektu</w:t>
            </w:r>
          </w:p>
        </w:tc>
        <w:tc>
          <w:tcPr>
            <w:tcW w:w="3117" w:type="pct"/>
            <w:gridSpan w:val="9"/>
            <w:tcBorders>
              <w:top w:val="outset" w:sz="6" w:space="0" w:color="auto"/>
              <w:left w:val="outset" w:sz="6" w:space="0" w:color="auto"/>
              <w:bottom w:val="outset" w:sz="6" w:space="0" w:color="auto"/>
              <w:right w:val="outset" w:sz="6" w:space="0" w:color="auto"/>
            </w:tcBorders>
            <w:hideMark/>
          </w:tcPr>
          <w:p w14:paraId="5AC5BFA4" w14:textId="77777777" w:rsidR="003E63BA" w:rsidRPr="0049010D" w:rsidRDefault="003E63BA" w:rsidP="00150908">
            <w:pPr>
              <w:pStyle w:val="naiskr"/>
              <w:spacing w:before="0" w:after="0"/>
              <w:ind w:left="57" w:right="57"/>
              <w:jc w:val="both"/>
            </w:pPr>
            <w:r w:rsidRPr="0049010D">
              <w:t>Sabiedrības līdzdalība ir nodrošināta, publicējot uzziņu par MK noteikumu projekta izstrādes uzsākšanu 2016.gada 5.februārī Finanšu ministrijas tīmekļvietnē sadaļā “Sabiedrības līdzdalība”.</w:t>
            </w:r>
          </w:p>
          <w:p w14:paraId="39135B66" w14:textId="6376F84C" w:rsidR="005D0C29" w:rsidRPr="00305F40" w:rsidRDefault="00987C52" w:rsidP="00150908">
            <w:pPr>
              <w:spacing w:after="0" w:line="240" w:lineRule="auto"/>
              <w:ind w:left="57" w:right="57"/>
              <w:jc w:val="both"/>
              <w:rPr>
                <w:rFonts w:eastAsia="Times New Roman" w:cs="Times New Roman"/>
                <w:szCs w:val="24"/>
                <w:lang w:eastAsia="lv-LV"/>
              </w:rPr>
            </w:pPr>
            <w:r>
              <w:rPr>
                <w:rFonts w:eastAsia="Times New Roman" w:cs="Times New Roman"/>
                <w:szCs w:val="24"/>
                <w:lang w:eastAsia="lv-LV"/>
              </w:rPr>
              <w:t>VID</w:t>
            </w:r>
            <w:r w:rsidR="008518C3">
              <w:rPr>
                <w:rFonts w:eastAsia="Times New Roman" w:cs="Times New Roman"/>
                <w:szCs w:val="24"/>
                <w:lang w:eastAsia="lv-LV"/>
              </w:rPr>
              <w:t xml:space="preserve"> </w:t>
            </w:r>
            <w:r w:rsidR="004970B2">
              <w:rPr>
                <w:rFonts w:eastAsia="Times New Roman" w:cs="Times New Roman"/>
                <w:szCs w:val="24"/>
                <w:lang w:eastAsia="lv-LV"/>
              </w:rPr>
              <w:t>tīmekļa vietnē</w:t>
            </w:r>
            <w:r w:rsidR="00036A87">
              <w:rPr>
                <w:rFonts w:eastAsia="Times New Roman" w:cs="Times New Roman"/>
                <w:szCs w:val="24"/>
                <w:lang w:eastAsia="lv-LV"/>
              </w:rPr>
              <w:t xml:space="preserve"> tik</w:t>
            </w:r>
            <w:r w:rsidR="00AB4C05">
              <w:rPr>
                <w:rFonts w:eastAsia="Times New Roman" w:cs="Times New Roman"/>
                <w:szCs w:val="24"/>
                <w:lang w:eastAsia="lv-LV"/>
              </w:rPr>
              <w:t>s</w:t>
            </w:r>
            <w:r w:rsidR="00036A87">
              <w:rPr>
                <w:rFonts w:eastAsia="Times New Roman" w:cs="Times New Roman"/>
                <w:szCs w:val="24"/>
                <w:lang w:eastAsia="lv-LV"/>
              </w:rPr>
              <w:t xml:space="preserve"> publicēta informācija par preču iznīcināšanas kārtību un iesniedzamiem dokumentiem.</w:t>
            </w:r>
          </w:p>
        </w:tc>
      </w:tr>
      <w:tr w:rsidR="005D4AE6" w:rsidRPr="00305F40" w14:paraId="7A99C2FA" w14:textId="77777777" w:rsidTr="00150908">
        <w:tblPrEx>
          <w:jc w:val="center"/>
          <w:tblInd w:w="0" w:type="dxa"/>
        </w:tblPrEx>
        <w:trPr>
          <w:trHeight w:val="330"/>
          <w:jc w:val="center"/>
        </w:trPr>
        <w:tc>
          <w:tcPr>
            <w:tcW w:w="264" w:type="pct"/>
            <w:gridSpan w:val="4"/>
            <w:tcBorders>
              <w:top w:val="outset" w:sz="6" w:space="0" w:color="auto"/>
              <w:left w:val="outset" w:sz="6" w:space="0" w:color="auto"/>
              <w:bottom w:val="outset" w:sz="6" w:space="0" w:color="auto"/>
              <w:right w:val="outset" w:sz="6" w:space="0" w:color="auto"/>
            </w:tcBorders>
            <w:hideMark/>
          </w:tcPr>
          <w:p w14:paraId="1DE3D1C0"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w:t>
            </w:r>
          </w:p>
        </w:tc>
        <w:tc>
          <w:tcPr>
            <w:tcW w:w="1619" w:type="pct"/>
            <w:gridSpan w:val="6"/>
            <w:tcBorders>
              <w:top w:val="outset" w:sz="6" w:space="0" w:color="auto"/>
              <w:left w:val="outset" w:sz="6" w:space="0" w:color="auto"/>
              <w:bottom w:val="outset" w:sz="6" w:space="0" w:color="auto"/>
              <w:right w:val="outset" w:sz="6" w:space="0" w:color="auto"/>
            </w:tcBorders>
            <w:hideMark/>
          </w:tcPr>
          <w:p w14:paraId="47F26B52" w14:textId="77777777" w:rsidR="005D4AE6" w:rsidRPr="00FD7341" w:rsidRDefault="005D4AE6" w:rsidP="005D4AE6">
            <w:pPr>
              <w:spacing w:after="0" w:line="240" w:lineRule="auto"/>
              <w:rPr>
                <w:rFonts w:eastAsia="Times New Roman" w:cs="Times New Roman"/>
                <w:szCs w:val="24"/>
                <w:lang w:eastAsia="lv-LV"/>
              </w:rPr>
            </w:pPr>
            <w:r w:rsidRPr="00FD7341">
              <w:rPr>
                <w:rFonts w:eastAsia="Times New Roman" w:cs="Times New Roman"/>
                <w:szCs w:val="24"/>
                <w:lang w:eastAsia="lv-LV"/>
              </w:rPr>
              <w:t>Sabiedrības līdzdalība projekta izstrādē</w:t>
            </w:r>
          </w:p>
        </w:tc>
        <w:tc>
          <w:tcPr>
            <w:tcW w:w="3117" w:type="pct"/>
            <w:gridSpan w:val="9"/>
            <w:tcBorders>
              <w:top w:val="outset" w:sz="6" w:space="0" w:color="auto"/>
              <w:left w:val="outset" w:sz="6" w:space="0" w:color="auto"/>
              <w:bottom w:val="outset" w:sz="6" w:space="0" w:color="auto"/>
              <w:right w:val="outset" w:sz="6" w:space="0" w:color="auto"/>
            </w:tcBorders>
            <w:hideMark/>
          </w:tcPr>
          <w:p w14:paraId="5E9D30EF" w14:textId="0A85A945" w:rsidR="002D3333" w:rsidRPr="00FD7341" w:rsidRDefault="002D3333" w:rsidP="00150908">
            <w:pPr>
              <w:spacing w:after="0" w:line="240" w:lineRule="auto"/>
              <w:ind w:left="57" w:right="57"/>
              <w:jc w:val="both"/>
              <w:rPr>
                <w:rFonts w:eastAsia="Times New Roman" w:cs="Times New Roman"/>
                <w:szCs w:val="24"/>
                <w:lang w:eastAsia="lv-LV" w:bidi="lv-LV"/>
              </w:rPr>
            </w:pPr>
            <w:r w:rsidRPr="00FD7341">
              <w:rPr>
                <w:rFonts w:eastAsia="Times New Roman" w:cs="Times New Roman"/>
                <w:szCs w:val="24"/>
                <w:lang w:eastAsia="lv-LV" w:bidi="lv-LV"/>
              </w:rPr>
              <w:t xml:space="preserve">Noteikumu projekts un tā anotācija </w:t>
            </w:r>
            <w:r w:rsidR="00FD7341" w:rsidRPr="00FD7341">
              <w:rPr>
                <w:rFonts w:eastAsia="Times New Roman" w:cs="Times New Roman"/>
                <w:szCs w:val="24"/>
                <w:lang w:eastAsia="lv-LV" w:bidi="lv-LV"/>
              </w:rPr>
              <w:t xml:space="preserve">informācijai </w:t>
            </w:r>
            <w:r w:rsidRPr="00FD7341">
              <w:rPr>
                <w:rFonts w:eastAsia="Times New Roman" w:cs="Times New Roman"/>
                <w:szCs w:val="24"/>
                <w:lang w:eastAsia="lv-LV" w:bidi="lv-LV"/>
              </w:rPr>
              <w:t>tika nosūtīt</w:t>
            </w:r>
            <w:r w:rsidR="00FD7341" w:rsidRPr="00FD7341">
              <w:rPr>
                <w:rFonts w:eastAsia="Times New Roman" w:cs="Times New Roman"/>
                <w:szCs w:val="24"/>
                <w:lang w:eastAsia="lv-LV" w:bidi="lv-LV"/>
              </w:rPr>
              <w:t>s</w:t>
            </w:r>
            <w:r w:rsidRPr="00FD7341">
              <w:rPr>
                <w:rFonts w:eastAsia="Times New Roman" w:cs="Times New Roman"/>
                <w:szCs w:val="24"/>
                <w:lang w:eastAsia="lv-LV" w:bidi="lv-LV"/>
              </w:rPr>
              <w:t xml:space="preserve"> Latvijas Tirdzniecības un rūpniecības kamerai, </w:t>
            </w:r>
            <w:r w:rsidRPr="00FD7341">
              <w:rPr>
                <w:rFonts w:eastAsia="Times New Roman" w:cs="Times New Roman"/>
                <w:szCs w:val="24"/>
                <w:lang w:eastAsia="lv-LV" w:bidi="lv-LV"/>
              </w:rPr>
              <w:lastRenderedPageBreak/>
              <w:t>Latvijas Tranzīta biznesa asociācijai, Latvijas Loģistikas asociācijai, Latvijas Nacionālajai kravas ekspeditoru un loģistikas asociācijai un Latvijas Darba devēju konfederācijai.</w:t>
            </w:r>
          </w:p>
          <w:p w14:paraId="3A0C07F3" w14:textId="2FEAD293" w:rsidR="005D4AE6" w:rsidRPr="00FD7341" w:rsidRDefault="005D4AE6" w:rsidP="00150908">
            <w:pPr>
              <w:spacing w:after="0" w:line="240" w:lineRule="auto"/>
              <w:ind w:left="57" w:right="57"/>
              <w:jc w:val="both"/>
              <w:rPr>
                <w:rFonts w:eastAsia="Times New Roman" w:cs="Times New Roman"/>
                <w:szCs w:val="24"/>
                <w:lang w:eastAsia="lv-LV"/>
              </w:rPr>
            </w:pPr>
          </w:p>
        </w:tc>
      </w:tr>
      <w:tr w:rsidR="005D4AE6" w:rsidRPr="00305F40" w14:paraId="2B360E5C" w14:textId="77777777" w:rsidTr="00150908">
        <w:tblPrEx>
          <w:jc w:val="center"/>
          <w:tblInd w:w="0" w:type="dxa"/>
        </w:tblPrEx>
        <w:trPr>
          <w:trHeight w:val="465"/>
          <w:jc w:val="center"/>
        </w:trPr>
        <w:tc>
          <w:tcPr>
            <w:tcW w:w="264" w:type="pct"/>
            <w:gridSpan w:val="4"/>
            <w:tcBorders>
              <w:top w:val="outset" w:sz="6" w:space="0" w:color="auto"/>
              <w:left w:val="outset" w:sz="6" w:space="0" w:color="auto"/>
              <w:bottom w:val="outset" w:sz="6" w:space="0" w:color="auto"/>
              <w:right w:val="outset" w:sz="6" w:space="0" w:color="auto"/>
            </w:tcBorders>
            <w:hideMark/>
          </w:tcPr>
          <w:p w14:paraId="77D9D885"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lastRenderedPageBreak/>
              <w:t>3.</w:t>
            </w:r>
          </w:p>
        </w:tc>
        <w:tc>
          <w:tcPr>
            <w:tcW w:w="1619" w:type="pct"/>
            <w:gridSpan w:val="6"/>
            <w:tcBorders>
              <w:top w:val="outset" w:sz="6" w:space="0" w:color="auto"/>
              <w:left w:val="outset" w:sz="6" w:space="0" w:color="auto"/>
              <w:bottom w:val="outset" w:sz="6" w:space="0" w:color="auto"/>
              <w:right w:val="outset" w:sz="6" w:space="0" w:color="auto"/>
            </w:tcBorders>
            <w:hideMark/>
          </w:tcPr>
          <w:p w14:paraId="7B544F23"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Sabiedrības līdzdalības rezultāti</w:t>
            </w:r>
          </w:p>
        </w:tc>
        <w:tc>
          <w:tcPr>
            <w:tcW w:w="3117" w:type="pct"/>
            <w:gridSpan w:val="9"/>
            <w:tcBorders>
              <w:top w:val="outset" w:sz="6" w:space="0" w:color="auto"/>
              <w:left w:val="outset" w:sz="6" w:space="0" w:color="auto"/>
              <w:bottom w:val="outset" w:sz="6" w:space="0" w:color="auto"/>
              <w:right w:val="outset" w:sz="6" w:space="0" w:color="auto"/>
            </w:tcBorders>
          </w:tcPr>
          <w:p w14:paraId="6C6CF669" w14:textId="138FB74A" w:rsidR="00783057" w:rsidRPr="00CE1371" w:rsidRDefault="00150908" w:rsidP="00150908">
            <w:pPr>
              <w:spacing w:after="60"/>
              <w:ind w:left="57" w:right="57"/>
              <w:jc w:val="both"/>
              <w:rPr>
                <w:rFonts w:cs="Times New Roman"/>
                <w:szCs w:val="24"/>
              </w:rPr>
            </w:pPr>
            <w:r>
              <w:t>Par noteikumu projektu atzinumu sniedza Latvijas Darba devēju konfederācija un Latvijas Tranzīta biznesa asociācija.</w:t>
            </w:r>
          </w:p>
        </w:tc>
      </w:tr>
      <w:tr w:rsidR="005D4AE6" w:rsidRPr="00305F40" w14:paraId="5A7F5585" w14:textId="77777777" w:rsidTr="00150908">
        <w:tblPrEx>
          <w:jc w:val="center"/>
          <w:tblInd w:w="0" w:type="dxa"/>
        </w:tblPrEx>
        <w:trPr>
          <w:trHeight w:val="465"/>
          <w:jc w:val="center"/>
        </w:trPr>
        <w:tc>
          <w:tcPr>
            <w:tcW w:w="264" w:type="pct"/>
            <w:gridSpan w:val="4"/>
            <w:tcBorders>
              <w:top w:val="outset" w:sz="6" w:space="0" w:color="auto"/>
              <w:left w:val="outset" w:sz="6" w:space="0" w:color="auto"/>
              <w:bottom w:val="single" w:sz="4" w:space="0" w:color="auto"/>
              <w:right w:val="outset" w:sz="6" w:space="0" w:color="auto"/>
            </w:tcBorders>
            <w:hideMark/>
          </w:tcPr>
          <w:p w14:paraId="53D1AEC5"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4.</w:t>
            </w:r>
          </w:p>
        </w:tc>
        <w:tc>
          <w:tcPr>
            <w:tcW w:w="1619" w:type="pct"/>
            <w:gridSpan w:val="6"/>
            <w:tcBorders>
              <w:top w:val="outset" w:sz="6" w:space="0" w:color="auto"/>
              <w:left w:val="outset" w:sz="6" w:space="0" w:color="auto"/>
              <w:bottom w:val="single" w:sz="4" w:space="0" w:color="auto"/>
              <w:right w:val="outset" w:sz="6" w:space="0" w:color="auto"/>
            </w:tcBorders>
            <w:hideMark/>
          </w:tcPr>
          <w:p w14:paraId="2E2AA31E"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117" w:type="pct"/>
            <w:gridSpan w:val="9"/>
            <w:tcBorders>
              <w:top w:val="outset" w:sz="6" w:space="0" w:color="auto"/>
              <w:left w:val="outset" w:sz="6" w:space="0" w:color="auto"/>
              <w:bottom w:val="single" w:sz="4" w:space="0" w:color="auto"/>
              <w:right w:val="outset" w:sz="6" w:space="0" w:color="auto"/>
            </w:tcBorders>
            <w:hideMark/>
          </w:tcPr>
          <w:p w14:paraId="34C090CA" w14:textId="77777777" w:rsidR="005D4AE6" w:rsidRPr="00305F40" w:rsidRDefault="005D4AE6" w:rsidP="00150908">
            <w:pPr>
              <w:spacing w:before="100" w:beforeAutospacing="1" w:after="0" w:line="240" w:lineRule="auto"/>
              <w:ind w:left="57" w:right="57"/>
              <w:rPr>
                <w:rFonts w:eastAsia="Times New Roman" w:cs="Times New Roman"/>
                <w:szCs w:val="24"/>
                <w:lang w:eastAsia="lv-LV"/>
              </w:rPr>
            </w:pPr>
            <w:r w:rsidRPr="00305F40">
              <w:rPr>
                <w:rFonts w:eastAsia="Times New Roman" w:cs="Times New Roman"/>
                <w:szCs w:val="24"/>
                <w:lang w:eastAsia="lv-LV"/>
              </w:rPr>
              <w:t>Nav</w:t>
            </w:r>
          </w:p>
        </w:tc>
      </w:tr>
      <w:tr w:rsidR="00150908" w:rsidRPr="00305F40" w14:paraId="10931248" w14:textId="77777777" w:rsidTr="00150908">
        <w:tblPrEx>
          <w:jc w:val="center"/>
          <w:tblInd w:w="0" w:type="dxa"/>
        </w:tblPrEx>
        <w:trPr>
          <w:trHeight w:val="375"/>
          <w:jc w:val="center"/>
        </w:trPr>
        <w:tc>
          <w:tcPr>
            <w:tcW w:w="4999" w:type="pct"/>
            <w:gridSpan w:val="19"/>
            <w:tcBorders>
              <w:top w:val="single" w:sz="4" w:space="0" w:color="auto"/>
              <w:left w:val="nil"/>
              <w:bottom w:val="single" w:sz="4" w:space="0" w:color="auto"/>
              <w:right w:val="nil"/>
            </w:tcBorders>
            <w:vAlign w:val="center"/>
          </w:tcPr>
          <w:p w14:paraId="343C83A5" w14:textId="77777777" w:rsidR="00150908" w:rsidRPr="00305F40" w:rsidRDefault="00150908" w:rsidP="005D4AE6">
            <w:pPr>
              <w:spacing w:before="100" w:beforeAutospacing="1" w:after="100" w:afterAutospacing="1" w:line="240" w:lineRule="auto"/>
              <w:rPr>
                <w:rFonts w:eastAsia="Times New Roman" w:cs="Times New Roman"/>
                <w:b/>
                <w:bCs/>
                <w:szCs w:val="24"/>
                <w:lang w:eastAsia="lv-LV"/>
              </w:rPr>
            </w:pPr>
          </w:p>
        </w:tc>
      </w:tr>
      <w:tr w:rsidR="005D4AE6" w:rsidRPr="00305F40" w14:paraId="164A7A2B" w14:textId="77777777" w:rsidTr="00150908">
        <w:tblPrEx>
          <w:jc w:val="center"/>
          <w:tblInd w:w="0" w:type="dxa"/>
        </w:tblPrEx>
        <w:trPr>
          <w:trHeight w:val="375"/>
          <w:jc w:val="center"/>
        </w:trPr>
        <w:tc>
          <w:tcPr>
            <w:tcW w:w="4999" w:type="pct"/>
            <w:gridSpan w:val="19"/>
            <w:tcBorders>
              <w:top w:val="single" w:sz="4" w:space="0" w:color="auto"/>
              <w:left w:val="outset" w:sz="6" w:space="0" w:color="auto"/>
              <w:bottom w:val="outset" w:sz="6" w:space="0" w:color="auto"/>
              <w:right w:val="outset" w:sz="6" w:space="0" w:color="auto"/>
            </w:tcBorders>
            <w:vAlign w:val="center"/>
            <w:hideMark/>
          </w:tcPr>
          <w:p w14:paraId="512F1521"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b/>
                <w:bCs/>
                <w:szCs w:val="24"/>
                <w:lang w:eastAsia="lv-LV"/>
              </w:rPr>
              <w:t>VII. Tiesību akta projekta izpildes nodrošināšana un tās ietekme uz institūcijām</w:t>
            </w:r>
          </w:p>
        </w:tc>
      </w:tr>
      <w:tr w:rsidR="005D4AE6" w:rsidRPr="00305F40" w14:paraId="45363375" w14:textId="77777777" w:rsidTr="00150908">
        <w:tblPrEx>
          <w:jc w:val="center"/>
          <w:tblInd w:w="0" w:type="dxa"/>
        </w:tblPrEx>
        <w:trPr>
          <w:trHeight w:val="420"/>
          <w:jc w:val="center"/>
        </w:trPr>
        <w:tc>
          <w:tcPr>
            <w:tcW w:w="256" w:type="pct"/>
            <w:gridSpan w:val="3"/>
            <w:tcBorders>
              <w:top w:val="outset" w:sz="6" w:space="0" w:color="auto"/>
              <w:left w:val="outset" w:sz="6" w:space="0" w:color="auto"/>
              <w:bottom w:val="outset" w:sz="6" w:space="0" w:color="auto"/>
              <w:right w:val="outset" w:sz="6" w:space="0" w:color="auto"/>
            </w:tcBorders>
            <w:hideMark/>
          </w:tcPr>
          <w:p w14:paraId="423D7BAB"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1.</w:t>
            </w:r>
          </w:p>
        </w:tc>
        <w:tc>
          <w:tcPr>
            <w:tcW w:w="1632" w:type="pct"/>
            <w:gridSpan w:val="8"/>
            <w:tcBorders>
              <w:top w:val="outset" w:sz="6" w:space="0" w:color="auto"/>
              <w:left w:val="outset" w:sz="6" w:space="0" w:color="auto"/>
              <w:bottom w:val="outset" w:sz="6" w:space="0" w:color="auto"/>
              <w:right w:val="outset" w:sz="6" w:space="0" w:color="auto"/>
            </w:tcBorders>
            <w:hideMark/>
          </w:tcPr>
          <w:p w14:paraId="4BBE23DD"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Projekta izpildē iesaistītās institūcijas</w:t>
            </w:r>
          </w:p>
        </w:tc>
        <w:tc>
          <w:tcPr>
            <w:tcW w:w="3112" w:type="pct"/>
            <w:gridSpan w:val="8"/>
            <w:tcBorders>
              <w:top w:val="outset" w:sz="6" w:space="0" w:color="auto"/>
              <w:left w:val="outset" w:sz="6" w:space="0" w:color="auto"/>
              <w:bottom w:val="outset" w:sz="6" w:space="0" w:color="auto"/>
              <w:right w:val="outset" w:sz="6" w:space="0" w:color="auto"/>
            </w:tcBorders>
            <w:hideMark/>
          </w:tcPr>
          <w:p w14:paraId="5872BFD5" w14:textId="1A1FAF2F" w:rsidR="005D4AE6" w:rsidRPr="00305F40" w:rsidRDefault="00987C52" w:rsidP="005D4AE6">
            <w:pPr>
              <w:spacing w:after="0" w:line="240" w:lineRule="auto"/>
              <w:rPr>
                <w:rFonts w:eastAsia="Times New Roman" w:cs="Times New Roman"/>
                <w:szCs w:val="24"/>
                <w:lang w:eastAsia="lv-LV"/>
              </w:rPr>
            </w:pPr>
            <w:r>
              <w:rPr>
                <w:rFonts w:eastAsia="Times New Roman" w:cs="Times New Roman"/>
                <w:szCs w:val="24"/>
                <w:lang w:eastAsia="lv-LV"/>
              </w:rPr>
              <w:t>VID</w:t>
            </w:r>
          </w:p>
        </w:tc>
      </w:tr>
      <w:tr w:rsidR="005D4AE6" w:rsidRPr="00305F40" w14:paraId="300384D1" w14:textId="77777777" w:rsidTr="00150908">
        <w:tblPrEx>
          <w:jc w:val="center"/>
          <w:tblInd w:w="0" w:type="dxa"/>
        </w:tblPrEx>
        <w:trPr>
          <w:trHeight w:val="450"/>
          <w:jc w:val="center"/>
        </w:trPr>
        <w:tc>
          <w:tcPr>
            <w:tcW w:w="256" w:type="pct"/>
            <w:gridSpan w:val="3"/>
            <w:tcBorders>
              <w:top w:val="outset" w:sz="6" w:space="0" w:color="auto"/>
              <w:left w:val="outset" w:sz="6" w:space="0" w:color="auto"/>
              <w:bottom w:val="outset" w:sz="6" w:space="0" w:color="auto"/>
              <w:right w:val="outset" w:sz="6" w:space="0" w:color="auto"/>
            </w:tcBorders>
            <w:hideMark/>
          </w:tcPr>
          <w:p w14:paraId="4B60EA9E"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2.</w:t>
            </w:r>
          </w:p>
        </w:tc>
        <w:tc>
          <w:tcPr>
            <w:tcW w:w="1632" w:type="pct"/>
            <w:gridSpan w:val="8"/>
            <w:tcBorders>
              <w:top w:val="outset" w:sz="6" w:space="0" w:color="auto"/>
              <w:left w:val="outset" w:sz="6" w:space="0" w:color="auto"/>
              <w:bottom w:val="outset" w:sz="6" w:space="0" w:color="auto"/>
              <w:right w:val="outset" w:sz="6" w:space="0" w:color="auto"/>
            </w:tcBorders>
            <w:hideMark/>
          </w:tcPr>
          <w:p w14:paraId="60158471"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 xml:space="preserve">Projekta izpildes ietekme uz pārvaldes funkcijām un institucionālo struktūru. </w:t>
            </w:r>
          </w:p>
          <w:p w14:paraId="3486C31C" w14:textId="77777777" w:rsidR="005D4AE6" w:rsidRPr="00305F40" w:rsidRDefault="005D4AE6" w:rsidP="005D4AE6">
            <w:pPr>
              <w:spacing w:before="100" w:beforeAutospacing="1" w:after="100" w:afterAutospacing="1" w:line="240" w:lineRule="auto"/>
              <w:rPr>
                <w:rFonts w:eastAsia="Times New Roman" w:cs="Times New Roman"/>
                <w:szCs w:val="24"/>
                <w:lang w:eastAsia="lv-LV"/>
              </w:rPr>
            </w:pPr>
            <w:r w:rsidRPr="00305F40">
              <w:rPr>
                <w:rFonts w:eastAsia="Times New Roman" w:cs="Times New Roman"/>
                <w:szCs w:val="24"/>
                <w:lang w:eastAsia="lv-LV"/>
              </w:rPr>
              <w:t>Jaunu institūciju izveide, esošu institūciju likvidācija vai reorganizācija, to ietekme uz institūcijas cilvēkresursiem</w:t>
            </w:r>
          </w:p>
        </w:tc>
        <w:tc>
          <w:tcPr>
            <w:tcW w:w="3112" w:type="pct"/>
            <w:gridSpan w:val="8"/>
            <w:tcBorders>
              <w:top w:val="outset" w:sz="6" w:space="0" w:color="auto"/>
              <w:left w:val="outset" w:sz="6" w:space="0" w:color="auto"/>
              <w:bottom w:val="outset" w:sz="6" w:space="0" w:color="auto"/>
              <w:right w:val="outset" w:sz="6" w:space="0" w:color="auto"/>
            </w:tcBorders>
            <w:hideMark/>
          </w:tcPr>
          <w:p w14:paraId="30F7DDC4" w14:textId="6B2C8216" w:rsidR="00374921" w:rsidRPr="00305F40" w:rsidRDefault="005D0C29" w:rsidP="00987C52">
            <w:pPr>
              <w:spacing w:before="100" w:beforeAutospacing="1" w:after="100" w:afterAutospacing="1" w:line="240" w:lineRule="auto"/>
              <w:jc w:val="both"/>
              <w:rPr>
                <w:rFonts w:eastAsia="Times New Roman" w:cs="Times New Roman"/>
                <w:szCs w:val="24"/>
                <w:lang w:eastAsia="lv-LV"/>
              </w:rPr>
            </w:pPr>
            <w:r>
              <w:t xml:space="preserve">Projekts </w:t>
            </w:r>
            <w:r w:rsidR="008518C3">
              <w:t>nepaplašina un nesašaurina valsts pārvaldes funkcijas</w:t>
            </w:r>
            <w:r>
              <w:t>.</w:t>
            </w:r>
            <w:r w:rsidR="008518C3">
              <w:t xml:space="preserve"> Projekta izpilde tiks nodrošināta esošo </w:t>
            </w:r>
            <w:r w:rsidR="00987C52">
              <w:t>VID</w:t>
            </w:r>
            <w:r w:rsidR="008518C3">
              <w:t xml:space="preserve"> funkciju </w:t>
            </w:r>
            <w:r w:rsidR="004B0627">
              <w:t xml:space="preserve">un cilvēkresursu </w:t>
            </w:r>
            <w:r w:rsidR="008518C3">
              <w:t>ietvaros. Jaunas institūcijas netiek veidotas</w:t>
            </w:r>
            <w:r w:rsidR="004B0627">
              <w:t>, netiek paredzēta esošo institūciju likvidācija vai reorganizācija.</w:t>
            </w:r>
          </w:p>
        </w:tc>
      </w:tr>
      <w:tr w:rsidR="005D4AE6" w:rsidRPr="005D4AE6" w14:paraId="00A30756" w14:textId="77777777" w:rsidTr="00150908">
        <w:tblPrEx>
          <w:jc w:val="center"/>
          <w:tblInd w:w="0" w:type="dxa"/>
        </w:tblPrEx>
        <w:trPr>
          <w:trHeight w:val="390"/>
          <w:jc w:val="center"/>
        </w:trPr>
        <w:tc>
          <w:tcPr>
            <w:tcW w:w="256" w:type="pct"/>
            <w:gridSpan w:val="3"/>
            <w:tcBorders>
              <w:top w:val="outset" w:sz="6" w:space="0" w:color="auto"/>
              <w:left w:val="outset" w:sz="6" w:space="0" w:color="auto"/>
              <w:bottom w:val="outset" w:sz="6" w:space="0" w:color="auto"/>
              <w:right w:val="outset" w:sz="6" w:space="0" w:color="auto"/>
            </w:tcBorders>
            <w:hideMark/>
          </w:tcPr>
          <w:p w14:paraId="120B0CE3"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3.</w:t>
            </w:r>
          </w:p>
        </w:tc>
        <w:tc>
          <w:tcPr>
            <w:tcW w:w="1632" w:type="pct"/>
            <w:gridSpan w:val="8"/>
            <w:tcBorders>
              <w:top w:val="outset" w:sz="6" w:space="0" w:color="auto"/>
              <w:left w:val="outset" w:sz="6" w:space="0" w:color="auto"/>
              <w:bottom w:val="outset" w:sz="6" w:space="0" w:color="auto"/>
              <w:right w:val="outset" w:sz="6" w:space="0" w:color="auto"/>
            </w:tcBorders>
            <w:hideMark/>
          </w:tcPr>
          <w:p w14:paraId="4CFA1477" w14:textId="77777777" w:rsidR="005D4AE6" w:rsidRPr="00305F40" w:rsidRDefault="005D4AE6" w:rsidP="005D4AE6">
            <w:pPr>
              <w:spacing w:after="0" w:line="240" w:lineRule="auto"/>
              <w:rPr>
                <w:rFonts w:eastAsia="Times New Roman" w:cs="Times New Roman"/>
                <w:szCs w:val="24"/>
                <w:lang w:eastAsia="lv-LV"/>
              </w:rPr>
            </w:pPr>
            <w:r w:rsidRPr="00305F40">
              <w:rPr>
                <w:rFonts w:eastAsia="Times New Roman" w:cs="Times New Roman"/>
                <w:szCs w:val="24"/>
                <w:lang w:eastAsia="lv-LV"/>
              </w:rPr>
              <w:t>Cita informācija</w:t>
            </w:r>
          </w:p>
        </w:tc>
        <w:tc>
          <w:tcPr>
            <w:tcW w:w="3112" w:type="pct"/>
            <w:gridSpan w:val="8"/>
            <w:tcBorders>
              <w:top w:val="outset" w:sz="6" w:space="0" w:color="auto"/>
              <w:left w:val="outset" w:sz="6" w:space="0" w:color="auto"/>
              <w:bottom w:val="outset" w:sz="6" w:space="0" w:color="auto"/>
              <w:right w:val="outset" w:sz="6" w:space="0" w:color="auto"/>
            </w:tcBorders>
            <w:hideMark/>
          </w:tcPr>
          <w:p w14:paraId="30EFF552" w14:textId="77777777" w:rsidR="005D4AE6" w:rsidRPr="005D4AE6" w:rsidRDefault="00374921" w:rsidP="00954960">
            <w:pPr>
              <w:spacing w:before="100" w:beforeAutospacing="1" w:after="0" w:line="240" w:lineRule="auto"/>
              <w:rPr>
                <w:rFonts w:eastAsia="Times New Roman" w:cs="Times New Roman"/>
                <w:szCs w:val="24"/>
                <w:lang w:eastAsia="lv-LV"/>
              </w:rPr>
            </w:pPr>
            <w:r w:rsidRPr="00305F40">
              <w:rPr>
                <w:rFonts w:eastAsia="Times New Roman" w:cs="Times New Roman"/>
                <w:szCs w:val="24"/>
                <w:lang w:eastAsia="lv-LV"/>
              </w:rPr>
              <w:t>Nav</w:t>
            </w:r>
          </w:p>
        </w:tc>
      </w:tr>
    </w:tbl>
    <w:p w14:paraId="538A7109" w14:textId="25877CC1" w:rsidR="00BD4DA5" w:rsidRDefault="00BD4DA5" w:rsidP="008079DE">
      <w:pPr>
        <w:tabs>
          <w:tab w:val="left" w:pos="990"/>
        </w:tabs>
        <w:spacing w:after="0"/>
        <w:rPr>
          <w:i/>
          <w:iCs/>
          <w:szCs w:val="24"/>
        </w:rPr>
      </w:pPr>
      <w:r w:rsidRPr="002D3333">
        <w:rPr>
          <w:i/>
          <w:iCs/>
          <w:szCs w:val="24"/>
        </w:rPr>
        <w:t>Anotācijas III sadaļa – projekts š</w:t>
      </w:r>
      <w:r w:rsidR="00D53A2E" w:rsidRPr="002D3333">
        <w:rPr>
          <w:i/>
          <w:iCs/>
          <w:szCs w:val="24"/>
        </w:rPr>
        <w:t>o</w:t>
      </w:r>
      <w:r w:rsidRPr="002D3333">
        <w:rPr>
          <w:i/>
          <w:iCs/>
          <w:szCs w:val="24"/>
        </w:rPr>
        <w:t xml:space="preserve"> jom</w:t>
      </w:r>
      <w:r w:rsidR="00D53A2E" w:rsidRPr="002D3333">
        <w:rPr>
          <w:i/>
          <w:iCs/>
          <w:szCs w:val="24"/>
        </w:rPr>
        <w:t>u</w:t>
      </w:r>
      <w:r w:rsidRPr="002D3333">
        <w:rPr>
          <w:i/>
          <w:iCs/>
          <w:szCs w:val="24"/>
        </w:rPr>
        <w:t xml:space="preserve"> neskar.</w:t>
      </w:r>
    </w:p>
    <w:p w14:paraId="438900C7" w14:textId="2F9C3BBC" w:rsidR="004970B2" w:rsidRDefault="004970B2" w:rsidP="008079DE">
      <w:pPr>
        <w:tabs>
          <w:tab w:val="left" w:pos="990"/>
        </w:tabs>
        <w:spacing w:after="0"/>
        <w:rPr>
          <w:szCs w:val="24"/>
        </w:rPr>
      </w:pPr>
    </w:p>
    <w:p w14:paraId="17AC555E" w14:textId="77777777" w:rsidR="004C7864" w:rsidRDefault="004C7864" w:rsidP="008079DE">
      <w:pPr>
        <w:tabs>
          <w:tab w:val="left" w:pos="990"/>
        </w:tabs>
        <w:spacing w:after="0"/>
        <w:rPr>
          <w:szCs w:val="24"/>
        </w:rPr>
      </w:pPr>
      <w:bookmarkStart w:id="8" w:name="_GoBack"/>
      <w:bookmarkEnd w:id="8"/>
    </w:p>
    <w:p w14:paraId="1077190D" w14:textId="77777777" w:rsidR="004C7864" w:rsidRDefault="004C7864" w:rsidP="004C7864">
      <w:pPr>
        <w:tabs>
          <w:tab w:val="left" w:pos="6379"/>
        </w:tabs>
        <w:rPr>
          <w:sz w:val="28"/>
          <w:szCs w:val="28"/>
        </w:rPr>
      </w:pPr>
      <w:r>
        <w:rPr>
          <w:sz w:val="28"/>
          <w:szCs w:val="28"/>
        </w:rPr>
        <w:t xml:space="preserve">Finanšu ministre </w:t>
      </w:r>
      <w:r>
        <w:rPr>
          <w:sz w:val="28"/>
          <w:szCs w:val="28"/>
        </w:rPr>
        <w:tab/>
        <w:t>Dana Reizniece-Ozola</w:t>
      </w:r>
    </w:p>
    <w:p w14:paraId="417DE0BE" w14:textId="77777777" w:rsidR="00FC209E" w:rsidRDefault="00FC209E" w:rsidP="00FC209E">
      <w:pPr>
        <w:rPr>
          <w:sz w:val="26"/>
          <w:szCs w:val="26"/>
          <w:lang w:eastAsia="lv-LV"/>
        </w:rPr>
      </w:pPr>
    </w:p>
    <w:p w14:paraId="14C2D7CB" w14:textId="64CF6708" w:rsidR="00F83349" w:rsidRDefault="00F83349" w:rsidP="00F83349">
      <w:pPr>
        <w:spacing w:after="0" w:line="240" w:lineRule="auto"/>
        <w:jc w:val="both"/>
        <w:rPr>
          <w:rFonts w:eastAsia="Times New Roman" w:cs="Times New Roman"/>
          <w:sz w:val="28"/>
          <w:szCs w:val="28"/>
        </w:rPr>
      </w:pPr>
    </w:p>
    <w:p w14:paraId="03B079FF" w14:textId="1D253134" w:rsidR="00FC209E" w:rsidRDefault="00FC209E" w:rsidP="00F83349">
      <w:pPr>
        <w:spacing w:after="0" w:line="240" w:lineRule="auto"/>
        <w:jc w:val="both"/>
        <w:rPr>
          <w:rFonts w:eastAsia="Times New Roman" w:cs="Times New Roman"/>
          <w:sz w:val="28"/>
          <w:szCs w:val="28"/>
        </w:rPr>
      </w:pPr>
    </w:p>
    <w:p w14:paraId="36DD57BB" w14:textId="77777777" w:rsidR="00FC209E" w:rsidRPr="006658CC" w:rsidRDefault="00FC209E" w:rsidP="00F83349">
      <w:pPr>
        <w:spacing w:after="0" w:line="240" w:lineRule="auto"/>
        <w:jc w:val="both"/>
        <w:rPr>
          <w:rFonts w:eastAsia="Times New Roman" w:cs="Times New Roman"/>
          <w:sz w:val="28"/>
          <w:szCs w:val="28"/>
        </w:rPr>
      </w:pPr>
    </w:p>
    <w:p w14:paraId="3CE891C8" w14:textId="77777777" w:rsidR="008079DE" w:rsidRPr="006658CC" w:rsidRDefault="008079DE" w:rsidP="00F83349">
      <w:pPr>
        <w:spacing w:after="0" w:line="240" w:lineRule="auto"/>
        <w:jc w:val="both"/>
        <w:rPr>
          <w:rFonts w:eastAsia="Times New Roman" w:cs="Times New Roman"/>
          <w:sz w:val="28"/>
          <w:szCs w:val="28"/>
        </w:rPr>
      </w:pPr>
    </w:p>
    <w:p w14:paraId="1D0CBDEE" w14:textId="59C9CE34" w:rsidR="00261F9A" w:rsidRPr="00261F9A" w:rsidRDefault="00261F9A" w:rsidP="00261F9A">
      <w:pPr>
        <w:spacing w:after="0" w:line="240" w:lineRule="auto"/>
        <w:jc w:val="both"/>
        <w:rPr>
          <w:rFonts w:eastAsia="Calibri" w:cs="Times New Roman"/>
          <w:sz w:val="20"/>
          <w:szCs w:val="20"/>
        </w:rPr>
      </w:pPr>
      <w:r w:rsidRPr="00261F9A">
        <w:rPr>
          <w:rFonts w:eastAsia="Calibri" w:cs="Times New Roman"/>
          <w:sz w:val="20"/>
          <w:szCs w:val="20"/>
        </w:rPr>
        <w:t>Edžiņš 67120896</w:t>
      </w:r>
    </w:p>
    <w:p w14:paraId="6B605551" w14:textId="5D91C677" w:rsidR="00F83349" w:rsidRPr="008028CD" w:rsidRDefault="00261F9A" w:rsidP="00F83349">
      <w:pPr>
        <w:spacing w:after="0" w:line="240" w:lineRule="auto"/>
        <w:jc w:val="both"/>
        <w:rPr>
          <w:rFonts w:eastAsia="Calibri" w:cs="Times New Roman"/>
          <w:sz w:val="20"/>
          <w:szCs w:val="20"/>
        </w:rPr>
      </w:pPr>
      <w:r w:rsidRPr="00261F9A">
        <w:rPr>
          <w:rFonts w:eastAsia="Calibri" w:cs="Times New Roman"/>
          <w:sz w:val="20"/>
          <w:szCs w:val="20"/>
        </w:rPr>
        <w:t>Gundars.Edzins@vid.gov.lv</w:t>
      </w:r>
      <w:r w:rsidR="00F83349" w:rsidRPr="008028CD">
        <w:rPr>
          <w:rFonts w:eastAsia="Calibri" w:cs="Times New Roman"/>
          <w:sz w:val="20"/>
          <w:szCs w:val="20"/>
        </w:rPr>
        <w:t xml:space="preserve"> </w:t>
      </w:r>
    </w:p>
    <w:sectPr w:rsidR="00F83349" w:rsidRPr="008028CD" w:rsidSect="008079DE">
      <w:headerReference w:type="even" r:id="rId10"/>
      <w:headerReference w:type="default" r:id="rId11"/>
      <w:footerReference w:type="even" r:id="rId12"/>
      <w:footerReference w:type="default" r:id="rId13"/>
      <w:headerReference w:type="first" r:id="rId14"/>
      <w:footerReference w:type="first" r:id="rId15"/>
      <w:pgSz w:w="11906" w:h="16838"/>
      <w:pgMar w:top="1276" w:right="707"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7AB2" w14:textId="77777777" w:rsidR="009D4EE8" w:rsidRDefault="009D4EE8" w:rsidP="00350876">
      <w:pPr>
        <w:spacing w:after="0" w:line="240" w:lineRule="auto"/>
      </w:pPr>
      <w:r>
        <w:separator/>
      </w:r>
    </w:p>
  </w:endnote>
  <w:endnote w:type="continuationSeparator" w:id="0">
    <w:p w14:paraId="180C3D0F" w14:textId="77777777" w:rsidR="009D4EE8" w:rsidRDefault="009D4EE8" w:rsidP="0035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259C" w14:textId="77777777" w:rsidR="00710CCD" w:rsidRDefault="0071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08B6" w14:textId="09721427" w:rsidR="00B220C4" w:rsidRPr="002D3333" w:rsidRDefault="00B220C4" w:rsidP="002D3333">
    <w:pPr>
      <w:spacing w:after="0" w:line="240" w:lineRule="auto"/>
      <w:jc w:val="both"/>
      <w:rPr>
        <w:sz w:val="20"/>
      </w:rPr>
    </w:pPr>
    <w:r w:rsidRPr="008D289A">
      <w:rPr>
        <w:sz w:val="20"/>
      </w:rPr>
      <w:t>FManot_</w:t>
    </w:r>
    <w:r w:rsidR="00710CCD">
      <w:rPr>
        <w:sz w:val="20"/>
      </w:rPr>
      <w:t>08</w:t>
    </w:r>
    <w:r w:rsidR="000443A7">
      <w:rPr>
        <w:sz w:val="20"/>
      </w:rPr>
      <w:t>08</w:t>
    </w:r>
    <w:r w:rsidR="005423C2">
      <w:rPr>
        <w:sz w:val="20"/>
      </w:rPr>
      <w:t>17</w:t>
    </w:r>
    <w:r w:rsidR="002D3333">
      <w:rPr>
        <w:sz w:val="20"/>
      </w:rPr>
      <w:t>_</w:t>
    </w:r>
    <w:r w:rsidR="003D657F">
      <w:rPr>
        <w:sz w:val="20"/>
      </w:rPr>
      <w:t>iznic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2965" w14:textId="3FEA948F" w:rsidR="00B220C4" w:rsidRPr="002D3333" w:rsidRDefault="006658CC" w:rsidP="002D3333">
    <w:pPr>
      <w:spacing w:after="0" w:line="240" w:lineRule="auto"/>
      <w:rPr>
        <w:sz w:val="20"/>
      </w:rPr>
    </w:pPr>
    <w:r>
      <w:rPr>
        <w:sz w:val="20"/>
      </w:rPr>
      <w:t>FMA</w:t>
    </w:r>
    <w:r w:rsidR="00B220C4" w:rsidRPr="008D289A">
      <w:rPr>
        <w:sz w:val="20"/>
      </w:rPr>
      <w:t>not_</w:t>
    </w:r>
    <w:r w:rsidR="00710CCD">
      <w:rPr>
        <w:sz w:val="20"/>
      </w:rPr>
      <w:t>08</w:t>
    </w:r>
    <w:r w:rsidR="000443A7">
      <w:rPr>
        <w:sz w:val="20"/>
      </w:rPr>
      <w:t>08</w:t>
    </w:r>
    <w:r w:rsidR="00B220C4" w:rsidRPr="008D289A">
      <w:rPr>
        <w:sz w:val="20"/>
      </w:rPr>
      <w:t>1</w:t>
    </w:r>
    <w:r w:rsidR="005423C2">
      <w:rPr>
        <w:sz w:val="20"/>
      </w:rPr>
      <w:t>7</w:t>
    </w:r>
    <w:r w:rsidR="00B220C4" w:rsidRPr="008D289A">
      <w:rPr>
        <w:sz w:val="20"/>
      </w:rPr>
      <w:t>_</w:t>
    </w:r>
    <w:r w:rsidR="003D657F">
      <w:rPr>
        <w:sz w:val="20"/>
      </w:rPr>
      <w:t>iznic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BC490" w14:textId="77777777" w:rsidR="009D4EE8" w:rsidRDefault="009D4EE8" w:rsidP="00350876">
      <w:pPr>
        <w:spacing w:after="0" w:line="240" w:lineRule="auto"/>
      </w:pPr>
      <w:r>
        <w:separator/>
      </w:r>
    </w:p>
  </w:footnote>
  <w:footnote w:type="continuationSeparator" w:id="0">
    <w:p w14:paraId="5282B062" w14:textId="77777777" w:rsidR="009D4EE8" w:rsidRDefault="009D4EE8" w:rsidP="0035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A3A1" w14:textId="77777777" w:rsidR="00710CCD" w:rsidRDefault="0071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695048"/>
      <w:docPartObj>
        <w:docPartGallery w:val="Page Numbers (Top of Page)"/>
        <w:docPartUnique/>
      </w:docPartObj>
    </w:sdtPr>
    <w:sdtEndPr>
      <w:rPr>
        <w:noProof/>
      </w:rPr>
    </w:sdtEndPr>
    <w:sdtContent>
      <w:p w14:paraId="113E771F" w14:textId="770C1F2B" w:rsidR="00B220C4" w:rsidRDefault="00B220C4">
        <w:pPr>
          <w:pStyle w:val="Header"/>
          <w:jc w:val="center"/>
        </w:pPr>
        <w:r>
          <w:fldChar w:fldCharType="begin"/>
        </w:r>
        <w:r>
          <w:instrText xml:space="preserve"> PAGE   \* MERGEFORMAT </w:instrText>
        </w:r>
        <w:r>
          <w:fldChar w:fldCharType="separate"/>
        </w:r>
        <w:r w:rsidR="004C7864">
          <w:rPr>
            <w:noProof/>
          </w:rPr>
          <w:t>9</w:t>
        </w:r>
        <w:r>
          <w:rPr>
            <w:noProof/>
          </w:rPr>
          <w:fldChar w:fldCharType="end"/>
        </w:r>
      </w:p>
    </w:sdtContent>
  </w:sdt>
  <w:p w14:paraId="246CA86B" w14:textId="77777777" w:rsidR="00B220C4" w:rsidRDefault="00B22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13F4" w14:textId="77777777" w:rsidR="00710CCD" w:rsidRDefault="0071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8B"/>
    <w:multiLevelType w:val="hybridMultilevel"/>
    <w:tmpl w:val="A3126810"/>
    <w:lvl w:ilvl="0" w:tplc="8E90A784">
      <w:start w:val="1"/>
      <w:numFmt w:val="decimal"/>
      <w:lvlText w:val="%1)"/>
      <w:lvlJc w:val="left"/>
      <w:pPr>
        <w:ind w:left="487" w:hanging="360"/>
      </w:pPr>
      <w:rPr>
        <w:rFonts w:ascii="Times New Roman" w:eastAsiaTheme="minorHAnsi" w:hAnsi="Times New Roman" w:cs="Times New Roman"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 w15:restartNumberingAfterBreak="0">
    <w:nsid w:val="04FC5BDF"/>
    <w:multiLevelType w:val="hybridMultilevel"/>
    <w:tmpl w:val="01DCD37C"/>
    <w:lvl w:ilvl="0" w:tplc="24BCCB9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C949E5"/>
    <w:multiLevelType w:val="hybridMultilevel"/>
    <w:tmpl w:val="ADBE0072"/>
    <w:lvl w:ilvl="0" w:tplc="861A39A8">
      <w:start w:val="1"/>
      <w:numFmt w:val="decimal"/>
      <w:lvlText w:val="%1)"/>
      <w:lvlJc w:val="left"/>
      <w:pPr>
        <w:ind w:left="532"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3" w15:restartNumberingAfterBreak="0">
    <w:nsid w:val="122C614C"/>
    <w:multiLevelType w:val="multilevel"/>
    <w:tmpl w:val="FD3C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438E4"/>
    <w:multiLevelType w:val="hybridMultilevel"/>
    <w:tmpl w:val="C33A4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1336AD"/>
    <w:multiLevelType w:val="hybridMultilevel"/>
    <w:tmpl w:val="F56EFD2A"/>
    <w:lvl w:ilvl="0" w:tplc="181078C8">
      <w:start w:val="1"/>
      <w:numFmt w:val="decimal"/>
      <w:lvlText w:val="%1)"/>
      <w:lvlJc w:val="left"/>
      <w:pPr>
        <w:ind w:left="68" w:hanging="46"/>
      </w:pPr>
      <w:rPr>
        <w:rFonts w:hint="default"/>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6" w15:restartNumberingAfterBreak="0">
    <w:nsid w:val="1E600B97"/>
    <w:multiLevelType w:val="hybridMultilevel"/>
    <w:tmpl w:val="311EBBBA"/>
    <w:lvl w:ilvl="0" w:tplc="04260011">
      <w:start w:val="17"/>
      <w:numFmt w:val="decimal"/>
      <w:lvlText w:val="%1)"/>
      <w:lvlJc w:val="left"/>
      <w:pPr>
        <w:ind w:left="644" w:hanging="360"/>
      </w:pPr>
      <w:rPr>
        <w:rFonts w:cs="Times New Roman"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7" w15:restartNumberingAfterBreak="0">
    <w:nsid w:val="279128D7"/>
    <w:multiLevelType w:val="hybridMultilevel"/>
    <w:tmpl w:val="A7A4E5F2"/>
    <w:lvl w:ilvl="0" w:tplc="DDB86E3E">
      <w:start w:val="2015"/>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8" w15:restartNumberingAfterBreak="0">
    <w:nsid w:val="29450622"/>
    <w:multiLevelType w:val="hybridMultilevel"/>
    <w:tmpl w:val="778489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550431"/>
    <w:multiLevelType w:val="hybridMultilevel"/>
    <w:tmpl w:val="84F66670"/>
    <w:lvl w:ilvl="0" w:tplc="D904F252">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87104E"/>
    <w:multiLevelType w:val="hybridMultilevel"/>
    <w:tmpl w:val="23B8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423749"/>
    <w:multiLevelType w:val="hybridMultilevel"/>
    <w:tmpl w:val="26B43462"/>
    <w:lvl w:ilvl="0" w:tplc="04260011">
      <w:start w:val="1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4C2F32"/>
    <w:multiLevelType w:val="hybridMultilevel"/>
    <w:tmpl w:val="F350D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AE56B8"/>
    <w:multiLevelType w:val="hybridMultilevel"/>
    <w:tmpl w:val="5DB0AEA0"/>
    <w:lvl w:ilvl="0" w:tplc="04260011">
      <w:start w:val="1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8A0687"/>
    <w:multiLevelType w:val="hybridMultilevel"/>
    <w:tmpl w:val="8E7EF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F24BE6"/>
    <w:multiLevelType w:val="hybridMultilevel"/>
    <w:tmpl w:val="26CEF936"/>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3E501E"/>
    <w:multiLevelType w:val="hybridMultilevel"/>
    <w:tmpl w:val="952EAB6C"/>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D94B00"/>
    <w:multiLevelType w:val="hybridMultilevel"/>
    <w:tmpl w:val="BB26422A"/>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5E0D90"/>
    <w:multiLevelType w:val="hybridMultilevel"/>
    <w:tmpl w:val="82C40C2E"/>
    <w:lvl w:ilvl="0" w:tplc="04260011">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E13AE7"/>
    <w:multiLevelType w:val="hybridMultilevel"/>
    <w:tmpl w:val="952EAB6C"/>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152ADB"/>
    <w:multiLevelType w:val="hybridMultilevel"/>
    <w:tmpl w:val="6D96B594"/>
    <w:lvl w:ilvl="0" w:tplc="861A39A8">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21" w15:restartNumberingAfterBreak="0">
    <w:nsid w:val="681D6DC5"/>
    <w:multiLevelType w:val="hybridMultilevel"/>
    <w:tmpl w:val="952EAB6C"/>
    <w:lvl w:ilvl="0" w:tplc="D904F25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F42739"/>
    <w:multiLevelType w:val="hybridMultilevel"/>
    <w:tmpl w:val="EA9AA362"/>
    <w:lvl w:ilvl="0" w:tplc="181078C8">
      <w:start w:val="1"/>
      <w:numFmt w:val="decimal"/>
      <w:lvlText w:val="%1)"/>
      <w:lvlJc w:val="left"/>
      <w:pPr>
        <w:ind w:left="198" w:hanging="46"/>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23" w15:restartNumberingAfterBreak="0">
    <w:nsid w:val="69DF5681"/>
    <w:multiLevelType w:val="hybridMultilevel"/>
    <w:tmpl w:val="67E66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36420C"/>
    <w:multiLevelType w:val="hybridMultilevel"/>
    <w:tmpl w:val="01DCD37C"/>
    <w:lvl w:ilvl="0" w:tplc="24BCCB9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885A9A"/>
    <w:multiLevelType w:val="hybridMultilevel"/>
    <w:tmpl w:val="0F548290"/>
    <w:lvl w:ilvl="0" w:tplc="513E1096">
      <w:start w:val="1"/>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BD4FCA"/>
    <w:multiLevelType w:val="hybridMultilevel"/>
    <w:tmpl w:val="E68E8B5E"/>
    <w:lvl w:ilvl="0" w:tplc="04260011">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651BDA"/>
    <w:multiLevelType w:val="hybridMultilevel"/>
    <w:tmpl w:val="A3F0AC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940918"/>
    <w:multiLevelType w:val="hybridMultilevel"/>
    <w:tmpl w:val="69AEAD9A"/>
    <w:lvl w:ilvl="0" w:tplc="7DC67D92">
      <w:start w:val="1"/>
      <w:numFmt w:val="decimal"/>
      <w:lvlText w:val="%1."/>
      <w:lvlJc w:val="left"/>
      <w:pPr>
        <w:ind w:left="720" w:hanging="360"/>
      </w:pPr>
      <w:rPr>
        <w:rFonts w:ascii="Times New Roman" w:eastAsia="Times New Roman" w:hAnsi="Times New Roman" w:cs="Times New Roman"/>
        <w:color w:val="2222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23"/>
  </w:num>
  <w:num w:numId="5">
    <w:abstractNumId w:val="14"/>
  </w:num>
  <w:num w:numId="6">
    <w:abstractNumId w:val="0"/>
  </w:num>
  <w:num w:numId="7">
    <w:abstractNumId w:val="2"/>
  </w:num>
  <w:num w:numId="8">
    <w:abstractNumId w:val="20"/>
  </w:num>
  <w:num w:numId="9">
    <w:abstractNumId w:val="8"/>
  </w:num>
  <w:num w:numId="10">
    <w:abstractNumId w:val="19"/>
  </w:num>
  <w:num w:numId="11">
    <w:abstractNumId w:val="25"/>
  </w:num>
  <w:num w:numId="12">
    <w:abstractNumId w:val="24"/>
  </w:num>
  <w:num w:numId="13">
    <w:abstractNumId w:val="1"/>
  </w:num>
  <w:num w:numId="14">
    <w:abstractNumId w:val="21"/>
  </w:num>
  <w:num w:numId="15">
    <w:abstractNumId w:val="16"/>
  </w:num>
  <w:num w:numId="16">
    <w:abstractNumId w:val="17"/>
  </w:num>
  <w:num w:numId="17">
    <w:abstractNumId w:val="15"/>
  </w:num>
  <w:num w:numId="18">
    <w:abstractNumId w:val="18"/>
  </w:num>
  <w:num w:numId="19">
    <w:abstractNumId w:val="26"/>
  </w:num>
  <w:num w:numId="20">
    <w:abstractNumId w:val="6"/>
  </w:num>
  <w:num w:numId="21">
    <w:abstractNumId w:val="13"/>
  </w:num>
  <w:num w:numId="22">
    <w:abstractNumId w:val="11"/>
  </w:num>
  <w:num w:numId="23">
    <w:abstractNumId w:val="5"/>
  </w:num>
  <w:num w:numId="24">
    <w:abstractNumId w:val="22"/>
  </w:num>
  <w:num w:numId="25">
    <w:abstractNumId w:val="27"/>
  </w:num>
  <w:num w:numId="26">
    <w:abstractNumId w:val="4"/>
  </w:num>
  <w:num w:numId="27">
    <w:abstractNumId w:val="28"/>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trackedChange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6"/>
    <w:rsid w:val="0001109E"/>
    <w:rsid w:val="0001172F"/>
    <w:rsid w:val="000123F2"/>
    <w:rsid w:val="00014916"/>
    <w:rsid w:val="00015014"/>
    <w:rsid w:val="0001554D"/>
    <w:rsid w:val="00017EE2"/>
    <w:rsid w:val="00024704"/>
    <w:rsid w:val="00030142"/>
    <w:rsid w:val="00036A87"/>
    <w:rsid w:val="00041326"/>
    <w:rsid w:val="000443A7"/>
    <w:rsid w:val="00055422"/>
    <w:rsid w:val="00056FF7"/>
    <w:rsid w:val="000601B3"/>
    <w:rsid w:val="0006086F"/>
    <w:rsid w:val="0006245C"/>
    <w:rsid w:val="0006658C"/>
    <w:rsid w:val="00070AD2"/>
    <w:rsid w:val="00070E5F"/>
    <w:rsid w:val="000737FC"/>
    <w:rsid w:val="000812BD"/>
    <w:rsid w:val="000835AB"/>
    <w:rsid w:val="00084810"/>
    <w:rsid w:val="0008517F"/>
    <w:rsid w:val="00094A22"/>
    <w:rsid w:val="00094B74"/>
    <w:rsid w:val="000A51F2"/>
    <w:rsid w:val="000A553B"/>
    <w:rsid w:val="000B0AAF"/>
    <w:rsid w:val="000B447D"/>
    <w:rsid w:val="000C074C"/>
    <w:rsid w:val="000C101B"/>
    <w:rsid w:val="000C2AC0"/>
    <w:rsid w:val="000C6111"/>
    <w:rsid w:val="000C635F"/>
    <w:rsid w:val="000D065D"/>
    <w:rsid w:val="000D42DF"/>
    <w:rsid w:val="000D5EEC"/>
    <w:rsid w:val="000D7B7E"/>
    <w:rsid w:val="000E6B30"/>
    <w:rsid w:val="000F03D8"/>
    <w:rsid w:val="000F6F17"/>
    <w:rsid w:val="00101A22"/>
    <w:rsid w:val="001026E3"/>
    <w:rsid w:val="00104454"/>
    <w:rsid w:val="001077E9"/>
    <w:rsid w:val="00107A55"/>
    <w:rsid w:val="00125383"/>
    <w:rsid w:val="001272C8"/>
    <w:rsid w:val="00130DBB"/>
    <w:rsid w:val="00140CDA"/>
    <w:rsid w:val="00150908"/>
    <w:rsid w:val="00151390"/>
    <w:rsid w:val="0015206B"/>
    <w:rsid w:val="00152BF5"/>
    <w:rsid w:val="00154711"/>
    <w:rsid w:val="00160913"/>
    <w:rsid w:val="0016388D"/>
    <w:rsid w:val="0016456C"/>
    <w:rsid w:val="00176FE5"/>
    <w:rsid w:val="0018447B"/>
    <w:rsid w:val="00191FB0"/>
    <w:rsid w:val="001926E9"/>
    <w:rsid w:val="00193D9A"/>
    <w:rsid w:val="001948B5"/>
    <w:rsid w:val="00195DFB"/>
    <w:rsid w:val="001966A2"/>
    <w:rsid w:val="00196EDA"/>
    <w:rsid w:val="001A3608"/>
    <w:rsid w:val="001A554E"/>
    <w:rsid w:val="001B6FE3"/>
    <w:rsid w:val="001D337E"/>
    <w:rsid w:val="001D369B"/>
    <w:rsid w:val="001D4474"/>
    <w:rsid w:val="001D56A0"/>
    <w:rsid w:val="001E6B1C"/>
    <w:rsid w:val="001F3D85"/>
    <w:rsid w:val="001F3DED"/>
    <w:rsid w:val="001F5994"/>
    <w:rsid w:val="001F6561"/>
    <w:rsid w:val="00210F8D"/>
    <w:rsid w:val="00231C93"/>
    <w:rsid w:val="00232FFF"/>
    <w:rsid w:val="002401D2"/>
    <w:rsid w:val="00240354"/>
    <w:rsid w:val="00241862"/>
    <w:rsid w:val="00246E28"/>
    <w:rsid w:val="00251F62"/>
    <w:rsid w:val="00256242"/>
    <w:rsid w:val="00256E1E"/>
    <w:rsid w:val="00260C1B"/>
    <w:rsid w:val="00261F9A"/>
    <w:rsid w:val="002624AB"/>
    <w:rsid w:val="002627F3"/>
    <w:rsid w:val="002641F7"/>
    <w:rsid w:val="00272565"/>
    <w:rsid w:val="00273FED"/>
    <w:rsid w:val="0027589F"/>
    <w:rsid w:val="00277934"/>
    <w:rsid w:val="0028129D"/>
    <w:rsid w:val="00286E23"/>
    <w:rsid w:val="00287BBB"/>
    <w:rsid w:val="00294867"/>
    <w:rsid w:val="00295FAF"/>
    <w:rsid w:val="002A15F9"/>
    <w:rsid w:val="002A5CC9"/>
    <w:rsid w:val="002B3534"/>
    <w:rsid w:val="002D3333"/>
    <w:rsid w:val="002E0C0F"/>
    <w:rsid w:val="002F17FE"/>
    <w:rsid w:val="002F1E41"/>
    <w:rsid w:val="002F667B"/>
    <w:rsid w:val="00300003"/>
    <w:rsid w:val="00301FAB"/>
    <w:rsid w:val="00305F40"/>
    <w:rsid w:val="00310AA0"/>
    <w:rsid w:val="0031138D"/>
    <w:rsid w:val="00315FF7"/>
    <w:rsid w:val="003212C6"/>
    <w:rsid w:val="00330148"/>
    <w:rsid w:val="00330C20"/>
    <w:rsid w:val="00335C6B"/>
    <w:rsid w:val="00341A88"/>
    <w:rsid w:val="00341ADD"/>
    <w:rsid w:val="003425E6"/>
    <w:rsid w:val="00346DC3"/>
    <w:rsid w:val="003504C7"/>
    <w:rsid w:val="00350876"/>
    <w:rsid w:val="00351F2B"/>
    <w:rsid w:val="0035527C"/>
    <w:rsid w:val="003569A3"/>
    <w:rsid w:val="00374921"/>
    <w:rsid w:val="003759C8"/>
    <w:rsid w:val="003805E2"/>
    <w:rsid w:val="00381FB0"/>
    <w:rsid w:val="00384462"/>
    <w:rsid w:val="003854B8"/>
    <w:rsid w:val="003872CA"/>
    <w:rsid w:val="00387EA6"/>
    <w:rsid w:val="00392B40"/>
    <w:rsid w:val="00394572"/>
    <w:rsid w:val="003A2D59"/>
    <w:rsid w:val="003A5196"/>
    <w:rsid w:val="003A7352"/>
    <w:rsid w:val="003B5564"/>
    <w:rsid w:val="003B695F"/>
    <w:rsid w:val="003C1EFD"/>
    <w:rsid w:val="003C31BA"/>
    <w:rsid w:val="003C3438"/>
    <w:rsid w:val="003C383F"/>
    <w:rsid w:val="003C5078"/>
    <w:rsid w:val="003D075B"/>
    <w:rsid w:val="003D1353"/>
    <w:rsid w:val="003D33E5"/>
    <w:rsid w:val="003D657F"/>
    <w:rsid w:val="003E63BA"/>
    <w:rsid w:val="003F1901"/>
    <w:rsid w:val="003F3942"/>
    <w:rsid w:val="003F3E84"/>
    <w:rsid w:val="003F632D"/>
    <w:rsid w:val="004010A8"/>
    <w:rsid w:val="00413F51"/>
    <w:rsid w:val="0041455F"/>
    <w:rsid w:val="00414B58"/>
    <w:rsid w:val="00414C38"/>
    <w:rsid w:val="00414CA9"/>
    <w:rsid w:val="00416C4E"/>
    <w:rsid w:val="00416E59"/>
    <w:rsid w:val="0041752C"/>
    <w:rsid w:val="00417855"/>
    <w:rsid w:val="00422596"/>
    <w:rsid w:val="004259B3"/>
    <w:rsid w:val="004400AB"/>
    <w:rsid w:val="004450FF"/>
    <w:rsid w:val="00455E59"/>
    <w:rsid w:val="00463255"/>
    <w:rsid w:val="00465514"/>
    <w:rsid w:val="00467913"/>
    <w:rsid w:val="00471F52"/>
    <w:rsid w:val="00480EF3"/>
    <w:rsid w:val="00482792"/>
    <w:rsid w:val="00486012"/>
    <w:rsid w:val="0048606D"/>
    <w:rsid w:val="00487CB8"/>
    <w:rsid w:val="00492EE0"/>
    <w:rsid w:val="004953C6"/>
    <w:rsid w:val="00496950"/>
    <w:rsid w:val="004970B2"/>
    <w:rsid w:val="004A0801"/>
    <w:rsid w:val="004A216A"/>
    <w:rsid w:val="004A3BE1"/>
    <w:rsid w:val="004A5829"/>
    <w:rsid w:val="004A6352"/>
    <w:rsid w:val="004B0627"/>
    <w:rsid w:val="004B545B"/>
    <w:rsid w:val="004B5AC7"/>
    <w:rsid w:val="004C0E9B"/>
    <w:rsid w:val="004C1781"/>
    <w:rsid w:val="004C5F4D"/>
    <w:rsid w:val="004C6DFE"/>
    <w:rsid w:val="004C7864"/>
    <w:rsid w:val="004D325C"/>
    <w:rsid w:val="004D7969"/>
    <w:rsid w:val="004E2087"/>
    <w:rsid w:val="004E4559"/>
    <w:rsid w:val="004F0228"/>
    <w:rsid w:val="004F195B"/>
    <w:rsid w:val="004F7053"/>
    <w:rsid w:val="00502128"/>
    <w:rsid w:val="00512087"/>
    <w:rsid w:val="0051661F"/>
    <w:rsid w:val="00517BE6"/>
    <w:rsid w:val="00517C89"/>
    <w:rsid w:val="0052204D"/>
    <w:rsid w:val="005228A2"/>
    <w:rsid w:val="00523455"/>
    <w:rsid w:val="00524D22"/>
    <w:rsid w:val="00527977"/>
    <w:rsid w:val="00527F32"/>
    <w:rsid w:val="005320F3"/>
    <w:rsid w:val="00534AA6"/>
    <w:rsid w:val="00535299"/>
    <w:rsid w:val="005423C2"/>
    <w:rsid w:val="00542DA4"/>
    <w:rsid w:val="005454CC"/>
    <w:rsid w:val="005464FE"/>
    <w:rsid w:val="00546ED0"/>
    <w:rsid w:val="00555202"/>
    <w:rsid w:val="00557D48"/>
    <w:rsid w:val="00560ED0"/>
    <w:rsid w:val="00565E54"/>
    <w:rsid w:val="00566C0E"/>
    <w:rsid w:val="00580DA0"/>
    <w:rsid w:val="00585D74"/>
    <w:rsid w:val="005B0B5D"/>
    <w:rsid w:val="005B36B8"/>
    <w:rsid w:val="005B5421"/>
    <w:rsid w:val="005B7537"/>
    <w:rsid w:val="005C1DFF"/>
    <w:rsid w:val="005C26ED"/>
    <w:rsid w:val="005C67EF"/>
    <w:rsid w:val="005C7453"/>
    <w:rsid w:val="005C7E64"/>
    <w:rsid w:val="005D0C29"/>
    <w:rsid w:val="005D4AE6"/>
    <w:rsid w:val="005E2F10"/>
    <w:rsid w:val="005E6034"/>
    <w:rsid w:val="005F33B4"/>
    <w:rsid w:val="006068AF"/>
    <w:rsid w:val="00617A8F"/>
    <w:rsid w:val="00621881"/>
    <w:rsid w:val="00626643"/>
    <w:rsid w:val="00637EDA"/>
    <w:rsid w:val="00647EE6"/>
    <w:rsid w:val="0065195C"/>
    <w:rsid w:val="00653DD0"/>
    <w:rsid w:val="00660367"/>
    <w:rsid w:val="006621F7"/>
    <w:rsid w:val="00662285"/>
    <w:rsid w:val="006658CC"/>
    <w:rsid w:val="00665CCE"/>
    <w:rsid w:val="00667EB6"/>
    <w:rsid w:val="00670297"/>
    <w:rsid w:val="00670783"/>
    <w:rsid w:val="00672373"/>
    <w:rsid w:val="006755D5"/>
    <w:rsid w:val="00677B0E"/>
    <w:rsid w:val="00684C6F"/>
    <w:rsid w:val="00686BBC"/>
    <w:rsid w:val="00690B79"/>
    <w:rsid w:val="00693286"/>
    <w:rsid w:val="006933A0"/>
    <w:rsid w:val="006972CD"/>
    <w:rsid w:val="006A07E5"/>
    <w:rsid w:val="006A0973"/>
    <w:rsid w:val="006A5238"/>
    <w:rsid w:val="006A6909"/>
    <w:rsid w:val="006A6D2B"/>
    <w:rsid w:val="006B02FB"/>
    <w:rsid w:val="006B0793"/>
    <w:rsid w:val="006C314C"/>
    <w:rsid w:val="006D0107"/>
    <w:rsid w:val="006D2CB0"/>
    <w:rsid w:val="006D64F6"/>
    <w:rsid w:val="006D7FBA"/>
    <w:rsid w:val="006E35F2"/>
    <w:rsid w:val="006E462A"/>
    <w:rsid w:val="006E49A0"/>
    <w:rsid w:val="006F32D7"/>
    <w:rsid w:val="00701CCB"/>
    <w:rsid w:val="0070751B"/>
    <w:rsid w:val="00710CCD"/>
    <w:rsid w:val="00714245"/>
    <w:rsid w:val="007210BE"/>
    <w:rsid w:val="00726F72"/>
    <w:rsid w:val="007307CF"/>
    <w:rsid w:val="00733FE6"/>
    <w:rsid w:val="007403DE"/>
    <w:rsid w:val="00741E83"/>
    <w:rsid w:val="00745B1E"/>
    <w:rsid w:val="00753802"/>
    <w:rsid w:val="00753DD1"/>
    <w:rsid w:val="0076538C"/>
    <w:rsid w:val="00767E59"/>
    <w:rsid w:val="00773E70"/>
    <w:rsid w:val="00783057"/>
    <w:rsid w:val="00784B80"/>
    <w:rsid w:val="0078700B"/>
    <w:rsid w:val="00797BB4"/>
    <w:rsid w:val="007A05F1"/>
    <w:rsid w:val="007A0E64"/>
    <w:rsid w:val="007A1A61"/>
    <w:rsid w:val="007A2939"/>
    <w:rsid w:val="007A2DDA"/>
    <w:rsid w:val="007A3726"/>
    <w:rsid w:val="007A4DD9"/>
    <w:rsid w:val="007A5344"/>
    <w:rsid w:val="007A54E3"/>
    <w:rsid w:val="007A5E52"/>
    <w:rsid w:val="007B14BD"/>
    <w:rsid w:val="007B1E9E"/>
    <w:rsid w:val="007B6023"/>
    <w:rsid w:val="007B7967"/>
    <w:rsid w:val="007C0A27"/>
    <w:rsid w:val="007C1160"/>
    <w:rsid w:val="007C5436"/>
    <w:rsid w:val="007C7A9C"/>
    <w:rsid w:val="007D1643"/>
    <w:rsid w:val="007D411B"/>
    <w:rsid w:val="007D71E9"/>
    <w:rsid w:val="007E680C"/>
    <w:rsid w:val="007E7BD2"/>
    <w:rsid w:val="007F6FF6"/>
    <w:rsid w:val="008000CA"/>
    <w:rsid w:val="00801FB9"/>
    <w:rsid w:val="00804CB9"/>
    <w:rsid w:val="008079DE"/>
    <w:rsid w:val="00815B47"/>
    <w:rsid w:val="00815E10"/>
    <w:rsid w:val="0081739C"/>
    <w:rsid w:val="00826C26"/>
    <w:rsid w:val="008341F2"/>
    <w:rsid w:val="00836AD0"/>
    <w:rsid w:val="00837614"/>
    <w:rsid w:val="00840630"/>
    <w:rsid w:val="00843465"/>
    <w:rsid w:val="00844B43"/>
    <w:rsid w:val="00850161"/>
    <w:rsid w:val="008518C3"/>
    <w:rsid w:val="00855B35"/>
    <w:rsid w:val="008619F7"/>
    <w:rsid w:val="00865B63"/>
    <w:rsid w:val="00867420"/>
    <w:rsid w:val="00871E05"/>
    <w:rsid w:val="0087238C"/>
    <w:rsid w:val="008807DB"/>
    <w:rsid w:val="00882883"/>
    <w:rsid w:val="00885631"/>
    <w:rsid w:val="00885843"/>
    <w:rsid w:val="008A26F6"/>
    <w:rsid w:val="008A2A01"/>
    <w:rsid w:val="008B0651"/>
    <w:rsid w:val="008B22CA"/>
    <w:rsid w:val="008B58C2"/>
    <w:rsid w:val="008C020B"/>
    <w:rsid w:val="008C18B9"/>
    <w:rsid w:val="008C7460"/>
    <w:rsid w:val="008D289A"/>
    <w:rsid w:val="008D433E"/>
    <w:rsid w:val="008D6204"/>
    <w:rsid w:val="008E0D58"/>
    <w:rsid w:val="008E6AF6"/>
    <w:rsid w:val="008F2187"/>
    <w:rsid w:val="008F2C84"/>
    <w:rsid w:val="009000CB"/>
    <w:rsid w:val="00902297"/>
    <w:rsid w:val="00927C16"/>
    <w:rsid w:val="00932F93"/>
    <w:rsid w:val="00937F2D"/>
    <w:rsid w:val="0094198E"/>
    <w:rsid w:val="00947B22"/>
    <w:rsid w:val="00951451"/>
    <w:rsid w:val="00952316"/>
    <w:rsid w:val="00954960"/>
    <w:rsid w:val="009570DC"/>
    <w:rsid w:val="00965F1B"/>
    <w:rsid w:val="0096627E"/>
    <w:rsid w:val="00971FAF"/>
    <w:rsid w:val="00973D7C"/>
    <w:rsid w:val="00974D87"/>
    <w:rsid w:val="0097528B"/>
    <w:rsid w:val="00976416"/>
    <w:rsid w:val="009770DC"/>
    <w:rsid w:val="00987C52"/>
    <w:rsid w:val="009901D9"/>
    <w:rsid w:val="0099143E"/>
    <w:rsid w:val="009947C2"/>
    <w:rsid w:val="00995BD6"/>
    <w:rsid w:val="0099611B"/>
    <w:rsid w:val="009A1081"/>
    <w:rsid w:val="009A1AB9"/>
    <w:rsid w:val="009B0EBE"/>
    <w:rsid w:val="009B18A1"/>
    <w:rsid w:val="009B37DB"/>
    <w:rsid w:val="009B6311"/>
    <w:rsid w:val="009B77E3"/>
    <w:rsid w:val="009D1A55"/>
    <w:rsid w:val="009D23DA"/>
    <w:rsid w:val="009D2B8B"/>
    <w:rsid w:val="009D4E13"/>
    <w:rsid w:val="009D4EE8"/>
    <w:rsid w:val="009E7425"/>
    <w:rsid w:val="00A00416"/>
    <w:rsid w:val="00A008E9"/>
    <w:rsid w:val="00A03866"/>
    <w:rsid w:val="00A11F70"/>
    <w:rsid w:val="00A12C9D"/>
    <w:rsid w:val="00A14BCF"/>
    <w:rsid w:val="00A151F6"/>
    <w:rsid w:val="00A17AA8"/>
    <w:rsid w:val="00A229EF"/>
    <w:rsid w:val="00A24F5E"/>
    <w:rsid w:val="00A32059"/>
    <w:rsid w:val="00A330DE"/>
    <w:rsid w:val="00A340B0"/>
    <w:rsid w:val="00A35EEA"/>
    <w:rsid w:val="00A406B8"/>
    <w:rsid w:val="00A437CA"/>
    <w:rsid w:val="00A473A9"/>
    <w:rsid w:val="00A562D4"/>
    <w:rsid w:val="00A600F4"/>
    <w:rsid w:val="00A67511"/>
    <w:rsid w:val="00A81340"/>
    <w:rsid w:val="00A83BAF"/>
    <w:rsid w:val="00A83D42"/>
    <w:rsid w:val="00A90E88"/>
    <w:rsid w:val="00A9490D"/>
    <w:rsid w:val="00A94DF7"/>
    <w:rsid w:val="00A95EFF"/>
    <w:rsid w:val="00AA4C5D"/>
    <w:rsid w:val="00AA5FB2"/>
    <w:rsid w:val="00AB3096"/>
    <w:rsid w:val="00AB4C05"/>
    <w:rsid w:val="00AB6FC6"/>
    <w:rsid w:val="00AC4F5F"/>
    <w:rsid w:val="00AD394D"/>
    <w:rsid w:val="00AD39FF"/>
    <w:rsid w:val="00AE03EA"/>
    <w:rsid w:val="00AE428D"/>
    <w:rsid w:val="00AE47E4"/>
    <w:rsid w:val="00AF161C"/>
    <w:rsid w:val="00B0068F"/>
    <w:rsid w:val="00B00C87"/>
    <w:rsid w:val="00B065E3"/>
    <w:rsid w:val="00B06FC5"/>
    <w:rsid w:val="00B107A7"/>
    <w:rsid w:val="00B14CC7"/>
    <w:rsid w:val="00B173EF"/>
    <w:rsid w:val="00B20953"/>
    <w:rsid w:val="00B21C8B"/>
    <w:rsid w:val="00B220C4"/>
    <w:rsid w:val="00B40C57"/>
    <w:rsid w:val="00B41147"/>
    <w:rsid w:val="00B46E56"/>
    <w:rsid w:val="00B512E1"/>
    <w:rsid w:val="00B51C23"/>
    <w:rsid w:val="00B53303"/>
    <w:rsid w:val="00B54BEF"/>
    <w:rsid w:val="00B611DA"/>
    <w:rsid w:val="00B64B95"/>
    <w:rsid w:val="00B739E9"/>
    <w:rsid w:val="00B75C32"/>
    <w:rsid w:val="00B80242"/>
    <w:rsid w:val="00B805C9"/>
    <w:rsid w:val="00B8211C"/>
    <w:rsid w:val="00B879ED"/>
    <w:rsid w:val="00B90EBA"/>
    <w:rsid w:val="00B9378C"/>
    <w:rsid w:val="00B951BC"/>
    <w:rsid w:val="00BA47B1"/>
    <w:rsid w:val="00BB01E7"/>
    <w:rsid w:val="00BB0B1B"/>
    <w:rsid w:val="00BB7F68"/>
    <w:rsid w:val="00BC5367"/>
    <w:rsid w:val="00BD4CBE"/>
    <w:rsid w:val="00BD4DA5"/>
    <w:rsid w:val="00BD7050"/>
    <w:rsid w:val="00BE7022"/>
    <w:rsid w:val="00BF1313"/>
    <w:rsid w:val="00BF6AE7"/>
    <w:rsid w:val="00C0063A"/>
    <w:rsid w:val="00C0603B"/>
    <w:rsid w:val="00C12D3A"/>
    <w:rsid w:val="00C1777F"/>
    <w:rsid w:val="00C20E02"/>
    <w:rsid w:val="00C21C38"/>
    <w:rsid w:val="00C22AEE"/>
    <w:rsid w:val="00C262E3"/>
    <w:rsid w:val="00C30BC5"/>
    <w:rsid w:val="00C3521B"/>
    <w:rsid w:val="00C3693F"/>
    <w:rsid w:val="00C37E52"/>
    <w:rsid w:val="00C40CF7"/>
    <w:rsid w:val="00C4242A"/>
    <w:rsid w:val="00C47C2C"/>
    <w:rsid w:val="00C55A83"/>
    <w:rsid w:val="00C56426"/>
    <w:rsid w:val="00C72F66"/>
    <w:rsid w:val="00C811BD"/>
    <w:rsid w:val="00C82076"/>
    <w:rsid w:val="00C827BC"/>
    <w:rsid w:val="00C83487"/>
    <w:rsid w:val="00C83F86"/>
    <w:rsid w:val="00C85D7F"/>
    <w:rsid w:val="00C86529"/>
    <w:rsid w:val="00C86866"/>
    <w:rsid w:val="00C92E97"/>
    <w:rsid w:val="00CA0A21"/>
    <w:rsid w:val="00CA23EA"/>
    <w:rsid w:val="00CA2C10"/>
    <w:rsid w:val="00CA2E5B"/>
    <w:rsid w:val="00CA4FA6"/>
    <w:rsid w:val="00CA50AF"/>
    <w:rsid w:val="00CA6594"/>
    <w:rsid w:val="00CB0974"/>
    <w:rsid w:val="00CB749B"/>
    <w:rsid w:val="00CC2ADA"/>
    <w:rsid w:val="00CC66AB"/>
    <w:rsid w:val="00CD0BD4"/>
    <w:rsid w:val="00CD1716"/>
    <w:rsid w:val="00CD2842"/>
    <w:rsid w:val="00CD40CB"/>
    <w:rsid w:val="00CD4344"/>
    <w:rsid w:val="00CE1371"/>
    <w:rsid w:val="00CE175C"/>
    <w:rsid w:val="00CF0E5D"/>
    <w:rsid w:val="00CF3106"/>
    <w:rsid w:val="00D010FE"/>
    <w:rsid w:val="00D02456"/>
    <w:rsid w:val="00D11989"/>
    <w:rsid w:val="00D2006B"/>
    <w:rsid w:val="00D2169B"/>
    <w:rsid w:val="00D233BA"/>
    <w:rsid w:val="00D25DBB"/>
    <w:rsid w:val="00D31A0E"/>
    <w:rsid w:val="00D353C8"/>
    <w:rsid w:val="00D359C4"/>
    <w:rsid w:val="00D41FBF"/>
    <w:rsid w:val="00D42E2E"/>
    <w:rsid w:val="00D44BBA"/>
    <w:rsid w:val="00D4612F"/>
    <w:rsid w:val="00D53A2E"/>
    <w:rsid w:val="00D6519C"/>
    <w:rsid w:val="00D6524D"/>
    <w:rsid w:val="00D65AC1"/>
    <w:rsid w:val="00D66AFD"/>
    <w:rsid w:val="00D67A63"/>
    <w:rsid w:val="00D71582"/>
    <w:rsid w:val="00D715A0"/>
    <w:rsid w:val="00D72AB5"/>
    <w:rsid w:val="00D73E38"/>
    <w:rsid w:val="00D7511B"/>
    <w:rsid w:val="00D83B50"/>
    <w:rsid w:val="00D914F0"/>
    <w:rsid w:val="00D945D8"/>
    <w:rsid w:val="00D95640"/>
    <w:rsid w:val="00D97CF8"/>
    <w:rsid w:val="00DA021E"/>
    <w:rsid w:val="00DA65FA"/>
    <w:rsid w:val="00DA68CB"/>
    <w:rsid w:val="00DB1A62"/>
    <w:rsid w:val="00DB71E9"/>
    <w:rsid w:val="00DC4BB0"/>
    <w:rsid w:val="00DC558F"/>
    <w:rsid w:val="00DC70C8"/>
    <w:rsid w:val="00DE02FC"/>
    <w:rsid w:val="00DE0697"/>
    <w:rsid w:val="00DF1DF3"/>
    <w:rsid w:val="00DF3E7C"/>
    <w:rsid w:val="00DF4441"/>
    <w:rsid w:val="00DF651E"/>
    <w:rsid w:val="00E0461D"/>
    <w:rsid w:val="00E04E77"/>
    <w:rsid w:val="00E057B0"/>
    <w:rsid w:val="00E05FD1"/>
    <w:rsid w:val="00E06B20"/>
    <w:rsid w:val="00E10FF0"/>
    <w:rsid w:val="00E1295F"/>
    <w:rsid w:val="00E155B2"/>
    <w:rsid w:val="00E15793"/>
    <w:rsid w:val="00E17A6A"/>
    <w:rsid w:val="00E22A29"/>
    <w:rsid w:val="00E23996"/>
    <w:rsid w:val="00E2676D"/>
    <w:rsid w:val="00E30CCC"/>
    <w:rsid w:val="00E352F8"/>
    <w:rsid w:val="00E372A1"/>
    <w:rsid w:val="00E41520"/>
    <w:rsid w:val="00E5457E"/>
    <w:rsid w:val="00E54C20"/>
    <w:rsid w:val="00E615DD"/>
    <w:rsid w:val="00E61BF9"/>
    <w:rsid w:val="00E6795C"/>
    <w:rsid w:val="00E7026F"/>
    <w:rsid w:val="00E72AC8"/>
    <w:rsid w:val="00E767B4"/>
    <w:rsid w:val="00E76974"/>
    <w:rsid w:val="00E77626"/>
    <w:rsid w:val="00E77FA9"/>
    <w:rsid w:val="00E81D3E"/>
    <w:rsid w:val="00E84DEB"/>
    <w:rsid w:val="00E85845"/>
    <w:rsid w:val="00E96116"/>
    <w:rsid w:val="00EA2812"/>
    <w:rsid w:val="00EA5B64"/>
    <w:rsid w:val="00EA7955"/>
    <w:rsid w:val="00EB6616"/>
    <w:rsid w:val="00EC2BC0"/>
    <w:rsid w:val="00EC703D"/>
    <w:rsid w:val="00ED2900"/>
    <w:rsid w:val="00EE66BD"/>
    <w:rsid w:val="00EF274C"/>
    <w:rsid w:val="00EF7902"/>
    <w:rsid w:val="00F024E7"/>
    <w:rsid w:val="00F06FF5"/>
    <w:rsid w:val="00F20269"/>
    <w:rsid w:val="00F2063D"/>
    <w:rsid w:val="00F21C74"/>
    <w:rsid w:val="00F2208A"/>
    <w:rsid w:val="00F2416B"/>
    <w:rsid w:val="00F24D01"/>
    <w:rsid w:val="00F31137"/>
    <w:rsid w:val="00F46023"/>
    <w:rsid w:val="00F51FBE"/>
    <w:rsid w:val="00F56911"/>
    <w:rsid w:val="00F57BD8"/>
    <w:rsid w:val="00F60BB7"/>
    <w:rsid w:val="00F66D0C"/>
    <w:rsid w:val="00F67C33"/>
    <w:rsid w:val="00F73569"/>
    <w:rsid w:val="00F735B3"/>
    <w:rsid w:val="00F737AB"/>
    <w:rsid w:val="00F7465D"/>
    <w:rsid w:val="00F77992"/>
    <w:rsid w:val="00F81574"/>
    <w:rsid w:val="00F822F6"/>
    <w:rsid w:val="00F83349"/>
    <w:rsid w:val="00F84321"/>
    <w:rsid w:val="00F92541"/>
    <w:rsid w:val="00F932C9"/>
    <w:rsid w:val="00F948FB"/>
    <w:rsid w:val="00FA2FCA"/>
    <w:rsid w:val="00FB0F6B"/>
    <w:rsid w:val="00FB42C5"/>
    <w:rsid w:val="00FC0C82"/>
    <w:rsid w:val="00FC209E"/>
    <w:rsid w:val="00FC2A62"/>
    <w:rsid w:val="00FC4401"/>
    <w:rsid w:val="00FC5E31"/>
    <w:rsid w:val="00FD1D85"/>
    <w:rsid w:val="00FD7341"/>
    <w:rsid w:val="00FD7DFC"/>
    <w:rsid w:val="00FD7E09"/>
    <w:rsid w:val="00FE40D8"/>
    <w:rsid w:val="00FE48DF"/>
    <w:rsid w:val="00FF1314"/>
    <w:rsid w:val="00FF3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81681F"/>
  <w15:docId w15:val="{9A492C6B-465B-48B7-8428-9A897F31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CommentReference">
    <w:name w:val="annotation reference"/>
    <w:basedOn w:val="DefaultParagraphFont"/>
    <w:uiPriority w:val="99"/>
    <w:semiHidden/>
    <w:unhideWhenUsed/>
    <w:rsid w:val="00D97CF8"/>
    <w:rPr>
      <w:sz w:val="16"/>
      <w:szCs w:val="16"/>
    </w:rPr>
  </w:style>
  <w:style w:type="paragraph" w:styleId="CommentText">
    <w:name w:val="annotation text"/>
    <w:basedOn w:val="Normal"/>
    <w:link w:val="CommentTextChar"/>
    <w:uiPriority w:val="99"/>
    <w:unhideWhenUsed/>
    <w:rsid w:val="00D97CF8"/>
    <w:pPr>
      <w:spacing w:line="240" w:lineRule="auto"/>
      <w:ind w:left="1077"/>
      <w:jc w:val="both"/>
    </w:pPr>
    <w:rPr>
      <w:rFonts w:asciiTheme="minorHAnsi" w:hAnsiTheme="minorHAnsi"/>
      <w:sz w:val="20"/>
      <w:szCs w:val="20"/>
    </w:rPr>
  </w:style>
  <w:style w:type="character" w:customStyle="1" w:styleId="CommentTextChar">
    <w:name w:val="Comment Text Char"/>
    <w:basedOn w:val="DefaultParagraphFont"/>
    <w:link w:val="CommentText"/>
    <w:uiPriority w:val="99"/>
    <w:rsid w:val="00D97CF8"/>
    <w:rPr>
      <w:rFonts w:asciiTheme="minorHAnsi" w:hAnsiTheme="minorHAnsi"/>
      <w:sz w:val="20"/>
      <w:szCs w:val="20"/>
    </w:rPr>
  </w:style>
  <w:style w:type="paragraph" w:styleId="ListParagraph">
    <w:name w:val="List Paragraph"/>
    <w:basedOn w:val="Normal"/>
    <w:uiPriority w:val="34"/>
    <w:qFormat/>
    <w:rsid w:val="00D97CF8"/>
    <w:pPr>
      <w:spacing w:after="0" w:line="240" w:lineRule="auto"/>
      <w:ind w:left="720"/>
    </w:pPr>
    <w:rPr>
      <w:rFonts w:ascii="Calibri" w:hAnsi="Calibri" w:cs="Calibri"/>
      <w:sz w:val="22"/>
      <w:lang w:eastAsia="lv-LV"/>
    </w:rPr>
  </w:style>
  <w:style w:type="paragraph" w:styleId="BalloonText">
    <w:name w:val="Balloon Text"/>
    <w:basedOn w:val="Normal"/>
    <w:link w:val="BalloonTextChar"/>
    <w:uiPriority w:val="99"/>
    <w:semiHidden/>
    <w:unhideWhenUsed/>
    <w:rsid w:val="00D97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F8"/>
    <w:rPr>
      <w:rFonts w:ascii="Segoe UI" w:hAnsi="Segoe UI" w:cs="Segoe UI"/>
      <w:sz w:val="18"/>
      <w:szCs w:val="18"/>
    </w:rPr>
  </w:style>
  <w:style w:type="paragraph" w:styleId="Header">
    <w:name w:val="header"/>
    <w:basedOn w:val="Normal"/>
    <w:link w:val="HeaderChar"/>
    <w:uiPriority w:val="99"/>
    <w:unhideWhenUsed/>
    <w:rsid w:val="003508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0876"/>
  </w:style>
  <w:style w:type="paragraph" w:styleId="Footer">
    <w:name w:val="footer"/>
    <w:basedOn w:val="Normal"/>
    <w:link w:val="FooterChar"/>
    <w:uiPriority w:val="99"/>
    <w:unhideWhenUsed/>
    <w:rsid w:val="003508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0876"/>
  </w:style>
  <w:style w:type="paragraph" w:styleId="CommentSubject">
    <w:name w:val="annotation subject"/>
    <w:basedOn w:val="CommentText"/>
    <w:next w:val="CommentText"/>
    <w:link w:val="CommentSubjectChar"/>
    <w:uiPriority w:val="99"/>
    <w:semiHidden/>
    <w:unhideWhenUsed/>
    <w:rsid w:val="00FD7E09"/>
    <w:pPr>
      <w:ind w:left="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FD7E09"/>
    <w:rPr>
      <w:rFonts w:asciiTheme="minorHAnsi" w:hAnsiTheme="minorHAnsi"/>
      <w:b/>
      <w:bCs/>
      <w:sz w:val="20"/>
      <w:szCs w:val="20"/>
    </w:rPr>
  </w:style>
  <w:style w:type="paragraph" w:customStyle="1" w:styleId="tv2133">
    <w:name w:val="tv2133"/>
    <w:basedOn w:val="Normal"/>
    <w:rsid w:val="001F5994"/>
    <w:pPr>
      <w:spacing w:after="0" w:line="360" w:lineRule="auto"/>
      <w:ind w:firstLine="300"/>
    </w:pPr>
    <w:rPr>
      <w:rFonts w:eastAsia="Times New Roman" w:cs="Times New Roman"/>
      <w:color w:val="414142"/>
      <w:sz w:val="20"/>
      <w:szCs w:val="20"/>
      <w:lang w:eastAsia="lv-LV"/>
    </w:rPr>
  </w:style>
  <w:style w:type="character" w:styleId="Hyperlink">
    <w:name w:val="Hyperlink"/>
    <w:basedOn w:val="DefaultParagraphFont"/>
    <w:uiPriority w:val="99"/>
    <w:unhideWhenUsed/>
    <w:rsid w:val="005B7537"/>
    <w:rPr>
      <w:color w:val="0000FF" w:themeColor="hyperlink"/>
      <w:u w:val="single"/>
    </w:rPr>
  </w:style>
  <w:style w:type="paragraph" w:customStyle="1" w:styleId="naisal">
    <w:name w:val="naisal"/>
    <w:basedOn w:val="Normal"/>
    <w:rsid w:val="00F83349"/>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F83349"/>
  </w:style>
  <w:style w:type="paragraph" w:styleId="Revision">
    <w:name w:val="Revision"/>
    <w:hidden/>
    <w:uiPriority w:val="99"/>
    <w:semiHidden/>
    <w:rsid w:val="00036A87"/>
    <w:pPr>
      <w:spacing w:after="0" w:line="240" w:lineRule="auto"/>
    </w:pPr>
  </w:style>
  <w:style w:type="paragraph" w:customStyle="1" w:styleId="CM4">
    <w:name w:val="CM4"/>
    <w:basedOn w:val="Normal"/>
    <w:next w:val="Normal"/>
    <w:uiPriority w:val="99"/>
    <w:rsid w:val="002641F7"/>
    <w:pPr>
      <w:autoSpaceDE w:val="0"/>
      <w:autoSpaceDN w:val="0"/>
      <w:adjustRightInd w:val="0"/>
      <w:spacing w:after="0" w:line="240" w:lineRule="auto"/>
    </w:pPr>
    <w:rPr>
      <w:rFonts w:cs="Times New Roman"/>
      <w:szCs w:val="24"/>
    </w:rPr>
  </w:style>
  <w:style w:type="paragraph" w:customStyle="1" w:styleId="naiskr">
    <w:name w:val="naiskr"/>
    <w:basedOn w:val="Normal"/>
    <w:rsid w:val="003E63BA"/>
    <w:pPr>
      <w:spacing w:before="100" w:beforeAutospacing="1" w:after="100" w:afterAutospacing="1" w:line="240" w:lineRule="auto"/>
    </w:pPr>
    <w:rPr>
      <w:rFonts w:eastAsia="Times New Roman" w:cs="Times New Roman"/>
      <w:szCs w:val="24"/>
      <w:lang w:eastAsia="lv-LV"/>
    </w:rPr>
  </w:style>
  <w:style w:type="paragraph" w:customStyle="1" w:styleId="Default">
    <w:name w:val="Default"/>
    <w:rsid w:val="00AB3096"/>
    <w:pPr>
      <w:autoSpaceDE w:val="0"/>
      <w:autoSpaceDN w:val="0"/>
      <w:adjustRightInd w:val="0"/>
      <w:spacing w:after="0" w:line="240" w:lineRule="auto"/>
    </w:pPr>
    <w:rPr>
      <w:rFonts w:ascii="EUAlbertina" w:hAnsi="EUAlbertina" w:cs="EUAlbertina"/>
      <w:color w:val="000000"/>
      <w:szCs w:val="24"/>
    </w:rPr>
  </w:style>
  <w:style w:type="paragraph" w:customStyle="1" w:styleId="CM1">
    <w:name w:val="CM1"/>
    <w:basedOn w:val="Default"/>
    <w:next w:val="Default"/>
    <w:uiPriority w:val="99"/>
    <w:rsid w:val="004953C6"/>
    <w:rPr>
      <w:rFonts w:ascii="Times New Roman" w:hAnsi="Times New Roman" w:cs="Times New Roman"/>
      <w:color w:val="auto"/>
    </w:rPr>
  </w:style>
  <w:style w:type="character" w:styleId="FollowedHyperlink">
    <w:name w:val="FollowedHyperlink"/>
    <w:basedOn w:val="DefaultParagraphFont"/>
    <w:uiPriority w:val="99"/>
    <w:semiHidden/>
    <w:unhideWhenUsed/>
    <w:rsid w:val="00C72F66"/>
    <w:rPr>
      <w:color w:val="800080" w:themeColor="followedHyperlink"/>
      <w:u w:val="single"/>
    </w:rPr>
  </w:style>
  <w:style w:type="paragraph" w:customStyle="1" w:styleId="CM3">
    <w:name w:val="CM3"/>
    <w:basedOn w:val="Default"/>
    <w:next w:val="Default"/>
    <w:uiPriority w:val="99"/>
    <w:rsid w:val="00C47C2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300">
      <w:bodyDiv w:val="1"/>
      <w:marLeft w:val="0"/>
      <w:marRight w:val="0"/>
      <w:marTop w:val="0"/>
      <w:marBottom w:val="0"/>
      <w:divBdr>
        <w:top w:val="none" w:sz="0" w:space="0" w:color="auto"/>
        <w:left w:val="none" w:sz="0" w:space="0" w:color="auto"/>
        <w:bottom w:val="none" w:sz="0" w:space="0" w:color="auto"/>
        <w:right w:val="none" w:sz="0" w:space="0" w:color="auto"/>
      </w:divBdr>
    </w:div>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146213580">
      <w:bodyDiv w:val="1"/>
      <w:marLeft w:val="0"/>
      <w:marRight w:val="0"/>
      <w:marTop w:val="0"/>
      <w:marBottom w:val="0"/>
      <w:divBdr>
        <w:top w:val="none" w:sz="0" w:space="0" w:color="auto"/>
        <w:left w:val="none" w:sz="0" w:space="0" w:color="auto"/>
        <w:bottom w:val="none" w:sz="0" w:space="0" w:color="auto"/>
        <w:right w:val="none" w:sz="0" w:space="0" w:color="auto"/>
      </w:divBdr>
    </w:div>
    <w:div w:id="221525625">
      <w:bodyDiv w:val="1"/>
      <w:marLeft w:val="0"/>
      <w:marRight w:val="0"/>
      <w:marTop w:val="0"/>
      <w:marBottom w:val="0"/>
      <w:divBdr>
        <w:top w:val="none" w:sz="0" w:space="0" w:color="auto"/>
        <w:left w:val="none" w:sz="0" w:space="0" w:color="auto"/>
        <w:bottom w:val="none" w:sz="0" w:space="0" w:color="auto"/>
        <w:right w:val="none" w:sz="0" w:space="0" w:color="auto"/>
      </w:divBdr>
    </w:div>
    <w:div w:id="559632104">
      <w:bodyDiv w:val="1"/>
      <w:marLeft w:val="0"/>
      <w:marRight w:val="0"/>
      <w:marTop w:val="0"/>
      <w:marBottom w:val="0"/>
      <w:divBdr>
        <w:top w:val="none" w:sz="0" w:space="0" w:color="auto"/>
        <w:left w:val="none" w:sz="0" w:space="0" w:color="auto"/>
        <w:bottom w:val="none" w:sz="0" w:space="0" w:color="auto"/>
        <w:right w:val="none" w:sz="0" w:space="0" w:color="auto"/>
      </w:divBdr>
    </w:div>
    <w:div w:id="742532280">
      <w:bodyDiv w:val="1"/>
      <w:marLeft w:val="0"/>
      <w:marRight w:val="0"/>
      <w:marTop w:val="0"/>
      <w:marBottom w:val="0"/>
      <w:divBdr>
        <w:top w:val="none" w:sz="0" w:space="0" w:color="auto"/>
        <w:left w:val="none" w:sz="0" w:space="0" w:color="auto"/>
        <w:bottom w:val="none" w:sz="0" w:space="0" w:color="auto"/>
        <w:right w:val="none" w:sz="0" w:space="0" w:color="auto"/>
      </w:divBdr>
    </w:div>
    <w:div w:id="940723003">
      <w:bodyDiv w:val="1"/>
      <w:marLeft w:val="0"/>
      <w:marRight w:val="0"/>
      <w:marTop w:val="0"/>
      <w:marBottom w:val="0"/>
      <w:divBdr>
        <w:top w:val="none" w:sz="0" w:space="0" w:color="auto"/>
        <w:left w:val="none" w:sz="0" w:space="0" w:color="auto"/>
        <w:bottom w:val="none" w:sz="0" w:space="0" w:color="auto"/>
        <w:right w:val="none" w:sz="0" w:space="0" w:color="auto"/>
      </w:divBdr>
    </w:div>
    <w:div w:id="1033731066">
      <w:bodyDiv w:val="1"/>
      <w:marLeft w:val="0"/>
      <w:marRight w:val="0"/>
      <w:marTop w:val="0"/>
      <w:marBottom w:val="0"/>
      <w:divBdr>
        <w:top w:val="none" w:sz="0" w:space="0" w:color="auto"/>
        <w:left w:val="none" w:sz="0" w:space="0" w:color="auto"/>
        <w:bottom w:val="none" w:sz="0" w:space="0" w:color="auto"/>
        <w:right w:val="none" w:sz="0" w:space="0" w:color="auto"/>
      </w:divBdr>
    </w:div>
    <w:div w:id="1438911573">
      <w:bodyDiv w:val="1"/>
      <w:marLeft w:val="0"/>
      <w:marRight w:val="0"/>
      <w:marTop w:val="0"/>
      <w:marBottom w:val="0"/>
      <w:divBdr>
        <w:top w:val="none" w:sz="0" w:space="0" w:color="auto"/>
        <w:left w:val="none" w:sz="0" w:space="0" w:color="auto"/>
        <w:bottom w:val="none" w:sz="0" w:space="0" w:color="auto"/>
        <w:right w:val="none" w:sz="0" w:space="0" w:color="auto"/>
      </w:divBdr>
    </w:div>
    <w:div w:id="1567301302">
      <w:bodyDiv w:val="1"/>
      <w:marLeft w:val="0"/>
      <w:marRight w:val="0"/>
      <w:marTop w:val="0"/>
      <w:marBottom w:val="0"/>
      <w:divBdr>
        <w:top w:val="none" w:sz="0" w:space="0" w:color="auto"/>
        <w:left w:val="none" w:sz="0" w:space="0" w:color="auto"/>
        <w:bottom w:val="none" w:sz="0" w:space="0" w:color="auto"/>
        <w:right w:val="none" w:sz="0" w:space="0" w:color="auto"/>
      </w:divBdr>
    </w:div>
    <w:div w:id="1650280986">
      <w:bodyDiv w:val="1"/>
      <w:marLeft w:val="0"/>
      <w:marRight w:val="0"/>
      <w:marTop w:val="0"/>
      <w:marBottom w:val="0"/>
      <w:divBdr>
        <w:top w:val="none" w:sz="0" w:space="0" w:color="auto"/>
        <w:left w:val="none" w:sz="0" w:space="0" w:color="auto"/>
        <w:bottom w:val="none" w:sz="0" w:space="0" w:color="auto"/>
        <w:right w:val="none" w:sz="0" w:space="0" w:color="auto"/>
      </w:divBdr>
    </w:div>
    <w:div w:id="1891576639">
      <w:bodyDiv w:val="1"/>
      <w:marLeft w:val="0"/>
      <w:marRight w:val="0"/>
      <w:marTop w:val="0"/>
      <w:marBottom w:val="0"/>
      <w:divBdr>
        <w:top w:val="none" w:sz="0" w:space="0" w:color="auto"/>
        <w:left w:val="none" w:sz="0" w:space="0" w:color="auto"/>
        <w:bottom w:val="none" w:sz="0" w:space="0" w:color="auto"/>
        <w:right w:val="none" w:sz="0" w:space="0" w:color="auto"/>
      </w:divBdr>
    </w:div>
    <w:div w:id="1933080861">
      <w:bodyDiv w:val="1"/>
      <w:marLeft w:val="0"/>
      <w:marRight w:val="0"/>
      <w:marTop w:val="0"/>
      <w:marBottom w:val="0"/>
      <w:divBdr>
        <w:top w:val="none" w:sz="0" w:space="0" w:color="auto"/>
        <w:left w:val="none" w:sz="0" w:space="0" w:color="auto"/>
        <w:bottom w:val="none" w:sz="0" w:space="0" w:color="auto"/>
        <w:right w:val="none" w:sz="0" w:space="0" w:color="auto"/>
      </w:divBdr>
    </w:div>
    <w:div w:id="20065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lv/ievesana-parstrade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4265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3B19-FE12-4EE8-9700-009356A3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11916</Words>
  <Characters>6793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Anotācija</vt:lpstr>
    </vt:vector>
  </TitlesOfParts>
  <Company>Valsts Ieņēmumu dienests</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Preču iznīcināšnas un atteikšanās no precēm par labu valstij piemērošanas kārtība</dc:subject>
  <dc:creator>Gundars Edžiņš</dc:creator>
  <dc:description>Gundars.Edzins@vid.gov.lv_x000d_
tel. 67120896</dc:description>
  <cp:lastModifiedBy>Irita Tomiņa</cp:lastModifiedBy>
  <cp:revision>7</cp:revision>
  <cp:lastPrinted>2017-08-09T11:57:00Z</cp:lastPrinted>
  <dcterms:created xsi:type="dcterms:W3CDTF">2017-08-09T09:26:00Z</dcterms:created>
  <dcterms:modified xsi:type="dcterms:W3CDTF">2017-08-11T11:24:00Z</dcterms:modified>
</cp:coreProperties>
</file>