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98" w:rsidRPr="00AD145A" w:rsidRDefault="002A3898" w:rsidP="002A3898">
      <w:pPr>
        <w:ind w:firstLine="0"/>
        <w:jc w:val="center"/>
        <w:rPr>
          <w:b/>
          <w:szCs w:val="32"/>
        </w:rPr>
      </w:pPr>
      <w:r w:rsidRPr="00AD145A">
        <w:rPr>
          <w:b/>
          <w:szCs w:val="32"/>
        </w:rPr>
        <w:t>Informatīvais ziņojums</w:t>
      </w:r>
    </w:p>
    <w:p w:rsidR="002A3898" w:rsidRPr="00AD145A" w:rsidRDefault="002A3898" w:rsidP="002A3898">
      <w:pPr>
        <w:ind w:firstLine="0"/>
        <w:jc w:val="center"/>
        <w:rPr>
          <w:b/>
          <w:szCs w:val="32"/>
        </w:rPr>
      </w:pPr>
      <w:r w:rsidRPr="00AD145A">
        <w:rPr>
          <w:b/>
          <w:szCs w:val="32"/>
        </w:rPr>
        <w:t>„</w:t>
      </w:r>
      <w:r w:rsidR="00326F8C" w:rsidRPr="00AD145A">
        <w:rPr>
          <w:b/>
          <w:szCs w:val="32"/>
        </w:rPr>
        <w:t>Par fiskālās telpas 2018.-2020.gadam noteikšanu un par citiem ar valsts budžeta likumprojektu saistītiem jautājumiem</w:t>
      </w:r>
      <w:r w:rsidRPr="00AD145A">
        <w:rPr>
          <w:b/>
          <w:szCs w:val="32"/>
        </w:rPr>
        <w:t>”</w:t>
      </w:r>
    </w:p>
    <w:p w:rsidR="00F34E6D" w:rsidRPr="00AD145A" w:rsidRDefault="00F34E6D">
      <w:pPr>
        <w:rPr>
          <w:sz w:val="24"/>
        </w:rPr>
      </w:pPr>
    </w:p>
    <w:p w:rsidR="00287B27" w:rsidRDefault="00287B27" w:rsidP="00287B27">
      <w:pPr>
        <w:pStyle w:val="teksts"/>
        <w:spacing w:after="120"/>
        <w:ind w:firstLine="601"/>
        <w:rPr>
          <w:rFonts w:ascii="Times New Roman" w:hAnsi="Times New Roman"/>
          <w:szCs w:val="28"/>
        </w:rPr>
      </w:pPr>
      <w:r w:rsidRPr="00C0243D">
        <w:rPr>
          <w:rFonts w:ascii="Times New Roman" w:hAnsi="Times New Roman"/>
          <w:szCs w:val="28"/>
        </w:rPr>
        <w:t>Informatīvais ziņojums</w:t>
      </w:r>
      <w:r>
        <w:rPr>
          <w:rFonts w:ascii="Times New Roman" w:hAnsi="Times New Roman"/>
          <w:szCs w:val="28"/>
        </w:rPr>
        <w:t xml:space="preserve"> </w:t>
      </w:r>
      <w:r w:rsidRPr="00C0243D">
        <w:rPr>
          <w:rFonts w:ascii="Times New Roman" w:hAnsi="Times New Roman"/>
          <w:szCs w:val="28"/>
        </w:rPr>
        <w:t xml:space="preserve">par </w:t>
      </w:r>
      <w:r w:rsidRPr="00287B27">
        <w:rPr>
          <w:rFonts w:ascii="Times New Roman" w:hAnsi="Times New Roman"/>
          <w:szCs w:val="28"/>
        </w:rPr>
        <w:t>jautājumiem saistībā ar fiskālās telpas 2018.-2020.gadam noteikšanu</w:t>
      </w:r>
      <w:r>
        <w:rPr>
          <w:rFonts w:ascii="Times New Roman" w:hAnsi="Times New Roman"/>
          <w:szCs w:val="28"/>
        </w:rPr>
        <w:t xml:space="preserve"> </w:t>
      </w:r>
      <w:r w:rsidR="00326F8C" w:rsidRPr="00326F8C">
        <w:rPr>
          <w:rFonts w:ascii="Times New Roman" w:hAnsi="Times New Roman"/>
          <w:szCs w:val="28"/>
        </w:rPr>
        <w:t xml:space="preserve">un par citiem ar valsts budžeta likumprojektu saistītiem jautājumiem </w:t>
      </w:r>
      <w:r>
        <w:rPr>
          <w:rFonts w:ascii="Times New Roman" w:hAnsi="Times New Roman"/>
          <w:szCs w:val="28"/>
        </w:rPr>
        <w:t xml:space="preserve">ir sagatavots saskaņā ar Ministru kabineta 2017.gada 22.augustā nolemto par pasākumiem </w:t>
      </w:r>
      <w:r w:rsidRPr="00287B27">
        <w:rPr>
          <w:rFonts w:ascii="Times New Roman" w:hAnsi="Times New Roman"/>
          <w:szCs w:val="28"/>
        </w:rPr>
        <w:t>fiskālās telpas palielināšanai</w:t>
      </w:r>
      <w:r>
        <w:rPr>
          <w:rFonts w:ascii="Times New Roman" w:hAnsi="Times New Roman"/>
          <w:szCs w:val="28"/>
        </w:rPr>
        <w:t xml:space="preserve"> un uzdevumu ministrijām iesniegt priekšlikumus, kas palielinās fiskālo telpu. Ņemot vērā minēto ir nepieciešams noteikt ar Ministru kabineta lēmumu fiskālo telpu, ņemot vērā š.g. 22.augusta un 29.augusta lēmumus.</w:t>
      </w:r>
    </w:p>
    <w:p w:rsidR="00D868EF" w:rsidRDefault="00107F10" w:rsidP="00107F10">
      <w:pPr>
        <w:rPr>
          <w:sz w:val="24"/>
          <w:szCs w:val="28"/>
        </w:rPr>
      </w:pPr>
      <w:r>
        <w:rPr>
          <w:sz w:val="24"/>
          <w:szCs w:val="28"/>
        </w:rPr>
        <w:t>Ministru kabineta š</w:t>
      </w:r>
      <w:r w:rsidRPr="00107F10">
        <w:rPr>
          <w:sz w:val="24"/>
          <w:szCs w:val="28"/>
        </w:rPr>
        <w:t>.g. 22.augusta</w:t>
      </w:r>
      <w:r>
        <w:rPr>
          <w:sz w:val="24"/>
          <w:szCs w:val="28"/>
        </w:rPr>
        <w:t xml:space="preserve"> sēdē tika pieņemts zināšanai indikatīvās fiskālās telpas </w:t>
      </w:r>
      <w:r w:rsidRPr="00107F10">
        <w:rPr>
          <w:sz w:val="24"/>
          <w:szCs w:val="28"/>
        </w:rPr>
        <w:t>apjom</w:t>
      </w:r>
      <w:r>
        <w:rPr>
          <w:sz w:val="24"/>
          <w:szCs w:val="28"/>
        </w:rPr>
        <w:t>s</w:t>
      </w:r>
      <w:r w:rsidRPr="00107F10">
        <w:rPr>
          <w:sz w:val="24"/>
          <w:szCs w:val="28"/>
        </w:rPr>
        <w:t xml:space="preserve"> vispārējās valdības budžetā 2018.gadā 63,2 milj.</w:t>
      </w:r>
      <w:r>
        <w:rPr>
          <w:sz w:val="24"/>
          <w:szCs w:val="28"/>
        </w:rPr>
        <w:t> </w:t>
      </w:r>
      <w:r>
        <w:rPr>
          <w:i/>
          <w:sz w:val="24"/>
          <w:szCs w:val="28"/>
        </w:rPr>
        <w:t xml:space="preserve">euro </w:t>
      </w:r>
      <w:r w:rsidRPr="00107F10">
        <w:rPr>
          <w:sz w:val="24"/>
          <w:szCs w:val="28"/>
        </w:rPr>
        <w:t>apmērā, 2019.gadā -42,0 milj.</w:t>
      </w:r>
      <w:r>
        <w:rPr>
          <w:sz w:val="24"/>
          <w:szCs w:val="28"/>
        </w:rPr>
        <w:t> </w:t>
      </w:r>
      <w:r>
        <w:rPr>
          <w:i/>
          <w:sz w:val="24"/>
          <w:szCs w:val="28"/>
        </w:rPr>
        <w:t xml:space="preserve">euro </w:t>
      </w:r>
      <w:r w:rsidRPr="00107F10">
        <w:rPr>
          <w:sz w:val="24"/>
          <w:szCs w:val="28"/>
        </w:rPr>
        <w:t>apmērā un 2020.gadā 107,3 milj.</w:t>
      </w:r>
      <w:r>
        <w:rPr>
          <w:sz w:val="24"/>
          <w:szCs w:val="28"/>
        </w:rPr>
        <w:t> </w:t>
      </w:r>
      <w:r>
        <w:rPr>
          <w:i/>
          <w:sz w:val="24"/>
          <w:szCs w:val="28"/>
        </w:rPr>
        <w:t xml:space="preserve">euro </w:t>
      </w:r>
      <w:r w:rsidRPr="00107F10">
        <w:rPr>
          <w:sz w:val="24"/>
          <w:szCs w:val="28"/>
        </w:rPr>
        <w:t>apmērā</w:t>
      </w:r>
      <w:r>
        <w:rPr>
          <w:sz w:val="24"/>
          <w:szCs w:val="28"/>
        </w:rPr>
        <w:t>, kā arī tika pieņemti lēmu</w:t>
      </w:r>
      <w:r w:rsidR="0028039E">
        <w:rPr>
          <w:sz w:val="24"/>
          <w:szCs w:val="28"/>
        </w:rPr>
        <w:t>mi par pasākumiem, kas palielināja</w:t>
      </w:r>
      <w:r>
        <w:rPr>
          <w:sz w:val="24"/>
          <w:szCs w:val="28"/>
        </w:rPr>
        <w:t xml:space="preserve"> fiskālo telpu</w:t>
      </w:r>
      <w:r w:rsidR="00D868EF" w:rsidRPr="00D868EF">
        <w:rPr>
          <w:sz w:val="24"/>
          <w:szCs w:val="28"/>
        </w:rPr>
        <w:t xml:space="preserve"> </w:t>
      </w:r>
      <w:r w:rsidR="00D868EF">
        <w:rPr>
          <w:sz w:val="24"/>
          <w:szCs w:val="28"/>
        </w:rPr>
        <w:t>(skatīt 1.tabulu).</w:t>
      </w:r>
    </w:p>
    <w:p w:rsidR="00107F10" w:rsidRPr="00107F10" w:rsidRDefault="00D868EF" w:rsidP="005A5EE5">
      <w:pPr>
        <w:rPr>
          <w:sz w:val="24"/>
          <w:szCs w:val="28"/>
        </w:rPr>
      </w:pPr>
      <w:r>
        <w:rPr>
          <w:sz w:val="24"/>
          <w:szCs w:val="28"/>
        </w:rPr>
        <w:t>Finanšu ministrija</w:t>
      </w:r>
      <w:r w:rsidR="00777B7A">
        <w:rPr>
          <w:sz w:val="24"/>
          <w:szCs w:val="28"/>
        </w:rPr>
        <w:t>,</w:t>
      </w:r>
      <w:r>
        <w:rPr>
          <w:sz w:val="24"/>
          <w:szCs w:val="28"/>
        </w:rPr>
        <w:t xml:space="preserve"> ņemot vērā MK </w:t>
      </w:r>
      <w:r w:rsidR="005A5EE5">
        <w:rPr>
          <w:sz w:val="24"/>
          <w:szCs w:val="28"/>
        </w:rPr>
        <w:t xml:space="preserve">šā gada </w:t>
      </w:r>
      <w:r>
        <w:rPr>
          <w:sz w:val="24"/>
          <w:szCs w:val="28"/>
        </w:rPr>
        <w:t>22.augusta lēmumus un veicot tehniskus precizējumus</w:t>
      </w:r>
      <w:r w:rsidR="00777B7A">
        <w:rPr>
          <w:sz w:val="24"/>
          <w:szCs w:val="28"/>
        </w:rPr>
        <w:t xml:space="preserve">, </w:t>
      </w:r>
      <w:r w:rsidR="005A5EE5">
        <w:rPr>
          <w:sz w:val="24"/>
          <w:szCs w:val="28"/>
        </w:rPr>
        <w:t xml:space="preserve">ir precizējusi fiskālo telpu: </w:t>
      </w:r>
      <w:r w:rsidRPr="0028039E">
        <w:rPr>
          <w:sz w:val="24"/>
          <w:szCs w:val="28"/>
        </w:rPr>
        <w:t xml:space="preserve">2018.gadā </w:t>
      </w:r>
      <w:r w:rsidR="00A74B6C">
        <w:rPr>
          <w:sz w:val="24"/>
          <w:szCs w:val="28"/>
        </w:rPr>
        <w:t>80,8</w:t>
      </w:r>
      <w:r w:rsidRPr="0028039E">
        <w:rPr>
          <w:sz w:val="24"/>
          <w:szCs w:val="28"/>
        </w:rPr>
        <w:t xml:space="preserve"> milj. </w:t>
      </w:r>
      <w:r w:rsidRPr="0028039E">
        <w:rPr>
          <w:i/>
          <w:sz w:val="24"/>
          <w:szCs w:val="28"/>
        </w:rPr>
        <w:t>euro</w:t>
      </w:r>
      <w:r w:rsidRPr="0028039E">
        <w:rPr>
          <w:sz w:val="24"/>
          <w:szCs w:val="28"/>
        </w:rPr>
        <w:t xml:space="preserve"> apmērā, 2019.gadā </w:t>
      </w:r>
      <w:r w:rsidR="00A74B6C">
        <w:rPr>
          <w:sz w:val="24"/>
          <w:szCs w:val="28"/>
        </w:rPr>
        <w:t>33,3</w:t>
      </w:r>
      <w:r w:rsidR="005A5EE5">
        <w:rPr>
          <w:sz w:val="24"/>
          <w:szCs w:val="28"/>
        </w:rPr>
        <w:t xml:space="preserve"> </w:t>
      </w:r>
      <w:r w:rsidRPr="0028039E">
        <w:rPr>
          <w:sz w:val="24"/>
          <w:szCs w:val="28"/>
        </w:rPr>
        <w:t xml:space="preserve">milj. </w:t>
      </w:r>
      <w:r w:rsidRPr="0028039E">
        <w:rPr>
          <w:i/>
          <w:sz w:val="24"/>
          <w:szCs w:val="28"/>
        </w:rPr>
        <w:t>euro</w:t>
      </w:r>
      <w:r w:rsidRPr="0028039E">
        <w:rPr>
          <w:sz w:val="24"/>
          <w:szCs w:val="28"/>
        </w:rPr>
        <w:t xml:space="preserve"> apmērā un 2020.gadā </w:t>
      </w:r>
      <w:r w:rsidR="00A74B6C">
        <w:rPr>
          <w:sz w:val="24"/>
          <w:szCs w:val="28"/>
        </w:rPr>
        <w:t>162,2</w:t>
      </w:r>
      <w:r w:rsidRPr="0028039E">
        <w:rPr>
          <w:sz w:val="24"/>
          <w:szCs w:val="28"/>
        </w:rPr>
        <w:t xml:space="preserve"> milj. </w:t>
      </w:r>
      <w:r w:rsidRPr="0028039E">
        <w:rPr>
          <w:i/>
          <w:sz w:val="24"/>
          <w:szCs w:val="28"/>
        </w:rPr>
        <w:t>euro</w:t>
      </w:r>
      <w:r w:rsidRPr="0028039E">
        <w:rPr>
          <w:sz w:val="24"/>
          <w:szCs w:val="28"/>
        </w:rPr>
        <w:t xml:space="preserve"> apmērā</w:t>
      </w:r>
      <w:r w:rsidR="005A5EE5">
        <w:rPr>
          <w:sz w:val="24"/>
          <w:szCs w:val="28"/>
        </w:rPr>
        <w:t>.</w:t>
      </w:r>
    </w:p>
    <w:p w:rsidR="00A74B6C" w:rsidRDefault="00287B27" w:rsidP="00A74B6C">
      <w:pPr>
        <w:spacing w:before="0" w:after="0"/>
        <w:jc w:val="right"/>
        <w:rPr>
          <w:b/>
          <w:i/>
          <w:color w:val="000000" w:themeColor="text1"/>
          <w:sz w:val="24"/>
          <w:szCs w:val="28"/>
        </w:rPr>
      </w:pPr>
      <w:r w:rsidRPr="00A74B6C">
        <w:rPr>
          <w:b/>
          <w:i/>
          <w:color w:val="000000" w:themeColor="text1"/>
          <w:sz w:val="24"/>
          <w:szCs w:val="28"/>
        </w:rPr>
        <w:t>1.</w:t>
      </w:r>
      <w:r w:rsidR="00AD145A" w:rsidRPr="00A74B6C">
        <w:rPr>
          <w:b/>
          <w:i/>
          <w:color w:val="000000" w:themeColor="text1"/>
          <w:sz w:val="24"/>
          <w:szCs w:val="28"/>
        </w:rPr>
        <w:t>tabula</w:t>
      </w:r>
      <w:r w:rsidRPr="00A74B6C">
        <w:rPr>
          <w:b/>
          <w:i/>
          <w:color w:val="000000" w:themeColor="text1"/>
          <w:sz w:val="24"/>
          <w:szCs w:val="28"/>
        </w:rPr>
        <w:t xml:space="preserve"> </w:t>
      </w:r>
      <w:r w:rsidR="00A74B6C" w:rsidRPr="00A74B6C">
        <w:rPr>
          <w:b/>
          <w:i/>
          <w:color w:val="000000" w:themeColor="text1"/>
          <w:sz w:val="24"/>
          <w:szCs w:val="28"/>
        </w:rPr>
        <w:t>Fiskālā telpa pēc M</w:t>
      </w:r>
      <w:r w:rsidR="00A74B6C">
        <w:rPr>
          <w:b/>
          <w:i/>
          <w:color w:val="000000" w:themeColor="text1"/>
          <w:sz w:val="24"/>
          <w:szCs w:val="28"/>
        </w:rPr>
        <w:t>K lēmumiem š.g. 22.augusta sēdē</w:t>
      </w:r>
    </w:p>
    <w:p w:rsidR="00287B27" w:rsidRPr="00A74B6C" w:rsidRDefault="00A74B6C" w:rsidP="00A74B6C">
      <w:pPr>
        <w:spacing w:before="0" w:after="0"/>
        <w:jc w:val="right"/>
        <w:rPr>
          <w:b/>
          <w:i/>
          <w:color w:val="000000" w:themeColor="text1"/>
          <w:sz w:val="24"/>
          <w:szCs w:val="28"/>
        </w:rPr>
      </w:pPr>
      <w:r w:rsidRPr="00A74B6C">
        <w:rPr>
          <w:b/>
          <w:i/>
          <w:color w:val="000000" w:themeColor="text1"/>
          <w:sz w:val="24"/>
          <w:szCs w:val="28"/>
        </w:rPr>
        <w:t>un citiem pasākumiem</w:t>
      </w:r>
    </w:p>
    <w:tbl>
      <w:tblPr>
        <w:tblStyle w:val="ListTable4-Accent1"/>
        <w:tblW w:w="8500" w:type="dxa"/>
        <w:jc w:val="center"/>
        <w:tblLook w:val="04A0" w:firstRow="1" w:lastRow="0" w:firstColumn="1" w:lastColumn="0" w:noHBand="0" w:noVBand="1"/>
      </w:tblPr>
      <w:tblGrid>
        <w:gridCol w:w="4807"/>
        <w:gridCol w:w="1263"/>
        <w:gridCol w:w="294"/>
        <w:gridCol w:w="998"/>
        <w:gridCol w:w="1138"/>
      </w:tblGrid>
      <w:tr w:rsidR="005A5EE5" w:rsidRPr="005A5EE5" w:rsidTr="00A74B6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sz w:val="20"/>
                <w:szCs w:val="24"/>
                <w:lang w:eastAsia="lv-LV"/>
              </w:rPr>
            </w:pPr>
          </w:p>
        </w:tc>
        <w:tc>
          <w:tcPr>
            <w:tcW w:w="1557" w:type="dxa"/>
            <w:gridSpan w:val="2"/>
            <w:vAlign w:val="center"/>
            <w:hideMark/>
          </w:tcPr>
          <w:p w:rsidR="005A5EE5" w:rsidRPr="005A5EE5" w:rsidRDefault="005A5EE5" w:rsidP="00A74B6C">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2018</w:t>
            </w:r>
          </w:p>
        </w:tc>
        <w:tc>
          <w:tcPr>
            <w:tcW w:w="998" w:type="dxa"/>
            <w:vAlign w:val="center"/>
            <w:hideMark/>
          </w:tcPr>
          <w:p w:rsidR="005A5EE5" w:rsidRPr="005A5EE5" w:rsidRDefault="005A5EE5" w:rsidP="00A74B6C">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2019</w:t>
            </w:r>
          </w:p>
        </w:tc>
        <w:tc>
          <w:tcPr>
            <w:tcW w:w="1138" w:type="dxa"/>
            <w:vAlign w:val="center"/>
            <w:hideMark/>
          </w:tcPr>
          <w:p w:rsidR="005A5EE5" w:rsidRPr="005A5EE5" w:rsidRDefault="005A5EE5" w:rsidP="00A74B6C">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2020</w:t>
            </w:r>
          </w:p>
        </w:tc>
      </w:tr>
      <w:tr w:rsidR="005A5EE5" w:rsidRPr="005A5EE5" w:rsidTr="00A74B6C">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jc w:val="left"/>
              <w:rPr>
                <w:rFonts w:eastAsia="Times New Roman" w:cs="Times New Roman"/>
                <w:color w:val="000000"/>
                <w:sz w:val="20"/>
                <w:lang w:eastAsia="lv-LV"/>
              </w:rPr>
            </w:pPr>
            <w:r>
              <w:rPr>
                <w:rFonts w:eastAsia="Times New Roman" w:cs="Times New Roman"/>
                <w:color w:val="000000"/>
                <w:sz w:val="20"/>
                <w:lang w:eastAsia="lv-LV"/>
              </w:rPr>
              <w:t>Indikatīvā f</w:t>
            </w:r>
            <w:r w:rsidRPr="005A5EE5">
              <w:rPr>
                <w:rFonts w:eastAsia="Times New Roman" w:cs="Times New Roman"/>
                <w:color w:val="000000"/>
                <w:sz w:val="20"/>
                <w:lang w:eastAsia="lv-LV"/>
              </w:rPr>
              <w:t>iskālā telpa</w:t>
            </w:r>
          </w:p>
        </w:tc>
        <w:tc>
          <w:tcPr>
            <w:tcW w:w="1557" w:type="dxa"/>
            <w:gridSpan w:val="2"/>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lang w:eastAsia="lv-LV"/>
              </w:rPr>
            </w:pPr>
            <w:r w:rsidRPr="005A5EE5">
              <w:rPr>
                <w:rFonts w:eastAsia="Times New Roman" w:cs="Times New Roman"/>
                <w:b/>
                <w:bCs/>
                <w:color w:val="000000"/>
                <w:sz w:val="20"/>
                <w:lang w:eastAsia="lv-LV"/>
              </w:rPr>
              <w:t>63,2</w:t>
            </w:r>
          </w:p>
        </w:tc>
        <w:tc>
          <w:tcPr>
            <w:tcW w:w="998" w:type="dxa"/>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lang w:eastAsia="lv-LV"/>
              </w:rPr>
            </w:pPr>
            <w:r w:rsidRPr="005A5EE5">
              <w:rPr>
                <w:rFonts w:eastAsia="Times New Roman" w:cs="Times New Roman"/>
                <w:b/>
                <w:bCs/>
                <w:color w:val="000000"/>
                <w:sz w:val="20"/>
                <w:lang w:eastAsia="lv-LV"/>
              </w:rPr>
              <w:t>-42</w:t>
            </w:r>
            <w:r w:rsidR="00A77D01">
              <w:rPr>
                <w:rFonts w:eastAsia="Times New Roman" w:cs="Times New Roman"/>
                <w:b/>
                <w:bCs/>
                <w:color w:val="000000"/>
                <w:sz w:val="20"/>
                <w:lang w:eastAsia="lv-LV"/>
              </w:rPr>
              <w:t>,0</w:t>
            </w:r>
          </w:p>
        </w:tc>
        <w:tc>
          <w:tcPr>
            <w:tcW w:w="1138" w:type="dxa"/>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lang w:eastAsia="lv-LV"/>
              </w:rPr>
            </w:pPr>
            <w:r w:rsidRPr="005A5EE5">
              <w:rPr>
                <w:rFonts w:eastAsia="Times New Roman" w:cs="Times New Roman"/>
                <w:b/>
                <w:bCs/>
                <w:color w:val="000000"/>
                <w:sz w:val="20"/>
                <w:lang w:eastAsia="lv-LV"/>
              </w:rPr>
              <w:t>107,3</w:t>
            </w:r>
          </w:p>
        </w:tc>
      </w:tr>
      <w:tr w:rsidR="00C01B0C" w:rsidRPr="005A5EE5" w:rsidTr="00A74B6C">
        <w:trPr>
          <w:trHeight w:val="87"/>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1. Fiskālā nodrošinājuma rezerves atcelšana</w:t>
            </w:r>
          </w:p>
        </w:tc>
        <w:tc>
          <w:tcPr>
            <w:tcW w:w="1557" w:type="dxa"/>
            <w:gridSpan w:val="2"/>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p>
        </w:tc>
        <w:tc>
          <w:tcPr>
            <w:tcW w:w="998" w:type="dxa"/>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30</w:t>
            </w:r>
            <w:r w:rsidR="00A77D01">
              <w:rPr>
                <w:rFonts w:eastAsia="Times New Roman" w:cs="Times New Roman"/>
                <w:color w:val="000000"/>
                <w:sz w:val="20"/>
                <w:lang w:eastAsia="lv-LV"/>
              </w:rPr>
              <w:t>,0</w:t>
            </w:r>
          </w:p>
        </w:tc>
        <w:tc>
          <w:tcPr>
            <w:tcW w:w="1138" w:type="dxa"/>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p>
        </w:tc>
      </w:tr>
      <w:tr w:rsidR="00D0434F" w:rsidRPr="005A5EE5" w:rsidTr="00A74B6C">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D0434F" w:rsidRPr="005A5EE5" w:rsidRDefault="00D0434F"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2. Latvijas Bankas peļņas prognozes saglabāšana iepriekšējā gada līmenī</w:t>
            </w:r>
          </w:p>
        </w:tc>
        <w:tc>
          <w:tcPr>
            <w:tcW w:w="1263" w:type="dxa"/>
            <w:vAlign w:val="center"/>
            <w:hideMark/>
          </w:tcPr>
          <w:p w:rsidR="00D0434F" w:rsidRPr="005A5EE5" w:rsidRDefault="00A74B6C"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sz w:val="20"/>
                <w:szCs w:val="20"/>
                <w:lang w:eastAsia="lv-LV"/>
              </w:rPr>
              <w:t xml:space="preserve">      </w:t>
            </w:r>
            <w:r w:rsidR="00D0434F">
              <w:rPr>
                <w:rFonts w:eastAsia="Times New Roman" w:cs="Times New Roman"/>
                <w:sz w:val="20"/>
                <w:szCs w:val="20"/>
                <w:lang w:eastAsia="lv-LV"/>
              </w:rPr>
              <w:t>7,6</w:t>
            </w:r>
          </w:p>
        </w:tc>
        <w:tc>
          <w:tcPr>
            <w:tcW w:w="1292" w:type="dxa"/>
            <w:gridSpan w:val="2"/>
            <w:vAlign w:val="center"/>
          </w:tcPr>
          <w:p w:rsidR="00D0434F" w:rsidRPr="005A5EE5" w:rsidRDefault="00A74B6C"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sz w:val="20"/>
                <w:szCs w:val="20"/>
                <w:lang w:eastAsia="lv-LV"/>
              </w:rPr>
              <w:t xml:space="preserve">      </w:t>
            </w:r>
            <w:r w:rsidR="00D0434F">
              <w:rPr>
                <w:rFonts w:eastAsia="Times New Roman" w:cs="Times New Roman"/>
                <w:sz w:val="20"/>
                <w:szCs w:val="20"/>
                <w:lang w:eastAsia="lv-LV"/>
              </w:rPr>
              <w:t>7,6</w:t>
            </w:r>
          </w:p>
        </w:tc>
        <w:tc>
          <w:tcPr>
            <w:tcW w:w="1138" w:type="dxa"/>
            <w:vAlign w:val="center"/>
          </w:tcPr>
          <w:p w:rsidR="00D0434F" w:rsidRPr="005A5EE5" w:rsidRDefault="00D0434F"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sz w:val="20"/>
                <w:szCs w:val="20"/>
                <w:lang w:eastAsia="lv-LV"/>
              </w:rPr>
              <w:t>7,6</w:t>
            </w:r>
          </w:p>
        </w:tc>
      </w:tr>
      <w:tr w:rsidR="00C01B0C" w:rsidRPr="00D0434F" w:rsidTr="00A74B6C">
        <w:trPr>
          <w:trHeight w:val="335"/>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3. Valsts kapitālsabiedrību dividendes 2019.gadā no 70% uz 85%, t.sk.:</w:t>
            </w:r>
          </w:p>
        </w:tc>
        <w:tc>
          <w:tcPr>
            <w:tcW w:w="1557" w:type="dxa"/>
            <w:gridSpan w:val="2"/>
            <w:vAlign w:val="center"/>
            <w:hideMark/>
          </w:tcPr>
          <w:p w:rsidR="005A5EE5" w:rsidRPr="00D0434F"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lv-LV"/>
              </w:rPr>
            </w:pPr>
          </w:p>
        </w:tc>
        <w:tc>
          <w:tcPr>
            <w:tcW w:w="998" w:type="dxa"/>
            <w:vAlign w:val="center"/>
            <w:hideMark/>
          </w:tcPr>
          <w:p w:rsidR="005A5EE5" w:rsidRPr="001B099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1B0995">
              <w:rPr>
                <w:rFonts w:eastAsia="Times New Roman" w:cs="Times New Roman"/>
                <w:color w:val="000000"/>
                <w:sz w:val="20"/>
                <w:lang w:eastAsia="lv-LV"/>
              </w:rPr>
              <w:t>2,3</w:t>
            </w:r>
          </w:p>
        </w:tc>
        <w:tc>
          <w:tcPr>
            <w:tcW w:w="1138" w:type="dxa"/>
            <w:vAlign w:val="center"/>
            <w:hideMark/>
          </w:tcPr>
          <w:p w:rsidR="005A5EE5" w:rsidRPr="00D0434F"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lv-LV"/>
              </w:rPr>
            </w:pPr>
          </w:p>
        </w:tc>
      </w:tr>
      <w:tr w:rsidR="005A5EE5" w:rsidRPr="00D0434F" w:rsidTr="00A74B6C">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D0434F" w:rsidRDefault="005A5EE5" w:rsidP="00A74B6C">
            <w:pPr>
              <w:spacing w:before="0" w:after="0"/>
              <w:ind w:left="313" w:firstLine="0"/>
              <w:rPr>
                <w:rFonts w:eastAsia="Times New Roman" w:cs="Times New Roman"/>
                <w:b w:val="0"/>
                <w:i/>
                <w:color w:val="000000"/>
                <w:sz w:val="20"/>
                <w:lang w:eastAsia="lv-LV"/>
              </w:rPr>
            </w:pPr>
            <w:r w:rsidRPr="00D0434F">
              <w:rPr>
                <w:rFonts w:eastAsia="Times New Roman" w:cs="Times New Roman"/>
                <w:b w:val="0"/>
                <w:i/>
                <w:color w:val="000000"/>
                <w:sz w:val="20"/>
                <w:lang w:eastAsia="lv-LV"/>
              </w:rPr>
              <w:t>UIN</w:t>
            </w:r>
          </w:p>
        </w:tc>
        <w:tc>
          <w:tcPr>
            <w:tcW w:w="1557" w:type="dxa"/>
            <w:gridSpan w:val="2"/>
            <w:vAlign w:val="center"/>
            <w:hideMark/>
          </w:tcPr>
          <w:p w:rsidR="005A5EE5" w:rsidRPr="00D0434F" w:rsidRDefault="005A5EE5" w:rsidP="00A74B6C">
            <w:pPr>
              <w:spacing w:before="0" w:after="0"/>
              <w:ind w:firstLineChars="200" w:firstLine="4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lang w:eastAsia="lv-LV"/>
              </w:rPr>
            </w:pPr>
          </w:p>
        </w:tc>
        <w:tc>
          <w:tcPr>
            <w:tcW w:w="998" w:type="dxa"/>
            <w:vAlign w:val="center"/>
            <w:hideMark/>
          </w:tcPr>
          <w:p w:rsidR="005A5EE5" w:rsidRPr="00D0434F"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lang w:eastAsia="lv-LV"/>
              </w:rPr>
            </w:pPr>
            <w:r w:rsidRPr="00D0434F">
              <w:rPr>
                <w:rFonts w:eastAsia="Times New Roman" w:cs="Times New Roman"/>
                <w:i/>
                <w:color w:val="000000" w:themeColor="text1"/>
                <w:sz w:val="20"/>
                <w:lang w:eastAsia="lv-LV"/>
              </w:rPr>
              <w:t>0,5</w:t>
            </w:r>
          </w:p>
        </w:tc>
        <w:tc>
          <w:tcPr>
            <w:tcW w:w="1138" w:type="dxa"/>
            <w:vAlign w:val="center"/>
            <w:hideMark/>
          </w:tcPr>
          <w:p w:rsidR="005A5EE5" w:rsidRPr="00D0434F"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lang w:eastAsia="lv-LV"/>
              </w:rPr>
            </w:pPr>
          </w:p>
        </w:tc>
      </w:tr>
      <w:tr w:rsidR="00C01B0C" w:rsidRPr="00D0434F" w:rsidTr="00A74B6C">
        <w:trPr>
          <w:trHeight w:val="205"/>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D0434F" w:rsidRDefault="005A5EE5" w:rsidP="00A74B6C">
            <w:pPr>
              <w:spacing w:before="0" w:after="0"/>
              <w:ind w:left="313" w:firstLine="0"/>
              <w:rPr>
                <w:rFonts w:eastAsia="Times New Roman" w:cs="Times New Roman"/>
                <w:b w:val="0"/>
                <w:i/>
                <w:color w:val="000000"/>
                <w:sz w:val="20"/>
                <w:lang w:eastAsia="lv-LV"/>
              </w:rPr>
            </w:pPr>
            <w:r w:rsidRPr="00D0434F">
              <w:rPr>
                <w:rFonts w:eastAsia="Times New Roman" w:cs="Times New Roman"/>
                <w:b w:val="0"/>
                <w:i/>
                <w:color w:val="000000"/>
                <w:sz w:val="20"/>
                <w:lang w:eastAsia="lv-LV"/>
              </w:rPr>
              <w:t>dividendes</w:t>
            </w:r>
          </w:p>
        </w:tc>
        <w:tc>
          <w:tcPr>
            <w:tcW w:w="1557" w:type="dxa"/>
            <w:gridSpan w:val="2"/>
            <w:vAlign w:val="center"/>
            <w:hideMark/>
          </w:tcPr>
          <w:p w:rsidR="005A5EE5" w:rsidRPr="00D0434F" w:rsidRDefault="005A5EE5" w:rsidP="00A74B6C">
            <w:pPr>
              <w:spacing w:before="0" w:after="0"/>
              <w:ind w:firstLineChars="200" w:firstLine="40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lang w:eastAsia="lv-LV"/>
              </w:rPr>
            </w:pPr>
          </w:p>
        </w:tc>
        <w:tc>
          <w:tcPr>
            <w:tcW w:w="998" w:type="dxa"/>
            <w:vAlign w:val="center"/>
            <w:hideMark/>
          </w:tcPr>
          <w:p w:rsidR="005A5EE5" w:rsidRPr="00D0434F"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lang w:eastAsia="lv-LV"/>
              </w:rPr>
            </w:pPr>
            <w:r w:rsidRPr="00D0434F">
              <w:rPr>
                <w:rFonts w:eastAsia="Times New Roman" w:cs="Times New Roman"/>
                <w:i/>
                <w:color w:val="000000" w:themeColor="text1"/>
                <w:sz w:val="20"/>
                <w:lang w:eastAsia="lv-LV"/>
              </w:rPr>
              <w:t>1,8</w:t>
            </w:r>
          </w:p>
        </w:tc>
        <w:tc>
          <w:tcPr>
            <w:tcW w:w="1138" w:type="dxa"/>
            <w:vAlign w:val="center"/>
            <w:hideMark/>
          </w:tcPr>
          <w:p w:rsidR="005A5EE5" w:rsidRPr="00D0434F"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lang w:eastAsia="lv-LV"/>
              </w:rPr>
            </w:pPr>
          </w:p>
        </w:tc>
      </w:tr>
      <w:tr w:rsidR="00D0434F" w:rsidRPr="005A5EE5" w:rsidTr="00A74B6C">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D0434F" w:rsidRPr="005A5EE5" w:rsidRDefault="00D0434F"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4. Radari (potenciālais naudas sodu pieaugums)</w:t>
            </w:r>
          </w:p>
        </w:tc>
        <w:tc>
          <w:tcPr>
            <w:tcW w:w="1263" w:type="dxa"/>
            <w:vAlign w:val="center"/>
            <w:hideMark/>
          </w:tcPr>
          <w:p w:rsidR="00D0434F" w:rsidRPr="005A5EE5" w:rsidRDefault="00A74B6C"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sz w:val="20"/>
                <w:szCs w:val="20"/>
                <w:lang w:eastAsia="lv-LV"/>
              </w:rPr>
              <w:t xml:space="preserve">      </w:t>
            </w:r>
            <w:r w:rsidR="00D0434F">
              <w:rPr>
                <w:rFonts w:eastAsia="Times New Roman" w:cs="Times New Roman"/>
                <w:sz w:val="20"/>
                <w:szCs w:val="20"/>
                <w:lang w:eastAsia="lv-LV"/>
              </w:rPr>
              <w:t>4,3</w:t>
            </w:r>
          </w:p>
        </w:tc>
        <w:tc>
          <w:tcPr>
            <w:tcW w:w="1292" w:type="dxa"/>
            <w:gridSpan w:val="2"/>
            <w:vAlign w:val="center"/>
          </w:tcPr>
          <w:p w:rsidR="00D0434F" w:rsidRPr="005A5EE5" w:rsidRDefault="00A74B6C"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sz w:val="20"/>
                <w:szCs w:val="20"/>
                <w:lang w:eastAsia="lv-LV"/>
              </w:rPr>
              <w:t xml:space="preserve">      </w:t>
            </w:r>
            <w:r w:rsidR="00D0434F">
              <w:rPr>
                <w:rFonts w:eastAsia="Times New Roman" w:cs="Times New Roman"/>
                <w:sz w:val="20"/>
                <w:szCs w:val="20"/>
                <w:lang w:eastAsia="lv-LV"/>
              </w:rPr>
              <w:t>7,2</w:t>
            </w:r>
          </w:p>
        </w:tc>
        <w:tc>
          <w:tcPr>
            <w:tcW w:w="1138" w:type="dxa"/>
            <w:vAlign w:val="center"/>
          </w:tcPr>
          <w:p w:rsidR="00D0434F" w:rsidRPr="005A5EE5" w:rsidRDefault="00D0434F"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Pr>
                <w:rFonts w:eastAsia="Times New Roman" w:cs="Times New Roman"/>
                <w:sz w:val="20"/>
                <w:szCs w:val="20"/>
                <w:lang w:eastAsia="lv-LV"/>
              </w:rPr>
              <w:t>5,9</w:t>
            </w:r>
          </w:p>
        </w:tc>
      </w:tr>
      <w:tr w:rsidR="00C01B0C" w:rsidRPr="005A5EE5" w:rsidTr="00A74B6C">
        <w:trPr>
          <w:trHeight w:val="243"/>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5. Apropriācijas rezerves samazināšana</w:t>
            </w:r>
          </w:p>
        </w:tc>
        <w:tc>
          <w:tcPr>
            <w:tcW w:w="1557" w:type="dxa"/>
            <w:gridSpan w:val="2"/>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p>
        </w:tc>
        <w:tc>
          <w:tcPr>
            <w:tcW w:w="998" w:type="dxa"/>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12,5</w:t>
            </w:r>
          </w:p>
        </w:tc>
        <w:tc>
          <w:tcPr>
            <w:tcW w:w="1138" w:type="dxa"/>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12,5</w:t>
            </w:r>
          </w:p>
        </w:tc>
      </w:tr>
      <w:tr w:rsidR="005A5EE5" w:rsidRPr="005A5EE5" w:rsidTr="00A74B6C">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6. Iemaksas ES budžetā (pieņemot, ka Lielbritānija veiks iemaksas ES budžetā pilnā apmērā)</w:t>
            </w:r>
          </w:p>
        </w:tc>
        <w:tc>
          <w:tcPr>
            <w:tcW w:w="1557" w:type="dxa"/>
            <w:gridSpan w:val="2"/>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p>
        </w:tc>
        <w:tc>
          <w:tcPr>
            <w:tcW w:w="998" w:type="dxa"/>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9,7</w:t>
            </w:r>
          </w:p>
        </w:tc>
        <w:tc>
          <w:tcPr>
            <w:tcW w:w="1138" w:type="dxa"/>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23,1</w:t>
            </w:r>
          </w:p>
        </w:tc>
      </w:tr>
      <w:tr w:rsidR="00C01B0C" w:rsidRPr="005A5EE5" w:rsidTr="00A74B6C">
        <w:trPr>
          <w:trHeight w:val="157"/>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7. Sportam procentu maksājumu izmaiņas</w:t>
            </w:r>
          </w:p>
        </w:tc>
        <w:tc>
          <w:tcPr>
            <w:tcW w:w="1557" w:type="dxa"/>
            <w:gridSpan w:val="2"/>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0,9</w:t>
            </w:r>
          </w:p>
        </w:tc>
        <w:tc>
          <w:tcPr>
            <w:tcW w:w="998" w:type="dxa"/>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0,8</w:t>
            </w:r>
          </w:p>
        </w:tc>
        <w:tc>
          <w:tcPr>
            <w:tcW w:w="1138" w:type="dxa"/>
            <w:vAlign w:val="center"/>
            <w:hideMark/>
          </w:tcPr>
          <w:p w:rsidR="005A5EE5" w:rsidRPr="005A5EE5" w:rsidRDefault="005A5EE5"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p>
        </w:tc>
      </w:tr>
      <w:tr w:rsidR="005A5EE5" w:rsidRPr="005A5EE5" w:rsidTr="00A74B6C">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8. Elektroenerģijas lietotāju atbalsts aizsargātajiem lietotājiem</w:t>
            </w:r>
          </w:p>
        </w:tc>
        <w:tc>
          <w:tcPr>
            <w:tcW w:w="1557" w:type="dxa"/>
            <w:gridSpan w:val="2"/>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r w:rsidRPr="005A5EE5">
              <w:rPr>
                <w:rFonts w:eastAsia="Times New Roman" w:cs="Times New Roman"/>
                <w:color w:val="000000"/>
                <w:sz w:val="20"/>
                <w:lang w:eastAsia="lv-LV"/>
              </w:rPr>
              <w:t>1,6</w:t>
            </w:r>
          </w:p>
        </w:tc>
        <w:tc>
          <w:tcPr>
            <w:tcW w:w="998" w:type="dxa"/>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p>
        </w:tc>
        <w:tc>
          <w:tcPr>
            <w:tcW w:w="1138" w:type="dxa"/>
            <w:vAlign w:val="center"/>
            <w:hideMark/>
          </w:tcPr>
          <w:p w:rsidR="005A5EE5" w:rsidRPr="005A5EE5" w:rsidRDefault="005A5EE5"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p>
        </w:tc>
      </w:tr>
      <w:tr w:rsidR="00C01B0C" w:rsidRPr="005A5EE5" w:rsidTr="00A74B6C">
        <w:trPr>
          <w:trHeight w:val="353"/>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b w:val="0"/>
                <w:color w:val="000000"/>
                <w:sz w:val="20"/>
                <w:lang w:eastAsia="lv-LV"/>
              </w:rPr>
            </w:pPr>
            <w:r w:rsidRPr="005A5EE5">
              <w:rPr>
                <w:rFonts w:eastAsia="Times New Roman" w:cs="Times New Roman"/>
                <w:b w:val="0"/>
                <w:color w:val="000000"/>
                <w:sz w:val="20"/>
                <w:lang w:eastAsia="lv-LV"/>
              </w:rPr>
              <w:t>9. Palielinātas pārējo pamatbudžeta nenodokļu ieņēmumu prognozes</w:t>
            </w:r>
          </w:p>
        </w:tc>
        <w:tc>
          <w:tcPr>
            <w:tcW w:w="1557" w:type="dxa"/>
            <w:gridSpan w:val="2"/>
            <w:vAlign w:val="center"/>
            <w:hideMark/>
          </w:tcPr>
          <w:p w:rsidR="005A5EE5" w:rsidRPr="005A5EE5" w:rsidRDefault="00A77D01"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Pr>
                <w:rFonts w:eastAsia="Times New Roman" w:cs="Times New Roman"/>
                <w:color w:val="000000"/>
                <w:sz w:val="20"/>
                <w:lang w:eastAsia="lv-LV"/>
              </w:rPr>
              <w:t>2,1</w:t>
            </w:r>
          </w:p>
        </w:tc>
        <w:tc>
          <w:tcPr>
            <w:tcW w:w="998" w:type="dxa"/>
            <w:vAlign w:val="center"/>
            <w:hideMark/>
          </w:tcPr>
          <w:p w:rsidR="005A5EE5" w:rsidRPr="005A5EE5" w:rsidRDefault="00A77D01"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Pr>
                <w:rFonts w:eastAsia="Times New Roman" w:cs="Times New Roman"/>
                <w:color w:val="000000"/>
                <w:sz w:val="20"/>
                <w:lang w:eastAsia="lv-LV"/>
              </w:rPr>
              <w:t>4,2</w:t>
            </w:r>
          </w:p>
        </w:tc>
        <w:tc>
          <w:tcPr>
            <w:tcW w:w="1138" w:type="dxa"/>
            <w:vAlign w:val="center"/>
            <w:hideMark/>
          </w:tcPr>
          <w:p w:rsidR="005A5EE5" w:rsidRPr="005A5EE5" w:rsidRDefault="00A77D01"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lv-LV"/>
              </w:rPr>
            </w:pPr>
            <w:r>
              <w:rPr>
                <w:rFonts w:eastAsia="Times New Roman" w:cs="Times New Roman"/>
                <w:color w:val="000000"/>
                <w:sz w:val="20"/>
                <w:lang w:eastAsia="lv-LV"/>
              </w:rPr>
              <w:t>4,7</w:t>
            </w:r>
          </w:p>
        </w:tc>
      </w:tr>
      <w:tr w:rsidR="005A5EE5" w:rsidRPr="005A5EE5" w:rsidTr="00A74B6C">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1B0995" w:rsidP="009F167A">
            <w:pPr>
              <w:spacing w:before="0" w:after="0"/>
              <w:ind w:firstLine="0"/>
              <w:rPr>
                <w:rFonts w:eastAsia="Times New Roman" w:cs="Times New Roman"/>
                <w:b w:val="0"/>
                <w:color w:val="000000"/>
                <w:sz w:val="20"/>
                <w:lang w:eastAsia="lv-LV"/>
              </w:rPr>
            </w:pPr>
            <w:r>
              <w:rPr>
                <w:rFonts w:eastAsia="Times New Roman" w:cs="Times New Roman"/>
                <w:b w:val="0"/>
                <w:color w:val="000000"/>
                <w:sz w:val="20"/>
                <w:lang w:eastAsia="lv-LV"/>
              </w:rPr>
              <w:t>10</w:t>
            </w:r>
            <w:r w:rsidR="005A5EE5" w:rsidRPr="005A5EE5">
              <w:rPr>
                <w:rFonts w:eastAsia="Times New Roman" w:cs="Times New Roman"/>
                <w:b w:val="0"/>
                <w:color w:val="000000"/>
                <w:sz w:val="20"/>
                <w:lang w:eastAsia="lv-LV"/>
              </w:rPr>
              <w:t xml:space="preserve">. citi </w:t>
            </w:r>
            <w:r w:rsidR="009F167A">
              <w:rPr>
                <w:rFonts w:eastAsia="Times New Roman" w:cs="Times New Roman"/>
                <w:b w:val="0"/>
                <w:color w:val="000000"/>
                <w:sz w:val="20"/>
                <w:lang w:eastAsia="lv-LV"/>
              </w:rPr>
              <w:t>tehniski precizējumi</w:t>
            </w:r>
          </w:p>
        </w:tc>
        <w:tc>
          <w:tcPr>
            <w:tcW w:w="1557" w:type="dxa"/>
            <w:gridSpan w:val="2"/>
            <w:vAlign w:val="center"/>
            <w:hideMark/>
          </w:tcPr>
          <w:p w:rsidR="005A5EE5" w:rsidRPr="005A5EE5" w:rsidRDefault="00D0434F"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r>
              <w:rPr>
                <w:rFonts w:eastAsia="Times New Roman" w:cs="Times New Roman"/>
                <w:color w:val="000000"/>
                <w:sz w:val="20"/>
                <w:lang w:eastAsia="lv-LV"/>
              </w:rPr>
              <w:t>1,1</w:t>
            </w:r>
          </w:p>
        </w:tc>
        <w:tc>
          <w:tcPr>
            <w:tcW w:w="998" w:type="dxa"/>
            <w:vAlign w:val="center"/>
            <w:hideMark/>
          </w:tcPr>
          <w:p w:rsidR="005A5EE5" w:rsidRPr="005A5EE5" w:rsidRDefault="00D0434F"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r>
              <w:rPr>
                <w:rFonts w:eastAsia="Times New Roman" w:cs="Times New Roman"/>
                <w:color w:val="000000"/>
                <w:sz w:val="20"/>
                <w:lang w:eastAsia="lv-LV"/>
              </w:rPr>
              <w:t>1,0</w:t>
            </w:r>
          </w:p>
        </w:tc>
        <w:tc>
          <w:tcPr>
            <w:tcW w:w="1138" w:type="dxa"/>
            <w:vAlign w:val="center"/>
            <w:hideMark/>
          </w:tcPr>
          <w:p w:rsidR="005A5EE5" w:rsidRPr="005A5EE5" w:rsidRDefault="00E45FE4" w:rsidP="00A74B6C">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lv-LV"/>
              </w:rPr>
            </w:pPr>
            <w:r>
              <w:rPr>
                <w:rFonts w:eastAsia="Times New Roman" w:cs="Times New Roman"/>
                <w:color w:val="000000"/>
                <w:sz w:val="20"/>
                <w:lang w:eastAsia="lv-LV"/>
              </w:rPr>
              <w:t>1,0</w:t>
            </w:r>
          </w:p>
        </w:tc>
      </w:tr>
      <w:tr w:rsidR="005A5EE5" w:rsidRPr="005A5EE5" w:rsidTr="00A74B6C">
        <w:trPr>
          <w:trHeight w:val="428"/>
          <w:jc w:val="center"/>
        </w:trPr>
        <w:tc>
          <w:tcPr>
            <w:cnfStyle w:val="001000000000" w:firstRow="0" w:lastRow="0" w:firstColumn="1" w:lastColumn="0" w:oddVBand="0" w:evenVBand="0" w:oddHBand="0" w:evenHBand="0" w:firstRowFirstColumn="0" w:firstRowLastColumn="0" w:lastRowFirstColumn="0" w:lastRowLastColumn="0"/>
            <w:tcW w:w="4807" w:type="dxa"/>
            <w:vAlign w:val="center"/>
            <w:hideMark/>
          </w:tcPr>
          <w:p w:rsidR="005A5EE5" w:rsidRPr="005A5EE5" w:rsidRDefault="005A5EE5" w:rsidP="00A74B6C">
            <w:pPr>
              <w:spacing w:before="0" w:after="0"/>
              <w:ind w:firstLine="0"/>
              <w:rPr>
                <w:rFonts w:eastAsia="Times New Roman" w:cs="Times New Roman"/>
                <w:color w:val="000000"/>
                <w:sz w:val="20"/>
                <w:lang w:eastAsia="lv-LV"/>
              </w:rPr>
            </w:pPr>
            <w:r w:rsidRPr="005A5EE5">
              <w:rPr>
                <w:rFonts w:eastAsia="Times New Roman" w:cs="Times New Roman"/>
                <w:color w:val="000000"/>
                <w:sz w:val="20"/>
                <w:lang w:eastAsia="lv-LV"/>
              </w:rPr>
              <w:t>Fiskālā telpa</w:t>
            </w:r>
            <w:r>
              <w:rPr>
                <w:rFonts w:eastAsia="Times New Roman" w:cs="Times New Roman"/>
                <w:color w:val="000000"/>
                <w:sz w:val="20"/>
                <w:lang w:eastAsia="lv-LV"/>
              </w:rPr>
              <w:t xml:space="preserve"> pēc</w:t>
            </w:r>
            <w:r w:rsidRPr="005A5EE5">
              <w:rPr>
                <w:rFonts w:eastAsia="Times New Roman" w:cs="Times New Roman"/>
                <w:color w:val="000000"/>
                <w:sz w:val="20"/>
                <w:lang w:eastAsia="lv-LV"/>
              </w:rPr>
              <w:t xml:space="preserve"> MK lēmum</w:t>
            </w:r>
            <w:r>
              <w:rPr>
                <w:rFonts w:eastAsia="Times New Roman" w:cs="Times New Roman"/>
                <w:color w:val="000000"/>
                <w:sz w:val="20"/>
                <w:lang w:eastAsia="lv-LV"/>
              </w:rPr>
              <w:t>iem</w:t>
            </w:r>
            <w:r w:rsidR="009023F6">
              <w:rPr>
                <w:rFonts w:eastAsia="Times New Roman" w:cs="Times New Roman"/>
                <w:color w:val="000000"/>
                <w:sz w:val="20"/>
                <w:lang w:eastAsia="lv-LV"/>
              </w:rPr>
              <w:t xml:space="preserve"> š.g. 22.augusta sēdē un citiem</w:t>
            </w:r>
            <w:r w:rsidRPr="005A5EE5">
              <w:rPr>
                <w:rFonts w:eastAsia="Times New Roman" w:cs="Times New Roman"/>
                <w:color w:val="000000"/>
                <w:sz w:val="20"/>
                <w:lang w:eastAsia="lv-LV"/>
              </w:rPr>
              <w:t xml:space="preserve"> pasākum</w:t>
            </w:r>
            <w:r w:rsidR="009023F6">
              <w:rPr>
                <w:rFonts w:eastAsia="Times New Roman" w:cs="Times New Roman"/>
                <w:color w:val="000000"/>
                <w:sz w:val="20"/>
                <w:lang w:eastAsia="lv-LV"/>
              </w:rPr>
              <w:t>iem</w:t>
            </w:r>
          </w:p>
        </w:tc>
        <w:tc>
          <w:tcPr>
            <w:tcW w:w="1557" w:type="dxa"/>
            <w:gridSpan w:val="2"/>
            <w:vAlign w:val="center"/>
            <w:hideMark/>
          </w:tcPr>
          <w:p w:rsidR="005A5EE5" w:rsidRPr="005A5EE5" w:rsidRDefault="00D0434F"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Pr>
                <w:rFonts w:eastAsia="Times New Roman" w:cs="Times New Roman"/>
                <w:b/>
                <w:bCs/>
                <w:color w:val="000000"/>
                <w:sz w:val="20"/>
                <w:lang w:eastAsia="lv-LV"/>
              </w:rPr>
              <w:t>80,8</w:t>
            </w:r>
          </w:p>
        </w:tc>
        <w:tc>
          <w:tcPr>
            <w:tcW w:w="998" w:type="dxa"/>
            <w:vAlign w:val="center"/>
            <w:hideMark/>
          </w:tcPr>
          <w:p w:rsidR="005A5EE5" w:rsidRPr="005A5EE5" w:rsidRDefault="00D0434F"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Pr>
                <w:rFonts w:eastAsia="Times New Roman" w:cs="Times New Roman"/>
                <w:b/>
                <w:bCs/>
                <w:color w:val="000000"/>
                <w:sz w:val="20"/>
                <w:lang w:eastAsia="lv-LV"/>
              </w:rPr>
              <w:t>33,3</w:t>
            </w:r>
          </w:p>
        </w:tc>
        <w:tc>
          <w:tcPr>
            <w:tcW w:w="1138" w:type="dxa"/>
            <w:vAlign w:val="center"/>
            <w:hideMark/>
          </w:tcPr>
          <w:p w:rsidR="005A5EE5" w:rsidRPr="005A5EE5" w:rsidRDefault="00D0434F" w:rsidP="00A74B6C">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lang w:eastAsia="lv-LV"/>
              </w:rPr>
            </w:pPr>
            <w:r>
              <w:rPr>
                <w:rFonts w:eastAsia="Times New Roman" w:cs="Times New Roman"/>
                <w:b/>
                <w:bCs/>
                <w:color w:val="000000"/>
                <w:sz w:val="20"/>
                <w:lang w:eastAsia="lv-LV"/>
              </w:rPr>
              <w:t>162,2</w:t>
            </w:r>
          </w:p>
        </w:tc>
      </w:tr>
    </w:tbl>
    <w:p w:rsidR="009F167A" w:rsidRDefault="009F167A" w:rsidP="00744579">
      <w:pPr>
        <w:rPr>
          <w:sz w:val="24"/>
          <w:szCs w:val="28"/>
        </w:rPr>
      </w:pPr>
    </w:p>
    <w:p w:rsidR="00A74B6C" w:rsidRDefault="00882D70" w:rsidP="00744579">
      <w:pPr>
        <w:rPr>
          <w:sz w:val="24"/>
          <w:szCs w:val="28"/>
        </w:rPr>
      </w:pPr>
      <w:r w:rsidRPr="005A5EE5">
        <w:rPr>
          <w:sz w:val="24"/>
          <w:szCs w:val="28"/>
        </w:rPr>
        <w:t xml:space="preserve">Ministru kabineta š.g. 22.augusta sēdē tika uzdots ministrijām </w:t>
      </w:r>
      <w:r w:rsidR="005B4A8D">
        <w:rPr>
          <w:sz w:val="24"/>
          <w:szCs w:val="28"/>
        </w:rPr>
        <w:t>iesniegt priekšlikum</w:t>
      </w:r>
      <w:r w:rsidR="00C01B0C">
        <w:rPr>
          <w:sz w:val="24"/>
          <w:szCs w:val="28"/>
        </w:rPr>
        <w:t>u</w:t>
      </w:r>
      <w:r w:rsidR="005B4A8D">
        <w:rPr>
          <w:sz w:val="24"/>
          <w:szCs w:val="28"/>
        </w:rPr>
        <w:t>s</w:t>
      </w:r>
      <w:r w:rsidR="00AA4F02">
        <w:rPr>
          <w:sz w:val="24"/>
          <w:szCs w:val="28"/>
        </w:rPr>
        <w:t xml:space="preserve"> uz š.g. 29.augusta sēdi</w:t>
      </w:r>
      <w:r w:rsidR="005B4A8D">
        <w:rPr>
          <w:sz w:val="24"/>
          <w:szCs w:val="28"/>
        </w:rPr>
        <w:t xml:space="preserve"> ar pasākumiem</w:t>
      </w:r>
      <w:r w:rsidRPr="005A5EE5">
        <w:rPr>
          <w:sz w:val="24"/>
          <w:szCs w:val="28"/>
        </w:rPr>
        <w:t>, kas palielina fiskālo telpu</w:t>
      </w:r>
      <w:r w:rsidR="005B4A8D">
        <w:rPr>
          <w:sz w:val="24"/>
          <w:szCs w:val="28"/>
        </w:rPr>
        <w:t>.</w:t>
      </w:r>
    </w:p>
    <w:p w:rsidR="00A74B6C" w:rsidRDefault="00744579" w:rsidP="00744579">
      <w:pPr>
        <w:rPr>
          <w:sz w:val="24"/>
          <w:szCs w:val="28"/>
        </w:rPr>
      </w:pPr>
      <w:r>
        <w:rPr>
          <w:sz w:val="24"/>
          <w:szCs w:val="28"/>
        </w:rPr>
        <w:t xml:space="preserve">No Ekonomikas ministrijas tika saņemta informāciju, kurā </w:t>
      </w:r>
      <w:r w:rsidR="00B60DB1">
        <w:rPr>
          <w:sz w:val="24"/>
          <w:szCs w:val="28"/>
        </w:rPr>
        <w:t>kā pasākums, kas palielina fiskālo telpu tiek piedāvāts apstiprināt 4. risinājuma variantu.</w:t>
      </w:r>
      <w:r w:rsidR="00B60DB1" w:rsidRPr="00B60DB1">
        <w:t xml:space="preserve"> </w:t>
      </w:r>
      <w:r w:rsidR="00B60DB1" w:rsidRPr="00B60DB1">
        <w:rPr>
          <w:sz w:val="24"/>
          <w:szCs w:val="28"/>
        </w:rPr>
        <w:t>Šis risinājums paredz daļēju valsts atbalsta saistību samazināšanu attiecībā uz koģenerācijas elektrostacijām ar uzstādīto elektrisko jaudu virs 100 MW, kā arī pakāpeniski dilstošas valsts budžeta dotācijas nepieciešamību OIK vajadzībām.</w:t>
      </w:r>
      <w:r w:rsidR="00B60DB1" w:rsidRPr="00B60DB1">
        <w:t xml:space="preserve"> </w:t>
      </w:r>
      <w:r w:rsidR="00B60DB1">
        <w:rPr>
          <w:sz w:val="24"/>
          <w:szCs w:val="28"/>
        </w:rPr>
        <w:t>Ri</w:t>
      </w:r>
      <w:r w:rsidR="00B60DB1" w:rsidRPr="00B60DB1">
        <w:rPr>
          <w:sz w:val="24"/>
          <w:szCs w:val="28"/>
        </w:rPr>
        <w:t>sinājums paredz, ka 2019. gadā no AS “Latvenergo” dividendēm tiktu nodrošinātas vispārējā budžeta vajadzības</w:t>
      </w:r>
      <w:r w:rsidR="009F167A">
        <w:rPr>
          <w:sz w:val="24"/>
          <w:szCs w:val="28"/>
        </w:rPr>
        <w:t xml:space="preserve"> tādā apmērā, kas pielīdzināms </w:t>
      </w:r>
      <w:r w:rsidR="00B60DB1" w:rsidRPr="00B60DB1">
        <w:rPr>
          <w:sz w:val="24"/>
          <w:szCs w:val="28"/>
        </w:rPr>
        <w:t>likuma “Par vidēja termiņa budžeta ietvaru 2017., 2018. un 2019. gadam” ietvaros paredzētajam.</w:t>
      </w:r>
      <w:r w:rsidR="00B60DB1">
        <w:rPr>
          <w:sz w:val="24"/>
          <w:szCs w:val="28"/>
        </w:rPr>
        <w:t xml:space="preserve"> Savukārt 2020.gadā </w:t>
      </w:r>
      <w:r w:rsidR="00DB31CE">
        <w:rPr>
          <w:sz w:val="24"/>
          <w:szCs w:val="28"/>
        </w:rPr>
        <w:t xml:space="preserve">no AS “Latvenergo” dividendēm </w:t>
      </w:r>
      <w:r w:rsidR="00B60DB1">
        <w:rPr>
          <w:sz w:val="24"/>
          <w:szCs w:val="28"/>
        </w:rPr>
        <w:t xml:space="preserve">būs iespējams </w:t>
      </w:r>
      <w:r w:rsidR="00641968">
        <w:rPr>
          <w:sz w:val="24"/>
          <w:szCs w:val="28"/>
        </w:rPr>
        <w:t xml:space="preserve">papildus </w:t>
      </w:r>
      <w:r w:rsidR="00DB31CE">
        <w:rPr>
          <w:sz w:val="24"/>
          <w:szCs w:val="28"/>
        </w:rPr>
        <w:t>novirzīt</w:t>
      </w:r>
      <w:r w:rsidR="00DB31CE" w:rsidRPr="00DB31CE">
        <w:t xml:space="preserve"> </w:t>
      </w:r>
      <w:r w:rsidR="00DB31CE" w:rsidRPr="00DB31CE">
        <w:rPr>
          <w:sz w:val="24"/>
          <w:szCs w:val="28"/>
        </w:rPr>
        <w:t>fiskālās telpas palielināšanai</w:t>
      </w:r>
      <w:r w:rsidR="00DB31CE">
        <w:rPr>
          <w:sz w:val="24"/>
          <w:szCs w:val="28"/>
        </w:rPr>
        <w:t xml:space="preserve"> </w:t>
      </w:r>
      <w:r w:rsidR="00B60DB1">
        <w:rPr>
          <w:sz w:val="24"/>
          <w:szCs w:val="28"/>
        </w:rPr>
        <w:t xml:space="preserve">68,3 </w:t>
      </w:r>
      <w:r w:rsidR="00B60DB1" w:rsidRPr="0028039E">
        <w:rPr>
          <w:sz w:val="24"/>
          <w:szCs w:val="28"/>
        </w:rPr>
        <w:t xml:space="preserve">milj. </w:t>
      </w:r>
      <w:r w:rsidR="00B60DB1" w:rsidRPr="0028039E">
        <w:rPr>
          <w:i/>
          <w:sz w:val="24"/>
          <w:szCs w:val="28"/>
        </w:rPr>
        <w:t>euro</w:t>
      </w:r>
      <w:r w:rsidR="00B60DB1" w:rsidRPr="0028039E">
        <w:rPr>
          <w:sz w:val="24"/>
          <w:szCs w:val="28"/>
        </w:rPr>
        <w:t xml:space="preserve"> apmērā</w:t>
      </w:r>
      <w:r w:rsidR="00B60DB1">
        <w:rPr>
          <w:sz w:val="24"/>
          <w:szCs w:val="28"/>
        </w:rPr>
        <w:t>.</w:t>
      </w:r>
    </w:p>
    <w:p w:rsidR="00A74B6C" w:rsidRDefault="00744579" w:rsidP="00744579">
      <w:pPr>
        <w:rPr>
          <w:sz w:val="24"/>
          <w:szCs w:val="28"/>
        </w:rPr>
      </w:pPr>
      <w:r>
        <w:rPr>
          <w:sz w:val="24"/>
          <w:szCs w:val="28"/>
        </w:rPr>
        <w:t xml:space="preserve">No Veselības ministrijas tika saņemti divi pasākumi par </w:t>
      </w:r>
      <w:r w:rsidRPr="00744579">
        <w:rPr>
          <w:sz w:val="24"/>
          <w:szCs w:val="28"/>
        </w:rPr>
        <w:t>Onkoloģisko slimību ārstēšanai lietojamo parenterāli i</w:t>
      </w:r>
      <w:r w:rsidR="00B60DB1">
        <w:rPr>
          <w:sz w:val="24"/>
          <w:szCs w:val="28"/>
        </w:rPr>
        <w:t>evadāmo medikamentu centralizētu</w:t>
      </w:r>
      <w:r w:rsidRPr="00744579">
        <w:rPr>
          <w:sz w:val="24"/>
          <w:szCs w:val="28"/>
        </w:rPr>
        <w:t xml:space="preserve"> iepirkšan</w:t>
      </w:r>
      <w:r w:rsidR="00B60DB1">
        <w:rPr>
          <w:sz w:val="24"/>
          <w:szCs w:val="28"/>
        </w:rPr>
        <w:t>u</w:t>
      </w:r>
      <w:r>
        <w:rPr>
          <w:sz w:val="24"/>
          <w:szCs w:val="28"/>
        </w:rPr>
        <w:t xml:space="preserve"> un par ietaupījumu no </w:t>
      </w:r>
      <w:r w:rsidRPr="00744579">
        <w:rPr>
          <w:sz w:val="24"/>
          <w:szCs w:val="28"/>
        </w:rPr>
        <w:t>Elektronisko iepirkumu sistēmas medicīnas preču un medikamentu katalogu uzturēšana</w:t>
      </w:r>
      <w:r>
        <w:rPr>
          <w:sz w:val="24"/>
          <w:szCs w:val="28"/>
        </w:rPr>
        <w:t xml:space="preserve">s. </w:t>
      </w:r>
      <w:r w:rsidR="001E10C7" w:rsidRPr="001E10C7">
        <w:rPr>
          <w:sz w:val="24"/>
          <w:szCs w:val="28"/>
        </w:rPr>
        <w:t>Saskaņā ar plānoto veselības aprūpes sistēmas reformu, lai nodrošinātu efektīvāku onkoloģisko medikamentu iepirkšanu un izlietošanu, nodrošinot pacientu līdzestību, plānots, ka sākot ar 2018.gada 1.janvāri onkoloģisko slimību ārstēšanai lietojamās parenterāli ievadāmās zāles (izņemot tās, par kuru kompensācijas nodrošināšanu ir noslēgts finansiālas līdzdalības līgums ar zāļu reģistrācijas apliecības īpašnieku vai viņa pilnvarotām personām), kuru iegāde tiek apmaksāta no valsts budžeta līdzekļiem, tiks iepirktas centralizēti, plānojot rast ietaupījumu uz aptieku uzcenojuma rēķina, novērstajiem zāļu zudumiem pacienta nelīdzestīgas rīcības gadījumā un iepirkuma centralizēšanas, iegūstot zemākas cenas.</w:t>
      </w:r>
      <w:r w:rsidR="001E10C7">
        <w:rPr>
          <w:sz w:val="24"/>
          <w:szCs w:val="28"/>
        </w:rPr>
        <w:t xml:space="preserve"> </w:t>
      </w:r>
      <w:r w:rsidR="001E10C7" w:rsidRPr="001E10C7">
        <w:rPr>
          <w:sz w:val="24"/>
          <w:szCs w:val="28"/>
        </w:rPr>
        <w:t>Atbilstoši jaunā Publisko iepirkumu likuma un pakārtoto Ministru kabineta noteikumu prasībām, Veselības ministrijai jānodrošina turpmāka Elektronisko iepirkumu sistēmas (turpmāk – EIS) medicīnas preču un medikamentu katalogu uzturēšana, sākot ar 2019.gada februāri. Veicot centralizētu iepirkumu turpmākai katalogu uzturēšanai, ņemot vērā ārstniecības iestāžu prasības, iespējams ietaupījums līdz 10% no kop</w:t>
      </w:r>
      <w:r w:rsidR="00641968">
        <w:rPr>
          <w:sz w:val="24"/>
          <w:szCs w:val="28"/>
        </w:rPr>
        <w:t>ējās iepirkumu vērtības jeb 486 </w:t>
      </w:r>
      <w:r w:rsidR="001E10C7" w:rsidRPr="001E10C7">
        <w:rPr>
          <w:sz w:val="24"/>
          <w:szCs w:val="28"/>
        </w:rPr>
        <w:t xml:space="preserve">677 </w:t>
      </w:r>
      <w:r w:rsidR="001E10C7" w:rsidRPr="008B4B51">
        <w:rPr>
          <w:i/>
          <w:sz w:val="24"/>
          <w:szCs w:val="28"/>
        </w:rPr>
        <w:t>euro</w:t>
      </w:r>
      <w:r w:rsidR="001E10C7" w:rsidRPr="001E10C7">
        <w:rPr>
          <w:sz w:val="24"/>
          <w:szCs w:val="28"/>
        </w:rPr>
        <w:t xml:space="preserve"> 2019.gadā. Turpmākos gados, paplašinot EIS pieejamo medikamentu apjomu un dažādību, iespējams turpmāks iegādāto preču apgrozījuma pieaugums, nodrošinot papildus ietaupījumu.</w:t>
      </w:r>
      <w:r w:rsidR="001E10C7">
        <w:rPr>
          <w:sz w:val="24"/>
          <w:szCs w:val="28"/>
        </w:rPr>
        <w:t xml:space="preserve"> </w:t>
      </w:r>
    </w:p>
    <w:p w:rsidR="00744579" w:rsidRDefault="00744579" w:rsidP="00744579">
      <w:pPr>
        <w:rPr>
          <w:sz w:val="24"/>
          <w:szCs w:val="28"/>
        </w:rPr>
      </w:pPr>
      <w:r>
        <w:rPr>
          <w:sz w:val="24"/>
          <w:szCs w:val="28"/>
        </w:rPr>
        <w:t>Finanšu ministrija saņemto priekšlikumu</w:t>
      </w:r>
      <w:r w:rsidR="00DB31CE">
        <w:rPr>
          <w:sz w:val="24"/>
          <w:szCs w:val="28"/>
        </w:rPr>
        <w:t xml:space="preserve"> fiskālo ietekmi ir apkopojusi (skatīt 2.tabulu).</w:t>
      </w:r>
    </w:p>
    <w:p w:rsidR="00AD145A" w:rsidRDefault="00AD145A" w:rsidP="00AD145A">
      <w:pPr>
        <w:spacing w:before="0" w:after="0"/>
        <w:jc w:val="right"/>
        <w:rPr>
          <w:b/>
          <w:i/>
          <w:sz w:val="24"/>
          <w:szCs w:val="28"/>
        </w:rPr>
      </w:pPr>
      <w:r>
        <w:rPr>
          <w:b/>
          <w:i/>
          <w:sz w:val="24"/>
          <w:szCs w:val="28"/>
        </w:rPr>
        <w:t>2</w:t>
      </w:r>
      <w:r w:rsidRPr="00287B27">
        <w:rPr>
          <w:b/>
          <w:i/>
          <w:sz w:val="24"/>
          <w:szCs w:val="28"/>
        </w:rPr>
        <w:t>.</w:t>
      </w:r>
      <w:r>
        <w:rPr>
          <w:b/>
          <w:i/>
          <w:sz w:val="24"/>
          <w:szCs w:val="28"/>
        </w:rPr>
        <w:t>tabula</w:t>
      </w:r>
      <w:r w:rsidRPr="00287B27">
        <w:rPr>
          <w:b/>
          <w:i/>
          <w:sz w:val="24"/>
          <w:szCs w:val="28"/>
        </w:rPr>
        <w:t xml:space="preserve"> </w:t>
      </w:r>
      <w:r w:rsidR="005A5EE5">
        <w:rPr>
          <w:b/>
          <w:i/>
          <w:sz w:val="24"/>
          <w:szCs w:val="28"/>
        </w:rPr>
        <w:t xml:space="preserve">Priekšlikumi uz </w:t>
      </w:r>
      <w:r w:rsidRPr="00287B27">
        <w:rPr>
          <w:b/>
          <w:i/>
          <w:sz w:val="24"/>
          <w:szCs w:val="28"/>
        </w:rPr>
        <w:t>Ministru kabineta š.g. 2</w:t>
      </w:r>
      <w:r>
        <w:rPr>
          <w:b/>
          <w:i/>
          <w:sz w:val="24"/>
          <w:szCs w:val="28"/>
        </w:rPr>
        <w:t>9</w:t>
      </w:r>
      <w:r w:rsidRPr="00287B27">
        <w:rPr>
          <w:b/>
          <w:i/>
          <w:sz w:val="24"/>
          <w:szCs w:val="28"/>
        </w:rPr>
        <w:t>.augusta</w:t>
      </w:r>
      <w:r w:rsidR="005A5EE5">
        <w:rPr>
          <w:b/>
          <w:i/>
          <w:sz w:val="24"/>
          <w:szCs w:val="28"/>
        </w:rPr>
        <w:t xml:space="preserve"> sēdi</w:t>
      </w:r>
      <w:r w:rsidRPr="00287B27">
        <w:rPr>
          <w:b/>
          <w:i/>
          <w:sz w:val="24"/>
          <w:szCs w:val="28"/>
        </w:rPr>
        <w:t xml:space="preserve"> lēmumi </w:t>
      </w:r>
      <w:r>
        <w:rPr>
          <w:b/>
          <w:i/>
          <w:sz w:val="24"/>
          <w:szCs w:val="28"/>
        </w:rPr>
        <w:t>p</w:t>
      </w:r>
      <w:r w:rsidRPr="00287B27">
        <w:rPr>
          <w:b/>
          <w:i/>
          <w:sz w:val="24"/>
          <w:szCs w:val="28"/>
        </w:rPr>
        <w:t>ar</w:t>
      </w:r>
    </w:p>
    <w:p w:rsidR="00AD145A" w:rsidRDefault="00AD145A" w:rsidP="00AD145A">
      <w:pPr>
        <w:spacing w:before="0" w:after="0"/>
        <w:jc w:val="right"/>
        <w:rPr>
          <w:b/>
          <w:i/>
          <w:sz w:val="24"/>
          <w:szCs w:val="28"/>
        </w:rPr>
      </w:pPr>
      <w:r>
        <w:rPr>
          <w:b/>
          <w:i/>
          <w:sz w:val="24"/>
          <w:szCs w:val="28"/>
        </w:rPr>
        <w:t xml:space="preserve">ar </w:t>
      </w:r>
      <w:r w:rsidRPr="00287B27">
        <w:rPr>
          <w:b/>
          <w:i/>
          <w:sz w:val="24"/>
          <w:szCs w:val="28"/>
        </w:rPr>
        <w:t>fiskālo telpu saistītie jautājumi</w:t>
      </w:r>
      <w:r w:rsidR="00CF74D8">
        <w:rPr>
          <w:b/>
          <w:i/>
          <w:sz w:val="24"/>
          <w:szCs w:val="28"/>
        </w:rPr>
        <w:t xml:space="preserve"> </w:t>
      </w:r>
    </w:p>
    <w:tbl>
      <w:tblPr>
        <w:tblStyle w:val="ListTable4-Accent11"/>
        <w:tblW w:w="8642" w:type="dxa"/>
        <w:jc w:val="center"/>
        <w:tblInd w:w="0" w:type="dxa"/>
        <w:tblLayout w:type="fixed"/>
        <w:tblLook w:val="04A0" w:firstRow="1" w:lastRow="0" w:firstColumn="1" w:lastColumn="0" w:noHBand="0" w:noVBand="1"/>
      </w:tblPr>
      <w:tblGrid>
        <w:gridCol w:w="6232"/>
        <w:gridCol w:w="709"/>
        <w:gridCol w:w="850"/>
        <w:gridCol w:w="851"/>
      </w:tblGrid>
      <w:tr w:rsidR="00106440" w:rsidRPr="00676630" w:rsidTr="00C01B0C">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32" w:type="dxa"/>
            <w:tcBorders>
              <w:right w:val="nil"/>
            </w:tcBorders>
            <w:hideMark/>
          </w:tcPr>
          <w:p w:rsidR="00676630" w:rsidRPr="00676630" w:rsidRDefault="00676630" w:rsidP="00676630">
            <w:pPr>
              <w:spacing w:before="0" w:after="0"/>
              <w:ind w:firstLine="0"/>
              <w:jc w:val="left"/>
              <w:rPr>
                <w:b w:val="0"/>
                <w:color w:val="000000"/>
                <w:sz w:val="24"/>
                <w:szCs w:val="24"/>
                <w:lang w:eastAsia="lv-LV"/>
              </w:rPr>
            </w:pPr>
            <w:r w:rsidRPr="00676630">
              <w:rPr>
                <w:b w:val="0"/>
                <w:color w:val="000000"/>
                <w:sz w:val="24"/>
                <w:szCs w:val="24"/>
                <w:lang w:eastAsia="lv-LV"/>
              </w:rPr>
              <w:t> </w:t>
            </w:r>
          </w:p>
        </w:tc>
        <w:tc>
          <w:tcPr>
            <w:tcW w:w="709" w:type="dxa"/>
            <w:tcBorders>
              <w:left w:val="nil"/>
              <w:right w:val="nil"/>
            </w:tcBorders>
            <w:vAlign w:val="center"/>
            <w:hideMark/>
          </w:tcPr>
          <w:p w:rsidR="00676630" w:rsidRPr="00676630" w:rsidRDefault="00676630" w:rsidP="00106440">
            <w:pPr>
              <w:spacing w:before="0"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lang w:eastAsia="lv-LV"/>
              </w:rPr>
            </w:pPr>
            <w:r w:rsidRPr="00676630">
              <w:rPr>
                <w:color w:val="000000" w:themeColor="text1"/>
                <w:sz w:val="22"/>
                <w:lang w:eastAsia="lv-LV"/>
              </w:rPr>
              <w:t>2018</w:t>
            </w:r>
          </w:p>
        </w:tc>
        <w:tc>
          <w:tcPr>
            <w:tcW w:w="850" w:type="dxa"/>
            <w:tcBorders>
              <w:left w:val="nil"/>
              <w:right w:val="nil"/>
            </w:tcBorders>
            <w:vAlign w:val="center"/>
            <w:hideMark/>
          </w:tcPr>
          <w:p w:rsidR="00676630" w:rsidRPr="00676630" w:rsidRDefault="00676630" w:rsidP="00106440">
            <w:pPr>
              <w:spacing w:before="0"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lang w:eastAsia="lv-LV"/>
              </w:rPr>
            </w:pPr>
            <w:r w:rsidRPr="00676630">
              <w:rPr>
                <w:color w:val="000000" w:themeColor="text1"/>
                <w:sz w:val="22"/>
                <w:lang w:eastAsia="lv-LV"/>
              </w:rPr>
              <w:t>2019</w:t>
            </w:r>
          </w:p>
        </w:tc>
        <w:tc>
          <w:tcPr>
            <w:tcW w:w="851" w:type="dxa"/>
            <w:tcBorders>
              <w:left w:val="nil"/>
            </w:tcBorders>
            <w:vAlign w:val="center"/>
            <w:hideMark/>
          </w:tcPr>
          <w:p w:rsidR="00676630" w:rsidRPr="00676630" w:rsidRDefault="00676630" w:rsidP="00106440">
            <w:pPr>
              <w:spacing w:before="0" w:after="0"/>
              <w:ind w:firstLine="0"/>
              <w:jc w:val="center"/>
              <w:cnfStyle w:val="100000000000" w:firstRow="1" w:lastRow="0" w:firstColumn="0" w:lastColumn="0" w:oddVBand="0" w:evenVBand="0" w:oddHBand="0" w:evenHBand="0" w:firstRowFirstColumn="0" w:firstRowLastColumn="0" w:lastRowFirstColumn="0" w:lastRowLastColumn="0"/>
              <w:rPr>
                <w:color w:val="000000"/>
                <w:sz w:val="22"/>
                <w:lang w:eastAsia="lv-LV"/>
              </w:rPr>
            </w:pPr>
            <w:r w:rsidRPr="00676630">
              <w:rPr>
                <w:color w:val="000000" w:themeColor="text1"/>
                <w:sz w:val="22"/>
                <w:lang w:eastAsia="lv-LV"/>
              </w:rPr>
              <w:t>2020</w:t>
            </w:r>
          </w:p>
        </w:tc>
      </w:tr>
      <w:tr w:rsidR="00870D42" w:rsidRPr="00CF74D8" w:rsidTr="00C01B0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rsidR="00870D42" w:rsidRPr="00676630" w:rsidRDefault="00870D42" w:rsidP="00870D42">
            <w:pPr>
              <w:spacing w:before="0" w:after="0"/>
              <w:ind w:firstLine="0"/>
              <w:jc w:val="left"/>
              <w:rPr>
                <w:color w:val="000000"/>
                <w:sz w:val="22"/>
                <w:lang w:eastAsia="lv-LV"/>
              </w:rPr>
            </w:pPr>
            <w:r w:rsidRPr="00676630">
              <w:rPr>
                <w:color w:val="000000"/>
                <w:sz w:val="22"/>
                <w:lang w:eastAsia="lv-LV"/>
              </w:rPr>
              <w:t>Fiskālā telpa, ņemot vērā MK lēmumus š.g. 22.augusta sēdē</w:t>
            </w:r>
            <w:r>
              <w:rPr>
                <w:color w:val="000000"/>
                <w:sz w:val="22"/>
                <w:lang w:eastAsia="lv-LV"/>
              </w:rPr>
              <w:t xml:space="preserve"> </w:t>
            </w:r>
            <w:r w:rsidRPr="005A5EE5">
              <w:rPr>
                <w:rFonts w:eastAsia="Times New Roman"/>
                <w:color w:val="000000"/>
                <w:sz w:val="20"/>
                <w:lang w:eastAsia="lv-LV"/>
              </w:rPr>
              <w:t>un citus pasākumus</w:t>
            </w:r>
          </w:p>
        </w:tc>
        <w:tc>
          <w:tcPr>
            <w:tcW w:w="709" w:type="dxa"/>
            <w:tcBorders>
              <w:top w:val="single" w:sz="4" w:space="0" w:color="9CC2E5" w:themeColor="accent1" w:themeTint="99"/>
              <w:left w:val="nil"/>
              <w:bottom w:val="single" w:sz="4" w:space="0" w:color="9CC2E5" w:themeColor="accent1" w:themeTint="99"/>
              <w:right w:val="nil"/>
            </w:tcBorders>
            <w:vAlign w:val="center"/>
            <w:hideMark/>
          </w:tcPr>
          <w:p w:rsidR="00870D42" w:rsidRPr="00676630" w:rsidRDefault="00870D42" w:rsidP="00870D42">
            <w:pPr>
              <w:spacing w:before="0"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Pr>
                <w:rFonts w:eastAsia="Times New Roman"/>
                <w:b/>
                <w:bCs/>
                <w:color w:val="000000"/>
                <w:sz w:val="20"/>
                <w:lang w:eastAsia="lv-LV"/>
              </w:rPr>
              <w:t>80,8</w:t>
            </w:r>
          </w:p>
        </w:tc>
        <w:tc>
          <w:tcPr>
            <w:tcW w:w="850" w:type="dxa"/>
            <w:tcBorders>
              <w:top w:val="single" w:sz="4" w:space="0" w:color="9CC2E5" w:themeColor="accent1" w:themeTint="99"/>
              <w:left w:val="nil"/>
              <w:bottom w:val="single" w:sz="4" w:space="0" w:color="9CC2E5" w:themeColor="accent1" w:themeTint="99"/>
              <w:right w:val="nil"/>
            </w:tcBorders>
            <w:vAlign w:val="center"/>
            <w:hideMark/>
          </w:tcPr>
          <w:p w:rsidR="00870D42" w:rsidRPr="00676630" w:rsidRDefault="00870D42" w:rsidP="00870D42">
            <w:pPr>
              <w:spacing w:before="0"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Pr>
                <w:rFonts w:eastAsia="Times New Roman"/>
                <w:b/>
                <w:bCs/>
                <w:color w:val="000000"/>
                <w:sz w:val="20"/>
                <w:lang w:eastAsia="lv-LV"/>
              </w:rPr>
              <w:t>33,3</w:t>
            </w:r>
          </w:p>
        </w:tc>
        <w:tc>
          <w:tcPr>
            <w:tcW w:w="851" w:type="dxa"/>
            <w:tcBorders>
              <w:top w:val="single" w:sz="4" w:space="0" w:color="9CC2E5" w:themeColor="accent1" w:themeTint="99"/>
              <w:left w:val="nil"/>
              <w:bottom w:val="single" w:sz="4" w:space="0" w:color="9CC2E5" w:themeColor="accent1" w:themeTint="99"/>
              <w:right w:val="single" w:sz="4" w:space="0" w:color="9CC2E5" w:themeColor="accent1" w:themeTint="99"/>
            </w:tcBorders>
            <w:vAlign w:val="center"/>
            <w:hideMark/>
          </w:tcPr>
          <w:p w:rsidR="00870D42" w:rsidRPr="00676630" w:rsidRDefault="00870D42" w:rsidP="00870D42">
            <w:pPr>
              <w:spacing w:before="0"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Pr>
                <w:rFonts w:eastAsia="Times New Roman"/>
                <w:b/>
                <w:bCs/>
                <w:color w:val="000000"/>
                <w:sz w:val="20"/>
                <w:lang w:eastAsia="lv-LV"/>
              </w:rPr>
              <w:t>162,2</w:t>
            </w:r>
          </w:p>
        </w:tc>
      </w:tr>
      <w:tr w:rsidR="00676630" w:rsidRPr="00676630" w:rsidTr="00C01B0C">
        <w:trPr>
          <w:trHeight w:val="20"/>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rsidR="00676630" w:rsidRPr="00676630" w:rsidRDefault="00676630" w:rsidP="00814E65">
            <w:pPr>
              <w:spacing w:before="0" w:after="0"/>
              <w:ind w:firstLine="0"/>
              <w:jc w:val="left"/>
              <w:rPr>
                <w:b w:val="0"/>
                <w:color w:val="000000" w:themeColor="text1"/>
                <w:sz w:val="22"/>
                <w:lang w:eastAsia="lv-LV"/>
              </w:rPr>
            </w:pPr>
            <w:r w:rsidRPr="00676630">
              <w:rPr>
                <w:b w:val="0"/>
                <w:color w:val="000000" w:themeColor="text1"/>
                <w:sz w:val="22"/>
                <w:lang w:eastAsia="lv-LV"/>
              </w:rPr>
              <w:t xml:space="preserve">1. AS “Latvenergo” dividendes fiskālās telpas palielināšanai </w:t>
            </w:r>
          </w:p>
        </w:tc>
        <w:tc>
          <w:tcPr>
            <w:tcW w:w="709" w:type="dxa"/>
            <w:tcBorders>
              <w:top w:val="single" w:sz="4" w:space="0" w:color="9CC2E5" w:themeColor="accent1" w:themeTint="99"/>
              <w:left w:val="nil"/>
              <w:bottom w:val="single" w:sz="4" w:space="0" w:color="9CC2E5" w:themeColor="accent1" w:themeTint="99"/>
              <w:right w:val="nil"/>
            </w:tcBorders>
            <w:vAlign w:val="center"/>
            <w:hideMark/>
          </w:tcPr>
          <w:p w:rsidR="00676630" w:rsidRPr="00676630" w:rsidRDefault="00676630" w:rsidP="00106440">
            <w:pPr>
              <w:spacing w:before="0" w:after="0"/>
              <w:ind w:firstLine="0"/>
              <w:jc w:val="center"/>
              <w:cnfStyle w:val="000000000000" w:firstRow="0" w:lastRow="0" w:firstColumn="0" w:lastColumn="0" w:oddVBand="0" w:evenVBand="0" w:oddHBand="0" w:evenHBand="0" w:firstRowFirstColumn="0" w:firstRowLastColumn="0" w:lastRowFirstColumn="0" w:lastRowLastColumn="0"/>
              <w:rPr>
                <w:b/>
                <w:color w:val="000000"/>
                <w:sz w:val="22"/>
                <w:lang w:eastAsia="lv-LV"/>
              </w:rPr>
            </w:pPr>
          </w:p>
        </w:tc>
        <w:tc>
          <w:tcPr>
            <w:tcW w:w="850" w:type="dxa"/>
            <w:tcBorders>
              <w:top w:val="single" w:sz="4" w:space="0" w:color="9CC2E5" w:themeColor="accent1" w:themeTint="99"/>
              <w:left w:val="nil"/>
              <w:bottom w:val="single" w:sz="4" w:space="0" w:color="9CC2E5" w:themeColor="accent1" w:themeTint="99"/>
              <w:right w:val="nil"/>
            </w:tcBorders>
            <w:vAlign w:val="center"/>
            <w:hideMark/>
          </w:tcPr>
          <w:p w:rsidR="00676630" w:rsidRPr="00676630" w:rsidRDefault="00676630" w:rsidP="00106440">
            <w:pPr>
              <w:spacing w:before="0"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851" w:type="dxa"/>
            <w:tcBorders>
              <w:top w:val="single" w:sz="4" w:space="0" w:color="9CC2E5" w:themeColor="accent1" w:themeTint="99"/>
              <w:left w:val="nil"/>
              <w:bottom w:val="single" w:sz="4" w:space="0" w:color="9CC2E5" w:themeColor="accent1" w:themeTint="99"/>
              <w:right w:val="single" w:sz="4" w:space="0" w:color="9CC2E5" w:themeColor="accent1" w:themeTint="99"/>
            </w:tcBorders>
            <w:vAlign w:val="center"/>
            <w:hideMark/>
          </w:tcPr>
          <w:p w:rsidR="00676630" w:rsidRPr="00814E65" w:rsidRDefault="00676630" w:rsidP="00106440">
            <w:pPr>
              <w:spacing w:before="0"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2"/>
                <w:lang w:eastAsia="lv-LV"/>
              </w:rPr>
            </w:pPr>
            <w:r w:rsidRPr="00814E65">
              <w:rPr>
                <w:color w:val="000000" w:themeColor="text1"/>
                <w:sz w:val="22"/>
                <w:lang w:eastAsia="lv-LV"/>
              </w:rPr>
              <w:t>68,3</w:t>
            </w:r>
          </w:p>
        </w:tc>
      </w:tr>
      <w:tr w:rsidR="00106440" w:rsidRPr="00676630" w:rsidTr="00C01B0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rsidR="00676630" w:rsidRPr="00676630" w:rsidRDefault="00676630" w:rsidP="00676630">
            <w:pPr>
              <w:spacing w:before="0" w:after="0"/>
              <w:ind w:firstLine="0"/>
              <w:jc w:val="left"/>
              <w:rPr>
                <w:b w:val="0"/>
                <w:color w:val="000000" w:themeColor="text1"/>
                <w:sz w:val="22"/>
                <w:lang w:eastAsia="lv-LV"/>
              </w:rPr>
            </w:pPr>
            <w:r w:rsidRPr="00676630">
              <w:rPr>
                <w:b w:val="0"/>
                <w:color w:val="000000" w:themeColor="text1"/>
                <w:sz w:val="22"/>
                <w:lang w:eastAsia="lv-LV"/>
              </w:rPr>
              <w:t>2. Onkoloģisko slimību ārstēšanai lietojamo parenterāli ievadāmo medikame</w:t>
            </w:r>
            <w:r w:rsidR="00952F77">
              <w:rPr>
                <w:b w:val="0"/>
                <w:color w:val="000000" w:themeColor="text1"/>
                <w:sz w:val="22"/>
                <w:lang w:eastAsia="lv-LV"/>
              </w:rPr>
              <w:t xml:space="preserve">ntu centralizēta iepirkšana </w:t>
            </w:r>
          </w:p>
        </w:tc>
        <w:tc>
          <w:tcPr>
            <w:tcW w:w="709" w:type="dxa"/>
            <w:tcBorders>
              <w:top w:val="single" w:sz="4" w:space="0" w:color="9CC2E5" w:themeColor="accent1" w:themeTint="99"/>
              <w:left w:val="nil"/>
              <w:bottom w:val="single" w:sz="4" w:space="0" w:color="9CC2E5" w:themeColor="accent1" w:themeTint="99"/>
              <w:right w:val="nil"/>
            </w:tcBorders>
            <w:noWrap/>
            <w:vAlign w:val="center"/>
            <w:hideMark/>
          </w:tcPr>
          <w:p w:rsidR="00676630" w:rsidRPr="00676630" w:rsidRDefault="00676630" w:rsidP="00106440">
            <w:pPr>
              <w:spacing w:before="0"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lang w:eastAsia="lv-LV"/>
              </w:rPr>
            </w:pPr>
            <w:r w:rsidRPr="00676630">
              <w:rPr>
                <w:color w:val="000000"/>
                <w:sz w:val="22"/>
                <w:lang w:eastAsia="lv-LV"/>
              </w:rPr>
              <w:t>0,2</w:t>
            </w:r>
          </w:p>
        </w:tc>
        <w:tc>
          <w:tcPr>
            <w:tcW w:w="850" w:type="dxa"/>
            <w:tcBorders>
              <w:top w:val="single" w:sz="4" w:space="0" w:color="9CC2E5" w:themeColor="accent1" w:themeTint="99"/>
              <w:left w:val="nil"/>
              <w:bottom w:val="single" w:sz="4" w:space="0" w:color="9CC2E5" w:themeColor="accent1" w:themeTint="99"/>
              <w:right w:val="nil"/>
            </w:tcBorders>
            <w:noWrap/>
            <w:vAlign w:val="center"/>
            <w:hideMark/>
          </w:tcPr>
          <w:p w:rsidR="00676630" w:rsidRPr="00676630" w:rsidRDefault="00676630" w:rsidP="00106440">
            <w:pPr>
              <w:spacing w:before="0"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lang w:eastAsia="lv-LV"/>
              </w:rPr>
            </w:pPr>
            <w:r w:rsidRPr="00676630">
              <w:rPr>
                <w:color w:val="000000"/>
                <w:sz w:val="22"/>
                <w:lang w:eastAsia="lv-LV"/>
              </w:rPr>
              <w:t>0,3</w:t>
            </w:r>
          </w:p>
        </w:tc>
        <w:tc>
          <w:tcPr>
            <w:tcW w:w="851" w:type="dxa"/>
            <w:tcBorders>
              <w:top w:val="single" w:sz="4" w:space="0" w:color="9CC2E5" w:themeColor="accent1" w:themeTint="99"/>
              <w:left w:val="nil"/>
              <w:bottom w:val="single" w:sz="4" w:space="0" w:color="9CC2E5" w:themeColor="accent1" w:themeTint="99"/>
              <w:right w:val="single" w:sz="4" w:space="0" w:color="9CC2E5" w:themeColor="accent1" w:themeTint="99"/>
            </w:tcBorders>
            <w:noWrap/>
            <w:vAlign w:val="center"/>
            <w:hideMark/>
          </w:tcPr>
          <w:p w:rsidR="00676630" w:rsidRPr="00676630" w:rsidRDefault="00676630" w:rsidP="00106440">
            <w:pPr>
              <w:spacing w:before="0" w:after="0"/>
              <w:ind w:firstLine="0"/>
              <w:jc w:val="center"/>
              <w:cnfStyle w:val="000000100000" w:firstRow="0" w:lastRow="0" w:firstColumn="0" w:lastColumn="0" w:oddVBand="0" w:evenVBand="0" w:oddHBand="1" w:evenHBand="0" w:firstRowFirstColumn="0" w:firstRowLastColumn="0" w:lastRowFirstColumn="0" w:lastRowLastColumn="0"/>
              <w:rPr>
                <w:color w:val="000000"/>
                <w:sz w:val="22"/>
                <w:lang w:eastAsia="lv-LV"/>
              </w:rPr>
            </w:pPr>
            <w:r w:rsidRPr="00676630">
              <w:rPr>
                <w:color w:val="000000"/>
                <w:sz w:val="22"/>
                <w:lang w:eastAsia="lv-LV"/>
              </w:rPr>
              <w:t>0,3</w:t>
            </w:r>
          </w:p>
        </w:tc>
      </w:tr>
      <w:tr w:rsidR="00676630" w:rsidRPr="00676630" w:rsidTr="00C01B0C">
        <w:trPr>
          <w:trHeight w:val="20"/>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rsidR="00676630" w:rsidRPr="00676630" w:rsidRDefault="00676630" w:rsidP="00676630">
            <w:pPr>
              <w:spacing w:before="0" w:after="0"/>
              <w:ind w:firstLine="0"/>
              <w:jc w:val="left"/>
              <w:rPr>
                <w:b w:val="0"/>
                <w:color w:val="000000" w:themeColor="text1"/>
                <w:sz w:val="22"/>
                <w:lang w:eastAsia="lv-LV"/>
              </w:rPr>
            </w:pPr>
            <w:r w:rsidRPr="00676630">
              <w:rPr>
                <w:b w:val="0"/>
                <w:color w:val="000000" w:themeColor="text1"/>
                <w:sz w:val="22"/>
                <w:lang w:eastAsia="lv-LV"/>
              </w:rPr>
              <w:t xml:space="preserve">2. Elektronisko iepirkumu sistēmas medicīnas preču un medikamentu </w:t>
            </w:r>
            <w:r w:rsidR="00952F77">
              <w:rPr>
                <w:b w:val="0"/>
                <w:color w:val="000000" w:themeColor="text1"/>
                <w:sz w:val="22"/>
                <w:lang w:eastAsia="lv-LV"/>
              </w:rPr>
              <w:t>katalogu uzturēšana</w:t>
            </w:r>
          </w:p>
        </w:tc>
        <w:tc>
          <w:tcPr>
            <w:tcW w:w="709" w:type="dxa"/>
            <w:tcBorders>
              <w:top w:val="single" w:sz="4" w:space="0" w:color="9CC2E5" w:themeColor="accent1" w:themeTint="99"/>
              <w:left w:val="nil"/>
              <w:bottom w:val="single" w:sz="4" w:space="0" w:color="9CC2E5" w:themeColor="accent1" w:themeTint="99"/>
              <w:right w:val="nil"/>
            </w:tcBorders>
            <w:noWrap/>
            <w:vAlign w:val="center"/>
            <w:hideMark/>
          </w:tcPr>
          <w:p w:rsidR="00676630" w:rsidRPr="00676630" w:rsidRDefault="00676630" w:rsidP="00106440">
            <w:pPr>
              <w:spacing w:before="0" w:after="0"/>
              <w:ind w:firstLine="0"/>
              <w:jc w:val="center"/>
              <w:cnfStyle w:val="000000000000" w:firstRow="0" w:lastRow="0" w:firstColumn="0" w:lastColumn="0" w:oddVBand="0" w:evenVBand="0" w:oddHBand="0" w:evenHBand="0" w:firstRowFirstColumn="0" w:firstRowLastColumn="0" w:lastRowFirstColumn="0" w:lastRowLastColumn="0"/>
              <w:rPr>
                <w:b/>
                <w:color w:val="212121"/>
                <w:sz w:val="22"/>
                <w:lang w:eastAsia="lv-LV"/>
              </w:rPr>
            </w:pPr>
          </w:p>
        </w:tc>
        <w:tc>
          <w:tcPr>
            <w:tcW w:w="850" w:type="dxa"/>
            <w:tcBorders>
              <w:top w:val="single" w:sz="4" w:space="0" w:color="9CC2E5" w:themeColor="accent1" w:themeTint="99"/>
              <w:left w:val="nil"/>
              <w:bottom w:val="single" w:sz="4" w:space="0" w:color="9CC2E5" w:themeColor="accent1" w:themeTint="99"/>
              <w:right w:val="nil"/>
            </w:tcBorders>
            <w:noWrap/>
            <w:vAlign w:val="center"/>
            <w:hideMark/>
          </w:tcPr>
          <w:p w:rsidR="00676630" w:rsidRPr="00676630" w:rsidRDefault="00676630" w:rsidP="00106440">
            <w:pPr>
              <w:spacing w:before="0"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lang w:eastAsia="lv-LV"/>
              </w:rPr>
            </w:pPr>
            <w:r w:rsidRPr="00676630">
              <w:rPr>
                <w:color w:val="000000"/>
                <w:sz w:val="22"/>
                <w:lang w:eastAsia="lv-LV"/>
              </w:rPr>
              <w:t>0,5</w:t>
            </w:r>
          </w:p>
        </w:tc>
        <w:tc>
          <w:tcPr>
            <w:tcW w:w="851" w:type="dxa"/>
            <w:tcBorders>
              <w:top w:val="single" w:sz="4" w:space="0" w:color="9CC2E5" w:themeColor="accent1" w:themeTint="99"/>
              <w:left w:val="nil"/>
              <w:bottom w:val="single" w:sz="4" w:space="0" w:color="9CC2E5" w:themeColor="accent1" w:themeTint="99"/>
              <w:right w:val="single" w:sz="4" w:space="0" w:color="9CC2E5" w:themeColor="accent1" w:themeTint="99"/>
            </w:tcBorders>
            <w:noWrap/>
            <w:vAlign w:val="center"/>
            <w:hideMark/>
          </w:tcPr>
          <w:p w:rsidR="00676630" w:rsidRPr="00676630" w:rsidRDefault="00676630" w:rsidP="00106440">
            <w:pPr>
              <w:spacing w:before="0" w:after="0"/>
              <w:ind w:firstLine="0"/>
              <w:jc w:val="center"/>
              <w:cnfStyle w:val="000000000000" w:firstRow="0" w:lastRow="0" w:firstColumn="0" w:lastColumn="0" w:oddVBand="0" w:evenVBand="0" w:oddHBand="0" w:evenHBand="0" w:firstRowFirstColumn="0" w:firstRowLastColumn="0" w:lastRowFirstColumn="0" w:lastRowLastColumn="0"/>
              <w:rPr>
                <w:color w:val="000000"/>
                <w:sz w:val="22"/>
                <w:lang w:eastAsia="lv-LV"/>
              </w:rPr>
            </w:pPr>
            <w:r w:rsidRPr="00676630">
              <w:rPr>
                <w:color w:val="000000"/>
                <w:sz w:val="22"/>
                <w:lang w:eastAsia="lv-LV"/>
              </w:rPr>
              <w:t>0,5</w:t>
            </w:r>
          </w:p>
        </w:tc>
      </w:tr>
      <w:tr w:rsidR="00676630" w:rsidRPr="00676630" w:rsidTr="00C01B0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rsidR="00676630" w:rsidRPr="00676630" w:rsidRDefault="00676630" w:rsidP="00676630">
            <w:pPr>
              <w:spacing w:before="0" w:after="0"/>
              <w:ind w:firstLine="0"/>
              <w:jc w:val="left"/>
              <w:rPr>
                <w:color w:val="000000" w:themeColor="text1"/>
                <w:sz w:val="22"/>
                <w:lang w:eastAsia="lv-LV"/>
              </w:rPr>
            </w:pPr>
            <w:r w:rsidRPr="00676630">
              <w:rPr>
                <w:color w:val="000000" w:themeColor="text1"/>
                <w:sz w:val="22"/>
                <w:lang w:eastAsia="lv-LV"/>
              </w:rPr>
              <w:t>Fiskālā telpa, ņemot vērā priekšlikumus</w:t>
            </w:r>
          </w:p>
        </w:tc>
        <w:tc>
          <w:tcPr>
            <w:tcW w:w="709" w:type="dxa"/>
            <w:tcBorders>
              <w:top w:val="single" w:sz="4" w:space="0" w:color="9CC2E5" w:themeColor="accent1" w:themeTint="99"/>
              <w:left w:val="nil"/>
              <w:bottom w:val="single" w:sz="4" w:space="0" w:color="9CC2E5" w:themeColor="accent1" w:themeTint="99"/>
              <w:right w:val="nil"/>
            </w:tcBorders>
            <w:vAlign w:val="center"/>
            <w:hideMark/>
          </w:tcPr>
          <w:p w:rsidR="00676630" w:rsidRPr="00676630" w:rsidRDefault="00952F77" w:rsidP="00A77D01">
            <w:pPr>
              <w:spacing w:before="0"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Pr>
                <w:b/>
                <w:bCs/>
                <w:color w:val="000000"/>
                <w:sz w:val="20"/>
                <w:lang w:eastAsia="lv-LV"/>
              </w:rPr>
              <w:t>81</w:t>
            </w:r>
            <w:r w:rsidR="00870D42">
              <w:rPr>
                <w:b/>
                <w:bCs/>
                <w:color w:val="000000"/>
                <w:sz w:val="20"/>
                <w:lang w:eastAsia="lv-LV"/>
              </w:rPr>
              <w:t>,0</w:t>
            </w:r>
          </w:p>
        </w:tc>
        <w:tc>
          <w:tcPr>
            <w:tcW w:w="850" w:type="dxa"/>
            <w:tcBorders>
              <w:top w:val="single" w:sz="4" w:space="0" w:color="9CC2E5" w:themeColor="accent1" w:themeTint="99"/>
              <w:left w:val="nil"/>
              <w:bottom w:val="single" w:sz="4" w:space="0" w:color="9CC2E5" w:themeColor="accent1" w:themeTint="99"/>
              <w:right w:val="nil"/>
            </w:tcBorders>
            <w:vAlign w:val="center"/>
            <w:hideMark/>
          </w:tcPr>
          <w:p w:rsidR="00676630" w:rsidRPr="00676630" w:rsidRDefault="00952F77" w:rsidP="00106440">
            <w:pPr>
              <w:spacing w:before="0"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Pr>
                <w:b/>
                <w:bCs/>
                <w:color w:val="000000"/>
                <w:sz w:val="20"/>
                <w:lang w:eastAsia="lv-LV"/>
              </w:rPr>
              <w:t>34,1</w:t>
            </w:r>
          </w:p>
        </w:tc>
        <w:tc>
          <w:tcPr>
            <w:tcW w:w="851" w:type="dxa"/>
            <w:tcBorders>
              <w:top w:val="single" w:sz="4" w:space="0" w:color="9CC2E5" w:themeColor="accent1" w:themeTint="99"/>
              <w:left w:val="nil"/>
              <w:bottom w:val="single" w:sz="4" w:space="0" w:color="9CC2E5" w:themeColor="accent1" w:themeTint="99"/>
              <w:right w:val="single" w:sz="4" w:space="0" w:color="9CC2E5" w:themeColor="accent1" w:themeTint="99"/>
            </w:tcBorders>
            <w:vAlign w:val="center"/>
            <w:hideMark/>
          </w:tcPr>
          <w:p w:rsidR="00676630" w:rsidRPr="00676630" w:rsidRDefault="00952F77" w:rsidP="00952F77">
            <w:pPr>
              <w:spacing w:before="0"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Pr>
                <w:b/>
                <w:bCs/>
                <w:color w:val="000000"/>
                <w:sz w:val="20"/>
                <w:lang w:eastAsia="lv-LV"/>
              </w:rPr>
              <w:t>231,2</w:t>
            </w:r>
          </w:p>
        </w:tc>
      </w:tr>
    </w:tbl>
    <w:p w:rsidR="00676630" w:rsidRDefault="00676630" w:rsidP="00AA4F02">
      <w:pPr>
        <w:spacing w:before="0" w:after="0"/>
        <w:rPr>
          <w:b/>
          <w:i/>
          <w:sz w:val="24"/>
          <w:szCs w:val="28"/>
        </w:rPr>
      </w:pPr>
    </w:p>
    <w:p w:rsidR="00882D70" w:rsidRDefault="003A550E">
      <w:pPr>
        <w:rPr>
          <w:sz w:val="24"/>
          <w:szCs w:val="28"/>
        </w:rPr>
      </w:pPr>
      <w:r>
        <w:rPr>
          <w:sz w:val="24"/>
          <w:szCs w:val="28"/>
        </w:rPr>
        <w:t xml:space="preserve">Ņemot vērā minēto Ministru kabineta </w:t>
      </w:r>
      <w:r w:rsidRPr="00C01B0C">
        <w:rPr>
          <w:sz w:val="24"/>
          <w:szCs w:val="28"/>
        </w:rPr>
        <w:t xml:space="preserve">protokollēmuma projekts paredz pieņemt zināšanai fiskālās telpas apjomu vispārējās valdības </w:t>
      </w:r>
      <w:r w:rsidRPr="00952F77">
        <w:rPr>
          <w:sz w:val="24"/>
          <w:szCs w:val="28"/>
        </w:rPr>
        <w:t xml:space="preserve">budžetā 2018.gadā </w:t>
      </w:r>
      <w:r w:rsidR="00952F77">
        <w:rPr>
          <w:sz w:val="24"/>
          <w:szCs w:val="28"/>
        </w:rPr>
        <w:t>81,0</w:t>
      </w:r>
      <w:r w:rsidR="00C01B0C" w:rsidRPr="00952F77">
        <w:rPr>
          <w:sz w:val="24"/>
          <w:szCs w:val="28"/>
        </w:rPr>
        <w:t xml:space="preserve"> </w:t>
      </w:r>
      <w:r w:rsidRPr="00952F77">
        <w:rPr>
          <w:sz w:val="24"/>
          <w:szCs w:val="28"/>
        </w:rPr>
        <w:t xml:space="preserve">milj. </w:t>
      </w:r>
      <w:r w:rsidRPr="00952F77">
        <w:rPr>
          <w:i/>
          <w:sz w:val="24"/>
          <w:szCs w:val="28"/>
        </w:rPr>
        <w:t>euro</w:t>
      </w:r>
      <w:r w:rsidRPr="00952F77">
        <w:rPr>
          <w:sz w:val="24"/>
          <w:szCs w:val="28"/>
        </w:rPr>
        <w:t xml:space="preserve">, 2019.gadā </w:t>
      </w:r>
      <w:r w:rsidR="00952F77">
        <w:rPr>
          <w:sz w:val="24"/>
          <w:szCs w:val="28"/>
        </w:rPr>
        <w:t>34,1</w:t>
      </w:r>
      <w:r w:rsidRPr="00952F77">
        <w:rPr>
          <w:sz w:val="24"/>
          <w:szCs w:val="28"/>
        </w:rPr>
        <w:t xml:space="preserve"> milj. </w:t>
      </w:r>
      <w:r w:rsidRPr="00952F77">
        <w:rPr>
          <w:i/>
          <w:sz w:val="24"/>
          <w:szCs w:val="28"/>
        </w:rPr>
        <w:t>euro</w:t>
      </w:r>
      <w:r w:rsidRPr="00952F77">
        <w:rPr>
          <w:sz w:val="24"/>
          <w:szCs w:val="28"/>
        </w:rPr>
        <w:t xml:space="preserve"> un 2020.gadā </w:t>
      </w:r>
      <w:r w:rsidR="00952F77">
        <w:rPr>
          <w:sz w:val="24"/>
          <w:szCs w:val="28"/>
        </w:rPr>
        <w:t>231,2</w:t>
      </w:r>
      <w:r w:rsidRPr="00952F77">
        <w:rPr>
          <w:sz w:val="24"/>
          <w:szCs w:val="28"/>
        </w:rPr>
        <w:t xml:space="preserve"> milj. </w:t>
      </w:r>
      <w:r w:rsidRPr="00952F77">
        <w:rPr>
          <w:i/>
          <w:sz w:val="24"/>
          <w:szCs w:val="28"/>
        </w:rPr>
        <w:t>euro</w:t>
      </w:r>
      <w:r w:rsidR="00952F77">
        <w:rPr>
          <w:sz w:val="24"/>
          <w:szCs w:val="28"/>
        </w:rPr>
        <w:t>.</w:t>
      </w:r>
    </w:p>
    <w:p w:rsidR="00A532BD" w:rsidRDefault="00DB31CE" w:rsidP="00A532BD">
      <w:pPr>
        <w:rPr>
          <w:sz w:val="24"/>
          <w:szCs w:val="28"/>
        </w:rPr>
      </w:pPr>
      <w:r>
        <w:rPr>
          <w:sz w:val="24"/>
          <w:szCs w:val="28"/>
        </w:rPr>
        <w:t xml:space="preserve">Vienlaicīgi ar fiskālās telpas apstiprināšanu ir </w:t>
      </w:r>
      <w:r w:rsidR="00641968">
        <w:rPr>
          <w:sz w:val="24"/>
          <w:szCs w:val="28"/>
        </w:rPr>
        <w:t>nepieciešams</w:t>
      </w:r>
      <w:r>
        <w:rPr>
          <w:sz w:val="24"/>
          <w:szCs w:val="28"/>
        </w:rPr>
        <w:t xml:space="preserve"> pieņemt citus </w:t>
      </w:r>
      <w:r w:rsidRPr="00DB31CE">
        <w:rPr>
          <w:sz w:val="24"/>
          <w:szCs w:val="28"/>
        </w:rPr>
        <w:t xml:space="preserve">ar valsts </w:t>
      </w:r>
      <w:r>
        <w:rPr>
          <w:sz w:val="24"/>
          <w:szCs w:val="28"/>
        </w:rPr>
        <w:t>budžeta likumprojektu saistītus lēmumus.</w:t>
      </w:r>
    </w:p>
    <w:p w:rsidR="00A532BD" w:rsidRPr="00952F77" w:rsidRDefault="00A532BD" w:rsidP="00A532BD">
      <w:pPr>
        <w:rPr>
          <w:sz w:val="24"/>
        </w:rPr>
      </w:pPr>
      <w:r w:rsidRPr="00952F77">
        <w:rPr>
          <w:sz w:val="24"/>
        </w:rPr>
        <w:t xml:space="preserve">Saeimā 2017.gada 27.jūlijā tika pieņemts likums "Grozījumi likumā "Par valsts sociālo apdrošināšanu"", kas tostarp paredz, ka, ja autoratlīdzības saņēmēja ienākumi no autoratlīdzības sasniedz vai pārsniedz minimālās algas apmēru, autoratlīdzības saņēmējam jāveic valsts sociālās apdrošināšanas iemaksas kā pašnodarbinātajam. Tas nozīmē, ka autoratlīdzības saņēmējam ir jāreģistrē Valsts ieņēmumu dienestā saimnieciskā darbība, jāveic ienākumu un izdevumu uzskaite, kā arī </w:t>
      </w:r>
      <w:r w:rsidR="00641968" w:rsidRPr="00952F77">
        <w:rPr>
          <w:sz w:val="24"/>
        </w:rPr>
        <w:t>ceturkšņos</w:t>
      </w:r>
      <w:r w:rsidRPr="00952F77">
        <w:rPr>
          <w:sz w:val="24"/>
        </w:rPr>
        <w:t xml:space="preserve">, kad ienākumi sasniedz vai pārsniedz minimālās algas apmēru, jāsniedz ziņojums par pašnodarbinātā valsts sociālās apdrošināšanas iemaksām. Tādejādi ievērojami palielināsies administratīvais slogs autoratlīdzību saņēmējiem. Lai nodrošinātu, ka autoratlīdzību saņēmēju administratīvais slogs nepalielinātos, tanī pat laikā saglabājot autoratlīdzību saņēmēju sociālo nodrošinājumu, nepieciešams veikt grozījumus likumā "Par valsts sociālo apdrošināšanu". Ņemot vērā minēto Ministru kabineta protokollēmuma projektā tiek uzdots Labklājības ministrijai veikt grozījumus likumā “Par valsts sociālo apdrošināšanu”, precizējot normas par autoratlīdzības saņēmējiem, kā arī noteikts, ka Labklājības ministrijai jānodrošina, ka minētajiem grozījumiem nav negatīva fiskālā ietekme uz vispārējās valdības budžeta bilanci. </w:t>
      </w:r>
    </w:p>
    <w:p w:rsidR="00A532BD" w:rsidRPr="00952F77" w:rsidRDefault="00A532BD" w:rsidP="00A532BD">
      <w:pPr>
        <w:rPr>
          <w:sz w:val="24"/>
        </w:rPr>
      </w:pPr>
      <w:r w:rsidRPr="00952F77">
        <w:rPr>
          <w:sz w:val="24"/>
        </w:rPr>
        <w:t>Tāpat Ministru kabineta protokollēmuma projektā tiek uzdots Labklājības ministrijai veikt grozījumus Valsts fondēto pensiju likumā, pamatojoties uz 2017.gada 28.februārī Ministru kabineta sēdē apstiprinātā plāna „Finanšu sektora attīstības plāns 2017.-2019.gadam” 3.3.3.punktu, kas paredz izvērtēt iespējas valsts fondēto pensiju regulējuma pārskatīšanai, lai veicinātu ieguldījumus kapitāla tirgū, tai skaitā attiecībā uz pensiju fondu ieguldījumu limitiem, plānu maiņas termiņiem, pārvaldnieku komisijas maksām. Izmaiņas komisijas maksās tiešā veidā ietekmē valsts fondēto pensiju shēmas aktīvu apjomu un dalībnieku nākotnes pensiju apmēru.</w:t>
      </w:r>
    </w:p>
    <w:p w:rsidR="00A532BD" w:rsidRPr="00952F77" w:rsidRDefault="00A532BD" w:rsidP="00A532BD">
      <w:pPr>
        <w:rPr>
          <w:rFonts w:cs="Times New Roman"/>
          <w:sz w:val="24"/>
        </w:rPr>
      </w:pPr>
    </w:p>
    <w:p w:rsidR="00A76E3C" w:rsidRDefault="00A76E3C" w:rsidP="00882D70">
      <w:pPr>
        <w:ind w:firstLine="0"/>
        <w:rPr>
          <w:sz w:val="22"/>
          <w:szCs w:val="28"/>
        </w:rPr>
      </w:pPr>
    </w:p>
    <w:p w:rsidR="00A76E3C" w:rsidRDefault="00A76E3C" w:rsidP="00A76E3C">
      <w:pPr>
        <w:tabs>
          <w:tab w:val="left" w:pos="4120"/>
          <w:tab w:val="right" w:pos="9072"/>
        </w:tabs>
        <w:spacing w:before="0" w:after="0"/>
        <w:ind w:firstLine="0"/>
        <w:jc w:val="left"/>
        <w:rPr>
          <w:bCs/>
          <w:noProof/>
          <w:szCs w:val="28"/>
        </w:rPr>
      </w:pPr>
      <w:r>
        <w:rPr>
          <w:bCs/>
          <w:szCs w:val="28"/>
        </w:rPr>
        <w:t>Finanšu ministre</w:t>
      </w:r>
      <w:r>
        <w:rPr>
          <w:bCs/>
          <w:szCs w:val="28"/>
        </w:rPr>
        <w:tab/>
      </w:r>
      <w:r>
        <w:rPr>
          <w:bCs/>
          <w:szCs w:val="28"/>
        </w:rPr>
        <w:tab/>
      </w:r>
      <w:r>
        <w:rPr>
          <w:bCs/>
          <w:noProof/>
          <w:szCs w:val="28"/>
        </w:rPr>
        <w:t>D.Reizniece-Ozola</w:t>
      </w:r>
    </w:p>
    <w:p w:rsidR="00A76E3C" w:rsidRDefault="00A76E3C"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DE3C02" w:rsidRDefault="00DE3C02" w:rsidP="00A76E3C">
      <w:pPr>
        <w:tabs>
          <w:tab w:val="right" w:pos="9072"/>
        </w:tabs>
        <w:spacing w:before="0" w:after="0"/>
        <w:ind w:firstLine="0"/>
        <w:jc w:val="left"/>
        <w:rPr>
          <w:bCs/>
          <w:szCs w:val="28"/>
        </w:rPr>
      </w:pPr>
    </w:p>
    <w:p w:rsidR="00DE3C02" w:rsidRDefault="00DE3C02" w:rsidP="00A76E3C">
      <w:pPr>
        <w:tabs>
          <w:tab w:val="right" w:pos="9072"/>
        </w:tabs>
        <w:spacing w:before="0" w:after="0"/>
        <w:ind w:firstLine="0"/>
        <w:jc w:val="left"/>
        <w:rPr>
          <w:bCs/>
          <w:szCs w:val="28"/>
        </w:rPr>
      </w:pPr>
    </w:p>
    <w:p w:rsidR="00A76E3C" w:rsidRDefault="00A76E3C" w:rsidP="00A76E3C">
      <w:pPr>
        <w:tabs>
          <w:tab w:val="right" w:pos="9072"/>
        </w:tabs>
        <w:spacing w:before="0" w:after="0"/>
        <w:ind w:firstLine="0"/>
        <w:jc w:val="left"/>
        <w:rPr>
          <w:bCs/>
          <w:szCs w:val="28"/>
        </w:rPr>
      </w:pPr>
    </w:p>
    <w:p w:rsidR="00DE3C02" w:rsidRDefault="00DE3C02" w:rsidP="00DE3C02">
      <w:pPr>
        <w:spacing w:before="0" w:after="0"/>
        <w:ind w:firstLine="0"/>
        <w:rPr>
          <w:color w:val="000000"/>
          <w:sz w:val="20"/>
          <w:szCs w:val="20"/>
        </w:rPr>
      </w:pPr>
      <w:r w:rsidRPr="00571D45">
        <w:rPr>
          <w:color w:val="000000"/>
          <w:sz w:val="20"/>
          <w:szCs w:val="20"/>
        </w:rPr>
        <w:t>Ozoliņa</w:t>
      </w:r>
      <w:r>
        <w:rPr>
          <w:color w:val="000000"/>
          <w:sz w:val="20"/>
          <w:szCs w:val="20"/>
        </w:rPr>
        <w:t xml:space="preserve">, </w:t>
      </w:r>
      <w:r w:rsidRPr="00571D45">
        <w:rPr>
          <w:color w:val="000000"/>
          <w:sz w:val="20"/>
          <w:szCs w:val="20"/>
        </w:rPr>
        <w:t>67083823</w:t>
      </w:r>
    </w:p>
    <w:p w:rsidR="00A76E3C" w:rsidRPr="00A532BD" w:rsidRDefault="00DE3C02" w:rsidP="00A532BD">
      <w:pPr>
        <w:spacing w:before="0" w:after="0"/>
        <w:ind w:firstLine="0"/>
        <w:rPr>
          <w:color w:val="000000"/>
          <w:sz w:val="20"/>
          <w:szCs w:val="20"/>
        </w:rPr>
      </w:pPr>
      <w:r w:rsidRPr="00840FC2">
        <w:rPr>
          <w:sz w:val="20"/>
          <w:szCs w:val="20"/>
        </w:rPr>
        <w:t>Liga.Ozolina@fm.gov.lv</w:t>
      </w:r>
    </w:p>
    <w:sectPr w:rsidR="00A76E3C" w:rsidRPr="00A532BD" w:rsidSect="00A532BD">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9D" w:rsidRDefault="0089319D" w:rsidP="00A532BD">
      <w:pPr>
        <w:spacing w:before="0" w:after="0"/>
      </w:pPr>
      <w:r>
        <w:separator/>
      </w:r>
    </w:p>
  </w:endnote>
  <w:endnote w:type="continuationSeparator" w:id="0">
    <w:p w:rsidR="0089319D" w:rsidRDefault="0089319D" w:rsidP="00A532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BD" w:rsidRPr="00A532BD" w:rsidRDefault="00A532BD" w:rsidP="00A532BD">
    <w:pPr>
      <w:pStyle w:val="Footer"/>
      <w:ind w:firstLine="0"/>
      <w:rPr>
        <w:sz w:val="20"/>
      </w:rPr>
    </w:pPr>
    <w:r w:rsidRPr="00A532BD">
      <w:rPr>
        <w:sz w:val="20"/>
      </w:rPr>
      <w:fldChar w:fldCharType="begin"/>
    </w:r>
    <w:r w:rsidRPr="00A532BD">
      <w:rPr>
        <w:sz w:val="20"/>
      </w:rPr>
      <w:instrText xml:space="preserve"> FILENAME   \* MERGEFORMAT </w:instrText>
    </w:r>
    <w:r w:rsidRPr="00A532BD">
      <w:rPr>
        <w:sz w:val="20"/>
      </w:rPr>
      <w:fldChar w:fldCharType="separate"/>
    </w:r>
    <w:r w:rsidR="002C3BC8">
      <w:rPr>
        <w:noProof/>
        <w:sz w:val="20"/>
      </w:rPr>
      <w:t>FMzin_29082017_fisk.docx</w:t>
    </w:r>
    <w:r w:rsidRPr="00A532BD">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BD" w:rsidRPr="00A532BD" w:rsidRDefault="00A532BD" w:rsidP="00A532BD">
    <w:pPr>
      <w:pStyle w:val="Footer"/>
      <w:ind w:firstLine="0"/>
      <w:rPr>
        <w:sz w:val="20"/>
      </w:rPr>
    </w:pPr>
    <w:r w:rsidRPr="00A532BD">
      <w:rPr>
        <w:sz w:val="20"/>
      </w:rPr>
      <w:fldChar w:fldCharType="begin"/>
    </w:r>
    <w:r w:rsidRPr="00A532BD">
      <w:rPr>
        <w:sz w:val="20"/>
      </w:rPr>
      <w:instrText xml:space="preserve"> FILENAME   \* MERGEFORMAT </w:instrText>
    </w:r>
    <w:r w:rsidRPr="00A532BD">
      <w:rPr>
        <w:sz w:val="20"/>
      </w:rPr>
      <w:fldChar w:fldCharType="separate"/>
    </w:r>
    <w:r w:rsidR="002C3BC8">
      <w:rPr>
        <w:noProof/>
        <w:sz w:val="20"/>
      </w:rPr>
      <w:t>FMzin_29082017_fisk.docx</w:t>
    </w:r>
    <w:r w:rsidRPr="00A532B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9D" w:rsidRDefault="0089319D" w:rsidP="00A532BD">
      <w:pPr>
        <w:spacing w:before="0" w:after="0"/>
      </w:pPr>
      <w:r>
        <w:separator/>
      </w:r>
    </w:p>
  </w:footnote>
  <w:footnote w:type="continuationSeparator" w:id="0">
    <w:p w:rsidR="0089319D" w:rsidRDefault="0089319D" w:rsidP="00A532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898568"/>
      <w:docPartObj>
        <w:docPartGallery w:val="Page Numbers (Top of Page)"/>
        <w:docPartUnique/>
      </w:docPartObj>
    </w:sdtPr>
    <w:sdtEndPr>
      <w:rPr>
        <w:noProof/>
        <w:sz w:val="20"/>
      </w:rPr>
    </w:sdtEndPr>
    <w:sdtContent>
      <w:p w:rsidR="00A532BD" w:rsidRPr="00A532BD" w:rsidRDefault="00A532BD">
        <w:pPr>
          <w:pStyle w:val="Header"/>
          <w:jc w:val="center"/>
          <w:rPr>
            <w:sz w:val="20"/>
          </w:rPr>
        </w:pPr>
        <w:r w:rsidRPr="00A532BD">
          <w:rPr>
            <w:sz w:val="20"/>
          </w:rPr>
          <w:fldChar w:fldCharType="begin"/>
        </w:r>
        <w:r w:rsidRPr="00A532BD">
          <w:rPr>
            <w:sz w:val="20"/>
          </w:rPr>
          <w:instrText xml:space="preserve"> PAGE   \* MERGEFORMAT </w:instrText>
        </w:r>
        <w:r w:rsidRPr="00A532BD">
          <w:rPr>
            <w:sz w:val="20"/>
          </w:rPr>
          <w:fldChar w:fldCharType="separate"/>
        </w:r>
        <w:r w:rsidR="002C3BC8">
          <w:rPr>
            <w:noProof/>
            <w:sz w:val="20"/>
          </w:rPr>
          <w:t>2</w:t>
        </w:r>
        <w:r w:rsidRPr="00A532BD">
          <w:rPr>
            <w:noProof/>
            <w:sz w:val="20"/>
          </w:rPr>
          <w:fldChar w:fldCharType="end"/>
        </w:r>
      </w:p>
    </w:sdtContent>
  </w:sdt>
  <w:p w:rsidR="00A532BD" w:rsidRDefault="00A5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5CBA"/>
    <w:multiLevelType w:val="hybridMultilevel"/>
    <w:tmpl w:val="498E5C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284EC8"/>
    <w:multiLevelType w:val="hybridMultilevel"/>
    <w:tmpl w:val="D4B268F0"/>
    <w:lvl w:ilvl="0" w:tplc="41A6123C">
      <w:start w:val="1"/>
      <w:numFmt w:val="decimal"/>
      <w:lvlText w:val="%1."/>
      <w:lvlJc w:val="left"/>
      <w:pPr>
        <w:ind w:left="720" w:hanging="360"/>
      </w:pPr>
      <w:rPr>
        <w:rFonts w:ascii="Times New Roman" w:eastAsia="Times New Roman" w:hAnsi="Times New Roman" w:cs="Times New Roman"/>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98"/>
    <w:rsid w:val="000D7C5C"/>
    <w:rsid w:val="00106440"/>
    <w:rsid w:val="00107F10"/>
    <w:rsid w:val="001B0995"/>
    <w:rsid w:val="001E10C7"/>
    <w:rsid w:val="0028039E"/>
    <w:rsid w:val="00287B27"/>
    <w:rsid w:val="002A3898"/>
    <w:rsid w:val="002A6BC1"/>
    <w:rsid w:val="002B4B9A"/>
    <w:rsid w:val="002C3BC8"/>
    <w:rsid w:val="002F0B6C"/>
    <w:rsid w:val="00312B9E"/>
    <w:rsid w:val="00326F8C"/>
    <w:rsid w:val="003272AF"/>
    <w:rsid w:val="00380E45"/>
    <w:rsid w:val="00384188"/>
    <w:rsid w:val="003A33E9"/>
    <w:rsid w:val="003A550E"/>
    <w:rsid w:val="003B43F8"/>
    <w:rsid w:val="003D7D0C"/>
    <w:rsid w:val="0040563D"/>
    <w:rsid w:val="004250D0"/>
    <w:rsid w:val="00474901"/>
    <w:rsid w:val="00486BF9"/>
    <w:rsid w:val="005A5EE5"/>
    <w:rsid w:val="005B4A8D"/>
    <w:rsid w:val="005C7CBE"/>
    <w:rsid w:val="00635A14"/>
    <w:rsid w:val="00641968"/>
    <w:rsid w:val="00676630"/>
    <w:rsid w:val="006A0568"/>
    <w:rsid w:val="006A5A75"/>
    <w:rsid w:val="006C04FA"/>
    <w:rsid w:val="00725AE1"/>
    <w:rsid w:val="00725F03"/>
    <w:rsid w:val="00730DA2"/>
    <w:rsid w:val="00744579"/>
    <w:rsid w:val="00777B7A"/>
    <w:rsid w:val="00814E65"/>
    <w:rsid w:val="00870D42"/>
    <w:rsid w:val="00882D70"/>
    <w:rsid w:val="00885889"/>
    <w:rsid w:val="008871F0"/>
    <w:rsid w:val="0089319D"/>
    <w:rsid w:val="008A6790"/>
    <w:rsid w:val="008B4B51"/>
    <w:rsid w:val="009023F6"/>
    <w:rsid w:val="00952F77"/>
    <w:rsid w:val="009B6AEA"/>
    <w:rsid w:val="009C239B"/>
    <w:rsid w:val="009F167A"/>
    <w:rsid w:val="00A23BA7"/>
    <w:rsid w:val="00A532BD"/>
    <w:rsid w:val="00A67808"/>
    <w:rsid w:val="00A74B6C"/>
    <w:rsid w:val="00A76E3C"/>
    <w:rsid w:val="00A77D01"/>
    <w:rsid w:val="00AA4F02"/>
    <w:rsid w:val="00AD145A"/>
    <w:rsid w:val="00B00C7E"/>
    <w:rsid w:val="00B31ABF"/>
    <w:rsid w:val="00B60DB1"/>
    <w:rsid w:val="00B744F5"/>
    <w:rsid w:val="00BD70A9"/>
    <w:rsid w:val="00BE489C"/>
    <w:rsid w:val="00BF747F"/>
    <w:rsid w:val="00C01B0C"/>
    <w:rsid w:val="00C41DB0"/>
    <w:rsid w:val="00C93B9C"/>
    <w:rsid w:val="00CB1D8A"/>
    <w:rsid w:val="00CB4B76"/>
    <w:rsid w:val="00CF0E16"/>
    <w:rsid w:val="00CF74D8"/>
    <w:rsid w:val="00D0434F"/>
    <w:rsid w:val="00D868EF"/>
    <w:rsid w:val="00DB31CE"/>
    <w:rsid w:val="00DE3C02"/>
    <w:rsid w:val="00DF4F5C"/>
    <w:rsid w:val="00E16248"/>
    <w:rsid w:val="00E17B0F"/>
    <w:rsid w:val="00E45FE4"/>
    <w:rsid w:val="00EE1447"/>
    <w:rsid w:val="00F34E6D"/>
    <w:rsid w:val="00FC21DA"/>
    <w:rsid w:val="00FC59CE"/>
    <w:rsid w:val="00FD3786"/>
    <w:rsid w:val="00FD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D400"/>
  <w15:chartTrackingRefBased/>
  <w15:docId w15:val="{35C58A00-F3D5-46E9-88C2-D3F3EF65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98"/>
    <w:pPr>
      <w:spacing w:before="120" w:after="1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rsid w:val="00287B27"/>
    <w:pPr>
      <w:spacing w:after="40"/>
      <w:ind w:firstLine="0"/>
    </w:pPr>
    <w:rPr>
      <w:rFonts w:ascii="Garamond" w:eastAsia="Times New Roman" w:hAnsi="Garamond" w:cs="Times New Roman"/>
      <w:kern w:val="24"/>
      <w:szCs w:val="20"/>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882D70"/>
    <w:rPr>
      <w:rFonts w:eastAsia="Times New Roman" w:cs="Times New Roman"/>
      <w:sz w:val="28"/>
      <w:szCs w:val="24"/>
      <w:lang w:eastAsia="lv-LV"/>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882D70"/>
    <w:pPr>
      <w:spacing w:before="0" w:after="0"/>
      <w:ind w:left="720" w:firstLine="0"/>
      <w:contextualSpacing/>
      <w:jc w:val="left"/>
    </w:pPr>
    <w:rPr>
      <w:rFonts w:eastAsia="Times New Roman" w:cs="Times New Roman"/>
      <w:szCs w:val="24"/>
      <w:lang w:eastAsia="lv-LV"/>
    </w:rPr>
  </w:style>
  <w:style w:type="character" w:styleId="CommentReference">
    <w:name w:val="annotation reference"/>
    <w:basedOn w:val="DefaultParagraphFont"/>
    <w:uiPriority w:val="99"/>
    <w:semiHidden/>
    <w:unhideWhenUsed/>
    <w:rsid w:val="00882D70"/>
    <w:rPr>
      <w:sz w:val="16"/>
      <w:szCs w:val="16"/>
    </w:rPr>
  </w:style>
  <w:style w:type="paragraph" w:styleId="CommentText">
    <w:name w:val="annotation text"/>
    <w:basedOn w:val="Normal"/>
    <w:link w:val="CommentTextChar"/>
    <w:uiPriority w:val="99"/>
    <w:semiHidden/>
    <w:unhideWhenUsed/>
    <w:rsid w:val="00882D70"/>
    <w:rPr>
      <w:sz w:val="20"/>
      <w:szCs w:val="20"/>
    </w:rPr>
  </w:style>
  <w:style w:type="character" w:customStyle="1" w:styleId="CommentTextChar">
    <w:name w:val="Comment Text Char"/>
    <w:basedOn w:val="DefaultParagraphFont"/>
    <w:link w:val="CommentText"/>
    <w:uiPriority w:val="99"/>
    <w:semiHidden/>
    <w:rsid w:val="00882D70"/>
    <w:rPr>
      <w:sz w:val="20"/>
      <w:szCs w:val="20"/>
    </w:rPr>
  </w:style>
  <w:style w:type="paragraph" w:styleId="CommentSubject">
    <w:name w:val="annotation subject"/>
    <w:basedOn w:val="CommentText"/>
    <w:next w:val="CommentText"/>
    <w:link w:val="CommentSubjectChar"/>
    <w:uiPriority w:val="99"/>
    <w:semiHidden/>
    <w:unhideWhenUsed/>
    <w:rsid w:val="00882D70"/>
    <w:rPr>
      <w:b/>
      <w:bCs/>
    </w:rPr>
  </w:style>
  <w:style w:type="character" w:customStyle="1" w:styleId="CommentSubjectChar">
    <w:name w:val="Comment Subject Char"/>
    <w:basedOn w:val="CommentTextChar"/>
    <w:link w:val="CommentSubject"/>
    <w:uiPriority w:val="99"/>
    <w:semiHidden/>
    <w:rsid w:val="00882D70"/>
    <w:rPr>
      <w:b/>
      <w:bCs/>
      <w:sz w:val="20"/>
      <w:szCs w:val="20"/>
    </w:rPr>
  </w:style>
  <w:style w:type="paragraph" w:styleId="BalloonText">
    <w:name w:val="Balloon Text"/>
    <w:basedOn w:val="Normal"/>
    <w:link w:val="BalloonTextChar"/>
    <w:uiPriority w:val="99"/>
    <w:semiHidden/>
    <w:unhideWhenUsed/>
    <w:rsid w:val="00882D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0"/>
    <w:rPr>
      <w:rFonts w:ascii="Segoe UI" w:hAnsi="Segoe UI" w:cs="Segoe UI"/>
      <w:sz w:val="18"/>
      <w:szCs w:val="18"/>
    </w:rPr>
  </w:style>
  <w:style w:type="table" w:styleId="GridTable5Dark-Accent1">
    <w:name w:val="Grid Table 5 Dark Accent 1"/>
    <w:basedOn w:val="TableNormal"/>
    <w:uiPriority w:val="50"/>
    <w:rsid w:val="00CF0E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uiPriority w:val="99"/>
    <w:semiHidden/>
    <w:unhideWhenUsed/>
    <w:rsid w:val="00A76E3C"/>
    <w:rPr>
      <w:rFonts w:ascii="Garamond" w:hAnsi="Garamond" w:hint="default"/>
      <w:noProof w:val="0"/>
      <w:color w:val="0000FF"/>
      <w:u w:val="single"/>
      <w:lang w:val="lv-LV"/>
    </w:rPr>
  </w:style>
  <w:style w:type="character" w:styleId="HTMLTypewriter">
    <w:name w:val="HTML Typewriter"/>
    <w:basedOn w:val="DefaultParagraphFont"/>
    <w:uiPriority w:val="99"/>
    <w:semiHidden/>
    <w:unhideWhenUsed/>
    <w:rsid w:val="004250D0"/>
    <w:rPr>
      <w:rFonts w:ascii="Courier New" w:eastAsiaTheme="minorHAnsi" w:hAnsi="Courier New" w:cs="Courier New" w:hint="default"/>
      <w:sz w:val="20"/>
      <w:szCs w:val="20"/>
    </w:rPr>
  </w:style>
  <w:style w:type="paragraph" w:styleId="Header">
    <w:name w:val="header"/>
    <w:basedOn w:val="Normal"/>
    <w:link w:val="HeaderChar"/>
    <w:uiPriority w:val="99"/>
    <w:unhideWhenUsed/>
    <w:rsid w:val="00A532BD"/>
    <w:pPr>
      <w:tabs>
        <w:tab w:val="center" w:pos="4153"/>
        <w:tab w:val="right" w:pos="8306"/>
      </w:tabs>
      <w:spacing w:before="0" w:after="0"/>
    </w:pPr>
  </w:style>
  <w:style w:type="character" w:customStyle="1" w:styleId="HeaderChar">
    <w:name w:val="Header Char"/>
    <w:basedOn w:val="DefaultParagraphFont"/>
    <w:link w:val="Header"/>
    <w:uiPriority w:val="99"/>
    <w:rsid w:val="00A532BD"/>
    <w:rPr>
      <w:sz w:val="28"/>
    </w:rPr>
  </w:style>
  <w:style w:type="paragraph" w:styleId="Footer">
    <w:name w:val="footer"/>
    <w:basedOn w:val="Normal"/>
    <w:link w:val="FooterChar"/>
    <w:uiPriority w:val="99"/>
    <w:unhideWhenUsed/>
    <w:rsid w:val="00A532BD"/>
    <w:pPr>
      <w:tabs>
        <w:tab w:val="center" w:pos="4153"/>
        <w:tab w:val="right" w:pos="8306"/>
      </w:tabs>
      <w:spacing w:before="0" w:after="0"/>
    </w:pPr>
  </w:style>
  <w:style w:type="character" w:customStyle="1" w:styleId="FooterChar">
    <w:name w:val="Footer Char"/>
    <w:basedOn w:val="DefaultParagraphFont"/>
    <w:link w:val="Footer"/>
    <w:uiPriority w:val="99"/>
    <w:rsid w:val="00A532BD"/>
    <w:rPr>
      <w:sz w:val="28"/>
    </w:rPr>
  </w:style>
  <w:style w:type="table" w:styleId="ListTable3-Accent1">
    <w:name w:val="List Table 3 Accent 1"/>
    <w:basedOn w:val="TableNormal"/>
    <w:uiPriority w:val="48"/>
    <w:rsid w:val="005A5EE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5">
    <w:name w:val="List Table 4 Accent 5"/>
    <w:basedOn w:val="TableNormal"/>
    <w:uiPriority w:val="49"/>
    <w:rsid w:val="005A5EE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5A5EE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1">
    <w:name w:val="List Table 4 Accent 1"/>
    <w:basedOn w:val="TableNormal"/>
    <w:uiPriority w:val="49"/>
    <w:rsid w:val="005A5EE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1">
    <w:name w:val="List Table 4 - Accent 11"/>
    <w:basedOn w:val="TableNormal"/>
    <w:next w:val="ListTable4-Accent1"/>
    <w:uiPriority w:val="49"/>
    <w:rsid w:val="00676630"/>
    <w:rPr>
      <w:rFonts w:eastAsia="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9023F6"/>
    <w:pPr>
      <w:spacing w:before="0" w:after="0"/>
      <w:ind w:firstLine="0"/>
      <w:jc w:val="left"/>
    </w:pPr>
    <w:rPr>
      <w:rFonts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7327">
      <w:bodyDiv w:val="1"/>
      <w:marLeft w:val="0"/>
      <w:marRight w:val="0"/>
      <w:marTop w:val="0"/>
      <w:marBottom w:val="0"/>
      <w:divBdr>
        <w:top w:val="none" w:sz="0" w:space="0" w:color="auto"/>
        <w:left w:val="none" w:sz="0" w:space="0" w:color="auto"/>
        <w:bottom w:val="none" w:sz="0" w:space="0" w:color="auto"/>
        <w:right w:val="none" w:sz="0" w:space="0" w:color="auto"/>
      </w:divBdr>
    </w:div>
    <w:div w:id="31611886">
      <w:bodyDiv w:val="1"/>
      <w:marLeft w:val="0"/>
      <w:marRight w:val="0"/>
      <w:marTop w:val="0"/>
      <w:marBottom w:val="0"/>
      <w:divBdr>
        <w:top w:val="none" w:sz="0" w:space="0" w:color="auto"/>
        <w:left w:val="none" w:sz="0" w:space="0" w:color="auto"/>
        <w:bottom w:val="none" w:sz="0" w:space="0" w:color="auto"/>
        <w:right w:val="none" w:sz="0" w:space="0" w:color="auto"/>
      </w:divBdr>
    </w:div>
    <w:div w:id="379088054">
      <w:bodyDiv w:val="1"/>
      <w:marLeft w:val="0"/>
      <w:marRight w:val="0"/>
      <w:marTop w:val="0"/>
      <w:marBottom w:val="0"/>
      <w:divBdr>
        <w:top w:val="none" w:sz="0" w:space="0" w:color="auto"/>
        <w:left w:val="none" w:sz="0" w:space="0" w:color="auto"/>
        <w:bottom w:val="none" w:sz="0" w:space="0" w:color="auto"/>
        <w:right w:val="none" w:sz="0" w:space="0" w:color="auto"/>
      </w:divBdr>
    </w:div>
    <w:div w:id="999164102">
      <w:bodyDiv w:val="1"/>
      <w:marLeft w:val="0"/>
      <w:marRight w:val="0"/>
      <w:marTop w:val="0"/>
      <w:marBottom w:val="0"/>
      <w:divBdr>
        <w:top w:val="none" w:sz="0" w:space="0" w:color="auto"/>
        <w:left w:val="none" w:sz="0" w:space="0" w:color="auto"/>
        <w:bottom w:val="none" w:sz="0" w:space="0" w:color="auto"/>
        <w:right w:val="none" w:sz="0" w:space="0" w:color="auto"/>
      </w:divBdr>
    </w:div>
    <w:div w:id="1046415684">
      <w:bodyDiv w:val="1"/>
      <w:marLeft w:val="0"/>
      <w:marRight w:val="0"/>
      <w:marTop w:val="0"/>
      <w:marBottom w:val="0"/>
      <w:divBdr>
        <w:top w:val="none" w:sz="0" w:space="0" w:color="auto"/>
        <w:left w:val="none" w:sz="0" w:space="0" w:color="auto"/>
        <w:bottom w:val="none" w:sz="0" w:space="0" w:color="auto"/>
        <w:right w:val="none" w:sz="0" w:space="0" w:color="auto"/>
      </w:divBdr>
    </w:div>
    <w:div w:id="1164397543">
      <w:bodyDiv w:val="1"/>
      <w:marLeft w:val="0"/>
      <w:marRight w:val="0"/>
      <w:marTop w:val="0"/>
      <w:marBottom w:val="0"/>
      <w:divBdr>
        <w:top w:val="none" w:sz="0" w:space="0" w:color="auto"/>
        <w:left w:val="none" w:sz="0" w:space="0" w:color="auto"/>
        <w:bottom w:val="none" w:sz="0" w:space="0" w:color="auto"/>
        <w:right w:val="none" w:sz="0" w:space="0" w:color="auto"/>
      </w:divBdr>
    </w:div>
    <w:div w:id="1328284947">
      <w:bodyDiv w:val="1"/>
      <w:marLeft w:val="0"/>
      <w:marRight w:val="0"/>
      <w:marTop w:val="0"/>
      <w:marBottom w:val="0"/>
      <w:divBdr>
        <w:top w:val="none" w:sz="0" w:space="0" w:color="auto"/>
        <w:left w:val="none" w:sz="0" w:space="0" w:color="auto"/>
        <w:bottom w:val="none" w:sz="0" w:space="0" w:color="auto"/>
        <w:right w:val="none" w:sz="0" w:space="0" w:color="auto"/>
      </w:divBdr>
    </w:div>
    <w:div w:id="1332370124">
      <w:bodyDiv w:val="1"/>
      <w:marLeft w:val="0"/>
      <w:marRight w:val="0"/>
      <w:marTop w:val="0"/>
      <w:marBottom w:val="0"/>
      <w:divBdr>
        <w:top w:val="none" w:sz="0" w:space="0" w:color="auto"/>
        <w:left w:val="none" w:sz="0" w:space="0" w:color="auto"/>
        <w:bottom w:val="none" w:sz="0" w:space="0" w:color="auto"/>
        <w:right w:val="none" w:sz="0" w:space="0" w:color="auto"/>
      </w:divBdr>
    </w:div>
    <w:div w:id="1511021153">
      <w:bodyDiv w:val="1"/>
      <w:marLeft w:val="0"/>
      <w:marRight w:val="0"/>
      <w:marTop w:val="0"/>
      <w:marBottom w:val="0"/>
      <w:divBdr>
        <w:top w:val="none" w:sz="0" w:space="0" w:color="auto"/>
        <w:left w:val="none" w:sz="0" w:space="0" w:color="auto"/>
        <w:bottom w:val="none" w:sz="0" w:space="0" w:color="auto"/>
        <w:right w:val="none" w:sz="0" w:space="0" w:color="auto"/>
      </w:divBdr>
    </w:div>
    <w:div w:id="1580747381">
      <w:bodyDiv w:val="1"/>
      <w:marLeft w:val="0"/>
      <w:marRight w:val="0"/>
      <w:marTop w:val="0"/>
      <w:marBottom w:val="0"/>
      <w:divBdr>
        <w:top w:val="none" w:sz="0" w:space="0" w:color="auto"/>
        <w:left w:val="none" w:sz="0" w:space="0" w:color="auto"/>
        <w:bottom w:val="none" w:sz="0" w:space="0" w:color="auto"/>
        <w:right w:val="none" w:sz="0" w:space="0" w:color="auto"/>
      </w:divBdr>
    </w:div>
    <w:div w:id="1934632280">
      <w:bodyDiv w:val="1"/>
      <w:marLeft w:val="0"/>
      <w:marRight w:val="0"/>
      <w:marTop w:val="0"/>
      <w:marBottom w:val="0"/>
      <w:divBdr>
        <w:top w:val="none" w:sz="0" w:space="0" w:color="auto"/>
        <w:left w:val="none" w:sz="0" w:space="0" w:color="auto"/>
        <w:bottom w:val="none" w:sz="0" w:space="0" w:color="auto"/>
        <w:right w:val="none" w:sz="0" w:space="0" w:color="auto"/>
      </w:divBdr>
    </w:div>
    <w:div w:id="2009013430">
      <w:bodyDiv w:val="1"/>
      <w:marLeft w:val="0"/>
      <w:marRight w:val="0"/>
      <w:marTop w:val="0"/>
      <w:marBottom w:val="0"/>
      <w:divBdr>
        <w:top w:val="none" w:sz="0" w:space="0" w:color="auto"/>
        <w:left w:val="none" w:sz="0" w:space="0" w:color="auto"/>
        <w:bottom w:val="none" w:sz="0" w:space="0" w:color="auto"/>
        <w:right w:val="none" w:sz="0" w:space="0" w:color="auto"/>
      </w:divBdr>
    </w:div>
    <w:div w:id="2104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9E08-EAFF-4C9D-8742-360A23D9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4891</Words>
  <Characters>2788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Informatīvais ziņojums „Par fiskālās telpas 2018.-2020.gadam noteikšanu un par citiem ar valsts budžeta likumprojektu saistītiem jautājumiem”</vt:lpstr>
    </vt:vector>
  </TitlesOfParts>
  <Company>Finanšu ministrija</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fiskālās telpas 2018.-2020.gadam noteikšanu un par citiem ar valsts budžeta likumprojektu saistītiem jautājumiem”</dc:title>
  <dc:subject>Informatīvais ziņojums</dc:subject>
  <dc:creator>Līga Ozoliņa</dc:creator>
  <cp:keywords/>
  <dc:description>Līga Ozoliņa_x000d_
67083823, Liga.Ozolina@fm.gov.lv</dc:description>
  <cp:lastModifiedBy>Līga Ozoliņa</cp:lastModifiedBy>
  <cp:revision>54</cp:revision>
  <cp:lastPrinted>2017-08-29T07:55:00Z</cp:lastPrinted>
  <dcterms:created xsi:type="dcterms:W3CDTF">2017-08-25T11:36:00Z</dcterms:created>
  <dcterms:modified xsi:type="dcterms:W3CDTF">2017-08-29T07:55:00Z</dcterms:modified>
</cp:coreProperties>
</file>