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21" w:rsidRPr="00DA29D2" w:rsidRDefault="00597521" w:rsidP="005D0BD9">
      <w:pPr>
        <w:pStyle w:val="naislab"/>
        <w:spacing w:before="0" w:after="0"/>
        <w:jc w:val="center"/>
        <w:outlineLvl w:val="0"/>
        <w:rPr>
          <w:b/>
        </w:rPr>
      </w:pPr>
      <w:r w:rsidRPr="00DA29D2">
        <w:rPr>
          <w:b/>
        </w:rPr>
        <w:t>Minist</w:t>
      </w:r>
      <w:r w:rsidR="005D0BD9">
        <w:rPr>
          <w:b/>
        </w:rPr>
        <w:t>ru kabineta noteikumu projekta “</w:t>
      </w:r>
      <w:r w:rsidRPr="00DA29D2">
        <w:rPr>
          <w:b/>
        </w:rPr>
        <w:t xml:space="preserve">Grozījumi Ministru kabineta </w:t>
      </w:r>
      <w:proofErr w:type="gramStart"/>
      <w:r w:rsidRPr="00DA29D2">
        <w:rPr>
          <w:b/>
        </w:rPr>
        <w:t>2013.gada</w:t>
      </w:r>
      <w:proofErr w:type="gramEnd"/>
      <w:r w:rsidRPr="00DA29D2">
        <w:rPr>
          <w:b/>
        </w:rPr>
        <w:t xml:space="preserve"> 24.septembra noteikumos Nr.1001 “Naturalizācijas iesnieguma pieņemšanas un izskatīšanas kārtība”” sākotnējās ietekmes novērtējuma ziņojums (anotācija)</w:t>
      </w:r>
    </w:p>
    <w:p w:rsidR="00597521" w:rsidRPr="000C5996" w:rsidRDefault="00597521" w:rsidP="00597521"/>
    <w:tbl>
      <w:tblPr>
        <w:tblW w:w="5088"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1"/>
        <w:gridCol w:w="1876"/>
        <w:gridCol w:w="7203"/>
      </w:tblGrid>
      <w:tr w:rsidR="00597521" w:rsidRPr="000C5996" w:rsidTr="00AF07BA">
        <w:tc>
          <w:tcPr>
            <w:tcW w:w="5000" w:type="pct"/>
            <w:gridSpan w:val="3"/>
            <w:tcBorders>
              <w:top w:val="single" w:sz="6" w:space="0" w:color="auto"/>
              <w:left w:val="single" w:sz="6" w:space="0" w:color="auto"/>
              <w:bottom w:val="outset" w:sz="6" w:space="0" w:color="000000"/>
              <w:right w:val="single" w:sz="6" w:space="0" w:color="auto"/>
            </w:tcBorders>
            <w:vAlign w:val="center"/>
          </w:tcPr>
          <w:p w:rsidR="00597521" w:rsidRPr="000C5996" w:rsidRDefault="00597521" w:rsidP="00307B2F">
            <w:pPr>
              <w:spacing w:before="100" w:beforeAutospacing="1" w:after="100" w:afterAutospacing="1"/>
              <w:jc w:val="center"/>
              <w:rPr>
                <w:b/>
                <w:bCs/>
                <w:sz w:val="24"/>
              </w:rPr>
            </w:pPr>
            <w:r w:rsidRPr="000C5996">
              <w:rPr>
                <w:b/>
                <w:bCs/>
                <w:sz w:val="24"/>
              </w:rPr>
              <w:t>I. Tiesību akta projekta izstrādes nepieciešamība</w:t>
            </w:r>
          </w:p>
        </w:tc>
      </w:tr>
      <w:tr w:rsidR="00597521" w:rsidRPr="0024020B" w:rsidTr="00AF07BA">
        <w:tc>
          <w:tcPr>
            <w:tcW w:w="150" w:type="pct"/>
            <w:tcBorders>
              <w:top w:val="outset" w:sz="6" w:space="0" w:color="000000"/>
              <w:left w:val="outset" w:sz="6" w:space="0" w:color="000000"/>
              <w:bottom w:val="outset" w:sz="6" w:space="0" w:color="000000"/>
              <w:right w:val="outset" w:sz="6" w:space="0" w:color="000000"/>
            </w:tcBorders>
          </w:tcPr>
          <w:p w:rsidR="00597521" w:rsidRPr="0024020B" w:rsidRDefault="00597521" w:rsidP="00307B2F">
            <w:pPr>
              <w:spacing w:before="100" w:beforeAutospacing="1" w:after="100" w:afterAutospacing="1"/>
              <w:rPr>
                <w:sz w:val="24"/>
              </w:rPr>
            </w:pPr>
            <w:r w:rsidRPr="0024020B">
              <w:rPr>
                <w:sz w:val="24"/>
              </w:rPr>
              <w:t>1.</w:t>
            </w:r>
          </w:p>
        </w:tc>
        <w:tc>
          <w:tcPr>
            <w:tcW w:w="1002" w:type="pct"/>
            <w:tcBorders>
              <w:top w:val="outset" w:sz="6" w:space="0" w:color="000000"/>
              <w:left w:val="outset" w:sz="6" w:space="0" w:color="000000"/>
              <w:bottom w:val="outset" w:sz="6" w:space="0" w:color="000000"/>
              <w:right w:val="outset" w:sz="6" w:space="0" w:color="000000"/>
            </w:tcBorders>
          </w:tcPr>
          <w:p w:rsidR="00597521" w:rsidRPr="0024020B" w:rsidRDefault="00597521" w:rsidP="00307B2F">
            <w:pPr>
              <w:spacing w:before="100" w:beforeAutospacing="1" w:after="100" w:afterAutospacing="1"/>
              <w:rPr>
                <w:sz w:val="24"/>
              </w:rPr>
            </w:pPr>
            <w:r w:rsidRPr="0024020B">
              <w:rPr>
                <w:sz w:val="24"/>
              </w:rPr>
              <w:t>Pamatojums</w:t>
            </w:r>
          </w:p>
        </w:tc>
        <w:tc>
          <w:tcPr>
            <w:tcW w:w="3847" w:type="pct"/>
            <w:tcBorders>
              <w:top w:val="outset" w:sz="6" w:space="0" w:color="000000"/>
              <w:left w:val="outset" w:sz="6" w:space="0" w:color="000000"/>
              <w:bottom w:val="outset" w:sz="6" w:space="0" w:color="000000"/>
              <w:right w:val="outset" w:sz="6" w:space="0" w:color="000000"/>
            </w:tcBorders>
          </w:tcPr>
          <w:p w:rsidR="00597521" w:rsidRPr="0024020B" w:rsidRDefault="00597521" w:rsidP="00F7786A">
            <w:pPr>
              <w:pStyle w:val="BodyText2"/>
              <w:jc w:val="both"/>
              <w:rPr>
                <w:b w:val="0"/>
                <w:bCs/>
                <w:sz w:val="24"/>
                <w:szCs w:val="24"/>
              </w:rPr>
            </w:pPr>
            <w:r w:rsidRPr="009A66C7">
              <w:rPr>
                <w:b w:val="0"/>
                <w:bCs/>
                <w:sz w:val="24"/>
                <w:szCs w:val="24"/>
              </w:rPr>
              <w:t xml:space="preserve">Pilsonības likuma </w:t>
            </w:r>
            <w:proofErr w:type="gramStart"/>
            <w:r w:rsidRPr="009A66C7">
              <w:rPr>
                <w:b w:val="0"/>
                <w:bCs/>
                <w:sz w:val="24"/>
                <w:szCs w:val="24"/>
              </w:rPr>
              <w:t>11.panta</w:t>
            </w:r>
            <w:proofErr w:type="gramEnd"/>
            <w:r w:rsidRPr="009A66C7">
              <w:rPr>
                <w:b w:val="0"/>
                <w:bCs/>
                <w:sz w:val="24"/>
                <w:szCs w:val="24"/>
              </w:rPr>
              <w:t xml:space="preserve"> t</w:t>
            </w:r>
            <w:r>
              <w:rPr>
                <w:b w:val="0"/>
                <w:bCs/>
                <w:sz w:val="24"/>
                <w:szCs w:val="24"/>
              </w:rPr>
              <w:t xml:space="preserve">rešā daļa un 17.panta pirmā daļa. </w:t>
            </w:r>
          </w:p>
        </w:tc>
      </w:tr>
      <w:tr w:rsidR="00597521" w:rsidRPr="002B02A1" w:rsidTr="00AF07BA">
        <w:tc>
          <w:tcPr>
            <w:tcW w:w="150"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t>2.</w:t>
            </w:r>
          </w:p>
        </w:tc>
        <w:tc>
          <w:tcPr>
            <w:tcW w:w="1002" w:type="pct"/>
            <w:tcBorders>
              <w:top w:val="outset" w:sz="6" w:space="0" w:color="000000"/>
              <w:left w:val="outset" w:sz="6" w:space="0" w:color="000000"/>
              <w:bottom w:val="outset" w:sz="6" w:space="0" w:color="000000"/>
              <w:right w:val="outset" w:sz="6" w:space="0" w:color="000000"/>
            </w:tcBorders>
          </w:tcPr>
          <w:p w:rsidR="00597521" w:rsidRDefault="00597521" w:rsidP="00307B2F">
            <w:pPr>
              <w:rPr>
                <w:sz w:val="24"/>
              </w:rPr>
            </w:pPr>
            <w:r w:rsidRPr="00A1111C">
              <w:rPr>
                <w:sz w:val="24"/>
              </w:rPr>
              <w:t>Pašreizējā situācija un problēmas, kuru risināšanai tiesību akta projekts izstrādāts, tiesiskā regulējuma mērķis un būtība</w:t>
            </w:r>
          </w:p>
          <w:p w:rsidR="00597521" w:rsidRPr="00307C51" w:rsidRDefault="00597521" w:rsidP="00307B2F">
            <w:pPr>
              <w:spacing w:before="100" w:beforeAutospacing="1" w:after="100" w:afterAutospacing="1"/>
              <w:rPr>
                <w:sz w:val="24"/>
              </w:rPr>
            </w:pPr>
          </w:p>
        </w:tc>
        <w:tc>
          <w:tcPr>
            <w:tcW w:w="3847" w:type="pct"/>
            <w:tcBorders>
              <w:top w:val="outset" w:sz="6" w:space="0" w:color="000000"/>
              <w:left w:val="outset" w:sz="6" w:space="0" w:color="000000"/>
              <w:bottom w:val="outset" w:sz="6" w:space="0" w:color="000000"/>
              <w:right w:val="outset" w:sz="6" w:space="0" w:color="000000"/>
            </w:tcBorders>
          </w:tcPr>
          <w:p w:rsidR="00367D46" w:rsidRPr="002B02A1" w:rsidRDefault="00373E2B" w:rsidP="00373E2B">
            <w:pPr>
              <w:pStyle w:val="tv2132"/>
              <w:spacing w:line="240" w:lineRule="auto"/>
              <w:ind w:firstLine="0"/>
              <w:jc w:val="both"/>
              <w:rPr>
                <w:color w:val="auto"/>
                <w:sz w:val="24"/>
                <w:szCs w:val="24"/>
              </w:rPr>
            </w:pPr>
            <w:r w:rsidRPr="002B02A1">
              <w:rPr>
                <w:color w:val="auto"/>
                <w:sz w:val="24"/>
                <w:szCs w:val="24"/>
              </w:rPr>
              <w:t xml:space="preserve">Saskaņā ar </w:t>
            </w:r>
            <w:r w:rsidR="00597521" w:rsidRPr="002B02A1">
              <w:rPr>
                <w:color w:val="auto"/>
                <w:sz w:val="24"/>
                <w:szCs w:val="24"/>
              </w:rPr>
              <w:t xml:space="preserve">Ministru kabineta </w:t>
            </w:r>
            <w:proofErr w:type="gramStart"/>
            <w:r w:rsidR="00597521" w:rsidRPr="002B02A1">
              <w:rPr>
                <w:color w:val="auto"/>
                <w:sz w:val="24"/>
                <w:szCs w:val="24"/>
              </w:rPr>
              <w:t>2013.gada</w:t>
            </w:r>
            <w:proofErr w:type="gramEnd"/>
            <w:r w:rsidR="00597521" w:rsidRPr="002B02A1">
              <w:rPr>
                <w:color w:val="auto"/>
                <w:sz w:val="24"/>
                <w:szCs w:val="24"/>
              </w:rPr>
              <w:t xml:space="preserve"> 24.septembra noteikumu Nr.1001 “Naturalizācijas iesnieguma pieņemšanas un izskatīšanas</w:t>
            </w:r>
            <w:r w:rsidR="005D0BD9">
              <w:rPr>
                <w:color w:val="auto"/>
                <w:sz w:val="24"/>
                <w:szCs w:val="24"/>
              </w:rPr>
              <w:t xml:space="preserve"> kārtība” (turpmāk – Noteikumi)</w:t>
            </w:r>
            <w:r w:rsidR="00597521" w:rsidRPr="002B02A1">
              <w:rPr>
                <w:color w:val="auto"/>
                <w:sz w:val="24"/>
                <w:szCs w:val="24"/>
              </w:rPr>
              <w:t xml:space="preserve"> 3.4.apakšpunktu persona, kura vēlas iegūt Latvijas pilsonību naturalizācijas kārtībā, bet kura ir citas valsts pilsonis, iesniedz izziņu par sodāmību, ko izsniegusi kompetentā iestāde personas pilsonības valstī. Atšķirībā no līdzīga regulējuma citos tiesību aktos, kas arī paredz pienākumu citas valsts pilsoni</w:t>
            </w:r>
            <w:r w:rsidR="00C32F36" w:rsidRPr="002B02A1">
              <w:rPr>
                <w:color w:val="auto"/>
                <w:sz w:val="24"/>
                <w:szCs w:val="24"/>
              </w:rPr>
              <w:t>m iesniegt šāda satura izziņas (</w:t>
            </w:r>
            <w:r w:rsidR="00597521" w:rsidRPr="002B02A1">
              <w:rPr>
                <w:color w:val="auto"/>
                <w:sz w:val="24"/>
                <w:szCs w:val="24"/>
              </w:rPr>
              <w:t xml:space="preserve">piemēram, Ministru kabineta </w:t>
            </w:r>
            <w:proofErr w:type="gramStart"/>
            <w:r w:rsidR="00597521" w:rsidRPr="002B02A1">
              <w:rPr>
                <w:color w:val="auto"/>
                <w:sz w:val="24"/>
                <w:szCs w:val="24"/>
              </w:rPr>
              <w:t>2</w:t>
            </w:r>
            <w:r w:rsidR="00D762EF" w:rsidRPr="002B02A1">
              <w:rPr>
                <w:color w:val="auto"/>
                <w:sz w:val="24"/>
                <w:szCs w:val="24"/>
              </w:rPr>
              <w:t>0</w:t>
            </w:r>
            <w:r w:rsidR="00597521" w:rsidRPr="002B02A1">
              <w:rPr>
                <w:color w:val="auto"/>
                <w:sz w:val="24"/>
                <w:szCs w:val="24"/>
              </w:rPr>
              <w:t>13.gada</w:t>
            </w:r>
            <w:proofErr w:type="gramEnd"/>
            <w:r w:rsidR="00597521" w:rsidRPr="002B02A1">
              <w:rPr>
                <w:color w:val="auto"/>
                <w:sz w:val="24"/>
                <w:szCs w:val="24"/>
              </w:rPr>
              <w:t xml:space="preserve"> 24.septembra noteikumu Nr.975 “Latvijas pilsonības zaudēšanas un</w:t>
            </w:r>
            <w:r w:rsidR="005D0BD9">
              <w:rPr>
                <w:color w:val="auto"/>
                <w:sz w:val="24"/>
                <w:szCs w:val="24"/>
              </w:rPr>
              <w:t xml:space="preserve"> atjaunošanas kārtība” 18.punkts</w:t>
            </w:r>
            <w:r w:rsidR="00597521" w:rsidRPr="002B02A1">
              <w:rPr>
                <w:color w:val="auto"/>
                <w:sz w:val="24"/>
                <w:szCs w:val="24"/>
              </w:rPr>
              <w:t>, Ministru kabineta 2010.gada 21.jūnija noteikumu Nr.564 “Uzturēšanās atļauju noteikumi” 11.punkt</w:t>
            </w:r>
            <w:r w:rsidR="005D0BD9">
              <w:rPr>
                <w:color w:val="auto"/>
                <w:sz w:val="24"/>
                <w:szCs w:val="24"/>
              </w:rPr>
              <w:t>s</w:t>
            </w:r>
            <w:r w:rsidR="00C32F36" w:rsidRPr="002B02A1">
              <w:rPr>
                <w:color w:val="auto"/>
                <w:sz w:val="24"/>
                <w:szCs w:val="24"/>
              </w:rPr>
              <w:t>)</w:t>
            </w:r>
            <w:r w:rsidR="00597521" w:rsidRPr="002B02A1">
              <w:rPr>
                <w:color w:val="auto"/>
                <w:sz w:val="24"/>
                <w:szCs w:val="24"/>
              </w:rPr>
              <w:t xml:space="preserve">, iesniedzot naturalizācijas iesniegumu, izziņai par sodāmību nav noteikts tās izdošanas termiņš. Praksē ir gadījumi, kad personas iesniedz izziņu, kas ir izsniegta pat dažus gadus pirms naturalizācijas iesnieguma iesniegšanas un līdz ar to, ievērojot apstākli, ka trešās valstis attiecīgās ziņas par saviem pilsoņiem </w:t>
            </w:r>
            <w:r w:rsidR="00F7786A" w:rsidRPr="002B02A1">
              <w:rPr>
                <w:color w:val="auto"/>
                <w:sz w:val="24"/>
                <w:szCs w:val="24"/>
              </w:rPr>
              <w:t xml:space="preserve">Pilsonības un migrācijas lietu pārvaldei </w:t>
            </w:r>
            <w:r w:rsidR="00597521" w:rsidRPr="002B02A1">
              <w:rPr>
                <w:color w:val="auto"/>
                <w:sz w:val="24"/>
                <w:szCs w:val="24"/>
              </w:rPr>
              <w:t xml:space="preserve">nesniedz, </w:t>
            </w:r>
            <w:r w:rsidR="00C32F36" w:rsidRPr="002B02A1">
              <w:rPr>
                <w:color w:val="auto"/>
                <w:sz w:val="24"/>
                <w:szCs w:val="24"/>
              </w:rPr>
              <w:t>iestādei</w:t>
            </w:r>
            <w:r w:rsidR="00597521" w:rsidRPr="002B02A1">
              <w:rPr>
                <w:color w:val="auto"/>
                <w:sz w:val="24"/>
                <w:szCs w:val="24"/>
              </w:rPr>
              <w:t xml:space="preserve"> nav iespēju pārliecināties par Pilsonības likuma </w:t>
            </w:r>
            <w:proofErr w:type="gramStart"/>
            <w:r w:rsidR="00597521" w:rsidRPr="002B02A1">
              <w:rPr>
                <w:color w:val="auto"/>
                <w:sz w:val="24"/>
                <w:szCs w:val="24"/>
              </w:rPr>
              <w:t>11.panta</w:t>
            </w:r>
            <w:proofErr w:type="gramEnd"/>
            <w:r w:rsidR="00597521" w:rsidRPr="002B02A1">
              <w:rPr>
                <w:color w:val="auto"/>
                <w:sz w:val="24"/>
                <w:szCs w:val="24"/>
              </w:rPr>
              <w:t xml:space="preserve"> pirmās daļas 5.punktā noteikto ierobežojumu un pastāv iespēja, ka Latvijas pilsonībā tiek uzņemta persona, uz kuru attiecas minētajā normā noteiktais ierobežojums. </w:t>
            </w:r>
          </w:p>
          <w:p w:rsidR="00597521" w:rsidRPr="002B02A1" w:rsidRDefault="00597521" w:rsidP="00307B2F">
            <w:pPr>
              <w:pStyle w:val="naiskr"/>
              <w:tabs>
                <w:tab w:val="left" w:pos="982"/>
              </w:tabs>
              <w:spacing w:before="0" w:after="0"/>
              <w:ind w:right="81"/>
              <w:jc w:val="both"/>
            </w:pPr>
            <w:r w:rsidRPr="002B02A1">
              <w:t xml:space="preserve">Līdz ar to Projekta 3.4.apakšpunktā ir paredzēts noteikt iesniedzamās izziņas izdošanas termiņu, nosakot, ka Pilsonības likuma </w:t>
            </w:r>
            <w:proofErr w:type="gramStart"/>
            <w:r w:rsidRPr="002B02A1">
              <w:t>11.panta</w:t>
            </w:r>
            <w:proofErr w:type="gramEnd"/>
            <w:r w:rsidRPr="002B02A1">
              <w:t xml:space="preserve"> pirmās daļas 5.punktā noteikto naturalizācijas ierobežojuma neesamību apliecina izziņa, kas izsniegta ne agrāk kā sešus mēnešus pirms </w:t>
            </w:r>
            <w:r w:rsidR="00C32F36" w:rsidRPr="002B02A1">
              <w:t xml:space="preserve">naturalizācijas </w:t>
            </w:r>
            <w:r w:rsidRPr="002B02A1">
              <w:t>iesnieguma iesniegšanas</w:t>
            </w:r>
            <w:r w:rsidR="00F67867" w:rsidRPr="002B02A1">
              <w:t>. Vienlaikus Projektā noteiktais regulējums saglabā</w:t>
            </w:r>
            <w:r w:rsidRPr="002B02A1">
              <w:t xml:space="preserve"> iespēju personai iesniegt arī dokumentāru apliecinājumu, ja no personas gribas vai rīcības dēļ šādu izziņu personai nav iespējams iegūt.</w:t>
            </w:r>
          </w:p>
          <w:p w:rsidR="00A101E2" w:rsidRPr="002B02A1" w:rsidRDefault="00A101E2" w:rsidP="00A101E2">
            <w:pPr>
              <w:pStyle w:val="naiskr"/>
              <w:tabs>
                <w:tab w:val="left" w:pos="982"/>
              </w:tabs>
              <w:spacing w:before="0" w:after="0"/>
              <w:ind w:right="81"/>
              <w:jc w:val="both"/>
            </w:pPr>
          </w:p>
          <w:p w:rsidR="00BC1D96" w:rsidRPr="002B02A1" w:rsidRDefault="00A101E2" w:rsidP="00BC1D96">
            <w:pPr>
              <w:pStyle w:val="naiskr"/>
              <w:tabs>
                <w:tab w:val="left" w:pos="982"/>
              </w:tabs>
              <w:spacing w:before="0" w:after="0"/>
              <w:ind w:right="81"/>
              <w:jc w:val="both"/>
            </w:pPr>
            <w:r w:rsidRPr="002B02A1">
              <w:t xml:space="preserve">Pilsonības likuma </w:t>
            </w:r>
            <w:proofErr w:type="gramStart"/>
            <w:r w:rsidRPr="002B02A1">
              <w:t>11.panta</w:t>
            </w:r>
            <w:proofErr w:type="gramEnd"/>
            <w:r w:rsidRPr="002B02A1">
              <w:t xml:space="preserve"> pirmajā daļā ir noteikti personu naturalizācijas ierobežojumi, savukārt institūcijas, kuru kompetencē ir izvērtēt personu atbilstību minētajiem kritērijiem, likumdevējs ir deleģ</w:t>
            </w:r>
            <w:r w:rsidR="00AD5108" w:rsidRPr="002B02A1">
              <w:t>ējis noteikt Ministru kabinetam, kuras tādējādi ir noteiktas Noteikumu 15.punktā.</w:t>
            </w:r>
            <w:r w:rsidRPr="002B02A1">
              <w:t xml:space="preserve"> </w:t>
            </w:r>
            <w:r w:rsidR="007377A6" w:rsidRPr="002B02A1">
              <w:t xml:space="preserve">Taču </w:t>
            </w:r>
            <w:r w:rsidR="00AD5108" w:rsidRPr="002B02A1">
              <w:t>no šobrīd spēkā esošās Noteikumu 21.punkta</w:t>
            </w:r>
            <w:r w:rsidR="007377A6" w:rsidRPr="002B02A1">
              <w:t xml:space="preserve"> (</w:t>
            </w:r>
            <w:r w:rsidR="00353237" w:rsidRPr="002B02A1">
              <w:t>kas nosaka gadījumus, kad Pilsonības un migrācijas lietu p</w:t>
            </w:r>
            <w:r w:rsidR="00BC1D96" w:rsidRPr="002B02A1">
              <w:t>ārvalde</w:t>
            </w:r>
            <w:r w:rsidR="00353237" w:rsidRPr="002B02A1">
              <w:t xml:space="preserve"> pieņem lēmumu par personas naturalizācijas atteikumu</w:t>
            </w:r>
            <w:r w:rsidR="007377A6" w:rsidRPr="002B02A1">
              <w:t>)</w:t>
            </w:r>
            <w:r w:rsidR="00AD5108" w:rsidRPr="002B02A1">
              <w:t xml:space="preserve"> redakcijas nav viennozīmīgi secināms, ka minēto institūciju atzinums ir </w:t>
            </w:r>
            <w:r w:rsidR="00353237" w:rsidRPr="002B02A1">
              <w:t xml:space="preserve">pietiekams </w:t>
            </w:r>
            <w:r w:rsidR="00AD5108" w:rsidRPr="002B02A1">
              <w:t xml:space="preserve">pamats </w:t>
            </w:r>
            <w:r w:rsidR="00BC1D96" w:rsidRPr="002B02A1">
              <w:t xml:space="preserve">iestādei </w:t>
            </w:r>
            <w:r w:rsidR="00AD5108" w:rsidRPr="002B02A1">
              <w:t xml:space="preserve">pieņemt </w:t>
            </w:r>
            <w:r w:rsidR="00BC1D96" w:rsidRPr="002B02A1">
              <w:t>minēto lēmumu</w:t>
            </w:r>
            <w:r w:rsidR="00353237" w:rsidRPr="002B02A1">
              <w:t>. Lai izvairītos no normas nepamatotas interpretācijas, Projekts</w:t>
            </w:r>
            <w:r w:rsidR="00597521" w:rsidRPr="002B02A1">
              <w:t xml:space="preserve"> paredz </w:t>
            </w:r>
            <w:r w:rsidRPr="002B02A1">
              <w:t>p</w:t>
            </w:r>
            <w:r w:rsidR="00353237" w:rsidRPr="002B02A1">
              <w:t>apildināt</w:t>
            </w:r>
            <w:r w:rsidRPr="002B02A1">
              <w:t xml:space="preserve"> </w:t>
            </w:r>
            <w:r w:rsidR="00BC1D96" w:rsidRPr="002B02A1">
              <w:t>Noteikumu 21.punktu</w:t>
            </w:r>
            <w:r w:rsidRPr="002B02A1">
              <w:t xml:space="preserve"> ar </w:t>
            </w:r>
            <w:r w:rsidR="00597521" w:rsidRPr="002B02A1">
              <w:t>reg</w:t>
            </w:r>
            <w:r w:rsidR="00C32F36" w:rsidRPr="002B02A1">
              <w:t>ulējumu, kas nosaka, ka Pilsonības un migrācijas lietu pārvalde</w:t>
            </w:r>
            <w:r w:rsidR="00597521" w:rsidRPr="002B02A1">
              <w:t xml:space="preserve"> pieņem lēmumu par personas naturalizācijas atteikumu, ja Noteikumu 15.punktā minētā iestāde attiecībā uz personu, kura vēlas naturalizēties, ir konstatējusi Pilsonības likuma </w:t>
            </w:r>
            <w:proofErr w:type="gramStart"/>
            <w:r w:rsidR="00597521" w:rsidRPr="002B02A1">
              <w:t>11.panta</w:t>
            </w:r>
            <w:proofErr w:type="gramEnd"/>
            <w:r w:rsidR="00597521" w:rsidRPr="002B02A1">
              <w:t xml:space="preserve"> pirmajā daļā noteiktos naturalizācijas ierobežojumus. </w:t>
            </w:r>
          </w:p>
          <w:p w:rsidR="00597521" w:rsidRPr="002B02A1" w:rsidRDefault="00597521" w:rsidP="00BC1D96">
            <w:pPr>
              <w:pStyle w:val="naiskr"/>
              <w:tabs>
                <w:tab w:val="left" w:pos="982"/>
              </w:tabs>
              <w:spacing w:before="0" w:after="0"/>
              <w:ind w:right="81"/>
              <w:jc w:val="both"/>
            </w:pPr>
            <w:r w:rsidRPr="002B02A1">
              <w:t xml:space="preserve">Tādējādi </w:t>
            </w:r>
            <w:r w:rsidR="00AD1C44" w:rsidRPr="002B02A1">
              <w:t xml:space="preserve">netiek paplašināti naturalizācijas atteikuma pamati, taču </w:t>
            </w:r>
            <w:r w:rsidR="00A101E2" w:rsidRPr="002B02A1">
              <w:t>tiek</w:t>
            </w:r>
            <w:r w:rsidRPr="002B02A1">
              <w:t xml:space="preserve"> skaidri nodalīta Noteiku</w:t>
            </w:r>
            <w:r w:rsidR="00C32F36" w:rsidRPr="002B02A1">
              <w:t xml:space="preserve">mu 15.punktā minēto iestāžu un Pilsonības un </w:t>
            </w:r>
            <w:r w:rsidR="00C32F36" w:rsidRPr="002B02A1">
              <w:lastRenderedPageBreak/>
              <w:t>migrācijas lietu p</w:t>
            </w:r>
            <w:r w:rsidRPr="002B02A1">
              <w:t xml:space="preserve">ārvaldes kompetence attiecībā uz Pilsonības likuma </w:t>
            </w:r>
            <w:proofErr w:type="gramStart"/>
            <w:r w:rsidRPr="002B02A1">
              <w:t>11.panta</w:t>
            </w:r>
            <w:proofErr w:type="gramEnd"/>
            <w:r w:rsidRPr="002B02A1">
              <w:t xml:space="preserve"> pirmās daļas 1.punktā noteikto ierobežojumu konstatēšanu, proti, Noteikumu 15.punktā minēto iestāžu atzinums ir pietiekams pamats, lai </w:t>
            </w:r>
            <w:r w:rsidR="00C32F36" w:rsidRPr="002B02A1">
              <w:t xml:space="preserve">Pilsonības un migrācijas lietu pārvalde </w:t>
            </w:r>
            <w:r w:rsidRPr="002B02A1">
              <w:t xml:space="preserve">pieņemtu lēmumu par personas naturalizācijas atteikumu. </w:t>
            </w:r>
          </w:p>
        </w:tc>
      </w:tr>
      <w:tr w:rsidR="00597521" w:rsidRPr="000C5996" w:rsidTr="00AF07BA">
        <w:tc>
          <w:tcPr>
            <w:tcW w:w="150"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lastRenderedPageBreak/>
              <w:t>3.</w:t>
            </w:r>
          </w:p>
        </w:tc>
        <w:tc>
          <w:tcPr>
            <w:tcW w:w="1002"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t>Saistītie politikas ietekmes novērtējumi un pētījumi</w:t>
            </w:r>
          </w:p>
        </w:tc>
        <w:tc>
          <w:tcPr>
            <w:tcW w:w="3847" w:type="pct"/>
            <w:tcBorders>
              <w:top w:val="outset" w:sz="6" w:space="0" w:color="000000"/>
              <w:left w:val="outset" w:sz="6" w:space="0" w:color="000000"/>
              <w:bottom w:val="outset" w:sz="6" w:space="0" w:color="000000"/>
              <w:right w:val="outset" w:sz="6" w:space="0" w:color="000000"/>
            </w:tcBorders>
            <w:vAlign w:val="center"/>
          </w:tcPr>
          <w:p w:rsidR="00597521" w:rsidRPr="000C5996" w:rsidRDefault="00597521" w:rsidP="00307B2F">
            <w:pPr>
              <w:spacing w:before="100" w:beforeAutospacing="1" w:after="100" w:afterAutospacing="1"/>
              <w:rPr>
                <w:sz w:val="24"/>
              </w:rPr>
            </w:pPr>
            <w:r>
              <w:rPr>
                <w:sz w:val="24"/>
              </w:rPr>
              <w:t>Projekts šo jomu neskar.</w:t>
            </w:r>
          </w:p>
        </w:tc>
      </w:tr>
      <w:tr w:rsidR="00597521" w:rsidRPr="000C5996" w:rsidTr="00AF07BA">
        <w:tc>
          <w:tcPr>
            <w:tcW w:w="150"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Pr>
                <w:sz w:val="24"/>
              </w:rPr>
              <w:t>4</w:t>
            </w:r>
            <w:r w:rsidRPr="000C5996">
              <w:rPr>
                <w:sz w:val="24"/>
              </w:rPr>
              <w:t>.</w:t>
            </w:r>
          </w:p>
        </w:tc>
        <w:tc>
          <w:tcPr>
            <w:tcW w:w="1002"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t>Projekta izstrādē iesaistītās institūcijas</w:t>
            </w:r>
          </w:p>
        </w:tc>
        <w:tc>
          <w:tcPr>
            <w:tcW w:w="3847" w:type="pct"/>
            <w:tcBorders>
              <w:top w:val="outset" w:sz="6" w:space="0" w:color="000000"/>
              <w:left w:val="outset" w:sz="6" w:space="0" w:color="000000"/>
              <w:bottom w:val="outset" w:sz="6" w:space="0" w:color="000000"/>
              <w:right w:val="outset" w:sz="6" w:space="0" w:color="000000"/>
            </w:tcBorders>
            <w:vAlign w:val="center"/>
          </w:tcPr>
          <w:p w:rsidR="00597521" w:rsidRPr="000C5996" w:rsidRDefault="00597521" w:rsidP="00307B2F">
            <w:pPr>
              <w:spacing w:before="100" w:beforeAutospacing="1" w:after="100" w:afterAutospacing="1"/>
              <w:rPr>
                <w:sz w:val="24"/>
              </w:rPr>
            </w:pPr>
            <w:r>
              <w:rPr>
                <w:sz w:val="24"/>
              </w:rPr>
              <w:t>Pilsonības un migrācijas lietu pārvalde</w:t>
            </w:r>
          </w:p>
        </w:tc>
      </w:tr>
      <w:tr w:rsidR="00597521" w:rsidRPr="000C5996" w:rsidTr="00AF07BA">
        <w:tc>
          <w:tcPr>
            <w:tcW w:w="150"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Pr>
                <w:sz w:val="24"/>
              </w:rPr>
              <w:t>5</w:t>
            </w:r>
            <w:r w:rsidRPr="000C5996">
              <w:rPr>
                <w:sz w:val="24"/>
              </w:rPr>
              <w:t>.</w:t>
            </w:r>
          </w:p>
        </w:tc>
        <w:tc>
          <w:tcPr>
            <w:tcW w:w="1002"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t>Cita informācija</w:t>
            </w:r>
          </w:p>
        </w:tc>
        <w:tc>
          <w:tcPr>
            <w:tcW w:w="3847"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Pr>
                <w:sz w:val="24"/>
              </w:rPr>
              <w:t>Nav</w:t>
            </w:r>
          </w:p>
        </w:tc>
      </w:tr>
    </w:tbl>
    <w:p w:rsidR="00597521" w:rsidRPr="000C5996" w:rsidRDefault="00597521" w:rsidP="00597521"/>
    <w:tbl>
      <w:tblPr>
        <w:tblW w:w="5032" w:type="pct"/>
        <w:tblInd w:w="-3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6"/>
        <w:gridCol w:w="2981"/>
        <w:gridCol w:w="6000"/>
      </w:tblGrid>
      <w:tr w:rsidR="00597521" w:rsidRPr="000C5996" w:rsidTr="00307B2F">
        <w:tc>
          <w:tcPr>
            <w:tcW w:w="5000" w:type="pct"/>
            <w:gridSpan w:val="3"/>
            <w:tcBorders>
              <w:top w:val="single" w:sz="6" w:space="0" w:color="auto"/>
              <w:left w:val="single" w:sz="6" w:space="0" w:color="auto"/>
              <w:bottom w:val="outset" w:sz="6" w:space="0" w:color="000000"/>
              <w:right w:val="single" w:sz="6" w:space="0" w:color="auto"/>
            </w:tcBorders>
          </w:tcPr>
          <w:p w:rsidR="00597521" w:rsidRPr="000C5996" w:rsidRDefault="00597521" w:rsidP="00307B2F">
            <w:pPr>
              <w:spacing w:before="100" w:beforeAutospacing="1" w:after="100" w:afterAutospacing="1"/>
              <w:jc w:val="center"/>
              <w:rPr>
                <w:b/>
                <w:bCs/>
                <w:sz w:val="24"/>
              </w:rPr>
            </w:pPr>
            <w:r w:rsidRPr="000C5996">
              <w:rPr>
                <w:b/>
                <w:bCs/>
                <w:sz w:val="24"/>
              </w:rPr>
              <w:t>II. Tiesību akta projekta ietekme uz sabiedrību</w:t>
            </w:r>
          </w:p>
        </w:tc>
      </w:tr>
      <w:tr w:rsidR="00597521" w:rsidRPr="000C5996" w:rsidTr="00307B2F">
        <w:tc>
          <w:tcPr>
            <w:tcW w:w="149"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t>1.</w:t>
            </w:r>
          </w:p>
        </w:tc>
        <w:tc>
          <w:tcPr>
            <w:tcW w:w="1610"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303FB9">
              <w:rPr>
                <w:sz w:val="24"/>
              </w:rPr>
              <w:t>Sabiedrības mērķgrupas, kuras tiesiskais regulējums ietekmē vai varētu ietekmēt</w:t>
            </w:r>
          </w:p>
        </w:tc>
        <w:tc>
          <w:tcPr>
            <w:tcW w:w="3241" w:type="pct"/>
            <w:tcBorders>
              <w:top w:val="outset" w:sz="6" w:space="0" w:color="000000"/>
              <w:left w:val="outset" w:sz="6" w:space="0" w:color="000000"/>
              <w:bottom w:val="outset" w:sz="6" w:space="0" w:color="000000"/>
              <w:right w:val="outset" w:sz="6" w:space="0" w:color="000000"/>
            </w:tcBorders>
          </w:tcPr>
          <w:p w:rsidR="00597521" w:rsidRDefault="00597521" w:rsidP="00025813">
            <w:pPr>
              <w:jc w:val="both"/>
              <w:rPr>
                <w:sz w:val="24"/>
              </w:rPr>
            </w:pPr>
            <w:r w:rsidRPr="00883A66">
              <w:rPr>
                <w:sz w:val="24"/>
              </w:rPr>
              <w:t xml:space="preserve">Latvijas nepilsoņi un </w:t>
            </w:r>
            <w:r w:rsidR="002861AA">
              <w:rPr>
                <w:sz w:val="24"/>
              </w:rPr>
              <w:t>citas valsts pilsoņi</w:t>
            </w:r>
            <w:r w:rsidRPr="00883A66">
              <w:rPr>
                <w:sz w:val="24"/>
              </w:rPr>
              <w:t xml:space="preserve">, kas atbilst Pilsonības likuma </w:t>
            </w:r>
            <w:proofErr w:type="gramStart"/>
            <w:r w:rsidRPr="00883A66">
              <w:rPr>
                <w:sz w:val="24"/>
              </w:rPr>
              <w:t>12.panta</w:t>
            </w:r>
            <w:r>
              <w:rPr>
                <w:sz w:val="24"/>
              </w:rPr>
              <w:t>m</w:t>
            </w:r>
            <w:proofErr w:type="gramEnd"/>
            <w:r w:rsidRPr="00883A66">
              <w:rPr>
                <w:sz w:val="24"/>
              </w:rPr>
              <w:t xml:space="preserve"> un </w:t>
            </w:r>
            <w:r w:rsidR="00C32F36">
              <w:rPr>
                <w:sz w:val="24"/>
              </w:rPr>
              <w:t xml:space="preserve">kuri </w:t>
            </w:r>
            <w:r w:rsidRPr="00883A66">
              <w:rPr>
                <w:sz w:val="24"/>
              </w:rPr>
              <w:t>vēlas iegūt Latvijas pilsonību naturalizācijas kārtībā.</w:t>
            </w:r>
            <w:r>
              <w:rPr>
                <w:sz w:val="24"/>
              </w:rPr>
              <w:t xml:space="preserve"> Pēc Iedzīvotāju reģistra d</w:t>
            </w:r>
            <w:r w:rsidR="00CA4704">
              <w:rPr>
                <w:sz w:val="24"/>
              </w:rPr>
              <w:t>atiem Latvijā dzīvo aptuveni 240</w:t>
            </w:r>
            <w:r>
              <w:rPr>
                <w:sz w:val="24"/>
              </w:rPr>
              <w:t xml:space="preserve"> tūkst</w:t>
            </w:r>
            <w:r w:rsidR="004E101C">
              <w:rPr>
                <w:sz w:val="24"/>
              </w:rPr>
              <w:t>oši</w:t>
            </w:r>
            <w:r>
              <w:rPr>
                <w:sz w:val="24"/>
              </w:rPr>
              <w:t xml:space="preserve"> nepilsoņu un 52 tūkst</w:t>
            </w:r>
            <w:r w:rsidR="004E101C">
              <w:rPr>
                <w:sz w:val="24"/>
              </w:rPr>
              <w:t>oši</w:t>
            </w:r>
            <w:r>
              <w:rPr>
                <w:sz w:val="24"/>
              </w:rPr>
              <w:t xml:space="preserve"> ārzemnieku ar pastāvīgās uzturēšanās atļaujām.</w:t>
            </w:r>
            <w:r w:rsidR="00AD1C44">
              <w:rPr>
                <w:sz w:val="24"/>
              </w:rPr>
              <w:t xml:space="preserve"> Gadā </w:t>
            </w:r>
            <w:r w:rsidR="00D762EF">
              <w:rPr>
                <w:sz w:val="24"/>
              </w:rPr>
              <w:t xml:space="preserve">Pilsonības un migrācijas lietu pārvalde izskata </w:t>
            </w:r>
            <w:r w:rsidR="00B5607F">
              <w:rPr>
                <w:sz w:val="24"/>
              </w:rPr>
              <w:t>1000</w:t>
            </w:r>
            <w:r w:rsidR="00AD1C44">
              <w:rPr>
                <w:sz w:val="24"/>
              </w:rPr>
              <w:t xml:space="preserve"> personu</w:t>
            </w:r>
            <w:r w:rsidR="00D762EF">
              <w:rPr>
                <w:sz w:val="24"/>
              </w:rPr>
              <w:t xml:space="preserve"> naturalizācijas iesniegumus</w:t>
            </w:r>
            <w:r w:rsidR="00AD1C44">
              <w:rPr>
                <w:sz w:val="24"/>
              </w:rPr>
              <w:t>.</w:t>
            </w:r>
          </w:p>
          <w:p w:rsidR="00FB1ACD" w:rsidRDefault="00FB1ACD" w:rsidP="00025813">
            <w:pPr>
              <w:jc w:val="both"/>
              <w:rPr>
                <w:sz w:val="24"/>
              </w:rPr>
            </w:pPr>
            <w:r>
              <w:rPr>
                <w:sz w:val="24"/>
              </w:rPr>
              <w:t xml:space="preserve">Noteikumu 15.punktā minētās iestādes, kas sniedz </w:t>
            </w:r>
            <w:r w:rsidR="002861AA">
              <w:rPr>
                <w:sz w:val="24"/>
              </w:rPr>
              <w:t>informāciju</w:t>
            </w:r>
            <w:r>
              <w:rPr>
                <w:sz w:val="24"/>
              </w:rPr>
              <w:t xml:space="preserve"> par personas atbilstību Pilsonības likuma </w:t>
            </w:r>
            <w:proofErr w:type="gramStart"/>
            <w:r>
              <w:rPr>
                <w:sz w:val="24"/>
              </w:rPr>
              <w:t>11.panta</w:t>
            </w:r>
            <w:proofErr w:type="gramEnd"/>
            <w:r>
              <w:rPr>
                <w:sz w:val="24"/>
              </w:rPr>
              <w:t xml:space="preserve"> pirmajā daļā noteiktajiem kritērijiem.</w:t>
            </w:r>
          </w:p>
          <w:p w:rsidR="00A22BA3" w:rsidRPr="000C5996" w:rsidRDefault="00025813" w:rsidP="00025813">
            <w:pPr>
              <w:jc w:val="both"/>
              <w:rPr>
                <w:sz w:val="24"/>
              </w:rPr>
            </w:pPr>
            <w:r>
              <w:rPr>
                <w:sz w:val="24"/>
              </w:rPr>
              <w:t>Pilsonības un migrācijas lietu pārvaldes attiecīgo struktūrvienību darbinieki, kuri izskata personu naturalizācijas iesniegumus.</w:t>
            </w:r>
          </w:p>
        </w:tc>
      </w:tr>
      <w:tr w:rsidR="00597521" w:rsidRPr="000C5996" w:rsidTr="00307B2F">
        <w:tc>
          <w:tcPr>
            <w:tcW w:w="149"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t>2.</w:t>
            </w:r>
          </w:p>
        </w:tc>
        <w:tc>
          <w:tcPr>
            <w:tcW w:w="1610"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A1111C">
              <w:rPr>
                <w:sz w:val="24"/>
              </w:rPr>
              <w:t>Tiesiskā regulējuma ietekme uz tautsaimniecību un administratīvo slogu</w:t>
            </w:r>
          </w:p>
        </w:tc>
        <w:tc>
          <w:tcPr>
            <w:tcW w:w="3241" w:type="pct"/>
            <w:tcBorders>
              <w:top w:val="outset" w:sz="6" w:space="0" w:color="000000"/>
              <w:left w:val="outset" w:sz="6" w:space="0" w:color="000000"/>
              <w:bottom w:val="outset" w:sz="6" w:space="0" w:color="000000"/>
              <w:right w:val="outset" w:sz="6" w:space="0" w:color="000000"/>
            </w:tcBorders>
          </w:tcPr>
          <w:p w:rsidR="0092504E" w:rsidRDefault="0092504E" w:rsidP="004E101C">
            <w:pPr>
              <w:jc w:val="both"/>
              <w:rPr>
                <w:sz w:val="24"/>
              </w:rPr>
            </w:pPr>
            <w:r w:rsidRPr="002B02A1">
              <w:rPr>
                <w:sz w:val="24"/>
              </w:rPr>
              <w:t>Ievērojot, ka Projektā ietvertais regul</w:t>
            </w:r>
            <w:r w:rsidR="00A22BA3" w:rsidRPr="002B02A1">
              <w:rPr>
                <w:sz w:val="24"/>
              </w:rPr>
              <w:t xml:space="preserve">ējums </w:t>
            </w:r>
            <w:r w:rsidR="00FB1ACD" w:rsidRPr="002B02A1">
              <w:rPr>
                <w:sz w:val="24"/>
              </w:rPr>
              <w:t xml:space="preserve">pēc būtības </w:t>
            </w:r>
            <w:r w:rsidR="00A22BA3" w:rsidRPr="002B02A1">
              <w:rPr>
                <w:sz w:val="24"/>
              </w:rPr>
              <w:t>negroza šobrīd</w:t>
            </w:r>
            <w:r w:rsidRPr="002B02A1">
              <w:rPr>
                <w:sz w:val="24"/>
              </w:rPr>
              <w:t xml:space="preserve"> spēkā esošo kārtību</w:t>
            </w:r>
            <w:r w:rsidR="000E3DCA" w:rsidRPr="002B02A1">
              <w:rPr>
                <w:sz w:val="24"/>
              </w:rPr>
              <w:t>, bet gan precizē to praktisko piemērošanu</w:t>
            </w:r>
            <w:r w:rsidRPr="002B02A1">
              <w:rPr>
                <w:sz w:val="24"/>
              </w:rPr>
              <w:t>, a</w:t>
            </w:r>
            <w:r w:rsidR="004E101C" w:rsidRPr="002B02A1">
              <w:rPr>
                <w:sz w:val="24"/>
              </w:rPr>
              <w:t>dministratīvais slogs personām, kuras iesniedz naturalizācijas iesniegumus, nemainās</w:t>
            </w:r>
            <w:r w:rsidRPr="002B02A1">
              <w:rPr>
                <w:sz w:val="24"/>
              </w:rPr>
              <w:t xml:space="preserve"> – </w:t>
            </w:r>
            <w:r w:rsidR="004E101C" w:rsidRPr="002B02A1">
              <w:rPr>
                <w:sz w:val="24"/>
              </w:rPr>
              <w:t>gan spēkā esošais</w:t>
            </w:r>
            <w:r w:rsidRPr="002B02A1">
              <w:rPr>
                <w:sz w:val="24"/>
              </w:rPr>
              <w:t>,</w:t>
            </w:r>
            <w:r w:rsidR="004E101C" w:rsidRPr="002B02A1">
              <w:rPr>
                <w:sz w:val="24"/>
              </w:rPr>
              <w:t xml:space="preserve"> gan nākotnes regulējums</w:t>
            </w:r>
            <w:r w:rsidR="009650F1" w:rsidRPr="002B02A1">
              <w:rPr>
                <w:sz w:val="24"/>
              </w:rPr>
              <w:t>, kas</w:t>
            </w:r>
            <w:r w:rsidR="004E101C" w:rsidRPr="002B02A1">
              <w:rPr>
                <w:sz w:val="24"/>
              </w:rPr>
              <w:t xml:space="preserve"> </w:t>
            </w:r>
            <w:r w:rsidR="00A22BA3" w:rsidRPr="002B02A1">
              <w:rPr>
                <w:sz w:val="24"/>
              </w:rPr>
              <w:t>nosaka</w:t>
            </w:r>
            <w:r w:rsidR="004E101C" w:rsidRPr="002B02A1">
              <w:rPr>
                <w:sz w:val="24"/>
              </w:rPr>
              <w:t xml:space="preserve"> </w:t>
            </w:r>
            <w:r w:rsidR="003348E4" w:rsidRPr="002B02A1">
              <w:rPr>
                <w:sz w:val="24"/>
              </w:rPr>
              <w:t xml:space="preserve">personām, kuras ir citu valstu pilsoņi, </w:t>
            </w:r>
            <w:r w:rsidR="00E147AB" w:rsidRPr="002B02A1">
              <w:rPr>
                <w:sz w:val="24"/>
              </w:rPr>
              <w:t xml:space="preserve">pienākumu </w:t>
            </w:r>
            <w:r w:rsidR="009650F1" w:rsidRPr="002B02A1">
              <w:rPr>
                <w:sz w:val="24"/>
              </w:rPr>
              <w:t>iesniegt</w:t>
            </w:r>
            <w:r w:rsidR="003348E4" w:rsidRPr="002B02A1">
              <w:rPr>
                <w:sz w:val="24"/>
              </w:rPr>
              <w:t xml:space="preserve"> </w:t>
            </w:r>
            <w:r w:rsidR="009650F1" w:rsidRPr="002B02A1">
              <w:rPr>
                <w:sz w:val="24"/>
              </w:rPr>
              <w:t xml:space="preserve">Pilsonības un migrācijas lietu pārvaldē </w:t>
            </w:r>
            <w:r w:rsidR="003348E4" w:rsidRPr="002B02A1">
              <w:rPr>
                <w:sz w:val="24"/>
              </w:rPr>
              <w:t>personas pilsonības valsts izsniegtu kompetentās iestādes izziņu par personas sodāmību</w:t>
            </w:r>
            <w:r w:rsidR="00DD13CA" w:rsidRPr="002B02A1">
              <w:rPr>
                <w:sz w:val="24"/>
              </w:rPr>
              <w:t>.</w:t>
            </w:r>
            <w:r w:rsidR="00DD13CA">
              <w:rPr>
                <w:sz w:val="24"/>
              </w:rPr>
              <w:t xml:space="preserve"> </w:t>
            </w:r>
          </w:p>
          <w:p w:rsidR="00BC1D96" w:rsidRDefault="00A22BA3" w:rsidP="00FB1ACD">
            <w:pPr>
              <w:jc w:val="both"/>
              <w:rPr>
                <w:sz w:val="24"/>
              </w:rPr>
            </w:pPr>
            <w:r>
              <w:rPr>
                <w:sz w:val="24"/>
              </w:rPr>
              <w:t xml:space="preserve">Arī attiecībā uz Noteikumu 15.punktā minētajām iestādēm administratīvais slogs nemainās, ievērojot, ka </w:t>
            </w:r>
            <w:r w:rsidR="00FB1ACD">
              <w:rPr>
                <w:sz w:val="24"/>
              </w:rPr>
              <w:t>Noteikumu 15.</w:t>
            </w:r>
            <w:r>
              <w:rPr>
                <w:sz w:val="24"/>
              </w:rPr>
              <w:t xml:space="preserve">punkts netiek grozīts un joprojām nosaka pienākumu </w:t>
            </w:r>
            <w:r w:rsidR="00FB1ACD">
              <w:rPr>
                <w:sz w:val="24"/>
              </w:rPr>
              <w:t xml:space="preserve">attiecīgajām </w:t>
            </w:r>
            <w:r w:rsidR="00BC1D96">
              <w:rPr>
                <w:sz w:val="24"/>
              </w:rPr>
              <w:t>iestādēm</w:t>
            </w:r>
            <w:r w:rsidR="00FB1ACD">
              <w:rPr>
                <w:sz w:val="24"/>
              </w:rPr>
              <w:t xml:space="preserve"> </w:t>
            </w:r>
            <w:r>
              <w:rPr>
                <w:sz w:val="24"/>
              </w:rPr>
              <w:t>sniegt Pilsonības un migrācijas lietu pārvaldei informāciju par personas atbilstību</w:t>
            </w:r>
            <w:r w:rsidR="00FB1ACD">
              <w:rPr>
                <w:sz w:val="24"/>
              </w:rPr>
              <w:t xml:space="preserve"> Pilsonības likuma </w:t>
            </w:r>
            <w:proofErr w:type="gramStart"/>
            <w:r w:rsidR="00FB1ACD">
              <w:rPr>
                <w:sz w:val="24"/>
              </w:rPr>
              <w:t>11.panta</w:t>
            </w:r>
            <w:proofErr w:type="gramEnd"/>
            <w:r w:rsidR="00FB1ACD">
              <w:rPr>
                <w:sz w:val="24"/>
              </w:rPr>
              <w:t xml:space="preserve"> pirm</w:t>
            </w:r>
            <w:r w:rsidR="00367D46">
              <w:rPr>
                <w:sz w:val="24"/>
              </w:rPr>
              <w:t>ajā</w:t>
            </w:r>
            <w:r w:rsidR="00FB1ACD">
              <w:rPr>
                <w:sz w:val="24"/>
              </w:rPr>
              <w:t xml:space="preserve"> daļā noteiktajiem krit</w:t>
            </w:r>
            <w:r w:rsidR="00BC1D96">
              <w:rPr>
                <w:sz w:val="24"/>
              </w:rPr>
              <w:t>ērijiem.</w:t>
            </w:r>
          </w:p>
          <w:p w:rsidR="00BE5C63" w:rsidRPr="000C5996" w:rsidRDefault="00367D46" w:rsidP="00155DBF">
            <w:pPr>
              <w:jc w:val="both"/>
              <w:rPr>
                <w:sz w:val="24"/>
              </w:rPr>
            </w:pPr>
            <w:r>
              <w:rPr>
                <w:sz w:val="24"/>
              </w:rPr>
              <w:t xml:space="preserve">Savukārt </w:t>
            </w:r>
            <w:r w:rsidR="002861AA">
              <w:rPr>
                <w:sz w:val="24"/>
              </w:rPr>
              <w:t>šo</w:t>
            </w:r>
            <w:r>
              <w:rPr>
                <w:sz w:val="24"/>
              </w:rPr>
              <w:t xml:space="preserve"> iestāžu informācija par personas atbilstību Pilsonības likuma </w:t>
            </w:r>
            <w:proofErr w:type="gramStart"/>
            <w:r>
              <w:rPr>
                <w:sz w:val="24"/>
              </w:rPr>
              <w:t>11.panta</w:t>
            </w:r>
            <w:proofErr w:type="gramEnd"/>
            <w:r>
              <w:rPr>
                <w:sz w:val="24"/>
              </w:rPr>
              <w:t xml:space="preserve"> pirmajā daļā noteiktajiem krit</w:t>
            </w:r>
            <w:r w:rsidR="002E4A39">
              <w:rPr>
                <w:sz w:val="24"/>
              </w:rPr>
              <w:t>ērijiem</w:t>
            </w:r>
            <w:r>
              <w:rPr>
                <w:sz w:val="24"/>
              </w:rPr>
              <w:t xml:space="preserve"> ir Pilsonības likumā noteikts personu naturalizācijas priekšnoteikums, kam neizpildoties</w:t>
            </w:r>
            <w:r w:rsidR="002861AA">
              <w:rPr>
                <w:sz w:val="24"/>
              </w:rPr>
              <w:t xml:space="preserve">, </w:t>
            </w:r>
            <w:r>
              <w:rPr>
                <w:sz w:val="24"/>
              </w:rPr>
              <w:t xml:space="preserve">naturalizācija </w:t>
            </w:r>
            <w:r w:rsidR="002E4A39">
              <w:rPr>
                <w:sz w:val="24"/>
              </w:rPr>
              <w:t xml:space="preserve">personai </w:t>
            </w:r>
            <w:r>
              <w:rPr>
                <w:sz w:val="24"/>
              </w:rPr>
              <w:t>tiek atteikta ar Pilsonības un migrācijas lietu pārvaldes l</w:t>
            </w:r>
            <w:r w:rsidR="002861AA">
              <w:rPr>
                <w:sz w:val="24"/>
              </w:rPr>
              <w:t>ēmumu.</w:t>
            </w:r>
            <w:r>
              <w:rPr>
                <w:sz w:val="24"/>
              </w:rPr>
              <w:t xml:space="preserve"> </w:t>
            </w:r>
            <w:r w:rsidR="002861AA">
              <w:rPr>
                <w:sz w:val="24"/>
              </w:rPr>
              <w:t>Tā kā</w:t>
            </w:r>
            <w:r>
              <w:rPr>
                <w:sz w:val="24"/>
              </w:rPr>
              <w:t xml:space="preserve"> minētā lēmuma sagatavošana</w:t>
            </w:r>
            <w:r w:rsidR="00C937EF">
              <w:rPr>
                <w:sz w:val="24"/>
              </w:rPr>
              <w:t xml:space="preserve">, </w:t>
            </w:r>
            <w:r w:rsidR="00C937EF">
              <w:rPr>
                <w:sz w:val="24"/>
              </w:rPr>
              <w:lastRenderedPageBreak/>
              <w:t>kā arī personu iesniegto izziņu par sodāmību</w:t>
            </w:r>
            <w:r w:rsidR="002E4A39">
              <w:rPr>
                <w:sz w:val="24"/>
              </w:rPr>
              <w:t xml:space="preserve"> </w:t>
            </w:r>
            <w:r w:rsidR="00C937EF">
              <w:rPr>
                <w:sz w:val="24"/>
              </w:rPr>
              <w:t xml:space="preserve">izvērtēšana </w:t>
            </w:r>
            <w:r>
              <w:rPr>
                <w:sz w:val="24"/>
              </w:rPr>
              <w:t>ietilpst iestādes amatpersonu amata pienākumu un iestādes darba funkciju veikšanā</w:t>
            </w:r>
            <w:r w:rsidR="002861AA">
              <w:rPr>
                <w:sz w:val="24"/>
              </w:rPr>
              <w:t xml:space="preserve">, administratīvais slogs </w:t>
            </w:r>
            <w:r w:rsidR="00C937EF">
              <w:rPr>
                <w:sz w:val="24"/>
              </w:rPr>
              <w:t xml:space="preserve">attiecībā arī uz </w:t>
            </w:r>
            <w:r w:rsidR="002861AA">
              <w:rPr>
                <w:sz w:val="24"/>
              </w:rPr>
              <w:t>Pilsonības un migrācijas lietu pārvaldes darbiniekiem nemainās.</w:t>
            </w:r>
          </w:p>
        </w:tc>
      </w:tr>
      <w:tr w:rsidR="00597521" w:rsidRPr="000C5996" w:rsidTr="00307B2F">
        <w:tc>
          <w:tcPr>
            <w:tcW w:w="149"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lastRenderedPageBreak/>
              <w:t>3.</w:t>
            </w:r>
          </w:p>
        </w:tc>
        <w:tc>
          <w:tcPr>
            <w:tcW w:w="1610"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A1111C">
              <w:rPr>
                <w:sz w:val="24"/>
              </w:rPr>
              <w:t>Administratīvo izmaksu monetārs novērtējums</w:t>
            </w:r>
          </w:p>
        </w:tc>
        <w:tc>
          <w:tcPr>
            <w:tcW w:w="3241"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Pr>
                <w:sz w:val="24"/>
              </w:rPr>
              <w:t>Projekts šo jomu neskar</w:t>
            </w:r>
            <w:r w:rsidRPr="000C5996">
              <w:rPr>
                <w:sz w:val="24"/>
              </w:rPr>
              <w:t>.</w:t>
            </w:r>
          </w:p>
        </w:tc>
      </w:tr>
      <w:tr w:rsidR="00597521" w:rsidRPr="000C5996" w:rsidTr="00307B2F">
        <w:tc>
          <w:tcPr>
            <w:tcW w:w="149"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Pr>
                <w:sz w:val="24"/>
              </w:rPr>
              <w:t>4</w:t>
            </w:r>
            <w:r w:rsidRPr="000C5996">
              <w:rPr>
                <w:sz w:val="24"/>
              </w:rPr>
              <w:t>.</w:t>
            </w:r>
          </w:p>
        </w:tc>
        <w:tc>
          <w:tcPr>
            <w:tcW w:w="1610"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t>Cita informācija</w:t>
            </w:r>
          </w:p>
        </w:tc>
        <w:tc>
          <w:tcPr>
            <w:tcW w:w="3241" w:type="pct"/>
            <w:tcBorders>
              <w:top w:val="outset" w:sz="6" w:space="0" w:color="000000"/>
              <w:left w:val="outset" w:sz="6" w:space="0" w:color="000000"/>
              <w:bottom w:val="outset" w:sz="6" w:space="0" w:color="000000"/>
              <w:right w:val="outset" w:sz="6" w:space="0" w:color="000000"/>
            </w:tcBorders>
          </w:tcPr>
          <w:p w:rsidR="00597521" w:rsidRPr="000C5996" w:rsidRDefault="00597521" w:rsidP="00307B2F">
            <w:pPr>
              <w:spacing w:before="100" w:beforeAutospacing="1" w:after="100" w:afterAutospacing="1"/>
              <w:rPr>
                <w:sz w:val="24"/>
              </w:rPr>
            </w:pPr>
            <w:r w:rsidRPr="000C5996">
              <w:rPr>
                <w:sz w:val="24"/>
              </w:rPr>
              <w:t>Nav.</w:t>
            </w:r>
          </w:p>
        </w:tc>
      </w:tr>
    </w:tbl>
    <w:p w:rsidR="00597521" w:rsidRDefault="00597521" w:rsidP="00597521"/>
    <w:p w:rsidR="00A234B6" w:rsidRDefault="00A234B6" w:rsidP="00597521"/>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98"/>
      </w:tblGrid>
      <w:tr w:rsidR="00A234B6" w:rsidRPr="00A45AD4" w:rsidTr="00A563DA">
        <w:tc>
          <w:tcPr>
            <w:tcW w:w="0" w:type="auto"/>
            <w:tcBorders>
              <w:top w:val="outset" w:sz="6" w:space="0" w:color="000000"/>
              <w:left w:val="outset" w:sz="6" w:space="0" w:color="000000"/>
              <w:bottom w:val="outset" w:sz="6" w:space="0" w:color="000000"/>
              <w:right w:val="outset" w:sz="6" w:space="0" w:color="000000"/>
            </w:tcBorders>
          </w:tcPr>
          <w:p w:rsidR="00A234B6" w:rsidRPr="00DE4EAF" w:rsidRDefault="00A234B6" w:rsidP="00A563DA">
            <w:pPr>
              <w:jc w:val="center"/>
              <w:rPr>
                <w:b/>
                <w:bCs/>
                <w:sz w:val="24"/>
              </w:rPr>
            </w:pPr>
            <w:r w:rsidRPr="0014571E">
              <w:rPr>
                <w:b/>
                <w:bCs/>
                <w:sz w:val="24"/>
              </w:rPr>
              <w:t>III. Tiesību akta projekta ietekme uz valsts budžetu un pašvaldību budžetiem</w:t>
            </w:r>
          </w:p>
        </w:tc>
      </w:tr>
      <w:tr w:rsidR="00A234B6" w:rsidRPr="00A45AD4" w:rsidTr="00A563DA">
        <w:tc>
          <w:tcPr>
            <w:tcW w:w="0" w:type="auto"/>
            <w:tcBorders>
              <w:top w:val="outset" w:sz="6" w:space="0" w:color="000000"/>
              <w:left w:val="outset" w:sz="6" w:space="0" w:color="000000"/>
              <w:bottom w:val="outset" w:sz="6" w:space="0" w:color="000000"/>
              <w:right w:val="outset" w:sz="6" w:space="0" w:color="000000"/>
            </w:tcBorders>
          </w:tcPr>
          <w:p w:rsidR="00A234B6" w:rsidRPr="00DE4EAF" w:rsidRDefault="00A234B6" w:rsidP="00A563DA">
            <w:pPr>
              <w:jc w:val="center"/>
              <w:rPr>
                <w:b/>
                <w:bCs/>
                <w:sz w:val="24"/>
              </w:rPr>
            </w:pPr>
            <w:r w:rsidRPr="006D7528">
              <w:rPr>
                <w:sz w:val="24"/>
              </w:rPr>
              <w:t>Projekts šo jomu neskar.</w:t>
            </w:r>
          </w:p>
        </w:tc>
      </w:tr>
    </w:tbl>
    <w:p w:rsidR="00A234B6" w:rsidRDefault="00A234B6" w:rsidP="00A234B6"/>
    <w:p w:rsidR="00A234B6" w:rsidRDefault="00A234B6" w:rsidP="00A234B6"/>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98"/>
      </w:tblGrid>
      <w:tr w:rsidR="00A234B6" w:rsidRPr="00A45AD4" w:rsidTr="00A563DA">
        <w:tc>
          <w:tcPr>
            <w:tcW w:w="0" w:type="auto"/>
            <w:tcBorders>
              <w:top w:val="outset" w:sz="6" w:space="0" w:color="000000"/>
              <w:left w:val="outset" w:sz="6" w:space="0" w:color="000000"/>
              <w:bottom w:val="outset" w:sz="6" w:space="0" w:color="000000"/>
              <w:right w:val="outset" w:sz="6" w:space="0" w:color="000000"/>
            </w:tcBorders>
          </w:tcPr>
          <w:p w:rsidR="00A234B6" w:rsidRPr="00DE4EAF" w:rsidRDefault="00A234B6" w:rsidP="00A563DA">
            <w:pPr>
              <w:jc w:val="center"/>
              <w:rPr>
                <w:b/>
                <w:bCs/>
                <w:sz w:val="24"/>
              </w:rPr>
            </w:pPr>
            <w:r w:rsidRPr="006D7528">
              <w:rPr>
                <w:b/>
                <w:bCs/>
                <w:sz w:val="24"/>
              </w:rPr>
              <w:t>IV. Tiesību akta projekta ietekme uz spēkā esošo tiesību normu sistēmu</w:t>
            </w:r>
          </w:p>
        </w:tc>
      </w:tr>
      <w:tr w:rsidR="00A234B6" w:rsidRPr="00A45AD4" w:rsidTr="00A563DA">
        <w:tc>
          <w:tcPr>
            <w:tcW w:w="0" w:type="auto"/>
            <w:tcBorders>
              <w:top w:val="outset" w:sz="6" w:space="0" w:color="000000"/>
              <w:left w:val="outset" w:sz="6" w:space="0" w:color="000000"/>
              <w:bottom w:val="outset" w:sz="6" w:space="0" w:color="000000"/>
              <w:right w:val="outset" w:sz="6" w:space="0" w:color="000000"/>
            </w:tcBorders>
          </w:tcPr>
          <w:p w:rsidR="00A234B6" w:rsidRPr="00DE4EAF" w:rsidRDefault="00A234B6" w:rsidP="00A563DA">
            <w:pPr>
              <w:jc w:val="center"/>
              <w:rPr>
                <w:b/>
                <w:bCs/>
                <w:sz w:val="24"/>
              </w:rPr>
            </w:pPr>
            <w:r w:rsidRPr="006D7528">
              <w:rPr>
                <w:sz w:val="24"/>
              </w:rPr>
              <w:t>Projekts šo jomu neskar.</w:t>
            </w:r>
          </w:p>
        </w:tc>
      </w:tr>
    </w:tbl>
    <w:p w:rsidR="00A234B6" w:rsidRDefault="00A234B6" w:rsidP="00A234B6"/>
    <w:p w:rsidR="00A234B6" w:rsidRDefault="00A234B6" w:rsidP="00A234B6"/>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98"/>
      </w:tblGrid>
      <w:tr w:rsidR="00A234B6" w:rsidRPr="00A45AD4" w:rsidTr="00A563DA">
        <w:tc>
          <w:tcPr>
            <w:tcW w:w="0" w:type="auto"/>
            <w:tcBorders>
              <w:top w:val="outset" w:sz="6" w:space="0" w:color="000000"/>
              <w:left w:val="outset" w:sz="6" w:space="0" w:color="000000"/>
              <w:bottom w:val="outset" w:sz="6" w:space="0" w:color="000000"/>
              <w:right w:val="outset" w:sz="6" w:space="0" w:color="000000"/>
            </w:tcBorders>
          </w:tcPr>
          <w:p w:rsidR="00A234B6" w:rsidRPr="00DE4EAF" w:rsidRDefault="00A234B6" w:rsidP="00A563DA">
            <w:pPr>
              <w:jc w:val="center"/>
              <w:rPr>
                <w:b/>
                <w:bCs/>
                <w:sz w:val="24"/>
              </w:rPr>
            </w:pPr>
            <w:r w:rsidRPr="006D7528">
              <w:rPr>
                <w:b/>
                <w:bCs/>
                <w:sz w:val="24"/>
              </w:rPr>
              <w:t>V. Tiesību akta projekta atbilstība Latvijas Republikas starptautiskajām saistībām</w:t>
            </w:r>
          </w:p>
        </w:tc>
      </w:tr>
      <w:tr w:rsidR="00A234B6" w:rsidRPr="00A45AD4" w:rsidTr="00A563DA">
        <w:tc>
          <w:tcPr>
            <w:tcW w:w="0" w:type="auto"/>
            <w:tcBorders>
              <w:top w:val="outset" w:sz="6" w:space="0" w:color="000000"/>
              <w:left w:val="outset" w:sz="6" w:space="0" w:color="000000"/>
              <w:bottom w:val="outset" w:sz="6" w:space="0" w:color="000000"/>
              <w:right w:val="outset" w:sz="6" w:space="0" w:color="000000"/>
            </w:tcBorders>
          </w:tcPr>
          <w:p w:rsidR="00A234B6" w:rsidRPr="00DE4EAF" w:rsidRDefault="00A234B6" w:rsidP="00A563DA">
            <w:pPr>
              <w:jc w:val="center"/>
              <w:rPr>
                <w:b/>
                <w:bCs/>
                <w:sz w:val="24"/>
              </w:rPr>
            </w:pPr>
            <w:r w:rsidRPr="006D7528">
              <w:rPr>
                <w:sz w:val="24"/>
              </w:rPr>
              <w:t>Projekts šo jomu neskar.</w:t>
            </w:r>
          </w:p>
        </w:tc>
      </w:tr>
    </w:tbl>
    <w:p w:rsidR="00597521" w:rsidRDefault="00597521" w:rsidP="00597521"/>
    <w:p w:rsidR="00A234B6" w:rsidRDefault="00A234B6" w:rsidP="00597521"/>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2467"/>
        <w:gridCol w:w="6491"/>
      </w:tblGrid>
      <w:tr w:rsidR="00597521" w:rsidRPr="00A45AD4" w:rsidTr="00307B2F">
        <w:tc>
          <w:tcPr>
            <w:tcW w:w="0" w:type="auto"/>
            <w:gridSpan w:val="3"/>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jc w:val="center"/>
              <w:rPr>
                <w:b/>
                <w:bCs/>
                <w:sz w:val="24"/>
              </w:rPr>
            </w:pPr>
            <w:r w:rsidRPr="00A1111C">
              <w:rPr>
                <w:b/>
                <w:bCs/>
                <w:sz w:val="24"/>
              </w:rPr>
              <w:t>VI. Sabiedrības līdzdalība un komunikācijas aktivitātes</w:t>
            </w:r>
          </w:p>
        </w:tc>
      </w:tr>
      <w:tr w:rsidR="00597521" w:rsidRPr="00A45AD4" w:rsidTr="00307B2F">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rPr>
                <w:sz w:val="24"/>
              </w:rPr>
            </w:pPr>
            <w:r w:rsidRPr="00A45AD4">
              <w:rPr>
                <w:sz w:val="24"/>
              </w:rPr>
              <w:t>1.</w:t>
            </w:r>
          </w:p>
        </w:tc>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rPr>
                <w:sz w:val="24"/>
              </w:rPr>
            </w:pPr>
            <w:r w:rsidRPr="00A1111C">
              <w:rPr>
                <w:sz w:val="24"/>
              </w:rPr>
              <w:t>Plānotās sabiedrības līdzdalības un komunikācijas aktivitātes saistībā ar projektu</w:t>
            </w:r>
          </w:p>
        </w:tc>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025813" w:rsidP="00307B2F">
            <w:pPr>
              <w:jc w:val="both"/>
              <w:rPr>
                <w:sz w:val="24"/>
              </w:rPr>
            </w:pPr>
            <w:r>
              <w:rPr>
                <w:color w:val="000000"/>
                <w:sz w:val="24"/>
              </w:rPr>
              <w:t>Informācija par Projektu tiks</w:t>
            </w:r>
            <w:r w:rsidRPr="001A5A9F">
              <w:rPr>
                <w:color w:val="000000"/>
                <w:sz w:val="24"/>
              </w:rPr>
              <w:t xml:space="preserve"> publicē</w:t>
            </w:r>
            <w:r>
              <w:rPr>
                <w:color w:val="000000"/>
                <w:sz w:val="24"/>
              </w:rPr>
              <w:t xml:space="preserve">ta Iekšlietu ministrijas, </w:t>
            </w:r>
            <w:r w:rsidRPr="001A5A9F">
              <w:rPr>
                <w:color w:val="000000"/>
                <w:sz w:val="24"/>
              </w:rPr>
              <w:t xml:space="preserve">Pilsonības un migrācijas lietu pārvaldes </w:t>
            </w:r>
            <w:r>
              <w:rPr>
                <w:color w:val="000000"/>
                <w:sz w:val="24"/>
              </w:rPr>
              <w:t xml:space="preserve">un Valsts kancelejas </w:t>
            </w:r>
            <w:r w:rsidRPr="001A5A9F">
              <w:rPr>
                <w:color w:val="000000"/>
                <w:sz w:val="24"/>
              </w:rPr>
              <w:t>mājaslapās.</w:t>
            </w:r>
          </w:p>
        </w:tc>
      </w:tr>
      <w:tr w:rsidR="00597521" w:rsidRPr="00A45AD4" w:rsidTr="00307B2F">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rPr>
                <w:sz w:val="24"/>
              </w:rPr>
            </w:pPr>
            <w:r w:rsidRPr="00A45AD4">
              <w:rPr>
                <w:sz w:val="24"/>
              </w:rPr>
              <w:t>2.</w:t>
            </w:r>
          </w:p>
        </w:tc>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rPr>
                <w:sz w:val="24"/>
              </w:rPr>
            </w:pPr>
            <w:r w:rsidRPr="00A1111C">
              <w:rPr>
                <w:color w:val="000000"/>
                <w:sz w:val="24"/>
              </w:rPr>
              <w:t>Sabiedrības līdzdalība projekta izstrādē</w:t>
            </w:r>
          </w:p>
        </w:tc>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025813" w:rsidP="00CA4704">
            <w:pPr>
              <w:jc w:val="both"/>
              <w:rPr>
                <w:sz w:val="24"/>
              </w:rPr>
            </w:pPr>
            <w:r w:rsidRPr="004132D5">
              <w:rPr>
                <w:rFonts w:eastAsia="Calibri"/>
                <w:sz w:val="24"/>
              </w:rPr>
              <w:t xml:space="preserve">Projekts </w:t>
            </w:r>
            <w:proofErr w:type="gramStart"/>
            <w:r w:rsidRPr="004132D5">
              <w:rPr>
                <w:rFonts w:eastAsia="Calibri"/>
                <w:sz w:val="24"/>
              </w:rPr>
              <w:t>2016.gada</w:t>
            </w:r>
            <w:proofErr w:type="gramEnd"/>
            <w:r w:rsidRPr="004132D5">
              <w:rPr>
                <w:rFonts w:eastAsia="Calibri"/>
                <w:sz w:val="24"/>
              </w:rPr>
              <w:t xml:space="preserve"> </w:t>
            </w:r>
            <w:r w:rsidR="00CA4704">
              <w:rPr>
                <w:rFonts w:eastAsia="Calibri"/>
                <w:sz w:val="24"/>
              </w:rPr>
              <w:t>22.novembrī</w:t>
            </w:r>
            <w:r w:rsidRPr="004132D5">
              <w:rPr>
                <w:rFonts w:eastAsia="Calibri"/>
                <w:sz w:val="24"/>
              </w:rPr>
              <w:t xml:space="preserve"> ievietots Pilsonības un migrācijas lietu pārvaldes mājaslapā sadaļā “Tiesību aktu projekti”, Iekšlietu ministrijas mājaslapā sadaļā “Sabiedrības līdzdalība” un </w:t>
            </w:r>
            <w:r w:rsidRPr="004132D5">
              <w:rPr>
                <w:color w:val="000000" w:themeColor="text1"/>
                <w:sz w:val="24"/>
              </w:rPr>
              <w:t>Valsts kancelejas mājaslapā.</w:t>
            </w:r>
            <w:r w:rsidRPr="004132D5">
              <w:rPr>
                <w:rFonts w:eastAsia="Calibri"/>
                <w:color w:val="000000" w:themeColor="text1"/>
                <w:sz w:val="24"/>
              </w:rPr>
              <w:t xml:space="preserve"> Sabiedrības </w:t>
            </w:r>
            <w:r w:rsidRPr="004132D5">
              <w:rPr>
                <w:rFonts w:eastAsia="Calibri"/>
                <w:sz w:val="24"/>
              </w:rPr>
              <w:t>pārstāvjiem tika dota iespēja līdzdarboties projekta izstrādē, rakstveidā sniedzot viedokli par projektu, nosūtot to uz e</w:t>
            </w:r>
            <w:r>
              <w:rPr>
                <w:rFonts w:eastAsia="Calibri"/>
                <w:sz w:val="24"/>
              </w:rPr>
              <w:t xml:space="preserve">lektroniskā pasta adresi </w:t>
            </w:r>
            <w:proofErr w:type="spellStart"/>
            <w:r>
              <w:rPr>
                <w:rFonts w:eastAsia="Calibri"/>
                <w:sz w:val="24"/>
              </w:rPr>
              <w:t>np</w:t>
            </w:r>
            <w:r w:rsidRPr="004132D5">
              <w:rPr>
                <w:rFonts w:eastAsia="Calibri"/>
                <w:sz w:val="24"/>
              </w:rPr>
              <w:t>@pmlp.gov.lv</w:t>
            </w:r>
            <w:proofErr w:type="spellEnd"/>
            <w:r w:rsidRPr="004132D5">
              <w:rPr>
                <w:color w:val="000000"/>
                <w:sz w:val="24"/>
              </w:rPr>
              <w:t>.</w:t>
            </w:r>
          </w:p>
        </w:tc>
      </w:tr>
      <w:tr w:rsidR="00597521" w:rsidRPr="00A45AD4" w:rsidTr="00307B2F">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rPr>
                <w:sz w:val="24"/>
              </w:rPr>
            </w:pPr>
            <w:r w:rsidRPr="00A45AD4">
              <w:rPr>
                <w:sz w:val="24"/>
              </w:rPr>
              <w:t>3.</w:t>
            </w:r>
          </w:p>
        </w:tc>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rPr>
                <w:sz w:val="24"/>
              </w:rPr>
            </w:pPr>
            <w:r w:rsidRPr="000E11F2">
              <w:rPr>
                <w:sz w:val="24"/>
              </w:rPr>
              <w:t>Sabiedrības līdzdalības rezultāti</w:t>
            </w:r>
          </w:p>
        </w:tc>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025813" w:rsidP="00307B2F">
            <w:pPr>
              <w:rPr>
                <w:sz w:val="24"/>
              </w:rPr>
            </w:pPr>
            <w:r w:rsidRPr="006B6000">
              <w:rPr>
                <w:color w:val="000000"/>
                <w:sz w:val="24"/>
              </w:rPr>
              <w:t>Komentāri par projektu nav saņemti</w:t>
            </w:r>
            <w:r>
              <w:rPr>
                <w:color w:val="000000"/>
                <w:sz w:val="24"/>
              </w:rPr>
              <w:t>.</w:t>
            </w:r>
          </w:p>
        </w:tc>
      </w:tr>
      <w:tr w:rsidR="00597521" w:rsidRPr="00A45AD4" w:rsidTr="00307B2F">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rPr>
                <w:sz w:val="24"/>
              </w:rPr>
            </w:pPr>
            <w:r>
              <w:rPr>
                <w:sz w:val="24"/>
              </w:rPr>
              <w:t>4</w:t>
            </w:r>
            <w:r w:rsidRPr="00A45AD4">
              <w:rPr>
                <w:sz w:val="24"/>
              </w:rPr>
              <w:t>.</w:t>
            </w:r>
          </w:p>
        </w:tc>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rPr>
                <w:sz w:val="24"/>
              </w:rPr>
            </w:pPr>
            <w:r w:rsidRPr="00A45AD4">
              <w:rPr>
                <w:sz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597521" w:rsidRPr="00A45AD4" w:rsidRDefault="002925CC" w:rsidP="00025813">
            <w:pPr>
              <w:rPr>
                <w:sz w:val="24"/>
              </w:rPr>
            </w:pPr>
            <w:r>
              <w:rPr>
                <w:sz w:val="24"/>
              </w:rPr>
              <w:t>Nav.</w:t>
            </w:r>
          </w:p>
        </w:tc>
      </w:tr>
    </w:tbl>
    <w:p w:rsidR="00597521" w:rsidRDefault="00597521" w:rsidP="00597521"/>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3"/>
        <w:gridCol w:w="3929"/>
        <w:gridCol w:w="5026"/>
      </w:tblGrid>
      <w:tr w:rsidR="00597521" w:rsidRPr="00A45AD4" w:rsidTr="00307B2F">
        <w:tc>
          <w:tcPr>
            <w:tcW w:w="0" w:type="auto"/>
            <w:gridSpan w:val="3"/>
            <w:tcBorders>
              <w:top w:val="outset" w:sz="6" w:space="0" w:color="000000"/>
              <w:left w:val="outset" w:sz="6" w:space="0" w:color="000000"/>
              <w:bottom w:val="outset" w:sz="6" w:space="0" w:color="000000"/>
              <w:right w:val="outset" w:sz="6" w:space="0" w:color="000000"/>
            </w:tcBorders>
          </w:tcPr>
          <w:p w:rsidR="00597521" w:rsidRPr="00A45AD4" w:rsidRDefault="00597521" w:rsidP="00307B2F">
            <w:pPr>
              <w:spacing w:before="100" w:beforeAutospacing="1" w:after="100" w:afterAutospacing="1"/>
              <w:jc w:val="center"/>
              <w:rPr>
                <w:b/>
                <w:bCs/>
                <w:sz w:val="24"/>
              </w:rPr>
            </w:pPr>
            <w:r w:rsidRPr="00A1111C">
              <w:rPr>
                <w:b/>
                <w:bCs/>
                <w:sz w:val="24"/>
              </w:rPr>
              <w:t>VII. Tiesību akta projekta izpildes nodrošināšana un tās ietekme uz institūcijām</w:t>
            </w:r>
          </w:p>
        </w:tc>
      </w:tr>
      <w:tr w:rsidR="00597521" w:rsidRPr="00A45AD4" w:rsidTr="00307B2F">
        <w:tc>
          <w:tcPr>
            <w:tcW w:w="0" w:type="auto"/>
            <w:tcBorders>
              <w:top w:val="outset" w:sz="6" w:space="0" w:color="000000"/>
              <w:left w:val="outset" w:sz="6" w:space="0" w:color="000000"/>
              <w:bottom w:val="outset" w:sz="6" w:space="0" w:color="000000"/>
              <w:right w:val="outset" w:sz="6" w:space="0" w:color="000000"/>
            </w:tcBorders>
          </w:tcPr>
          <w:p w:rsidR="00597521" w:rsidRPr="00E5718A" w:rsidRDefault="00597521" w:rsidP="00307B2F">
            <w:pPr>
              <w:spacing w:before="100" w:beforeAutospacing="1" w:after="100" w:afterAutospacing="1"/>
              <w:rPr>
                <w:sz w:val="24"/>
              </w:rPr>
            </w:pPr>
            <w:r w:rsidRPr="00E5718A">
              <w:rPr>
                <w:sz w:val="24"/>
              </w:rPr>
              <w:t>1.</w:t>
            </w:r>
          </w:p>
        </w:tc>
        <w:tc>
          <w:tcPr>
            <w:tcW w:w="2136" w:type="pct"/>
            <w:tcBorders>
              <w:top w:val="outset" w:sz="6" w:space="0" w:color="000000"/>
              <w:left w:val="outset" w:sz="6" w:space="0" w:color="000000"/>
              <w:bottom w:val="outset" w:sz="6" w:space="0" w:color="000000"/>
              <w:right w:val="outset" w:sz="6" w:space="0" w:color="000000"/>
            </w:tcBorders>
          </w:tcPr>
          <w:p w:rsidR="00597521" w:rsidRPr="00E5718A" w:rsidRDefault="00597521" w:rsidP="00307B2F">
            <w:pPr>
              <w:spacing w:before="100" w:beforeAutospacing="1" w:after="100" w:afterAutospacing="1"/>
              <w:rPr>
                <w:sz w:val="24"/>
              </w:rPr>
            </w:pPr>
            <w:r w:rsidRPr="00A1111C">
              <w:rPr>
                <w:sz w:val="24"/>
              </w:rPr>
              <w:t>Projekta izpildē iesaistītās institūcijas</w:t>
            </w:r>
          </w:p>
        </w:tc>
        <w:tc>
          <w:tcPr>
            <w:tcW w:w="2732" w:type="pct"/>
            <w:tcBorders>
              <w:top w:val="outset" w:sz="6" w:space="0" w:color="000000"/>
              <w:left w:val="outset" w:sz="6" w:space="0" w:color="000000"/>
              <w:bottom w:val="outset" w:sz="6" w:space="0" w:color="000000"/>
              <w:right w:val="outset" w:sz="6" w:space="0" w:color="000000"/>
            </w:tcBorders>
          </w:tcPr>
          <w:p w:rsidR="00597521" w:rsidRPr="00E5718A" w:rsidRDefault="00597521" w:rsidP="00307B2F">
            <w:pPr>
              <w:spacing w:before="100" w:beforeAutospacing="1" w:after="100" w:afterAutospacing="1"/>
              <w:rPr>
                <w:sz w:val="24"/>
              </w:rPr>
            </w:pPr>
            <w:r w:rsidRPr="00E5718A">
              <w:rPr>
                <w:sz w:val="24"/>
              </w:rPr>
              <w:t>P</w:t>
            </w:r>
            <w:r>
              <w:rPr>
                <w:sz w:val="24"/>
              </w:rPr>
              <w:t>ilsonības un migrācijas lietu pārvalde</w:t>
            </w:r>
          </w:p>
        </w:tc>
      </w:tr>
      <w:tr w:rsidR="00597521" w:rsidRPr="00A45AD4" w:rsidTr="00307B2F">
        <w:tc>
          <w:tcPr>
            <w:tcW w:w="0" w:type="auto"/>
            <w:tcBorders>
              <w:top w:val="outset" w:sz="6" w:space="0" w:color="000000"/>
              <w:left w:val="outset" w:sz="6" w:space="0" w:color="000000"/>
              <w:bottom w:val="outset" w:sz="6" w:space="0" w:color="000000"/>
              <w:right w:val="outset" w:sz="6" w:space="0" w:color="000000"/>
            </w:tcBorders>
          </w:tcPr>
          <w:p w:rsidR="00597521" w:rsidRPr="00E5718A" w:rsidRDefault="00597521" w:rsidP="00307B2F">
            <w:pPr>
              <w:spacing w:before="100" w:beforeAutospacing="1" w:after="100" w:afterAutospacing="1"/>
              <w:rPr>
                <w:sz w:val="24"/>
              </w:rPr>
            </w:pPr>
            <w:r w:rsidRPr="00E5718A">
              <w:rPr>
                <w:sz w:val="24"/>
              </w:rPr>
              <w:t>2.</w:t>
            </w:r>
          </w:p>
        </w:tc>
        <w:tc>
          <w:tcPr>
            <w:tcW w:w="2136" w:type="pct"/>
            <w:tcBorders>
              <w:top w:val="outset" w:sz="6" w:space="0" w:color="000000"/>
              <w:left w:val="outset" w:sz="6" w:space="0" w:color="000000"/>
              <w:bottom w:val="outset" w:sz="6" w:space="0" w:color="000000"/>
              <w:right w:val="outset" w:sz="6" w:space="0" w:color="000000"/>
            </w:tcBorders>
          </w:tcPr>
          <w:p w:rsidR="00597521" w:rsidRPr="00A1111C" w:rsidRDefault="00597521" w:rsidP="00307B2F">
            <w:pPr>
              <w:rPr>
                <w:color w:val="000000"/>
                <w:sz w:val="24"/>
              </w:rPr>
            </w:pPr>
            <w:r w:rsidRPr="00A1111C">
              <w:rPr>
                <w:color w:val="000000"/>
                <w:sz w:val="24"/>
              </w:rPr>
              <w:t xml:space="preserve">Projekta izpildes ietekme uz pārvaldes funkcijām un institucionālo struktūru. </w:t>
            </w:r>
          </w:p>
          <w:p w:rsidR="00597521" w:rsidRPr="00E5718A" w:rsidRDefault="00597521" w:rsidP="00307B2F">
            <w:pPr>
              <w:rPr>
                <w:sz w:val="24"/>
              </w:rPr>
            </w:pPr>
            <w:r w:rsidRPr="00A1111C">
              <w:rPr>
                <w:color w:val="000000"/>
                <w:sz w:val="24"/>
              </w:rPr>
              <w:t xml:space="preserve">Jaunu institūciju izveide, esošu institūciju likvidācija vai reorganizācija, </w:t>
            </w:r>
            <w:r w:rsidRPr="00A1111C">
              <w:rPr>
                <w:color w:val="000000"/>
                <w:sz w:val="24"/>
              </w:rPr>
              <w:lastRenderedPageBreak/>
              <w:t>to ietekme uz institūcijas cilvēkresursiem</w:t>
            </w:r>
          </w:p>
        </w:tc>
        <w:tc>
          <w:tcPr>
            <w:tcW w:w="2732" w:type="pct"/>
            <w:tcBorders>
              <w:top w:val="outset" w:sz="6" w:space="0" w:color="000000"/>
              <w:left w:val="outset" w:sz="6" w:space="0" w:color="000000"/>
              <w:bottom w:val="outset" w:sz="6" w:space="0" w:color="000000"/>
              <w:right w:val="outset" w:sz="6" w:space="0" w:color="000000"/>
            </w:tcBorders>
          </w:tcPr>
          <w:p w:rsidR="00597521" w:rsidRPr="00F8777D" w:rsidRDefault="00597521" w:rsidP="00307B2F">
            <w:pPr>
              <w:spacing w:before="100" w:beforeAutospacing="1" w:after="100" w:afterAutospacing="1"/>
              <w:jc w:val="both"/>
              <w:rPr>
                <w:bCs/>
                <w:sz w:val="24"/>
              </w:rPr>
            </w:pPr>
            <w:r w:rsidRPr="00A1111C">
              <w:rPr>
                <w:color w:val="000000"/>
                <w:sz w:val="24"/>
              </w:rPr>
              <w:lastRenderedPageBreak/>
              <w:t>Projekta izpildes rezultātā nav paredzēta esošu institūciju likvidācija vai reorganizācija. Iestāžu institucionālā struktūra netiek ietekmēta, papildus cilvēkresursi nav nepieciešami</w:t>
            </w:r>
          </w:p>
        </w:tc>
      </w:tr>
      <w:tr w:rsidR="00597521" w:rsidRPr="00A45AD4" w:rsidTr="00307B2F">
        <w:tc>
          <w:tcPr>
            <w:tcW w:w="0" w:type="auto"/>
            <w:tcBorders>
              <w:top w:val="outset" w:sz="6" w:space="0" w:color="000000"/>
              <w:left w:val="outset" w:sz="6" w:space="0" w:color="000000"/>
              <w:bottom w:val="outset" w:sz="6" w:space="0" w:color="000000"/>
              <w:right w:val="outset" w:sz="6" w:space="0" w:color="000000"/>
            </w:tcBorders>
          </w:tcPr>
          <w:p w:rsidR="00597521" w:rsidRPr="00E5718A" w:rsidRDefault="00597521" w:rsidP="00307B2F">
            <w:pPr>
              <w:spacing w:before="100" w:beforeAutospacing="1" w:after="100" w:afterAutospacing="1"/>
              <w:rPr>
                <w:sz w:val="24"/>
              </w:rPr>
            </w:pPr>
            <w:r>
              <w:rPr>
                <w:sz w:val="24"/>
              </w:rPr>
              <w:lastRenderedPageBreak/>
              <w:t>3</w:t>
            </w:r>
            <w:r w:rsidRPr="00E5718A">
              <w:rPr>
                <w:sz w:val="24"/>
              </w:rPr>
              <w:t>.</w:t>
            </w:r>
          </w:p>
        </w:tc>
        <w:tc>
          <w:tcPr>
            <w:tcW w:w="2136" w:type="pct"/>
            <w:tcBorders>
              <w:top w:val="outset" w:sz="6" w:space="0" w:color="000000"/>
              <w:left w:val="outset" w:sz="6" w:space="0" w:color="000000"/>
              <w:bottom w:val="outset" w:sz="6" w:space="0" w:color="000000"/>
              <w:right w:val="outset" w:sz="6" w:space="0" w:color="000000"/>
            </w:tcBorders>
          </w:tcPr>
          <w:p w:rsidR="00597521" w:rsidRPr="00E5718A" w:rsidRDefault="00597521" w:rsidP="00307B2F">
            <w:pPr>
              <w:spacing w:before="100" w:beforeAutospacing="1" w:after="100" w:afterAutospacing="1"/>
              <w:rPr>
                <w:sz w:val="24"/>
              </w:rPr>
            </w:pPr>
            <w:r w:rsidRPr="00E5718A">
              <w:rPr>
                <w:sz w:val="24"/>
              </w:rPr>
              <w:t>Cita informācija</w:t>
            </w:r>
          </w:p>
        </w:tc>
        <w:tc>
          <w:tcPr>
            <w:tcW w:w="2732" w:type="pct"/>
            <w:tcBorders>
              <w:top w:val="outset" w:sz="6" w:space="0" w:color="000000"/>
              <w:left w:val="outset" w:sz="6" w:space="0" w:color="000000"/>
              <w:bottom w:val="outset" w:sz="6" w:space="0" w:color="000000"/>
              <w:right w:val="outset" w:sz="6" w:space="0" w:color="000000"/>
            </w:tcBorders>
          </w:tcPr>
          <w:p w:rsidR="00597521" w:rsidRPr="00E5718A" w:rsidRDefault="00597521" w:rsidP="00307B2F">
            <w:pPr>
              <w:spacing w:before="100" w:beforeAutospacing="1" w:after="100" w:afterAutospacing="1"/>
              <w:rPr>
                <w:sz w:val="24"/>
              </w:rPr>
            </w:pPr>
            <w:r w:rsidRPr="00E5718A">
              <w:rPr>
                <w:sz w:val="24"/>
              </w:rPr>
              <w:t>Nav.</w:t>
            </w:r>
          </w:p>
        </w:tc>
      </w:tr>
    </w:tbl>
    <w:p w:rsidR="00597521" w:rsidRPr="00AF07BA" w:rsidRDefault="00597521" w:rsidP="00597521">
      <w:pPr>
        <w:rPr>
          <w:sz w:val="24"/>
        </w:rPr>
      </w:pPr>
    </w:p>
    <w:p w:rsidR="00597521" w:rsidRPr="004146F8" w:rsidRDefault="00597521" w:rsidP="00597521">
      <w:pPr>
        <w:tabs>
          <w:tab w:val="left" w:pos="6521"/>
        </w:tabs>
        <w:jc w:val="both"/>
        <w:rPr>
          <w:sz w:val="24"/>
        </w:rPr>
      </w:pPr>
    </w:p>
    <w:p w:rsidR="00597521" w:rsidRPr="00AF07BA" w:rsidRDefault="00597521" w:rsidP="00AF07BA">
      <w:pPr>
        <w:tabs>
          <w:tab w:val="left" w:pos="6521"/>
        </w:tabs>
        <w:jc w:val="both"/>
        <w:rPr>
          <w:color w:val="000000"/>
          <w:sz w:val="24"/>
        </w:rPr>
      </w:pPr>
      <w:r w:rsidRPr="004146F8">
        <w:rPr>
          <w:color w:val="000000"/>
          <w:sz w:val="24"/>
        </w:rPr>
        <w:t>Iekšlietu ministrs</w:t>
      </w:r>
      <w:r w:rsidRPr="004146F8">
        <w:rPr>
          <w:color w:val="000000"/>
          <w:sz w:val="24"/>
        </w:rPr>
        <w:tab/>
      </w:r>
      <w:r w:rsidRPr="004146F8">
        <w:rPr>
          <w:color w:val="000000"/>
          <w:sz w:val="24"/>
        </w:rPr>
        <w:tab/>
      </w:r>
      <w:r w:rsidRPr="00F87AB9">
        <w:rPr>
          <w:color w:val="000000"/>
          <w:sz w:val="24"/>
        </w:rPr>
        <w:t>R.Kozlovskis</w:t>
      </w:r>
    </w:p>
    <w:p w:rsidR="00597521" w:rsidRPr="004146F8" w:rsidRDefault="00597521" w:rsidP="00597521">
      <w:pPr>
        <w:pStyle w:val="naisf"/>
        <w:ind w:firstLine="0"/>
      </w:pPr>
    </w:p>
    <w:p w:rsidR="00597521" w:rsidRPr="004146F8" w:rsidRDefault="00597521" w:rsidP="00597521">
      <w:pPr>
        <w:pStyle w:val="naisf"/>
        <w:ind w:firstLine="0"/>
      </w:pPr>
      <w:r w:rsidRPr="004146F8">
        <w:t xml:space="preserve">Vīza: </w:t>
      </w:r>
      <w:r w:rsidR="00CC5EE1" w:rsidRPr="004146F8">
        <w:t>valsts</w:t>
      </w:r>
      <w:r w:rsidR="004F1A35">
        <w:t xml:space="preserve"> sekretāra pienākumu izpildītāja</w:t>
      </w:r>
      <w:r w:rsidR="00CC5EE1" w:rsidRPr="004146F8">
        <w:tab/>
      </w:r>
      <w:r w:rsidR="00CC5EE1" w:rsidRPr="004146F8">
        <w:tab/>
      </w:r>
      <w:r w:rsidR="00CC5EE1" w:rsidRPr="004146F8">
        <w:tab/>
      </w:r>
      <w:r w:rsidR="00CC5EE1" w:rsidRPr="004146F8">
        <w:tab/>
      </w:r>
      <w:r w:rsidR="004146F8">
        <w:tab/>
      </w:r>
      <w:proofErr w:type="spellStart"/>
      <w:r w:rsidR="004F1A35">
        <w:t>I.Aire</w:t>
      </w:r>
      <w:proofErr w:type="spellEnd"/>
    </w:p>
    <w:p w:rsidR="00597521" w:rsidRDefault="00597521" w:rsidP="00597521">
      <w:pPr>
        <w:pStyle w:val="BodyText"/>
        <w:spacing w:after="0"/>
        <w:rPr>
          <w:sz w:val="20"/>
        </w:rPr>
      </w:pPr>
    </w:p>
    <w:p w:rsidR="00597521" w:rsidRDefault="00597521" w:rsidP="00597521">
      <w:pPr>
        <w:pStyle w:val="BodyText"/>
        <w:spacing w:after="0"/>
        <w:rPr>
          <w:sz w:val="20"/>
        </w:rPr>
      </w:pPr>
    </w:p>
    <w:p w:rsidR="004F1A35" w:rsidRDefault="004F1A35" w:rsidP="00597521">
      <w:pPr>
        <w:rPr>
          <w:sz w:val="20"/>
        </w:rPr>
      </w:pPr>
    </w:p>
    <w:p w:rsidR="004F1A35" w:rsidRDefault="004F1A35" w:rsidP="00597521">
      <w:pPr>
        <w:rPr>
          <w:sz w:val="20"/>
        </w:rPr>
      </w:pPr>
    </w:p>
    <w:p w:rsidR="004F1A35" w:rsidRDefault="004F1A35" w:rsidP="00597521">
      <w:pPr>
        <w:rPr>
          <w:sz w:val="20"/>
        </w:rPr>
      </w:pPr>
    </w:p>
    <w:p w:rsidR="00AF07BA" w:rsidRDefault="00CC5EE1" w:rsidP="00597521">
      <w:pPr>
        <w:rPr>
          <w:sz w:val="20"/>
        </w:rPr>
      </w:pPr>
      <w:bookmarkStart w:id="0" w:name="_GoBack"/>
      <w:bookmarkEnd w:id="0"/>
      <w:r>
        <w:rPr>
          <w:sz w:val="20"/>
        </w:rPr>
        <w:t>Dementjeva</w:t>
      </w:r>
      <w:r w:rsidR="00AF07BA">
        <w:rPr>
          <w:sz w:val="20"/>
        </w:rPr>
        <w:t xml:space="preserve"> </w:t>
      </w:r>
      <w:r>
        <w:rPr>
          <w:sz w:val="20"/>
        </w:rPr>
        <w:t>67219676</w:t>
      </w:r>
    </w:p>
    <w:p w:rsidR="007D0DD2" w:rsidRPr="00597521" w:rsidRDefault="00DB1BF1" w:rsidP="00AF07BA">
      <w:pPr>
        <w:rPr>
          <w:sz w:val="20"/>
        </w:rPr>
      </w:pPr>
      <w:hyperlink r:id="rId7" w:history="1">
        <w:r w:rsidR="00CC5EE1" w:rsidRPr="004F03E1">
          <w:rPr>
            <w:rStyle w:val="Hyperlink"/>
            <w:sz w:val="20"/>
          </w:rPr>
          <w:t>tamara.dementjeva@pmlp.gov.lv</w:t>
        </w:r>
      </w:hyperlink>
      <w:r w:rsidR="00CC5EE1">
        <w:rPr>
          <w:sz w:val="20"/>
        </w:rPr>
        <w:t xml:space="preserve"> </w:t>
      </w:r>
    </w:p>
    <w:sectPr w:rsidR="007D0DD2" w:rsidRPr="00597521" w:rsidSect="00AF07BA">
      <w:headerReference w:type="even" r:id="rId8"/>
      <w:headerReference w:type="default" r:id="rId9"/>
      <w:footerReference w:type="default" r:id="rId10"/>
      <w:footerReference w:type="first" r:id="rId11"/>
      <w:pgSz w:w="11906" w:h="16838"/>
      <w:pgMar w:top="1134" w:right="99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F1" w:rsidRDefault="00DB1BF1">
      <w:r>
        <w:separator/>
      </w:r>
    </w:p>
  </w:endnote>
  <w:endnote w:type="continuationSeparator" w:id="0">
    <w:p w:rsidR="00DB1BF1" w:rsidRDefault="00DB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30" w:rsidRPr="0097458A" w:rsidRDefault="00597521" w:rsidP="00D12C30">
    <w:pPr>
      <w:pStyle w:val="Footer"/>
      <w:jc w:val="both"/>
      <w:rPr>
        <w:sz w:val="20"/>
        <w:szCs w:val="20"/>
      </w:rPr>
    </w:pPr>
    <w:r w:rsidRPr="00B9664F">
      <w:rPr>
        <w:sz w:val="20"/>
        <w:szCs w:val="20"/>
      </w:rPr>
      <w:t>IEMAnot_</w:t>
    </w:r>
    <w:r w:rsidR="00493C85">
      <w:rPr>
        <w:sz w:val="20"/>
        <w:szCs w:val="20"/>
      </w:rPr>
      <w:t>0</w:t>
    </w:r>
    <w:r w:rsidR="004F1A35">
      <w:rPr>
        <w:sz w:val="20"/>
        <w:szCs w:val="20"/>
      </w:rPr>
      <w:t>8</w:t>
    </w:r>
    <w:r w:rsidR="00493C85">
      <w:rPr>
        <w:sz w:val="20"/>
        <w:szCs w:val="20"/>
      </w:rPr>
      <w:t>08</w:t>
    </w:r>
    <w:r w:rsidR="00CC5EE1">
      <w:rPr>
        <w:sz w:val="20"/>
        <w:szCs w:val="20"/>
      </w:rPr>
      <w:t>17</w:t>
    </w:r>
    <w:r>
      <w:rPr>
        <w:sz w:val="20"/>
        <w:szCs w:val="20"/>
      </w:rPr>
      <w:t>_GrozNatnot</w:t>
    </w:r>
    <w:r w:rsidRPr="00D9197D">
      <w:rPr>
        <w:sz w:val="20"/>
        <w:szCs w:val="20"/>
      </w:rPr>
      <w:t>; Ministru kabineta noteikumu projekta “</w:t>
    </w:r>
    <w:r w:rsidRPr="00D9197D">
      <w:rPr>
        <w:bCs/>
        <w:sz w:val="20"/>
        <w:szCs w:val="20"/>
      </w:rPr>
      <w:t xml:space="preserve">Grozījumi Ministru kabineta </w:t>
    </w:r>
    <w:proofErr w:type="gramStart"/>
    <w:r w:rsidRPr="00D9197D">
      <w:rPr>
        <w:bCs/>
        <w:sz w:val="20"/>
        <w:szCs w:val="20"/>
      </w:rPr>
      <w:t>20</w:t>
    </w:r>
    <w:r>
      <w:rPr>
        <w:bCs/>
        <w:sz w:val="20"/>
        <w:szCs w:val="20"/>
      </w:rPr>
      <w:t>13</w:t>
    </w:r>
    <w:r w:rsidRPr="00D9197D">
      <w:rPr>
        <w:bCs/>
        <w:sz w:val="20"/>
        <w:szCs w:val="20"/>
      </w:rPr>
      <w:t>.gada</w:t>
    </w:r>
    <w:proofErr w:type="gramEnd"/>
    <w:r w:rsidRPr="00D9197D">
      <w:rPr>
        <w:bCs/>
        <w:sz w:val="20"/>
        <w:szCs w:val="20"/>
      </w:rPr>
      <w:t xml:space="preserve"> </w:t>
    </w:r>
    <w:r>
      <w:rPr>
        <w:bCs/>
        <w:sz w:val="20"/>
        <w:szCs w:val="20"/>
      </w:rPr>
      <w:t>24.septembra</w:t>
    </w:r>
    <w:r w:rsidRPr="00D9197D">
      <w:rPr>
        <w:bCs/>
        <w:sz w:val="20"/>
        <w:szCs w:val="20"/>
      </w:rPr>
      <w:t xml:space="preserve"> noteikumos Nr.</w:t>
    </w:r>
    <w:r>
      <w:rPr>
        <w:bCs/>
        <w:sz w:val="20"/>
        <w:szCs w:val="20"/>
      </w:rPr>
      <w:t>1001</w:t>
    </w:r>
    <w:r w:rsidRPr="00D9197D">
      <w:rPr>
        <w:bCs/>
        <w:sz w:val="20"/>
        <w:szCs w:val="20"/>
      </w:rPr>
      <w:t xml:space="preserve"> “</w:t>
    </w:r>
    <w:r>
      <w:rPr>
        <w:bCs/>
        <w:sz w:val="20"/>
        <w:szCs w:val="20"/>
      </w:rPr>
      <w:t>Naturalizācijas iesnieguma pieņemšanas un izskatīšanas kārtība</w:t>
    </w:r>
    <w:r w:rsidRPr="00D9197D">
      <w:rPr>
        <w:bCs/>
        <w:sz w:val="20"/>
        <w:szCs w:val="20"/>
      </w:rPr>
      <w:t>””</w:t>
    </w:r>
    <w:r w:rsidRPr="00D9197D">
      <w:rPr>
        <w:sz w:val="20"/>
        <w:szCs w:val="20"/>
      </w:rPr>
      <w:t xml:space="preserve"> </w:t>
    </w:r>
    <w:r w:rsidRPr="00D9197D">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D9197D">
        <w:rPr>
          <w:bCs/>
          <w:sz w:val="20"/>
          <w:szCs w:val="20"/>
        </w:rPr>
        <w:t>ziņojums</w:t>
      </w:r>
    </w:smartTag>
    <w:r w:rsidRPr="00D9197D">
      <w:rPr>
        <w:bCs/>
        <w:sz w:val="20"/>
        <w:szCs w:val="20"/>
      </w:rPr>
      <w:t xml:space="preserve"> (anotācija)</w:t>
    </w:r>
  </w:p>
  <w:p w:rsidR="00FD14BB" w:rsidRDefault="00DB1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7B" w:rsidRPr="0097458A" w:rsidRDefault="00597521" w:rsidP="00812E7B">
    <w:pPr>
      <w:pStyle w:val="Footer"/>
      <w:jc w:val="both"/>
      <w:rPr>
        <w:sz w:val="20"/>
        <w:szCs w:val="20"/>
      </w:rPr>
    </w:pPr>
    <w:r w:rsidRPr="00B9664F">
      <w:rPr>
        <w:sz w:val="20"/>
        <w:szCs w:val="20"/>
      </w:rPr>
      <w:t>IEMAnot_</w:t>
    </w:r>
    <w:r w:rsidR="00493C85">
      <w:rPr>
        <w:sz w:val="20"/>
        <w:szCs w:val="20"/>
      </w:rPr>
      <w:t>0</w:t>
    </w:r>
    <w:r w:rsidR="004F1A35">
      <w:rPr>
        <w:sz w:val="20"/>
        <w:szCs w:val="20"/>
      </w:rPr>
      <w:t>8</w:t>
    </w:r>
    <w:r w:rsidR="00493C85">
      <w:rPr>
        <w:sz w:val="20"/>
        <w:szCs w:val="20"/>
      </w:rPr>
      <w:t>08</w:t>
    </w:r>
    <w:r w:rsidR="005401FD">
      <w:rPr>
        <w:sz w:val="20"/>
        <w:szCs w:val="20"/>
      </w:rPr>
      <w:t>17</w:t>
    </w:r>
    <w:r>
      <w:rPr>
        <w:sz w:val="20"/>
        <w:szCs w:val="20"/>
      </w:rPr>
      <w:t>_GrozNatnot</w:t>
    </w:r>
    <w:r w:rsidRPr="00D9197D">
      <w:rPr>
        <w:sz w:val="20"/>
        <w:szCs w:val="20"/>
      </w:rPr>
      <w:t>; Ministru kabineta noteikumu projekta “</w:t>
    </w:r>
    <w:r w:rsidRPr="00D9197D">
      <w:rPr>
        <w:bCs/>
        <w:sz w:val="20"/>
        <w:szCs w:val="20"/>
      </w:rPr>
      <w:t xml:space="preserve">Grozījumi Ministru kabineta </w:t>
    </w:r>
    <w:proofErr w:type="gramStart"/>
    <w:r w:rsidRPr="00D9197D">
      <w:rPr>
        <w:bCs/>
        <w:sz w:val="20"/>
        <w:szCs w:val="20"/>
      </w:rPr>
      <w:t>20</w:t>
    </w:r>
    <w:r>
      <w:rPr>
        <w:bCs/>
        <w:sz w:val="20"/>
        <w:szCs w:val="20"/>
      </w:rPr>
      <w:t>13</w:t>
    </w:r>
    <w:r w:rsidRPr="00D9197D">
      <w:rPr>
        <w:bCs/>
        <w:sz w:val="20"/>
        <w:szCs w:val="20"/>
      </w:rPr>
      <w:t>.gada</w:t>
    </w:r>
    <w:proofErr w:type="gramEnd"/>
    <w:r w:rsidRPr="00D9197D">
      <w:rPr>
        <w:bCs/>
        <w:sz w:val="20"/>
        <w:szCs w:val="20"/>
      </w:rPr>
      <w:t xml:space="preserve"> </w:t>
    </w:r>
    <w:r>
      <w:rPr>
        <w:bCs/>
        <w:sz w:val="20"/>
        <w:szCs w:val="20"/>
      </w:rPr>
      <w:t>24.septembra</w:t>
    </w:r>
    <w:r w:rsidRPr="00D9197D">
      <w:rPr>
        <w:bCs/>
        <w:sz w:val="20"/>
        <w:szCs w:val="20"/>
      </w:rPr>
      <w:t xml:space="preserve"> noteikumos Nr.</w:t>
    </w:r>
    <w:r>
      <w:rPr>
        <w:bCs/>
        <w:sz w:val="20"/>
        <w:szCs w:val="20"/>
      </w:rPr>
      <w:t>1001</w:t>
    </w:r>
    <w:r w:rsidRPr="00D9197D">
      <w:rPr>
        <w:bCs/>
        <w:sz w:val="20"/>
        <w:szCs w:val="20"/>
      </w:rPr>
      <w:t xml:space="preserve"> “</w:t>
    </w:r>
    <w:r>
      <w:rPr>
        <w:bCs/>
        <w:sz w:val="20"/>
        <w:szCs w:val="20"/>
      </w:rPr>
      <w:t>Naturalizācijas iesnieguma pieņemšanas un izskatīšanas kārtība</w:t>
    </w:r>
    <w:r w:rsidRPr="00D9197D">
      <w:rPr>
        <w:bCs/>
        <w:sz w:val="20"/>
        <w:szCs w:val="20"/>
      </w:rPr>
      <w:t>””</w:t>
    </w:r>
    <w:r w:rsidRPr="00D9197D">
      <w:rPr>
        <w:sz w:val="20"/>
        <w:szCs w:val="20"/>
      </w:rPr>
      <w:t xml:space="preserve"> </w:t>
    </w:r>
    <w:r w:rsidRPr="00D9197D">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D9197D">
        <w:rPr>
          <w:bCs/>
          <w:sz w:val="20"/>
          <w:szCs w:val="20"/>
        </w:rPr>
        <w:t>ziņojums</w:t>
      </w:r>
    </w:smartTag>
    <w:r w:rsidRPr="00D9197D">
      <w:rPr>
        <w:bCs/>
        <w:sz w:val="20"/>
        <w:szCs w:val="20"/>
      </w:rPr>
      <w:t xml:space="preserve"> (anotācija)</w:t>
    </w:r>
  </w:p>
  <w:p w:rsidR="00812E7B" w:rsidRDefault="00DB1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F1" w:rsidRDefault="00DB1BF1">
      <w:r>
        <w:separator/>
      </w:r>
    </w:p>
  </w:footnote>
  <w:footnote w:type="continuationSeparator" w:id="0">
    <w:p w:rsidR="00DB1BF1" w:rsidRDefault="00DB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40" w:rsidRDefault="00597521" w:rsidP="006B47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D40" w:rsidRDefault="00DB1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40" w:rsidRPr="002B02A1" w:rsidRDefault="00597521" w:rsidP="006B47A8">
    <w:pPr>
      <w:pStyle w:val="Header"/>
      <w:framePr w:wrap="around" w:vAnchor="text" w:hAnchor="margin" w:xAlign="center" w:y="1"/>
      <w:rPr>
        <w:rStyle w:val="PageNumber"/>
        <w:sz w:val="24"/>
      </w:rPr>
    </w:pPr>
    <w:r w:rsidRPr="002B02A1">
      <w:rPr>
        <w:rStyle w:val="PageNumber"/>
        <w:sz w:val="24"/>
      </w:rPr>
      <w:fldChar w:fldCharType="begin"/>
    </w:r>
    <w:r w:rsidRPr="002B02A1">
      <w:rPr>
        <w:rStyle w:val="PageNumber"/>
        <w:sz w:val="24"/>
      </w:rPr>
      <w:instrText xml:space="preserve">PAGE  </w:instrText>
    </w:r>
    <w:r w:rsidRPr="002B02A1">
      <w:rPr>
        <w:rStyle w:val="PageNumber"/>
        <w:sz w:val="24"/>
      </w:rPr>
      <w:fldChar w:fldCharType="separate"/>
    </w:r>
    <w:r w:rsidR="005D0BD9">
      <w:rPr>
        <w:rStyle w:val="PageNumber"/>
        <w:noProof/>
        <w:sz w:val="24"/>
      </w:rPr>
      <w:t>4</w:t>
    </w:r>
    <w:r w:rsidRPr="002B02A1">
      <w:rPr>
        <w:rStyle w:val="PageNumber"/>
        <w:sz w:val="24"/>
      </w:rPr>
      <w:fldChar w:fldCharType="end"/>
    </w:r>
  </w:p>
  <w:p w:rsidR="00701D40" w:rsidRPr="002B02A1" w:rsidRDefault="00DB1BF1">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21"/>
    <w:rsid w:val="00025813"/>
    <w:rsid w:val="00032EAC"/>
    <w:rsid w:val="00037CE9"/>
    <w:rsid w:val="00046B29"/>
    <w:rsid w:val="000B4B2E"/>
    <w:rsid w:val="000E3DCA"/>
    <w:rsid w:val="000F26BC"/>
    <w:rsid w:val="00125D50"/>
    <w:rsid w:val="00151037"/>
    <w:rsid w:val="00155DBF"/>
    <w:rsid w:val="00192254"/>
    <w:rsid w:val="0019495F"/>
    <w:rsid w:val="001D5F98"/>
    <w:rsid w:val="00282CFB"/>
    <w:rsid w:val="002861AA"/>
    <w:rsid w:val="002925CC"/>
    <w:rsid w:val="002B02A1"/>
    <w:rsid w:val="002E4A39"/>
    <w:rsid w:val="003348E4"/>
    <w:rsid w:val="00353237"/>
    <w:rsid w:val="0036229F"/>
    <w:rsid w:val="00367D46"/>
    <w:rsid w:val="00373E2B"/>
    <w:rsid w:val="003C02FD"/>
    <w:rsid w:val="003E447F"/>
    <w:rsid w:val="004146F8"/>
    <w:rsid w:val="00493C85"/>
    <w:rsid w:val="00495DD1"/>
    <w:rsid w:val="004E101C"/>
    <w:rsid w:val="004F1A35"/>
    <w:rsid w:val="004F3EB5"/>
    <w:rsid w:val="00507DF7"/>
    <w:rsid w:val="005401FD"/>
    <w:rsid w:val="00597521"/>
    <w:rsid w:val="005D0BD9"/>
    <w:rsid w:val="00642E7F"/>
    <w:rsid w:val="006C2DFC"/>
    <w:rsid w:val="006C4097"/>
    <w:rsid w:val="006F6164"/>
    <w:rsid w:val="007377A6"/>
    <w:rsid w:val="00761557"/>
    <w:rsid w:val="007C3A01"/>
    <w:rsid w:val="007D0DD2"/>
    <w:rsid w:val="007D4766"/>
    <w:rsid w:val="00832BAB"/>
    <w:rsid w:val="008E0BF5"/>
    <w:rsid w:val="008E27C9"/>
    <w:rsid w:val="00921865"/>
    <w:rsid w:val="0092504E"/>
    <w:rsid w:val="009650F1"/>
    <w:rsid w:val="00973F33"/>
    <w:rsid w:val="009D182C"/>
    <w:rsid w:val="009D53CB"/>
    <w:rsid w:val="00A101E2"/>
    <w:rsid w:val="00A22BA3"/>
    <w:rsid w:val="00A234B6"/>
    <w:rsid w:val="00A71F46"/>
    <w:rsid w:val="00A86D22"/>
    <w:rsid w:val="00AB3EAF"/>
    <w:rsid w:val="00AC080E"/>
    <w:rsid w:val="00AC43DD"/>
    <w:rsid w:val="00AD1C44"/>
    <w:rsid w:val="00AD5108"/>
    <w:rsid w:val="00AF07BA"/>
    <w:rsid w:val="00AF0D45"/>
    <w:rsid w:val="00B5607F"/>
    <w:rsid w:val="00BC1D96"/>
    <w:rsid w:val="00BE5C63"/>
    <w:rsid w:val="00C1666E"/>
    <w:rsid w:val="00C32F36"/>
    <w:rsid w:val="00C44799"/>
    <w:rsid w:val="00C576A7"/>
    <w:rsid w:val="00C83A23"/>
    <w:rsid w:val="00C937EF"/>
    <w:rsid w:val="00C947BA"/>
    <w:rsid w:val="00CA4704"/>
    <w:rsid w:val="00CB63F7"/>
    <w:rsid w:val="00CC5EE1"/>
    <w:rsid w:val="00D36D8D"/>
    <w:rsid w:val="00D762EF"/>
    <w:rsid w:val="00D76349"/>
    <w:rsid w:val="00DA29D2"/>
    <w:rsid w:val="00DB1BF1"/>
    <w:rsid w:val="00DD13CA"/>
    <w:rsid w:val="00E07E7A"/>
    <w:rsid w:val="00E147AB"/>
    <w:rsid w:val="00E32319"/>
    <w:rsid w:val="00EB196A"/>
    <w:rsid w:val="00ED64EA"/>
    <w:rsid w:val="00F2101B"/>
    <w:rsid w:val="00F67867"/>
    <w:rsid w:val="00F7786A"/>
    <w:rsid w:val="00F8397D"/>
    <w:rsid w:val="00F87AB9"/>
    <w:rsid w:val="00FB1A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39FD72F9-5403-4875-9449-CFA92DDA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21"/>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97521"/>
    <w:pPr>
      <w:spacing w:before="75" w:after="75"/>
      <w:jc w:val="right"/>
    </w:pPr>
    <w:rPr>
      <w:sz w:val="24"/>
    </w:rPr>
  </w:style>
  <w:style w:type="character" w:styleId="Hyperlink">
    <w:name w:val="Hyperlink"/>
    <w:rsid w:val="00597521"/>
    <w:rPr>
      <w:color w:val="0000FF"/>
      <w:u w:val="single"/>
    </w:rPr>
  </w:style>
  <w:style w:type="paragraph" w:styleId="Footer">
    <w:name w:val="footer"/>
    <w:basedOn w:val="Normal"/>
    <w:link w:val="FooterChar"/>
    <w:uiPriority w:val="99"/>
    <w:rsid w:val="00597521"/>
    <w:pPr>
      <w:tabs>
        <w:tab w:val="center" w:pos="4153"/>
        <w:tab w:val="right" w:pos="8306"/>
      </w:tabs>
    </w:pPr>
  </w:style>
  <w:style w:type="character" w:customStyle="1" w:styleId="FooterChar">
    <w:name w:val="Footer Char"/>
    <w:basedOn w:val="DefaultParagraphFont"/>
    <w:link w:val="Footer"/>
    <w:uiPriority w:val="99"/>
    <w:rsid w:val="00597521"/>
    <w:rPr>
      <w:rFonts w:ascii="Times New Roman" w:eastAsia="Times New Roman" w:hAnsi="Times New Roman" w:cs="Times New Roman"/>
      <w:sz w:val="28"/>
      <w:szCs w:val="24"/>
      <w:lang w:eastAsia="lv-LV"/>
    </w:rPr>
  </w:style>
  <w:style w:type="paragraph" w:customStyle="1" w:styleId="naisf">
    <w:name w:val="naisf"/>
    <w:basedOn w:val="Normal"/>
    <w:rsid w:val="00597521"/>
    <w:pPr>
      <w:spacing w:before="75" w:after="75"/>
      <w:ind w:firstLine="375"/>
      <w:jc w:val="both"/>
    </w:pPr>
    <w:rPr>
      <w:sz w:val="24"/>
    </w:rPr>
  </w:style>
  <w:style w:type="paragraph" w:styleId="Header">
    <w:name w:val="header"/>
    <w:basedOn w:val="Normal"/>
    <w:link w:val="HeaderChar"/>
    <w:rsid w:val="00597521"/>
    <w:pPr>
      <w:tabs>
        <w:tab w:val="center" w:pos="4153"/>
        <w:tab w:val="right" w:pos="8306"/>
      </w:tabs>
    </w:pPr>
  </w:style>
  <w:style w:type="character" w:customStyle="1" w:styleId="HeaderChar">
    <w:name w:val="Header Char"/>
    <w:basedOn w:val="DefaultParagraphFont"/>
    <w:link w:val="Header"/>
    <w:rsid w:val="00597521"/>
    <w:rPr>
      <w:rFonts w:ascii="Times New Roman" w:eastAsia="Times New Roman" w:hAnsi="Times New Roman" w:cs="Times New Roman"/>
      <w:sz w:val="28"/>
      <w:szCs w:val="24"/>
      <w:lang w:eastAsia="lv-LV"/>
    </w:rPr>
  </w:style>
  <w:style w:type="character" w:styleId="PageNumber">
    <w:name w:val="page number"/>
    <w:basedOn w:val="DefaultParagraphFont"/>
    <w:rsid w:val="00597521"/>
  </w:style>
  <w:style w:type="paragraph" w:styleId="BodyText2">
    <w:name w:val="Body Text 2"/>
    <w:basedOn w:val="Normal"/>
    <w:link w:val="BodyText2Char"/>
    <w:rsid w:val="00597521"/>
    <w:pPr>
      <w:jc w:val="center"/>
    </w:pPr>
    <w:rPr>
      <w:b/>
      <w:szCs w:val="20"/>
      <w:lang w:eastAsia="en-US"/>
    </w:rPr>
  </w:style>
  <w:style w:type="character" w:customStyle="1" w:styleId="BodyText2Char">
    <w:name w:val="Body Text 2 Char"/>
    <w:basedOn w:val="DefaultParagraphFont"/>
    <w:link w:val="BodyText2"/>
    <w:rsid w:val="00597521"/>
    <w:rPr>
      <w:rFonts w:ascii="Times New Roman" w:eastAsia="Times New Roman" w:hAnsi="Times New Roman" w:cs="Times New Roman"/>
      <w:b/>
      <w:sz w:val="28"/>
      <w:szCs w:val="20"/>
    </w:rPr>
  </w:style>
  <w:style w:type="paragraph" w:customStyle="1" w:styleId="naiskr">
    <w:name w:val="naiskr"/>
    <w:basedOn w:val="Normal"/>
    <w:rsid w:val="00597521"/>
    <w:pPr>
      <w:spacing w:before="75" w:after="75"/>
    </w:pPr>
    <w:rPr>
      <w:sz w:val="24"/>
    </w:rPr>
  </w:style>
  <w:style w:type="paragraph" w:styleId="BodyText">
    <w:name w:val="Body Text"/>
    <w:basedOn w:val="Normal"/>
    <w:link w:val="BodyTextChar"/>
    <w:rsid w:val="00597521"/>
    <w:pPr>
      <w:spacing w:after="120"/>
    </w:pPr>
  </w:style>
  <w:style w:type="character" w:customStyle="1" w:styleId="BodyTextChar">
    <w:name w:val="Body Text Char"/>
    <w:basedOn w:val="DefaultParagraphFont"/>
    <w:link w:val="BodyText"/>
    <w:rsid w:val="00597521"/>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C9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7BA"/>
    <w:rPr>
      <w:rFonts w:ascii="Segoe UI" w:eastAsia="Times New Roman" w:hAnsi="Segoe UI" w:cs="Segoe UI"/>
      <w:sz w:val="18"/>
      <w:szCs w:val="18"/>
      <w:lang w:eastAsia="lv-LV"/>
    </w:rPr>
  </w:style>
  <w:style w:type="paragraph" w:customStyle="1" w:styleId="tv2132">
    <w:name w:val="tv2132"/>
    <w:basedOn w:val="Normal"/>
    <w:rsid w:val="00032EAC"/>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81243">
      <w:bodyDiv w:val="1"/>
      <w:marLeft w:val="0"/>
      <w:marRight w:val="0"/>
      <w:marTop w:val="0"/>
      <w:marBottom w:val="0"/>
      <w:divBdr>
        <w:top w:val="none" w:sz="0" w:space="0" w:color="auto"/>
        <w:left w:val="none" w:sz="0" w:space="0" w:color="auto"/>
        <w:bottom w:val="none" w:sz="0" w:space="0" w:color="auto"/>
        <w:right w:val="none" w:sz="0" w:space="0" w:color="auto"/>
      </w:divBdr>
    </w:div>
    <w:div w:id="2071924838">
      <w:bodyDiv w:val="1"/>
      <w:marLeft w:val="0"/>
      <w:marRight w:val="0"/>
      <w:marTop w:val="0"/>
      <w:marBottom w:val="0"/>
      <w:divBdr>
        <w:top w:val="none" w:sz="0" w:space="0" w:color="auto"/>
        <w:left w:val="none" w:sz="0" w:space="0" w:color="auto"/>
        <w:bottom w:val="none" w:sz="0" w:space="0" w:color="auto"/>
        <w:right w:val="none" w:sz="0" w:space="0" w:color="auto"/>
      </w:divBdr>
      <w:divsChild>
        <w:div w:id="1029453994">
          <w:marLeft w:val="0"/>
          <w:marRight w:val="0"/>
          <w:marTop w:val="0"/>
          <w:marBottom w:val="0"/>
          <w:divBdr>
            <w:top w:val="none" w:sz="0" w:space="0" w:color="auto"/>
            <w:left w:val="none" w:sz="0" w:space="0" w:color="auto"/>
            <w:bottom w:val="none" w:sz="0" w:space="0" w:color="auto"/>
            <w:right w:val="none" w:sz="0" w:space="0" w:color="auto"/>
          </w:divBdr>
          <w:divsChild>
            <w:div w:id="654650122">
              <w:marLeft w:val="0"/>
              <w:marRight w:val="0"/>
              <w:marTop w:val="0"/>
              <w:marBottom w:val="0"/>
              <w:divBdr>
                <w:top w:val="none" w:sz="0" w:space="0" w:color="auto"/>
                <w:left w:val="none" w:sz="0" w:space="0" w:color="auto"/>
                <w:bottom w:val="none" w:sz="0" w:space="0" w:color="auto"/>
                <w:right w:val="none" w:sz="0" w:space="0" w:color="auto"/>
              </w:divBdr>
              <w:divsChild>
                <w:div w:id="39597851">
                  <w:marLeft w:val="0"/>
                  <w:marRight w:val="0"/>
                  <w:marTop w:val="0"/>
                  <w:marBottom w:val="0"/>
                  <w:divBdr>
                    <w:top w:val="none" w:sz="0" w:space="0" w:color="auto"/>
                    <w:left w:val="none" w:sz="0" w:space="0" w:color="auto"/>
                    <w:bottom w:val="none" w:sz="0" w:space="0" w:color="auto"/>
                    <w:right w:val="none" w:sz="0" w:space="0" w:color="auto"/>
                  </w:divBdr>
                  <w:divsChild>
                    <w:div w:id="428278584">
                      <w:marLeft w:val="0"/>
                      <w:marRight w:val="0"/>
                      <w:marTop w:val="0"/>
                      <w:marBottom w:val="0"/>
                      <w:divBdr>
                        <w:top w:val="none" w:sz="0" w:space="0" w:color="auto"/>
                        <w:left w:val="none" w:sz="0" w:space="0" w:color="auto"/>
                        <w:bottom w:val="none" w:sz="0" w:space="0" w:color="auto"/>
                        <w:right w:val="none" w:sz="0" w:space="0" w:color="auto"/>
                      </w:divBdr>
                      <w:divsChild>
                        <w:div w:id="1379820865">
                          <w:marLeft w:val="0"/>
                          <w:marRight w:val="0"/>
                          <w:marTop w:val="0"/>
                          <w:marBottom w:val="0"/>
                          <w:divBdr>
                            <w:top w:val="none" w:sz="0" w:space="0" w:color="auto"/>
                            <w:left w:val="none" w:sz="0" w:space="0" w:color="auto"/>
                            <w:bottom w:val="none" w:sz="0" w:space="0" w:color="auto"/>
                            <w:right w:val="none" w:sz="0" w:space="0" w:color="auto"/>
                          </w:divBdr>
                          <w:divsChild>
                            <w:div w:id="182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ara.dementjeva@pmlp.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5119-17D5-47A1-B080-4A4A5CD8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5239</Words>
  <Characters>2987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24.septembra noteikumos Nr.1001 "Naturalizācijas iesnieguma pieņemšanas un izskatīšanas kārtība"" sākotnējās ietekmes ziņojums (anotācija)</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24.septembra noteikumos Nr.1001 "Naturalizācijas iesnieguma pieņemšanas un izskatīšanas kārtība"" sākotnējās ietekmes ziņojums (anotācija)</dc:title>
  <dc:subject>Anotācija</dc:subject>
  <dc:creator>Igors Gorbunovs</dc:creator>
  <cp:keywords/>
  <dc:description>67219675, igors.gorbunovs@pmlp.gov.lv</dc:description>
  <cp:lastModifiedBy>Kristine Stone</cp:lastModifiedBy>
  <cp:revision>10</cp:revision>
  <cp:lastPrinted>2017-06-08T13:30:00Z</cp:lastPrinted>
  <dcterms:created xsi:type="dcterms:W3CDTF">2017-07-20T06:02:00Z</dcterms:created>
  <dcterms:modified xsi:type="dcterms:W3CDTF">2017-08-08T12:50:00Z</dcterms:modified>
</cp:coreProperties>
</file>