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E6B" w:rsidRPr="00CC71EF" w:rsidRDefault="002B2E6B" w:rsidP="002B2E6B">
      <w:pPr>
        <w:pStyle w:val="Heading3"/>
        <w:jc w:val="right"/>
        <w:rPr>
          <w:i/>
          <w:szCs w:val="28"/>
          <w:lang w:val="lv-LV"/>
        </w:rPr>
      </w:pPr>
      <w:r w:rsidRPr="00CC71EF">
        <w:rPr>
          <w:i/>
          <w:szCs w:val="28"/>
          <w:lang w:val="lv-LV"/>
        </w:rPr>
        <w:t>Projekts</w:t>
      </w:r>
    </w:p>
    <w:p w:rsidR="002B2E6B" w:rsidRPr="00CC71EF" w:rsidRDefault="002B2E6B" w:rsidP="002B2E6B">
      <w:pPr>
        <w:jc w:val="both"/>
        <w:rPr>
          <w:sz w:val="28"/>
          <w:szCs w:val="28"/>
        </w:rPr>
      </w:pPr>
    </w:p>
    <w:p w:rsidR="002B2E6B" w:rsidRPr="00CC71EF" w:rsidRDefault="002B2E6B" w:rsidP="002B2E6B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CC71EF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2B2E6B" w:rsidRPr="00CC71EF" w:rsidRDefault="002B2E6B" w:rsidP="002B2E6B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2B2E6B" w:rsidRPr="00CC71EF" w:rsidRDefault="002B2E6B" w:rsidP="002B2E6B">
      <w:pPr>
        <w:pStyle w:val="BodyTextIndent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 xml:space="preserve">2017.gada ___._________ 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Noteikumi Nr.___ </w:t>
      </w:r>
    </w:p>
    <w:p w:rsidR="002B2E6B" w:rsidRPr="00CC71EF" w:rsidRDefault="002B2E6B" w:rsidP="002B2E6B">
      <w:pPr>
        <w:pStyle w:val="BodyTextIndent"/>
        <w:spacing w:after="0" w:line="276" w:lineRule="auto"/>
        <w:ind w:left="0"/>
        <w:rPr>
          <w:sz w:val="28"/>
          <w:szCs w:val="28"/>
          <w:lang w:val="lv-LV"/>
        </w:rPr>
      </w:pPr>
      <w:r w:rsidRPr="00CC71EF">
        <w:rPr>
          <w:sz w:val="28"/>
          <w:szCs w:val="28"/>
          <w:lang w:val="lv-LV"/>
        </w:rPr>
        <w:t>Rīgā</w:t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</w:r>
      <w:r w:rsidRPr="00CC71EF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ab/>
        <w:t> </w:t>
      </w:r>
      <w:r w:rsidRPr="00CC71EF">
        <w:rPr>
          <w:sz w:val="28"/>
          <w:szCs w:val="28"/>
          <w:lang w:val="lv-LV"/>
        </w:rPr>
        <w:t>(prot. Nr.__</w:t>
      </w:r>
      <w:r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__</w:t>
      </w:r>
      <w:r>
        <w:rPr>
          <w:sz w:val="28"/>
          <w:szCs w:val="28"/>
          <w:lang w:val="lv-LV"/>
        </w:rPr>
        <w:t>_</w:t>
      </w:r>
      <w:r w:rsidRPr="00CC71EF">
        <w:rPr>
          <w:sz w:val="28"/>
          <w:szCs w:val="28"/>
          <w:lang w:val="lv-LV"/>
        </w:rPr>
        <w:t xml:space="preserve"> §)</w:t>
      </w:r>
    </w:p>
    <w:p w:rsidR="002B2E6B" w:rsidRPr="00CC71EF" w:rsidRDefault="002B2E6B" w:rsidP="002B2E6B">
      <w:pPr>
        <w:rPr>
          <w:bCs/>
          <w:sz w:val="28"/>
          <w:szCs w:val="28"/>
        </w:rPr>
      </w:pPr>
      <w:bookmarkStart w:id="0" w:name="OLE_LINK1"/>
      <w:bookmarkStart w:id="1" w:name="OLE_LINK2"/>
    </w:p>
    <w:p w:rsidR="002B2E6B" w:rsidRPr="00CC71EF" w:rsidRDefault="002B2E6B" w:rsidP="002B2E6B">
      <w:pPr>
        <w:rPr>
          <w:bCs/>
          <w:sz w:val="28"/>
          <w:szCs w:val="28"/>
        </w:rPr>
      </w:pPr>
    </w:p>
    <w:p w:rsidR="002B2E6B" w:rsidRPr="00CC71EF" w:rsidRDefault="002B2E6B" w:rsidP="002B2E6B">
      <w:pPr>
        <w:jc w:val="center"/>
        <w:rPr>
          <w:b/>
          <w:bCs/>
          <w:sz w:val="28"/>
          <w:szCs w:val="28"/>
        </w:rPr>
      </w:pPr>
      <w:r w:rsidRPr="00CC71EF">
        <w:rPr>
          <w:b/>
          <w:bCs/>
          <w:sz w:val="28"/>
          <w:szCs w:val="28"/>
        </w:rPr>
        <w:t xml:space="preserve">Grozījumi Ministru kabineta 2011.gada 27.decembra noteikumos Nr.1035 </w:t>
      </w:r>
    </w:p>
    <w:p w:rsidR="002B2E6B" w:rsidRPr="00CC71EF" w:rsidRDefault="002B2E6B" w:rsidP="002B2E6B">
      <w:pPr>
        <w:jc w:val="center"/>
        <w:rPr>
          <w:b/>
          <w:bCs/>
          <w:sz w:val="28"/>
          <w:szCs w:val="28"/>
        </w:rPr>
      </w:pPr>
      <w:r w:rsidRPr="00CC71EF">
        <w:rPr>
          <w:b/>
          <w:bCs/>
          <w:sz w:val="28"/>
          <w:szCs w:val="28"/>
        </w:rPr>
        <w:t>„Kārtība, kādā valsts finansē profesionālās ievirzes mākslas, mūzikas</w:t>
      </w:r>
    </w:p>
    <w:p w:rsidR="002B2E6B" w:rsidRPr="00CC71EF" w:rsidRDefault="002B2E6B" w:rsidP="002B2E6B">
      <w:pPr>
        <w:jc w:val="center"/>
        <w:rPr>
          <w:b/>
          <w:bCs/>
          <w:sz w:val="28"/>
          <w:szCs w:val="28"/>
        </w:rPr>
      </w:pPr>
      <w:r w:rsidRPr="00CC71EF">
        <w:rPr>
          <w:b/>
          <w:bCs/>
          <w:sz w:val="28"/>
          <w:szCs w:val="28"/>
        </w:rPr>
        <w:t xml:space="preserve"> un dejas izglītības programmas” </w:t>
      </w:r>
    </w:p>
    <w:bookmarkEnd w:id="0"/>
    <w:bookmarkEnd w:id="1"/>
    <w:p w:rsidR="002B2E6B" w:rsidRDefault="002B2E6B" w:rsidP="002B2E6B">
      <w:pPr>
        <w:rPr>
          <w:sz w:val="28"/>
          <w:szCs w:val="28"/>
        </w:rPr>
      </w:pPr>
    </w:p>
    <w:p w:rsidR="002B2E6B" w:rsidRPr="00CC71EF" w:rsidRDefault="002B2E6B" w:rsidP="002B2E6B">
      <w:pPr>
        <w:rPr>
          <w:sz w:val="28"/>
          <w:szCs w:val="28"/>
        </w:rPr>
      </w:pPr>
    </w:p>
    <w:p w:rsidR="002B2E6B" w:rsidRPr="00CC71EF" w:rsidRDefault="002B2E6B" w:rsidP="002B2E6B">
      <w:pPr>
        <w:jc w:val="right"/>
        <w:rPr>
          <w:sz w:val="28"/>
          <w:szCs w:val="28"/>
        </w:rPr>
      </w:pPr>
      <w:r w:rsidRPr="00CC71EF">
        <w:rPr>
          <w:sz w:val="28"/>
          <w:szCs w:val="28"/>
        </w:rPr>
        <w:t xml:space="preserve">Izdoti saskaņā ar Izglītības likuma 14.panta 26.punktu un </w:t>
      </w:r>
    </w:p>
    <w:p w:rsidR="002B2E6B" w:rsidRPr="00CC71EF" w:rsidRDefault="002B2E6B" w:rsidP="002B2E6B">
      <w:pPr>
        <w:jc w:val="right"/>
        <w:rPr>
          <w:sz w:val="28"/>
          <w:szCs w:val="28"/>
        </w:rPr>
      </w:pPr>
      <w:r w:rsidRPr="00CC71EF">
        <w:rPr>
          <w:sz w:val="28"/>
          <w:szCs w:val="28"/>
        </w:rPr>
        <w:t>Profesionālās izglītības likuma 31.panta 2.</w:t>
      </w:r>
      <w:r w:rsidRPr="00CC71EF">
        <w:rPr>
          <w:sz w:val="28"/>
          <w:szCs w:val="28"/>
          <w:vertAlign w:val="superscript"/>
        </w:rPr>
        <w:t>3</w:t>
      </w:r>
      <w:r w:rsidRPr="00CC71EF">
        <w:rPr>
          <w:sz w:val="28"/>
          <w:szCs w:val="28"/>
        </w:rPr>
        <w:t xml:space="preserve"> daļu</w:t>
      </w:r>
    </w:p>
    <w:p w:rsidR="002B2E6B" w:rsidRPr="00CC71EF" w:rsidRDefault="002B2E6B" w:rsidP="002B2E6B">
      <w:pPr>
        <w:rPr>
          <w:sz w:val="28"/>
          <w:szCs w:val="28"/>
        </w:rPr>
      </w:pPr>
    </w:p>
    <w:p w:rsidR="002B2E6B" w:rsidRPr="00CC71EF" w:rsidRDefault="002B2E6B" w:rsidP="002B2E6B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CC71EF">
        <w:rPr>
          <w:sz w:val="28"/>
          <w:szCs w:val="28"/>
        </w:rPr>
        <w:t xml:space="preserve">Izdarīt </w:t>
      </w:r>
      <w:r w:rsidRPr="00CC71EF">
        <w:rPr>
          <w:bCs/>
          <w:sz w:val="28"/>
          <w:szCs w:val="28"/>
        </w:rPr>
        <w:t xml:space="preserve">Ministru kabineta 2011.gada 27.decembra noteikumos Nr.1035 </w:t>
      </w:r>
    </w:p>
    <w:p w:rsidR="002B2E6B" w:rsidRPr="00CC71EF" w:rsidRDefault="002B2E6B" w:rsidP="002B2E6B">
      <w:pPr>
        <w:jc w:val="both"/>
        <w:rPr>
          <w:bCs/>
          <w:sz w:val="28"/>
          <w:szCs w:val="28"/>
        </w:rPr>
      </w:pPr>
      <w:r w:rsidRPr="00CC71EF">
        <w:rPr>
          <w:bCs/>
          <w:sz w:val="28"/>
          <w:szCs w:val="28"/>
        </w:rPr>
        <w:t>„Kārtība, kādā valsts finansē profesionālās ievirzes mākslas, mūzikas un dejas izglītības programmas” (Latvijas Vēstnesis, 2013, 220.nr.</w:t>
      </w:r>
      <w:r w:rsidRPr="00CC71EF">
        <w:rPr>
          <w:sz w:val="28"/>
          <w:szCs w:val="28"/>
        </w:rPr>
        <w:t>; 2014, 170.nr.; 2016, 140., 218.nr.)</w:t>
      </w:r>
      <w:r w:rsidRPr="00CC71EF">
        <w:rPr>
          <w:bCs/>
          <w:sz w:val="28"/>
          <w:szCs w:val="28"/>
        </w:rPr>
        <w:t xml:space="preserve"> šādus grozījumus:</w:t>
      </w:r>
    </w:p>
    <w:p w:rsidR="002B2E6B" w:rsidRPr="00CC71EF" w:rsidRDefault="002B2E6B" w:rsidP="002B2E6B">
      <w:pPr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Pr="00AB73B2">
        <w:rPr>
          <w:sz w:val="28"/>
          <w:szCs w:val="28"/>
        </w:rPr>
        <w:t>4.¹2.</w:t>
      </w:r>
      <w:r>
        <w:rPr>
          <w:sz w:val="28"/>
          <w:szCs w:val="28"/>
        </w:rPr>
        <w:t>apakš</w:t>
      </w:r>
      <w:r w:rsidRPr="00AB73B2">
        <w:rPr>
          <w:sz w:val="28"/>
          <w:szCs w:val="28"/>
        </w:rPr>
        <w:t>punkt</w:t>
      </w:r>
      <w:r>
        <w:rPr>
          <w:sz w:val="28"/>
          <w:szCs w:val="28"/>
        </w:rPr>
        <w:t xml:space="preserve">ā vārdus </w:t>
      </w:r>
      <w:r w:rsidRPr="00563D7E">
        <w:rPr>
          <w:bCs/>
          <w:sz w:val="28"/>
          <w:szCs w:val="28"/>
        </w:rPr>
        <w:t>„</w:t>
      </w:r>
      <w:r>
        <w:rPr>
          <w:sz w:val="28"/>
          <w:szCs w:val="28"/>
        </w:rPr>
        <w:t xml:space="preserve">3., 4. un 5.kvalitātes pakāpi” ar vārdiem </w:t>
      </w:r>
      <w:r w:rsidRPr="00B26E37">
        <w:rPr>
          <w:bCs/>
          <w:sz w:val="28"/>
          <w:szCs w:val="28"/>
        </w:rPr>
        <w:t>„</w:t>
      </w:r>
      <w:r w:rsidRPr="00B26E37">
        <w:rPr>
          <w:sz w:val="28"/>
          <w:szCs w:val="28"/>
        </w:rPr>
        <w:t>kādu no pedagogu profesionālās darbības kvalitātes pakāpēm”;</w:t>
      </w:r>
    </w:p>
    <w:p w:rsidR="002B2E6B" w:rsidRDefault="002B2E6B" w:rsidP="002B2E6B">
      <w:pPr>
        <w:tabs>
          <w:tab w:val="left" w:pos="1276"/>
        </w:tabs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tabs>
          <w:tab w:val="left" w:pos="1276"/>
        </w:tabs>
        <w:ind w:hanging="1146"/>
        <w:jc w:val="both"/>
        <w:rPr>
          <w:sz w:val="28"/>
          <w:szCs w:val="28"/>
        </w:rPr>
      </w:pPr>
      <w:r>
        <w:rPr>
          <w:sz w:val="28"/>
          <w:szCs w:val="28"/>
        </w:rPr>
        <w:t>papildināt noteikumus ar 4.¹3</w:t>
      </w:r>
      <w:r w:rsidRPr="00AB73B2">
        <w:rPr>
          <w:sz w:val="28"/>
          <w:szCs w:val="28"/>
        </w:rPr>
        <w:t>.</w:t>
      </w:r>
      <w:r w:rsidRPr="007914A3">
        <w:rPr>
          <w:sz w:val="28"/>
          <w:szCs w:val="28"/>
        </w:rPr>
        <w:t xml:space="preserve"> </w:t>
      </w:r>
      <w:r>
        <w:rPr>
          <w:sz w:val="28"/>
          <w:szCs w:val="28"/>
        </w:rPr>
        <w:t>un 4.¹4</w:t>
      </w:r>
      <w:r w:rsidRPr="00AB73B2">
        <w:rPr>
          <w:sz w:val="28"/>
          <w:szCs w:val="28"/>
        </w:rPr>
        <w:t>.</w:t>
      </w:r>
      <w:r>
        <w:rPr>
          <w:sz w:val="28"/>
          <w:szCs w:val="28"/>
        </w:rPr>
        <w:t>apakš</w:t>
      </w:r>
      <w:r w:rsidRPr="00AB73B2">
        <w:rPr>
          <w:sz w:val="28"/>
          <w:szCs w:val="28"/>
        </w:rPr>
        <w:t>punkt</w:t>
      </w:r>
      <w:r>
        <w:rPr>
          <w:sz w:val="28"/>
          <w:szCs w:val="28"/>
        </w:rPr>
        <w:t xml:space="preserve">u šādā redakcijā: </w:t>
      </w:r>
    </w:p>
    <w:p w:rsidR="002B2E6B" w:rsidRDefault="002B2E6B" w:rsidP="002B2E6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63D7E">
        <w:rPr>
          <w:bCs/>
          <w:sz w:val="28"/>
          <w:szCs w:val="28"/>
        </w:rPr>
        <w:t>„</w:t>
      </w:r>
      <w:r>
        <w:rPr>
          <w:sz w:val="28"/>
          <w:szCs w:val="28"/>
        </w:rPr>
        <w:t>4.¹3</w:t>
      </w:r>
      <w:r w:rsidRPr="00AB73B2">
        <w:rPr>
          <w:sz w:val="28"/>
          <w:szCs w:val="28"/>
        </w:rPr>
        <w:t>.</w:t>
      </w:r>
      <w:r>
        <w:rPr>
          <w:sz w:val="28"/>
          <w:szCs w:val="28"/>
        </w:rPr>
        <w:t xml:space="preserve"> finansējumu samaksai par pedagogu papildu pienākumiem, </w:t>
      </w:r>
      <w:r w:rsidRPr="00687BE6">
        <w:rPr>
          <w:sz w:val="28"/>
          <w:szCs w:val="28"/>
        </w:rPr>
        <w:t>kā arī pedagoga mēneša darba algas likmes palielināšanai</w:t>
      </w:r>
      <w:r>
        <w:rPr>
          <w:sz w:val="28"/>
          <w:szCs w:val="28"/>
        </w:rPr>
        <w:t>;</w:t>
      </w:r>
    </w:p>
    <w:p w:rsidR="002B2E6B" w:rsidRDefault="002B2E6B" w:rsidP="002B2E6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4.¹4</w:t>
      </w:r>
      <w:r w:rsidRPr="00AB73B2">
        <w:rPr>
          <w:sz w:val="28"/>
          <w:szCs w:val="28"/>
        </w:rPr>
        <w:t>.</w:t>
      </w:r>
      <w:r>
        <w:rPr>
          <w:sz w:val="28"/>
          <w:szCs w:val="28"/>
        </w:rPr>
        <w:t xml:space="preserve"> finansējumu </w:t>
      </w:r>
      <w:r w:rsidRPr="00B26E37">
        <w:rPr>
          <w:sz w:val="28"/>
          <w:szCs w:val="28"/>
        </w:rPr>
        <w:t xml:space="preserve">piemaksām profesionālās izglītības kompetences centru (turpmāk – </w:t>
      </w:r>
      <w:r>
        <w:rPr>
          <w:sz w:val="28"/>
          <w:szCs w:val="28"/>
        </w:rPr>
        <w:t>kompetences centrs</w:t>
      </w:r>
      <w:r w:rsidRPr="00B26E37">
        <w:rPr>
          <w:sz w:val="28"/>
          <w:szCs w:val="28"/>
        </w:rPr>
        <w:t>) pedagogiem saskaņā ar pedagogu darba samaksas noteikumiem</w:t>
      </w:r>
      <w:r>
        <w:rPr>
          <w:sz w:val="28"/>
          <w:szCs w:val="28"/>
        </w:rPr>
        <w:t>.”;</w:t>
      </w:r>
    </w:p>
    <w:p w:rsidR="002B2E6B" w:rsidRDefault="002B2E6B" w:rsidP="002B2E6B">
      <w:pPr>
        <w:tabs>
          <w:tab w:val="left" w:pos="1276"/>
        </w:tabs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Pr="00AB73B2">
        <w:rPr>
          <w:sz w:val="28"/>
          <w:szCs w:val="28"/>
        </w:rPr>
        <w:t>4.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punktā skaitli un vārdu „4.¹2</w:t>
      </w:r>
      <w:r w:rsidRPr="00AB73B2">
        <w:rPr>
          <w:sz w:val="28"/>
          <w:szCs w:val="28"/>
        </w:rPr>
        <w:t>.</w:t>
      </w:r>
      <w:r>
        <w:rPr>
          <w:sz w:val="28"/>
          <w:szCs w:val="28"/>
        </w:rPr>
        <w:t>apakš</w:t>
      </w:r>
      <w:r w:rsidRPr="00AB73B2">
        <w:rPr>
          <w:sz w:val="28"/>
          <w:szCs w:val="28"/>
        </w:rPr>
        <w:t>punkt</w:t>
      </w:r>
      <w:r>
        <w:rPr>
          <w:sz w:val="28"/>
          <w:szCs w:val="28"/>
        </w:rPr>
        <w:t>ā” ar skaitļiem un vārdiem „4.¹2</w:t>
      </w:r>
      <w:r w:rsidRPr="00AB73B2">
        <w:rPr>
          <w:sz w:val="28"/>
          <w:szCs w:val="28"/>
        </w:rPr>
        <w:t>.</w:t>
      </w:r>
      <w:r>
        <w:rPr>
          <w:sz w:val="28"/>
          <w:szCs w:val="28"/>
        </w:rPr>
        <w:t>, 4.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3. un 4.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4.apakšpunktā”;</w:t>
      </w:r>
    </w:p>
    <w:p w:rsidR="002B2E6B" w:rsidRDefault="002B2E6B" w:rsidP="002B2E6B">
      <w:pPr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bookmarkStart w:id="2" w:name="p-597159"/>
      <w:bookmarkStart w:id="3" w:name="p8"/>
      <w:bookmarkEnd w:id="2"/>
      <w:bookmarkEnd w:id="3"/>
      <w:r>
        <w:rPr>
          <w:sz w:val="28"/>
          <w:szCs w:val="28"/>
        </w:rPr>
        <w:t>svītrot 8.punktu;</w:t>
      </w:r>
    </w:p>
    <w:p w:rsidR="002B2E6B" w:rsidRDefault="002B2E6B" w:rsidP="002B2E6B">
      <w:pPr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svītrot 10.2.apakšpunktu;</w:t>
      </w:r>
    </w:p>
    <w:p w:rsidR="002B2E6B" w:rsidRDefault="002B2E6B" w:rsidP="002B2E6B">
      <w:pPr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izteikt 12.punktu šādā redakcijā: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563D7E">
        <w:rPr>
          <w:bCs/>
          <w:sz w:val="28"/>
          <w:szCs w:val="28"/>
        </w:rPr>
        <w:t>„</w:t>
      </w:r>
      <w:r w:rsidRPr="00C03028">
        <w:rPr>
          <w:sz w:val="28"/>
          <w:szCs w:val="28"/>
        </w:rPr>
        <w:t>1</w:t>
      </w:r>
      <w:r w:rsidRPr="001E025A">
        <w:rPr>
          <w:sz w:val="28"/>
          <w:szCs w:val="28"/>
        </w:rPr>
        <w:t>2. Dotācijas apmēru gadā vienai izglītības programmai attiecīgajā izglītības iestādē nosaka, izmantojot šādu formulu:</w:t>
      </w:r>
    </w:p>
    <w:p w:rsidR="002B2E6B" w:rsidRDefault="002B2E6B" w:rsidP="002B2E6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 = I x P x A x N x (1 + S/100) + </w:t>
      </w:r>
      <w:r w:rsidRPr="00616657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Pr="00616657">
        <w:rPr>
          <w:sz w:val="28"/>
          <w:szCs w:val="28"/>
        </w:rPr>
        <w:t>+ K</w:t>
      </w:r>
      <w:r>
        <w:rPr>
          <w:sz w:val="28"/>
          <w:szCs w:val="28"/>
        </w:rPr>
        <w:t xml:space="preserve"> + </w:t>
      </w:r>
      <w:r w:rsidRPr="00052413">
        <w:rPr>
          <w:sz w:val="28"/>
          <w:szCs w:val="28"/>
        </w:rPr>
        <w:t>C,</w:t>
      </w:r>
      <w:r w:rsidRPr="001E025A">
        <w:rPr>
          <w:sz w:val="28"/>
          <w:szCs w:val="28"/>
        </w:rPr>
        <w:t xml:space="preserve"> kur</w:t>
      </w:r>
    </w:p>
    <w:p w:rsidR="00E36CBD" w:rsidRPr="001E025A" w:rsidRDefault="00E36CBD" w:rsidP="002B2E6B">
      <w:pPr>
        <w:ind w:firstLine="720"/>
        <w:jc w:val="center"/>
        <w:rPr>
          <w:sz w:val="28"/>
          <w:szCs w:val="28"/>
        </w:rPr>
      </w:pPr>
      <w:bookmarkStart w:id="4" w:name="_GoBack"/>
      <w:bookmarkEnd w:id="4"/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lastRenderedPageBreak/>
        <w:t>F – dotācijas apmērs gadā vienai izglītības programmai attiecīgajā izglītības iestādē;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– atbilstoši šo noteikumu </w:t>
      </w:r>
      <w:r w:rsidRPr="002633B7">
        <w:rPr>
          <w:sz w:val="28"/>
          <w:szCs w:val="28"/>
        </w:rPr>
        <w:t>11.punktam</w:t>
      </w:r>
      <w:r w:rsidRPr="001E025A">
        <w:rPr>
          <w:sz w:val="28"/>
          <w:szCs w:val="28"/>
        </w:rPr>
        <w:t xml:space="preserve"> noteiktais </w:t>
      </w:r>
      <w:r>
        <w:rPr>
          <w:sz w:val="28"/>
          <w:szCs w:val="28"/>
        </w:rPr>
        <w:t>no valsts budžeta finansēto izglītojamo skaits izglītības programmā attiecīgajā izglītības iestādē</w:t>
      </w:r>
      <w:r w:rsidRPr="001E025A">
        <w:rPr>
          <w:sz w:val="28"/>
          <w:szCs w:val="28"/>
        </w:rPr>
        <w:t>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P – izglītības programmā vidējais apmaksājamo pedagoģisko likmju skaits mēnesī uz vienu izglītojamo;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A – vienas pedagoģiskās likmes atalgojums, ņemot vērā attiecīgajā gadā pieejamos valsts budžeta līdzekļus, bet ne mazāks kā normatīvajos aktos noteiktā minim</w:t>
      </w:r>
      <w:r>
        <w:rPr>
          <w:sz w:val="28"/>
          <w:szCs w:val="28"/>
        </w:rPr>
        <w:t>ālā darba algas likme pedagogam;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N – mēnešu skaits, kādam tiek aprēķināta dotācija;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S – normatīvajos aktos darba devējam vispārējā gadījumā noteiktā valsts sociālās apdrošināšanas obligāto iemaksu likme;</w:t>
      </w:r>
    </w:p>
    <w:p w:rsidR="002B2E6B" w:rsidRDefault="002B2E6B" w:rsidP="002B2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 –</w:t>
      </w:r>
      <w:r w:rsidRPr="00616657">
        <w:rPr>
          <w:sz w:val="28"/>
          <w:szCs w:val="28"/>
        </w:rPr>
        <w:t xml:space="preserve"> finansējums</w:t>
      </w:r>
      <w:r w:rsidRPr="0025717A">
        <w:rPr>
          <w:sz w:val="28"/>
          <w:szCs w:val="28"/>
        </w:rPr>
        <w:t xml:space="preserve"> samaksai par pedagogu papildu pienākumiem, kā arī pedagoga mēneša darba algas likmes palielināšanai;</w:t>
      </w:r>
      <w:r w:rsidRPr="00155ECF">
        <w:rPr>
          <w:sz w:val="28"/>
          <w:szCs w:val="28"/>
        </w:rPr>
        <w:t xml:space="preserve"> </w:t>
      </w:r>
    </w:p>
    <w:p w:rsidR="002B2E6B" w:rsidRPr="00BE229F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K – dotācijas apmērs pedagogu darba samaksas noteikumos noteiktajām pedagoga profesionālā</w:t>
      </w:r>
      <w:r>
        <w:rPr>
          <w:sz w:val="28"/>
          <w:szCs w:val="28"/>
        </w:rPr>
        <w:t xml:space="preserve">s darbības </w:t>
      </w:r>
      <w:r w:rsidRPr="00BE229F">
        <w:rPr>
          <w:sz w:val="28"/>
          <w:szCs w:val="28"/>
        </w:rPr>
        <w:t>kvalitātes piemaksām;</w:t>
      </w:r>
    </w:p>
    <w:p w:rsidR="002B2E6B" w:rsidRPr="00CC71EF" w:rsidRDefault="002B2E6B" w:rsidP="002B2E6B">
      <w:pPr>
        <w:ind w:firstLine="720"/>
        <w:jc w:val="both"/>
        <w:rPr>
          <w:sz w:val="28"/>
          <w:szCs w:val="28"/>
        </w:rPr>
      </w:pPr>
      <w:r w:rsidRPr="00BE229F">
        <w:rPr>
          <w:sz w:val="28"/>
          <w:szCs w:val="28"/>
        </w:rPr>
        <w:t xml:space="preserve">C – piemaksām </w:t>
      </w:r>
      <w:r>
        <w:rPr>
          <w:sz w:val="28"/>
          <w:szCs w:val="28"/>
        </w:rPr>
        <w:t>kompetences centra</w:t>
      </w:r>
      <w:r w:rsidRPr="00BE229F">
        <w:rPr>
          <w:sz w:val="28"/>
          <w:szCs w:val="28"/>
        </w:rPr>
        <w:t xml:space="preserve"> pedagogiem saskaņā ar pedagogu darba samaksas noteikumiem</w:t>
      </w:r>
      <w:r>
        <w:rPr>
          <w:sz w:val="28"/>
          <w:szCs w:val="28"/>
        </w:rPr>
        <w:t>.</w:t>
      </w:r>
      <w:r w:rsidRPr="00B26E37">
        <w:rPr>
          <w:sz w:val="28"/>
          <w:szCs w:val="28"/>
        </w:rPr>
        <w:t>”;</w:t>
      </w:r>
    </w:p>
    <w:p w:rsidR="002B2E6B" w:rsidRPr="00CC71EF" w:rsidRDefault="002B2E6B" w:rsidP="002B2E6B">
      <w:pPr>
        <w:jc w:val="both"/>
        <w:rPr>
          <w:sz w:val="28"/>
          <w:szCs w:val="28"/>
        </w:rPr>
      </w:pPr>
    </w:p>
    <w:p w:rsidR="002B2E6B" w:rsidRDefault="002B2E6B" w:rsidP="002B2E6B">
      <w:pPr>
        <w:pStyle w:val="NoSpacing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izteikt 12.</w:t>
      </w:r>
      <w:r w:rsidRPr="00350B3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punktu šādā redakcijā:</w:t>
      </w:r>
    </w:p>
    <w:p w:rsidR="002B2E6B" w:rsidRPr="00350B31" w:rsidRDefault="002B2E6B" w:rsidP="002B2E6B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350B31">
        <w:rPr>
          <w:sz w:val="28"/>
          <w:szCs w:val="28"/>
        </w:rPr>
        <w:t>12.</w:t>
      </w:r>
      <w:r w:rsidRPr="00350B31">
        <w:rPr>
          <w:sz w:val="28"/>
          <w:szCs w:val="28"/>
          <w:vertAlign w:val="superscript"/>
        </w:rPr>
        <w:t xml:space="preserve">1 </w:t>
      </w:r>
      <w:r w:rsidRPr="00350B31">
        <w:rPr>
          <w:sz w:val="28"/>
          <w:szCs w:val="28"/>
        </w:rPr>
        <w:t>Dotācijas apmēru pedagogu darba samaksas noteikumos noteiktajām pedagoga profesionālās darbības kvalitātes piemaksām attiecīgajā izglītības iestādē nosaka, izmantojot šādu formulu:</w:t>
      </w:r>
    </w:p>
    <w:p w:rsidR="002B2E6B" w:rsidRPr="00350B31" w:rsidRDefault="002B2E6B" w:rsidP="002B2E6B">
      <w:pPr>
        <w:pStyle w:val="NoSpacing"/>
        <w:jc w:val="center"/>
        <w:rPr>
          <w:sz w:val="28"/>
          <w:szCs w:val="28"/>
        </w:rPr>
      </w:pPr>
      <w:r w:rsidRPr="00350B31">
        <w:rPr>
          <w:sz w:val="28"/>
          <w:szCs w:val="28"/>
        </w:rPr>
        <w:t>ΣK = Pk x M x N x (1 + S</w:t>
      </w:r>
      <w:r>
        <w:rPr>
          <w:sz w:val="28"/>
          <w:szCs w:val="28"/>
        </w:rPr>
        <w:t>/100</w:t>
      </w:r>
      <w:r w:rsidRPr="00350B31">
        <w:rPr>
          <w:sz w:val="28"/>
          <w:szCs w:val="28"/>
        </w:rPr>
        <w:t>), kur</w:t>
      </w:r>
    </w:p>
    <w:p w:rsidR="002B2E6B" w:rsidRPr="00350B31" w:rsidRDefault="002B2E6B" w:rsidP="002B2E6B">
      <w:pPr>
        <w:pStyle w:val="NoSpacing"/>
        <w:ind w:firstLine="720"/>
        <w:jc w:val="both"/>
        <w:rPr>
          <w:sz w:val="28"/>
          <w:szCs w:val="28"/>
        </w:rPr>
      </w:pPr>
      <w:r w:rsidRPr="00350B31">
        <w:rPr>
          <w:sz w:val="28"/>
          <w:szCs w:val="28"/>
        </w:rPr>
        <w:t xml:space="preserve">ΣK – dotācijas apmērs pedagogu darba samaksas noteikumos noteiktajām pedagoga profesionālās darbības kvalitātes piemaksām (nosaka, summējot </w:t>
      </w:r>
      <w:r>
        <w:rPr>
          <w:sz w:val="28"/>
          <w:szCs w:val="28"/>
        </w:rPr>
        <w:t>katrai</w:t>
      </w:r>
      <w:r w:rsidRPr="00350B31">
        <w:rPr>
          <w:sz w:val="28"/>
          <w:szCs w:val="28"/>
        </w:rPr>
        <w:t xml:space="preserve"> kvalitātes pakāpei paredzēto piemaksu apmēru);</w:t>
      </w:r>
    </w:p>
    <w:p w:rsidR="002B2E6B" w:rsidRPr="00350B31" w:rsidRDefault="002B2E6B" w:rsidP="002B2E6B">
      <w:pPr>
        <w:pStyle w:val="NoSpacing"/>
        <w:ind w:firstLine="720"/>
        <w:jc w:val="both"/>
        <w:rPr>
          <w:sz w:val="28"/>
          <w:szCs w:val="28"/>
        </w:rPr>
      </w:pPr>
      <w:r w:rsidRPr="00350B31">
        <w:rPr>
          <w:sz w:val="28"/>
          <w:szCs w:val="28"/>
        </w:rPr>
        <w:t xml:space="preserve">Pk – no valsts budžeta finansējuma tarificēto pedagoģisko likmju skaits attiecīgās izglītības iestādes pedagogiem, kuri normatīvajos aktos noteiktajā kārtībā ir ieguvuši </w:t>
      </w:r>
      <w:r>
        <w:rPr>
          <w:sz w:val="28"/>
          <w:szCs w:val="28"/>
        </w:rPr>
        <w:t>1., 2. vai 3.</w:t>
      </w:r>
      <w:r w:rsidRPr="00350B31">
        <w:rPr>
          <w:sz w:val="28"/>
          <w:szCs w:val="28"/>
        </w:rPr>
        <w:t>kvalitātes pakāpi;</w:t>
      </w:r>
    </w:p>
    <w:p w:rsidR="002B2E6B" w:rsidRPr="00350B31" w:rsidRDefault="002B2E6B" w:rsidP="002B2E6B">
      <w:pPr>
        <w:pStyle w:val="NoSpacing"/>
        <w:ind w:firstLine="720"/>
        <w:jc w:val="both"/>
        <w:rPr>
          <w:sz w:val="28"/>
          <w:szCs w:val="28"/>
        </w:rPr>
      </w:pPr>
      <w:r w:rsidRPr="00BF020D">
        <w:rPr>
          <w:sz w:val="28"/>
          <w:szCs w:val="28"/>
        </w:rPr>
        <w:t>M –pedagogu profesionālās darbības kvalitātes pakāpes piemaksas</w:t>
      </w:r>
      <w:r>
        <w:rPr>
          <w:sz w:val="28"/>
          <w:szCs w:val="28"/>
        </w:rPr>
        <w:t xml:space="preserve"> apmērs, kas noteikts pedagogiem, kuri </w:t>
      </w:r>
      <w:r w:rsidRPr="00350B31">
        <w:rPr>
          <w:sz w:val="28"/>
          <w:szCs w:val="28"/>
        </w:rPr>
        <w:t xml:space="preserve">ieguvuši </w:t>
      </w:r>
      <w:r>
        <w:rPr>
          <w:sz w:val="28"/>
          <w:szCs w:val="28"/>
        </w:rPr>
        <w:t>1., 2. vai 3.</w:t>
      </w:r>
      <w:r w:rsidRPr="00350B31">
        <w:rPr>
          <w:sz w:val="28"/>
          <w:szCs w:val="28"/>
        </w:rPr>
        <w:t>kvalitātes pakāp</w:t>
      </w:r>
      <w:r>
        <w:rPr>
          <w:sz w:val="28"/>
          <w:szCs w:val="28"/>
        </w:rPr>
        <w:t>i</w:t>
      </w:r>
      <w:r w:rsidRPr="00350B31">
        <w:rPr>
          <w:sz w:val="28"/>
          <w:szCs w:val="28"/>
        </w:rPr>
        <w:t>;</w:t>
      </w:r>
    </w:p>
    <w:p w:rsidR="002B2E6B" w:rsidRPr="00350B31" w:rsidRDefault="002B2E6B" w:rsidP="002B2E6B">
      <w:pPr>
        <w:pStyle w:val="NoSpacing"/>
        <w:ind w:firstLine="720"/>
        <w:jc w:val="both"/>
        <w:rPr>
          <w:sz w:val="28"/>
          <w:szCs w:val="28"/>
        </w:rPr>
      </w:pPr>
      <w:r w:rsidRPr="00350B31">
        <w:rPr>
          <w:sz w:val="28"/>
          <w:szCs w:val="28"/>
        </w:rPr>
        <w:t>N – mēnešu skaits, kādam tiek aprēķināta dotācija;</w:t>
      </w:r>
    </w:p>
    <w:p w:rsidR="002B2E6B" w:rsidRDefault="002B2E6B" w:rsidP="002B2E6B">
      <w:pPr>
        <w:pStyle w:val="NoSpacing"/>
        <w:ind w:firstLine="720"/>
        <w:jc w:val="both"/>
        <w:rPr>
          <w:sz w:val="28"/>
          <w:szCs w:val="28"/>
        </w:rPr>
      </w:pPr>
      <w:r w:rsidRPr="00350B31">
        <w:rPr>
          <w:sz w:val="28"/>
          <w:szCs w:val="28"/>
        </w:rPr>
        <w:t>S – normatīvajos aktos darba devējam vispārējā gadījumā noteiktā valsts sociālās apdrošināšanas obligāto iemaksu likme.</w:t>
      </w:r>
      <w:r>
        <w:rPr>
          <w:sz w:val="28"/>
          <w:szCs w:val="28"/>
        </w:rPr>
        <w:t>”;</w:t>
      </w:r>
    </w:p>
    <w:p w:rsidR="002B2E6B" w:rsidRDefault="002B2E6B" w:rsidP="002B2E6B">
      <w:pPr>
        <w:pStyle w:val="NoSpacing"/>
        <w:ind w:left="851"/>
        <w:jc w:val="both"/>
        <w:rPr>
          <w:sz w:val="28"/>
          <w:szCs w:val="28"/>
        </w:rPr>
      </w:pPr>
    </w:p>
    <w:p w:rsidR="002B2E6B" w:rsidRPr="009531E6" w:rsidRDefault="002B2E6B" w:rsidP="002B2E6B">
      <w:pPr>
        <w:pStyle w:val="NoSpacing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9531E6">
        <w:rPr>
          <w:sz w:val="28"/>
          <w:szCs w:val="28"/>
        </w:rPr>
        <w:t>izteikt 12.</w:t>
      </w:r>
      <w:r w:rsidRPr="009531E6">
        <w:rPr>
          <w:sz w:val="28"/>
          <w:szCs w:val="28"/>
          <w:vertAlign w:val="superscript"/>
        </w:rPr>
        <w:t>2</w:t>
      </w:r>
      <w:r w:rsidRPr="009531E6">
        <w:rPr>
          <w:sz w:val="28"/>
          <w:szCs w:val="28"/>
        </w:rPr>
        <w:t xml:space="preserve"> punkt</w:t>
      </w:r>
      <w:r>
        <w:rPr>
          <w:sz w:val="28"/>
          <w:szCs w:val="28"/>
        </w:rPr>
        <w:t xml:space="preserve">ā noteikto formulu </w:t>
      </w:r>
      <w:r w:rsidRPr="009531E6">
        <w:rPr>
          <w:sz w:val="28"/>
          <w:szCs w:val="28"/>
        </w:rPr>
        <w:t>šādā redakcijā:</w:t>
      </w:r>
    </w:p>
    <w:p w:rsidR="002B2E6B" w:rsidRDefault="002B2E6B" w:rsidP="002B2E6B">
      <w:pPr>
        <w:pStyle w:val="NoSpacing"/>
        <w:ind w:firstLine="851"/>
        <w:jc w:val="center"/>
        <w:rPr>
          <w:sz w:val="28"/>
          <w:szCs w:val="28"/>
        </w:rPr>
      </w:pPr>
      <w:r w:rsidRPr="005213CB">
        <w:rPr>
          <w:sz w:val="28"/>
          <w:szCs w:val="28"/>
        </w:rPr>
        <w:t>„R = (I x P x A x N x (1 + S/100)) x 0,13”</w:t>
      </w:r>
      <w:r>
        <w:rPr>
          <w:sz w:val="28"/>
          <w:szCs w:val="28"/>
        </w:rPr>
        <w:t>;</w:t>
      </w:r>
    </w:p>
    <w:p w:rsidR="002B2E6B" w:rsidRDefault="002B2E6B" w:rsidP="002B2E6B">
      <w:pPr>
        <w:pStyle w:val="NoSpacing"/>
        <w:ind w:firstLine="851"/>
        <w:jc w:val="both"/>
        <w:rPr>
          <w:sz w:val="28"/>
          <w:szCs w:val="28"/>
        </w:rPr>
      </w:pPr>
    </w:p>
    <w:p w:rsidR="002B2E6B" w:rsidRPr="009531E6" w:rsidRDefault="002B2E6B" w:rsidP="002B2E6B">
      <w:pPr>
        <w:pStyle w:val="NoSpacing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svītrot</w:t>
      </w:r>
      <w:r w:rsidRPr="009531E6">
        <w:rPr>
          <w:sz w:val="28"/>
          <w:szCs w:val="28"/>
        </w:rPr>
        <w:t xml:space="preserve"> 12.</w:t>
      </w:r>
      <w:r w:rsidRPr="009531E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Pr="009531E6">
        <w:rPr>
          <w:sz w:val="28"/>
          <w:szCs w:val="28"/>
        </w:rPr>
        <w:t>punkt</w:t>
      </w:r>
      <w:r>
        <w:rPr>
          <w:sz w:val="28"/>
          <w:szCs w:val="28"/>
        </w:rPr>
        <w:t>ā formulas apzīmējumā S vārdus iekavās „(procentos)”;</w:t>
      </w:r>
    </w:p>
    <w:p w:rsidR="002B2E6B" w:rsidRDefault="002B2E6B" w:rsidP="002B2E6B">
      <w:pPr>
        <w:pStyle w:val="NoSpacing"/>
        <w:ind w:left="851"/>
        <w:jc w:val="both"/>
        <w:rPr>
          <w:sz w:val="28"/>
          <w:szCs w:val="28"/>
        </w:rPr>
      </w:pPr>
    </w:p>
    <w:p w:rsidR="002B2E6B" w:rsidRDefault="002B2E6B" w:rsidP="002B2E6B">
      <w:pPr>
        <w:pStyle w:val="NoSpacing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papildināt noteikumus ar </w:t>
      </w:r>
      <w:r w:rsidRPr="00081125">
        <w:rPr>
          <w:sz w:val="28"/>
          <w:szCs w:val="28"/>
        </w:rPr>
        <w:t>12</w:t>
      </w:r>
      <w:r>
        <w:rPr>
          <w:sz w:val="28"/>
          <w:szCs w:val="28"/>
        </w:rPr>
        <w:t>.³</w:t>
      </w:r>
      <w:r w:rsidDel="00350B31">
        <w:rPr>
          <w:sz w:val="28"/>
          <w:szCs w:val="28"/>
        </w:rPr>
        <w:t xml:space="preserve"> </w:t>
      </w:r>
      <w:r w:rsidRPr="00081125">
        <w:rPr>
          <w:sz w:val="28"/>
          <w:szCs w:val="28"/>
        </w:rPr>
        <w:t>punkt</w:t>
      </w:r>
      <w:r>
        <w:rPr>
          <w:sz w:val="28"/>
          <w:szCs w:val="28"/>
        </w:rPr>
        <w:t>u šādā redakcijā:</w:t>
      </w:r>
    </w:p>
    <w:p w:rsidR="002B2E6B" w:rsidRDefault="002B2E6B" w:rsidP="002B2E6B">
      <w:pPr>
        <w:ind w:firstLine="720"/>
        <w:jc w:val="both"/>
        <w:rPr>
          <w:sz w:val="28"/>
          <w:szCs w:val="28"/>
        </w:rPr>
      </w:pPr>
      <w:r w:rsidRPr="00563D7E">
        <w:rPr>
          <w:bCs/>
          <w:sz w:val="28"/>
          <w:szCs w:val="28"/>
        </w:rPr>
        <w:lastRenderedPageBreak/>
        <w:t>„</w:t>
      </w:r>
      <w:r w:rsidRPr="00081125">
        <w:rPr>
          <w:sz w:val="28"/>
          <w:szCs w:val="28"/>
        </w:rPr>
        <w:t>12</w:t>
      </w:r>
      <w:r>
        <w:rPr>
          <w:sz w:val="28"/>
          <w:szCs w:val="28"/>
        </w:rPr>
        <w:t xml:space="preserve">.³ finansējumu </w:t>
      </w:r>
      <w:r w:rsidRPr="00B26E37">
        <w:rPr>
          <w:sz w:val="28"/>
          <w:szCs w:val="28"/>
        </w:rPr>
        <w:t xml:space="preserve">piemaksām </w:t>
      </w:r>
      <w:r>
        <w:rPr>
          <w:sz w:val="28"/>
          <w:szCs w:val="28"/>
        </w:rPr>
        <w:t>kompetences centra</w:t>
      </w:r>
      <w:r w:rsidRPr="00B26E37">
        <w:rPr>
          <w:sz w:val="28"/>
          <w:szCs w:val="28"/>
        </w:rPr>
        <w:t xml:space="preserve"> pedagogiem saskaņā ar pedagogu darba samaksas noteikumiem</w:t>
      </w:r>
      <w:r w:rsidDel="00A9379F">
        <w:rPr>
          <w:sz w:val="28"/>
          <w:szCs w:val="28"/>
        </w:rPr>
        <w:t xml:space="preserve"> </w:t>
      </w:r>
      <w:r>
        <w:rPr>
          <w:sz w:val="28"/>
          <w:szCs w:val="28"/>
        </w:rPr>
        <w:t>aprēķina, izmantojot šādu formulu:</w:t>
      </w:r>
    </w:p>
    <w:p w:rsidR="002B2E6B" w:rsidRDefault="002B2E6B" w:rsidP="002B2E6B">
      <w:pPr>
        <w:ind w:firstLine="720"/>
        <w:jc w:val="center"/>
        <w:rPr>
          <w:sz w:val="28"/>
          <w:szCs w:val="28"/>
        </w:rPr>
      </w:pPr>
      <w:r w:rsidRPr="00052413">
        <w:rPr>
          <w:sz w:val="28"/>
          <w:szCs w:val="28"/>
        </w:rPr>
        <w:t>C</w:t>
      </w:r>
      <w:r>
        <w:rPr>
          <w:sz w:val="28"/>
          <w:szCs w:val="28"/>
        </w:rPr>
        <w:t xml:space="preserve"> =(I x P x A x N x (1 + S/100)) x D, kur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– atbilstoši šo noteikumu </w:t>
      </w:r>
      <w:r w:rsidRPr="002633B7">
        <w:rPr>
          <w:sz w:val="28"/>
          <w:szCs w:val="28"/>
        </w:rPr>
        <w:t>11.punktam</w:t>
      </w:r>
      <w:r w:rsidRPr="001E025A">
        <w:rPr>
          <w:sz w:val="28"/>
          <w:szCs w:val="28"/>
        </w:rPr>
        <w:t xml:space="preserve"> noteiktais </w:t>
      </w:r>
      <w:r>
        <w:rPr>
          <w:sz w:val="28"/>
          <w:szCs w:val="28"/>
        </w:rPr>
        <w:t>no valsts budžeta finansēto izglītojamo skaits izglītības programmā attiecīgajā izglītības iestādē</w:t>
      </w:r>
      <w:r w:rsidRPr="001E025A">
        <w:rPr>
          <w:sz w:val="28"/>
          <w:szCs w:val="28"/>
        </w:rPr>
        <w:t>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P – izglītības programmā vidējais apmaksājamo pedagoģisko likmju skaits mēnesī uz vienu izglītojamo;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A – vienas pedagoģiskās likmes atalgojums, ņemot vērā attiecīgajā gadā pieejamos valsts budžeta līdzekļus, bet ne mazāks kā normatīvajos aktos noteiktā minim</w:t>
      </w:r>
      <w:r>
        <w:rPr>
          <w:sz w:val="28"/>
          <w:szCs w:val="28"/>
        </w:rPr>
        <w:t>ālā darba algas likme pedagogam;</w:t>
      </w:r>
    </w:p>
    <w:p w:rsidR="002B2E6B" w:rsidRPr="001E025A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N – mēnešu skaits, kādam tiek aprēķināta dotācija;</w:t>
      </w:r>
    </w:p>
    <w:p w:rsidR="002B2E6B" w:rsidRDefault="002B2E6B" w:rsidP="002B2E6B">
      <w:pPr>
        <w:ind w:firstLine="720"/>
        <w:jc w:val="both"/>
        <w:rPr>
          <w:sz w:val="28"/>
          <w:szCs w:val="28"/>
        </w:rPr>
      </w:pPr>
      <w:r w:rsidRPr="001E025A">
        <w:rPr>
          <w:sz w:val="28"/>
          <w:szCs w:val="28"/>
        </w:rPr>
        <w:t>S – normatīvajos aktos darba devējam vispārējā gadījumā noteiktā valsts sociālās apdrošināšanas obligāto iemaksu likme</w:t>
      </w:r>
      <w:r>
        <w:rPr>
          <w:sz w:val="28"/>
          <w:szCs w:val="28"/>
        </w:rPr>
        <w:t>;</w:t>
      </w:r>
    </w:p>
    <w:p w:rsidR="002B2E6B" w:rsidRDefault="002B2E6B" w:rsidP="002B2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 – </w:t>
      </w:r>
      <w:r w:rsidRPr="00244D66">
        <w:rPr>
          <w:sz w:val="28"/>
          <w:szCs w:val="28"/>
        </w:rPr>
        <w:t>koeficients, lai aprēķinātu papildus nepieciešamo finansējumu 10</w:t>
      </w:r>
      <w:r>
        <w:rPr>
          <w:sz w:val="28"/>
          <w:szCs w:val="28"/>
        </w:rPr>
        <w:t> </w:t>
      </w:r>
      <w:r w:rsidRPr="00244D66">
        <w:rPr>
          <w:sz w:val="28"/>
          <w:szCs w:val="28"/>
        </w:rPr>
        <w:t xml:space="preserve">procentu apmērā </w:t>
      </w:r>
      <w:r>
        <w:rPr>
          <w:sz w:val="28"/>
          <w:szCs w:val="28"/>
        </w:rPr>
        <w:t>kompetences centra</w:t>
      </w:r>
      <w:r w:rsidRPr="00BE229F">
        <w:rPr>
          <w:sz w:val="28"/>
          <w:szCs w:val="28"/>
        </w:rPr>
        <w:t xml:space="preserve"> </w:t>
      </w:r>
      <w:r w:rsidRPr="00244D66">
        <w:rPr>
          <w:sz w:val="28"/>
          <w:szCs w:val="28"/>
        </w:rPr>
        <w:t xml:space="preserve">pedagogiem (izņemot pedagogus, kuri īsteno pirmā līmeņa profesionālās augstākās izglītības programmas). </w:t>
      </w:r>
      <w:r>
        <w:rPr>
          <w:sz w:val="28"/>
          <w:szCs w:val="28"/>
        </w:rPr>
        <w:t>Kompetences centram</w:t>
      </w:r>
      <w:r w:rsidRPr="00244D66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 </w:t>
      </w:r>
      <w:r w:rsidRPr="00244D66">
        <w:rPr>
          <w:sz w:val="28"/>
          <w:szCs w:val="28"/>
        </w:rPr>
        <w:t>=</w:t>
      </w:r>
      <w:r>
        <w:rPr>
          <w:sz w:val="28"/>
          <w:szCs w:val="28"/>
        </w:rPr>
        <w:t xml:space="preserve"> 0,</w:t>
      </w:r>
      <w:r w:rsidRPr="00244D66">
        <w:rPr>
          <w:sz w:val="28"/>
          <w:szCs w:val="28"/>
        </w:rPr>
        <w:t>1, pārējām izglītības iestādēm D</w:t>
      </w:r>
      <w:r>
        <w:rPr>
          <w:sz w:val="28"/>
          <w:szCs w:val="28"/>
        </w:rPr>
        <w:t xml:space="preserve"> </w:t>
      </w:r>
      <w:r w:rsidRPr="00244D66">
        <w:rPr>
          <w:sz w:val="28"/>
          <w:szCs w:val="28"/>
        </w:rPr>
        <w:t>=</w:t>
      </w:r>
      <w:r>
        <w:rPr>
          <w:sz w:val="28"/>
          <w:szCs w:val="28"/>
        </w:rPr>
        <w:t xml:space="preserve"> 0.”;</w:t>
      </w:r>
    </w:p>
    <w:p w:rsidR="002B2E6B" w:rsidRDefault="002B2E6B" w:rsidP="002B2E6B">
      <w:pPr>
        <w:ind w:left="709"/>
        <w:jc w:val="both"/>
        <w:rPr>
          <w:sz w:val="28"/>
          <w:szCs w:val="28"/>
        </w:rPr>
      </w:pPr>
    </w:p>
    <w:p w:rsidR="002B2E6B" w:rsidRDefault="002B2E6B" w:rsidP="002B2E6B">
      <w:pPr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papildināt </w:t>
      </w:r>
      <w:r w:rsidRPr="00A14A9E">
        <w:rPr>
          <w:sz w:val="28"/>
          <w:szCs w:val="28"/>
        </w:rPr>
        <w:t>27.</w:t>
      </w:r>
      <w:r>
        <w:rPr>
          <w:sz w:val="28"/>
          <w:szCs w:val="28"/>
          <w:vertAlign w:val="superscript"/>
        </w:rPr>
        <w:t>4</w:t>
      </w:r>
      <w:r w:rsidRPr="00A14A9E">
        <w:rPr>
          <w:sz w:val="28"/>
          <w:szCs w:val="28"/>
          <w:vertAlign w:val="superscript"/>
        </w:rPr>
        <w:t xml:space="preserve"> </w:t>
      </w:r>
      <w:r w:rsidRPr="00A14A9E">
        <w:rPr>
          <w:sz w:val="28"/>
          <w:szCs w:val="28"/>
        </w:rPr>
        <w:t>punktu</w:t>
      </w:r>
      <w:r>
        <w:rPr>
          <w:sz w:val="28"/>
          <w:szCs w:val="28"/>
        </w:rPr>
        <w:t xml:space="preserve"> aiz vārdiem un skaitļiem „No 2017.gada 1.j</w:t>
      </w:r>
      <w:r w:rsidRPr="00875B1D">
        <w:rPr>
          <w:sz w:val="28"/>
          <w:szCs w:val="28"/>
        </w:rPr>
        <w:t>anvāra</w:t>
      </w:r>
      <w:r>
        <w:rPr>
          <w:sz w:val="28"/>
          <w:szCs w:val="28"/>
        </w:rPr>
        <w:t>” ar vārdiem un skaitļiem „līdz 2017.gada 31.augustam”;</w:t>
      </w:r>
    </w:p>
    <w:p w:rsidR="002B2E6B" w:rsidRDefault="002B2E6B" w:rsidP="002B2E6B">
      <w:pPr>
        <w:ind w:left="709"/>
        <w:jc w:val="both"/>
        <w:rPr>
          <w:sz w:val="28"/>
          <w:szCs w:val="28"/>
        </w:rPr>
      </w:pPr>
    </w:p>
    <w:p w:rsidR="002B2E6B" w:rsidRPr="00A14A9E" w:rsidRDefault="002B2E6B" w:rsidP="002B2E6B">
      <w:pPr>
        <w:numPr>
          <w:ilvl w:val="1"/>
          <w:numId w:val="1"/>
        </w:numPr>
        <w:tabs>
          <w:tab w:val="left" w:pos="1276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A9E">
        <w:rPr>
          <w:sz w:val="28"/>
          <w:szCs w:val="28"/>
        </w:rPr>
        <w:t xml:space="preserve">papildināt noteikumus ar </w:t>
      </w:r>
      <w:r>
        <w:rPr>
          <w:sz w:val="28"/>
          <w:szCs w:val="28"/>
        </w:rPr>
        <w:t>27.</w:t>
      </w:r>
      <w:r>
        <w:rPr>
          <w:sz w:val="28"/>
          <w:szCs w:val="28"/>
          <w:vertAlign w:val="superscript"/>
        </w:rPr>
        <w:t>6</w:t>
      </w:r>
      <w:r w:rsidRPr="00A14A9E">
        <w:rPr>
          <w:sz w:val="28"/>
          <w:szCs w:val="28"/>
          <w:vertAlign w:val="superscript"/>
        </w:rPr>
        <w:t xml:space="preserve"> </w:t>
      </w:r>
      <w:r w:rsidRPr="00A14A9E">
        <w:rPr>
          <w:sz w:val="28"/>
          <w:szCs w:val="28"/>
        </w:rPr>
        <w:t>punktu šādā redakcijā:</w:t>
      </w:r>
    </w:p>
    <w:p w:rsidR="002B2E6B" w:rsidRDefault="002B2E6B" w:rsidP="002B2E6B">
      <w:pPr>
        <w:ind w:firstLine="709"/>
        <w:jc w:val="both"/>
        <w:rPr>
          <w:sz w:val="28"/>
          <w:szCs w:val="28"/>
        </w:rPr>
      </w:pPr>
      <w:r w:rsidRPr="00B26E37">
        <w:rPr>
          <w:bCs/>
          <w:sz w:val="28"/>
          <w:szCs w:val="28"/>
        </w:rPr>
        <w:t>„</w:t>
      </w:r>
      <w:r w:rsidRPr="00B26E37">
        <w:rPr>
          <w:sz w:val="28"/>
          <w:szCs w:val="28"/>
        </w:rPr>
        <w:t>27.</w:t>
      </w:r>
      <w:r>
        <w:rPr>
          <w:sz w:val="28"/>
          <w:szCs w:val="28"/>
          <w:vertAlign w:val="superscript"/>
        </w:rPr>
        <w:t>6</w:t>
      </w:r>
      <w:r w:rsidRPr="00B26E37">
        <w:rPr>
          <w:sz w:val="28"/>
          <w:szCs w:val="28"/>
        </w:rPr>
        <w:t xml:space="preserve"> </w:t>
      </w:r>
      <w:r>
        <w:rPr>
          <w:sz w:val="28"/>
          <w:szCs w:val="28"/>
        </w:rPr>
        <w:t>Periodā no 2017.gada 1.septembra līdz 2018.gada 31.augustam d</w:t>
      </w:r>
      <w:r w:rsidRPr="00BA0D9B">
        <w:rPr>
          <w:sz w:val="28"/>
          <w:szCs w:val="28"/>
        </w:rPr>
        <w:t xml:space="preserve">otācijas apmēru pedagogu darba samaksas noteikumos noteiktajām piemaksām par pedagogu profesionālās darbības kvalitātes pakāpēm </w:t>
      </w:r>
      <w:r>
        <w:rPr>
          <w:sz w:val="28"/>
          <w:szCs w:val="28"/>
        </w:rPr>
        <w:t xml:space="preserve">aprēķina </w:t>
      </w:r>
      <w:r w:rsidRPr="00BA0D9B">
        <w:rPr>
          <w:sz w:val="28"/>
          <w:szCs w:val="28"/>
        </w:rPr>
        <w:t>līdz kvalitātes pakāpes apliecinošā dokumenta derīguma termiņa beigām pedagogiem, kuri profesionālās darbības kvalitātes novērtēšanas procesā līdz 2016.gada 31.decembrim ieguvuši 3., 4. un 5.kvalitātes pakāpi</w:t>
      </w:r>
      <w:r>
        <w:rPr>
          <w:sz w:val="28"/>
          <w:szCs w:val="28"/>
        </w:rPr>
        <w:t xml:space="preserve">. Dotācijas apmēru </w:t>
      </w:r>
      <w:r w:rsidRPr="00BA0D9B">
        <w:rPr>
          <w:sz w:val="28"/>
          <w:szCs w:val="28"/>
        </w:rPr>
        <w:t xml:space="preserve">pedagogu darba samaksas noteikumos noteiktajām piemaksām par pedagogu profesionālās darbības kvalitātes pakāpēm </w:t>
      </w:r>
      <w:r>
        <w:rPr>
          <w:sz w:val="28"/>
          <w:szCs w:val="28"/>
        </w:rPr>
        <w:t xml:space="preserve">Latvijas </w:t>
      </w:r>
      <w:r w:rsidRPr="00BA0D9B">
        <w:rPr>
          <w:sz w:val="28"/>
          <w:szCs w:val="28"/>
        </w:rPr>
        <w:t>Nacionālais kultūras centrs aprēķina,</w:t>
      </w:r>
      <w:r>
        <w:rPr>
          <w:sz w:val="28"/>
          <w:szCs w:val="28"/>
        </w:rPr>
        <w:t xml:space="preserve"> ņemot vērā Izglītības likuma pārejas noteikumu 53., 58. un 59.punktu, un </w:t>
      </w:r>
      <w:r w:rsidRPr="00BA0D9B">
        <w:rPr>
          <w:sz w:val="28"/>
          <w:szCs w:val="28"/>
        </w:rPr>
        <w:t xml:space="preserve">informāciju par kvalitātes pakāpes ieguvušo pedagogu likmju skaitu </w:t>
      </w:r>
      <w:r>
        <w:rPr>
          <w:sz w:val="28"/>
          <w:szCs w:val="28"/>
        </w:rPr>
        <w:t>2017.gada</w:t>
      </w:r>
      <w:r w:rsidRPr="00BA0D9B">
        <w:rPr>
          <w:sz w:val="28"/>
          <w:szCs w:val="28"/>
        </w:rPr>
        <w:t xml:space="preserve"> 1.septembrī, ko izglītības iestādes līdz attiecīgā gada </w:t>
      </w:r>
      <w:r>
        <w:rPr>
          <w:sz w:val="28"/>
          <w:szCs w:val="28"/>
        </w:rPr>
        <w:t>5</w:t>
      </w:r>
      <w:r w:rsidRPr="00BA0D9B">
        <w:rPr>
          <w:sz w:val="28"/>
          <w:szCs w:val="28"/>
        </w:rPr>
        <w:t>.septembrim elektroniskā veidā iesūt</w:t>
      </w:r>
      <w:r>
        <w:rPr>
          <w:sz w:val="28"/>
          <w:szCs w:val="28"/>
        </w:rPr>
        <w:t>a</w:t>
      </w:r>
      <w:r w:rsidRPr="00BA0D9B">
        <w:rPr>
          <w:sz w:val="28"/>
          <w:szCs w:val="28"/>
        </w:rPr>
        <w:t xml:space="preserve"> Latvijas Nacionālajam kultūras centram</w:t>
      </w:r>
      <w:r>
        <w:rPr>
          <w:sz w:val="28"/>
          <w:szCs w:val="28"/>
        </w:rPr>
        <w:t>.”;</w:t>
      </w:r>
    </w:p>
    <w:p w:rsidR="002B2E6B" w:rsidRDefault="002B2E6B" w:rsidP="002B2E6B">
      <w:pPr>
        <w:pStyle w:val="NoSpacing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B2E6B" w:rsidRPr="007A104E" w:rsidRDefault="002B2E6B" w:rsidP="002B2E6B">
      <w:pPr>
        <w:pStyle w:val="NoSpacing"/>
        <w:numPr>
          <w:ilvl w:val="1"/>
          <w:numId w:val="1"/>
        </w:numPr>
        <w:tabs>
          <w:tab w:val="left" w:pos="1276"/>
        </w:tabs>
        <w:ind w:left="709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104E">
        <w:rPr>
          <w:sz w:val="28"/>
          <w:szCs w:val="28"/>
        </w:rPr>
        <w:t>izteikt 2.</w:t>
      </w:r>
      <w:r>
        <w:rPr>
          <w:sz w:val="28"/>
          <w:szCs w:val="28"/>
        </w:rPr>
        <w:t xml:space="preserve"> un 3.</w:t>
      </w:r>
      <w:r w:rsidRPr="007A104E">
        <w:rPr>
          <w:sz w:val="28"/>
          <w:szCs w:val="28"/>
        </w:rPr>
        <w:t>pielikum</w:t>
      </w:r>
      <w:r>
        <w:rPr>
          <w:sz w:val="28"/>
          <w:szCs w:val="28"/>
        </w:rPr>
        <w:t xml:space="preserve">u </w:t>
      </w:r>
      <w:r w:rsidRPr="007A104E">
        <w:rPr>
          <w:sz w:val="28"/>
          <w:szCs w:val="28"/>
        </w:rPr>
        <w:t>šādā redakcijā:</w:t>
      </w:r>
    </w:p>
    <w:p w:rsidR="002B2E6B" w:rsidRPr="00CC71EF" w:rsidRDefault="002B2E6B" w:rsidP="002B2E6B">
      <w:pPr>
        <w:pStyle w:val="NoSpacing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B2E6B" w:rsidRPr="00CC71EF" w:rsidRDefault="002B2E6B" w:rsidP="002B2E6B">
      <w:pPr>
        <w:pStyle w:val="NoSpacing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B2E6B" w:rsidRPr="00CC71EF" w:rsidRDefault="002B2E6B" w:rsidP="002B2E6B">
      <w:pPr>
        <w:pStyle w:val="NoSpacing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B2E6B" w:rsidRPr="00CC71EF" w:rsidRDefault="002B2E6B" w:rsidP="002B2E6B">
      <w:pPr>
        <w:pStyle w:val="NoSpacing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2B2E6B" w:rsidRPr="00CC71EF" w:rsidRDefault="002B2E6B" w:rsidP="002B2E6B">
      <w:pPr>
        <w:pStyle w:val="NoSpacing"/>
        <w:tabs>
          <w:tab w:val="left" w:pos="1276"/>
        </w:tabs>
        <w:ind w:left="709"/>
        <w:jc w:val="both"/>
        <w:rPr>
          <w:sz w:val="28"/>
          <w:szCs w:val="28"/>
        </w:rPr>
        <w:sectPr w:rsidR="002B2E6B" w:rsidRPr="00CC71EF" w:rsidSect="00E36CBD">
          <w:headerReference w:type="default" r:id="rId7"/>
          <w:footerReference w:type="default" r:id="rId8"/>
          <w:footerReference w:type="first" r:id="rId9"/>
          <w:pgSz w:w="11907" w:h="16839" w:code="9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2E6B" w:rsidRPr="00CC71EF" w:rsidRDefault="002B2E6B" w:rsidP="002B2E6B">
      <w:pPr>
        <w:pStyle w:val="NormalWeb"/>
        <w:spacing w:before="0" w:beforeAutospacing="0" w:after="0" w:afterAutospacing="0"/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lastRenderedPageBreak/>
        <w:t xml:space="preserve">„2.pielikums 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Ministru kabineta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2011.gada 27.decembra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noteikumiem Nr.1035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</w:p>
    <w:p w:rsidR="002B2E6B" w:rsidRPr="00CC71EF" w:rsidRDefault="002B2E6B" w:rsidP="002B2E6B">
      <w:pPr>
        <w:shd w:val="clear" w:color="auto" w:fill="FFFFFF"/>
        <w:ind w:firstLine="300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1.tabula</w:t>
      </w:r>
    </w:p>
    <w:p w:rsidR="002B2E6B" w:rsidRPr="00CC71EF" w:rsidRDefault="002B2E6B" w:rsidP="002B2E6B">
      <w:pPr>
        <w:shd w:val="clear" w:color="auto" w:fill="FFFFFF"/>
        <w:ind w:firstLine="300"/>
        <w:jc w:val="right"/>
        <w:rPr>
          <w:sz w:val="22"/>
          <w:szCs w:val="22"/>
        </w:rPr>
      </w:pPr>
    </w:p>
    <w:p w:rsidR="002B2E6B" w:rsidRPr="00CC71EF" w:rsidRDefault="002B2E6B" w:rsidP="002B2E6B">
      <w:pPr>
        <w:shd w:val="clear" w:color="auto" w:fill="FFFFFF"/>
        <w:ind w:firstLine="300"/>
        <w:jc w:val="center"/>
        <w:rPr>
          <w:b/>
          <w:bCs/>
          <w:sz w:val="22"/>
          <w:szCs w:val="22"/>
        </w:rPr>
      </w:pPr>
      <w:r w:rsidRPr="00CC71EF">
        <w:rPr>
          <w:b/>
          <w:bCs/>
          <w:sz w:val="22"/>
          <w:szCs w:val="22"/>
        </w:rPr>
        <w:t>Pieteikums dotācijas saņemšanai n-gadā</w:t>
      </w:r>
    </w:p>
    <w:p w:rsidR="002B2E6B" w:rsidRPr="00CC71EF" w:rsidRDefault="002B2E6B" w:rsidP="002B2E6B">
      <w:pPr>
        <w:shd w:val="clear" w:color="auto" w:fill="FFFFFF"/>
        <w:rPr>
          <w:bCs/>
          <w:sz w:val="22"/>
          <w:szCs w:val="22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"/>
        <w:gridCol w:w="4710"/>
        <w:gridCol w:w="3140"/>
        <w:gridCol w:w="2426"/>
        <w:gridCol w:w="3140"/>
      </w:tblGrid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Nr.</w:t>
            </w:r>
            <w:r w:rsidRPr="00CC71EF">
              <w:rPr>
                <w:sz w:val="22"/>
                <w:szCs w:val="22"/>
              </w:rPr>
              <w:br/>
              <w:t>p. k.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Profesionālās ievirzes izglītības programmu grupa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Faktiskais audzēkņu skaits akreditētās izglītības programmās n–1 gada 1. septembrī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No tiem pieteikti valsts budžeta finansējumam n gadā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Plānotais audzēkņu skaits akreditētās izglītības programmās n gada 1. septembrī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Mūzika un skatuves māksla (mūzika), kopā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1.1.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10V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1.2.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20V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1.3.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30V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 xml:space="preserve">Vizuāli plastiskā māksla, kopā 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2.1.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20V, 2455 stundu apjoms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2.2.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20V, 1460 stundu apjoms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2.3.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30V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3.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Mūzika un skatuves māksla (deja), kopā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3.1.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20V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3.2.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kods 30V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4.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Mūzika un skatuves māksla (teātris), kopā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B26E37" w:rsidRDefault="002B2E6B" w:rsidP="00B669C7">
            <w:pPr>
              <w:rPr>
                <w:sz w:val="22"/>
                <w:szCs w:val="22"/>
              </w:rPr>
            </w:pPr>
            <w:r w:rsidRPr="00B26E37">
              <w:rPr>
                <w:sz w:val="22"/>
                <w:szCs w:val="22"/>
              </w:rPr>
              <w:t>4.1.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B26E37" w:rsidRDefault="002B2E6B" w:rsidP="00B669C7">
            <w:pPr>
              <w:rPr>
                <w:sz w:val="22"/>
                <w:szCs w:val="22"/>
              </w:rPr>
            </w:pPr>
            <w:r w:rsidRPr="00B26E37">
              <w:rPr>
                <w:sz w:val="22"/>
                <w:szCs w:val="22"/>
              </w:rPr>
              <w:t>kods 30V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</w:tr>
      <w:tr w:rsidR="002B2E6B" w:rsidRPr="00CC71EF" w:rsidTr="00B669C7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B26E37" w:rsidRDefault="002B2E6B" w:rsidP="00B669C7">
            <w:pPr>
              <w:rPr>
                <w:sz w:val="22"/>
                <w:szCs w:val="22"/>
              </w:rPr>
            </w:pPr>
            <w:r w:rsidRPr="00B26E37">
              <w:rPr>
                <w:sz w:val="22"/>
                <w:szCs w:val="22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B26E37" w:rsidRDefault="002B2E6B" w:rsidP="00B669C7">
            <w:pPr>
              <w:rPr>
                <w:sz w:val="22"/>
                <w:szCs w:val="22"/>
              </w:rPr>
            </w:pPr>
            <w:r w:rsidRPr="00B26E37">
              <w:rPr>
                <w:sz w:val="22"/>
                <w:szCs w:val="22"/>
              </w:rPr>
              <w:t>Kopā*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</w:tbl>
    <w:p w:rsidR="002B2E6B" w:rsidRPr="00CC71EF" w:rsidRDefault="002B2E6B" w:rsidP="002B2E6B">
      <w:pPr>
        <w:rPr>
          <w:sz w:val="22"/>
          <w:szCs w:val="22"/>
        </w:rPr>
      </w:pPr>
      <w:r w:rsidRPr="00CC71EF">
        <w:rPr>
          <w:sz w:val="22"/>
          <w:szCs w:val="22"/>
          <w:shd w:val="clear" w:color="auto" w:fill="FFFFFF"/>
        </w:rPr>
        <w:t> </w:t>
      </w:r>
      <w:r w:rsidRPr="00CC71EF">
        <w:rPr>
          <w:sz w:val="22"/>
          <w:szCs w:val="22"/>
        </w:rPr>
        <w:br/>
      </w:r>
      <w:r w:rsidRPr="00CC71EF">
        <w:rPr>
          <w:sz w:val="22"/>
          <w:szCs w:val="22"/>
          <w:shd w:val="clear" w:color="auto" w:fill="FFFFFF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6"/>
        <w:gridCol w:w="7136"/>
      </w:tblGrid>
      <w:tr w:rsidR="002B2E6B" w:rsidRPr="00CC71EF" w:rsidTr="00B669C7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Dibinātājs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Izglītības iestāde</w:t>
            </w:r>
          </w:p>
        </w:tc>
      </w:tr>
      <w:tr w:rsidR="002B2E6B" w:rsidRPr="00CC71EF" w:rsidTr="00B669C7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Adrese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Adrese</w:t>
            </w:r>
          </w:p>
        </w:tc>
      </w:tr>
      <w:tr w:rsidR="002B2E6B" w:rsidRPr="00CC71EF" w:rsidTr="00B669C7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lastRenderedPageBreak/>
              <w:t>Reģistrācijas numurs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Reģistrācijas numurs</w:t>
            </w:r>
          </w:p>
        </w:tc>
      </w:tr>
      <w:tr w:rsidR="002B2E6B" w:rsidRPr="00CC71EF" w:rsidTr="00B669C7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kases</w:t>
            </w:r>
            <w:r w:rsidRPr="00CC71EF">
              <w:rPr>
                <w:sz w:val="22"/>
                <w:szCs w:val="22"/>
              </w:rPr>
              <w:t xml:space="preserve"> konta numurs dotācijas finansējuma saņemšanai*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kases</w:t>
            </w:r>
            <w:r w:rsidRPr="00CC71EF">
              <w:rPr>
                <w:sz w:val="22"/>
                <w:szCs w:val="22"/>
              </w:rPr>
              <w:t xml:space="preserve"> konta numurs dotācijas finansējuma saņemšanai*</w:t>
            </w:r>
          </w:p>
        </w:tc>
      </w:tr>
      <w:tr w:rsidR="002B2E6B" w:rsidRPr="00CC71EF" w:rsidTr="00B669C7"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Atbildīgā amatpersona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Atbildīgā amatpersona</w:t>
            </w:r>
          </w:p>
        </w:tc>
      </w:tr>
    </w:tbl>
    <w:p w:rsidR="002B2E6B" w:rsidRPr="00CC71EF" w:rsidRDefault="002B2E6B" w:rsidP="002B2E6B">
      <w:pPr>
        <w:rPr>
          <w:sz w:val="22"/>
          <w:szCs w:val="22"/>
        </w:rPr>
      </w:pPr>
      <w:r w:rsidRPr="00CC71EF">
        <w:rPr>
          <w:sz w:val="22"/>
          <w:szCs w:val="22"/>
          <w:shd w:val="clear" w:color="auto" w:fill="FFFFFF"/>
        </w:rPr>
        <w:t> </w:t>
      </w:r>
      <w:r w:rsidRPr="00CC71EF">
        <w:rPr>
          <w:sz w:val="22"/>
          <w:szCs w:val="22"/>
        </w:rPr>
        <w:br/>
      </w:r>
      <w:r w:rsidRPr="00CC71EF">
        <w:rPr>
          <w:sz w:val="22"/>
          <w:szCs w:val="22"/>
          <w:shd w:val="clear" w:color="auto" w:fill="FFFFFF"/>
        </w:rPr>
        <w:t> 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40"/>
        <w:gridCol w:w="433"/>
        <w:gridCol w:w="2308"/>
        <w:gridCol w:w="577"/>
        <w:gridCol w:w="4041"/>
        <w:gridCol w:w="434"/>
        <w:gridCol w:w="2455"/>
      </w:tblGrid>
      <w:tr w:rsidR="002B2E6B" w:rsidRPr="00CC71EF" w:rsidTr="00B669C7">
        <w:trPr>
          <w:trHeight w:val="375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rPr>
          <w:trHeight w:val="375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(paraksts)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(vārds, uzvārds)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(paraksts)</w:t>
            </w:r>
          </w:p>
        </w:tc>
      </w:tr>
      <w:tr w:rsidR="002B2E6B" w:rsidRPr="00CC71EF" w:rsidTr="00B669C7">
        <w:trPr>
          <w:trHeight w:val="375"/>
        </w:trPr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  <w:tr w:rsidR="002B2E6B" w:rsidRPr="00CC71EF" w:rsidTr="00B669C7">
        <w:trPr>
          <w:trHeight w:val="375"/>
        </w:trPr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(datums)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(datums)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 </w:t>
            </w:r>
          </w:p>
        </w:tc>
      </w:tr>
    </w:tbl>
    <w:p w:rsidR="002B2E6B" w:rsidRDefault="002B2E6B" w:rsidP="002B2E6B">
      <w:pPr>
        <w:shd w:val="clear" w:color="auto" w:fill="FFFFFF"/>
        <w:rPr>
          <w:sz w:val="22"/>
          <w:szCs w:val="22"/>
        </w:rPr>
      </w:pPr>
    </w:p>
    <w:p w:rsidR="002B2E6B" w:rsidRDefault="002B2E6B" w:rsidP="002B2E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Piezīme:</w:t>
      </w:r>
    </w:p>
    <w:p w:rsidR="002B2E6B" w:rsidRPr="00B26E37" w:rsidRDefault="002B2E6B" w:rsidP="002B2E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1</w:t>
      </w:r>
      <w:r w:rsidRPr="00B26E37">
        <w:rPr>
          <w:sz w:val="22"/>
          <w:szCs w:val="22"/>
        </w:rPr>
        <w:t>. * Dotācijai uz valsts budžeta finansējumu drīkst pieteikt vienu izglītojamo tikai vienā izglītības programmā.</w:t>
      </w:r>
    </w:p>
    <w:p w:rsidR="002B2E6B" w:rsidRDefault="002B2E6B" w:rsidP="002B2E6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2</w:t>
      </w:r>
      <w:r w:rsidRPr="00B26E37">
        <w:rPr>
          <w:sz w:val="22"/>
          <w:szCs w:val="22"/>
        </w:rPr>
        <w:t>. ** Bankas konta numuru dotācijas saņemšanai Valsts kasē norāda par vienu saņēmēju (dibinātāju vai izglītības iestādi).</w:t>
      </w:r>
    </w:p>
    <w:p w:rsidR="002B2E6B" w:rsidRDefault="002B2E6B" w:rsidP="002B2E6B">
      <w:pPr>
        <w:shd w:val="clear" w:color="auto" w:fill="FFFFFF"/>
        <w:rPr>
          <w:sz w:val="22"/>
          <w:szCs w:val="22"/>
        </w:rPr>
      </w:pPr>
    </w:p>
    <w:p w:rsidR="002B2E6B" w:rsidRDefault="002B2E6B" w:rsidP="002B2E6B">
      <w:pPr>
        <w:ind w:firstLine="300"/>
        <w:jc w:val="right"/>
        <w:rPr>
          <w:sz w:val="22"/>
          <w:szCs w:val="22"/>
        </w:rPr>
      </w:pPr>
      <w:r w:rsidRPr="0077717A">
        <w:rPr>
          <w:sz w:val="22"/>
          <w:szCs w:val="22"/>
        </w:rPr>
        <w:t>2.tabula</w:t>
      </w:r>
    </w:p>
    <w:p w:rsidR="002B2E6B" w:rsidRPr="0077717A" w:rsidRDefault="002B2E6B" w:rsidP="002B2E6B">
      <w:pPr>
        <w:ind w:firstLine="300"/>
        <w:jc w:val="right"/>
        <w:rPr>
          <w:sz w:val="22"/>
          <w:szCs w:val="22"/>
        </w:rPr>
      </w:pPr>
    </w:p>
    <w:p w:rsidR="002B2E6B" w:rsidRDefault="002B2E6B" w:rsidP="002B2E6B">
      <w:pPr>
        <w:ind w:firstLine="300"/>
        <w:jc w:val="center"/>
        <w:rPr>
          <w:b/>
          <w:bCs/>
          <w:sz w:val="22"/>
          <w:szCs w:val="22"/>
        </w:rPr>
      </w:pPr>
      <w:r w:rsidRPr="0077717A">
        <w:rPr>
          <w:b/>
          <w:bCs/>
          <w:sz w:val="22"/>
          <w:szCs w:val="22"/>
        </w:rPr>
        <w:t xml:space="preserve">Pedagoģisko likmju un pedagogu skaits, kuri ieguvuši 3., 4. un 5.kvalitātes pakāpi un tarificēti no valsts budžeta finansētās daļas </w:t>
      </w:r>
    </w:p>
    <w:p w:rsidR="002B2E6B" w:rsidRDefault="002B2E6B" w:rsidP="002B2E6B">
      <w:pPr>
        <w:ind w:firstLine="300"/>
        <w:jc w:val="center"/>
        <w:rPr>
          <w:b/>
          <w:bCs/>
          <w:sz w:val="22"/>
          <w:szCs w:val="22"/>
        </w:rPr>
      </w:pPr>
      <w:r w:rsidRPr="0077717A">
        <w:rPr>
          <w:b/>
          <w:bCs/>
          <w:sz w:val="22"/>
          <w:szCs w:val="22"/>
        </w:rPr>
        <w:t>uz n–1 gada 1.septembri</w:t>
      </w:r>
    </w:p>
    <w:p w:rsidR="002B2E6B" w:rsidRPr="0077717A" w:rsidRDefault="002B2E6B" w:rsidP="002B2E6B">
      <w:pPr>
        <w:ind w:firstLine="300"/>
        <w:jc w:val="center"/>
        <w:rPr>
          <w:b/>
          <w:bCs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4"/>
        <w:gridCol w:w="2420"/>
        <w:gridCol w:w="2421"/>
        <w:gridCol w:w="2421"/>
        <w:gridCol w:w="2421"/>
        <w:gridCol w:w="2295"/>
      </w:tblGrid>
      <w:tr w:rsidR="002B2E6B" w:rsidRPr="0077717A" w:rsidTr="00B669C7">
        <w:trPr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Pedagogu skaits</w:t>
            </w:r>
            <w:r w:rsidRPr="0077717A">
              <w:rPr>
                <w:sz w:val="22"/>
                <w:szCs w:val="22"/>
              </w:rPr>
              <w:br/>
              <w:t>(3. kvalitātes pakāpe)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Pedagoģisko likmju skaits</w:t>
            </w:r>
            <w:r w:rsidRPr="0077717A">
              <w:rPr>
                <w:sz w:val="22"/>
                <w:szCs w:val="22"/>
              </w:rPr>
              <w:br/>
              <w:t>(3. kvalitātes pakāpe)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Pedagogu skaits</w:t>
            </w:r>
            <w:r w:rsidRPr="0077717A">
              <w:rPr>
                <w:sz w:val="22"/>
                <w:szCs w:val="22"/>
              </w:rPr>
              <w:br/>
              <w:t>(4. kvalitātes pakāpe)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Pedagoģisko likmju skaits</w:t>
            </w:r>
            <w:r w:rsidRPr="0077717A">
              <w:rPr>
                <w:sz w:val="22"/>
                <w:szCs w:val="22"/>
              </w:rPr>
              <w:br/>
              <w:t>(4. kvalitātes pakāpe)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Pedagogu skaits</w:t>
            </w:r>
            <w:r w:rsidRPr="0077717A">
              <w:rPr>
                <w:sz w:val="22"/>
                <w:szCs w:val="22"/>
              </w:rPr>
              <w:br/>
              <w:t>(5. kvalitātes pakāpe)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Pedagoģisko likmju skaits</w:t>
            </w:r>
            <w:r w:rsidRPr="0077717A">
              <w:rPr>
                <w:sz w:val="22"/>
                <w:szCs w:val="22"/>
              </w:rPr>
              <w:br/>
              <w:t>(5. kvalitātes pakāpe)</w:t>
            </w:r>
          </w:p>
        </w:tc>
      </w:tr>
      <w:tr w:rsidR="002B2E6B" w:rsidRPr="0077717A" w:rsidTr="00B669C7">
        <w:trPr>
          <w:trHeight w:val="37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</w:tr>
    </w:tbl>
    <w:p w:rsidR="002B2E6B" w:rsidRPr="0077717A" w:rsidRDefault="002B2E6B" w:rsidP="002B2E6B">
      <w:pPr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36"/>
        <w:gridCol w:w="7136"/>
      </w:tblGrid>
      <w:tr w:rsidR="002B2E6B" w:rsidRPr="0077717A" w:rsidTr="00B669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Dibinātājs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Izglītības iestāde</w:t>
            </w:r>
          </w:p>
        </w:tc>
      </w:tr>
      <w:tr w:rsidR="002B2E6B" w:rsidRPr="0077717A" w:rsidTr="00B669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Adrese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Adrese</w:t>
            </w:r>
          </w:p>
        </w:tc>
      </w:tr>
      <w:tr w:rsidR="002B2E6B" w:rsidRPr="0077717A" w:rsidTr="00B669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Reģistrācijas numurs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Reģistrācijas numurs</w:t>
            </w:r>
          </w:p>
        </w:tc>
      </w:tr>
      <w:tr w:rsidR="002B2E6B" w:rsidRPr="0077717A" w:rsidTr="00B669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kases</w:t>
            </w:r>
            <w:r w:rsidRPr="00CC71EF">
              <w:rPr>
                <w:sz w:val="22"/>
                <w:szCs w:val="22"/>
              </w:rPr>
              <w:t xml:space="preserve"> konta numurs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Valsts kases</w:t>
            </w:r>
            <w:r w:rsidRPr="00CC71EF">
              <w:rPr>
                <w:sz w:val="22"/>
                <w:szCs w:val="22"/>
              </w:rPr>
              <w:t xml:space="preserve"> konta numurs</w:t>
            </w:r>
          </w:p>
        </w:tc>
      </w:tr>
      <w:tr w:rsidR="002B2E6B" w:rsidRPr="0077717A" w:rsidTr="00B669C7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lastRenderedPageBreak/>
              <w:t>Atbildīgā amatpersona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Atbildīgā amatpersona</w:t>
            </w:r>
          </w:p>
        </w:tc>
      </w:tr>
    </w:tbl>
    <w:p w:rsidR="002B2E6B" w:rsidRPr="0077717A" w:rsidRDefault="002B2E6B" w:rsidP="002B2E6B">
      <w:pPr>
        <w:rPr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456"/>
        <w:gridCol w:w="2299"/>
        <w:gridCol w:w="598"/>
        <w:gridCol w:w="4003"/>
        <w:gridCol w:w="457"/>
        <w:gridCol w:w="2458"/>
      </w:tblGrid>
      <w:tr w:rsidR="002B2E6B" w:rsidRPr="0077717A" w:rsidTr="00B669C7">
        <w:trPr>
          <w:trHeight w:val="375"/>
          <w:tblCellSpacing w:w="15" w:type="dxa"/>
        </w:trPr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</w:tr>
      <w:tr w:rsidR="002B2E6B" w:rsidRPr="0077717A" w:rsidTr="00B669C7">
        <w:trPr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(vārds, uzvārds)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(paraksts*)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(vārds, uzvārds)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(paraksts*)</w:t>
            </w:r>
          </w:p>
        </w:tc>
      </w:tr>
      <w:tr w:rsidR="002B2E6B" w:rsidRPr="0077717A" w:rsidTr="00B669C7">
        <w:trPr>
          <w:trHeight w:val="375"/>
          <w:tblCellSpacing w:w="15" w:type="dxa"/>
        </w:trPr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</w:tr>
      <w:tr w:rsidR="002B2E6B" w:rsidRPr="0077717A" w:rsidTr="00B669C7">
        <w:trPr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(datums*)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2B2E6B" w:rsidRPr="0077717A" w:rsidRDefault="002B2E6B" w:rsidP="00B669C7">
            <w:pPr>
              <w:ind w:firstLine="300"/>
              <w:jc w:val="center"/>
              <w:rPr>
                <w:sz w:val="22"/>
                <w:szCs w:val="22"/>
              </w:rPr>
            </w:pPr>
            <w:r w:rsidRPr="0077717A">
              <w:rPr>
                <w:sz w:val="22"/>
                <w:szCs w:val="22"/>
              </w:rPr>
              <w:t>(datums*)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E6B" w:rsidRPr="0077717A" w:rsidRDefault="002B2E6B" w:rsidP="00B669C7">
            <w:pPr>
              <w:rPr>
                <w:sz w:val="22"/>
                <w:szCs w:val="22"/>
              </w:rPr>
            </w:pPr>
          </w:p>
        </w:tc>
      </w:tr>
    </w:tbl>
    <w:p w:rsidR="002B2E6B" w:rsidRDefault="002B2E6B" w:rsidP="002B2E6B">
      <w:pPr>
        <w:ind w:firstLine="300"/>
        <w:jc w:val="both"/>
        <w:rPr>
          <w:sz w:val="22"/>
          <w:szCs w:val="22"/>
        </w:rPr>
      </w:pPr>
    </w:p>
    <w:p w:rsidR="002B2E6B" w:rsidRDefault="002B2E6B" w:rsidP="002B2E6B">
      <w:pPr>
        <w:ind w:firstLine="300"/>
        <w:jc w:val="both"/>
        <w:rPr>
          <w:sz w:val="22"/>
          <w:szCs w:val="22"/>
        </w:rPr>
      </w:pPr>
      <w:r w:rsidRPr="0077717A">
        <w:rPr>
          <w:sz w:val="22"/>
          <w:szCs w:val="22"/>
        </w:rPr>
        <w:t>Piezīme. * Dokumenta rekvizītus "paraksts" un "datums" neaizpilda, ja elektroniskais dokuments ir sagatavots atbilstoši normatīvajiem aktiem par elektronisko dokumentu noformēšanu.</w:t>
      </w: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Default="002B2E6B" w:rsidP="002B2E6B">
      <w:pPr>
        <w:pStyle w:val="NoSpacing"/>
        <w:ind w:left="1135"/>
        <w:jc w:val="right"/>
        <w:rPr>
          <w:sz w:val="22"/>
          <w:szCs w:val="22"/>
        </w:rPr>
      </w:pPr>
    </w:p>
    <w:p w:rsidR="002B2E6B" w:rsidRPr="00CC71EF" w:rsidRDefault="002B2E6B" w:rsidP="002B2E6B">
      <w:pPr>
        <w:pStyle w:val="NoSpacing"/>
        <w:ind w:left="1135"/>
        <w:jc w:val="right"/>
        <w:rPr>
          <w:sz w:val="22"/>
          <w:szCs w:val="22"/>
        </w:rPr>
      </w:pPr>
      <w:r w:rsidRPr="0077717A">
        <w:rPr>
          <w:sz w:val="22"/>
          <w:szCs w:val="22"/>
        </w:rPr>
        <w:lastRenderedPageBreak/>
        <w:t xml:space="preserve">3.pielikums 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Ministru kabineta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2011.gada 27.decembra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  <w:r w:rsidRPr="00CC71EF">
        <w:rPr>
          <w:sz w:val="22"/>
          <w:szCs w:val="22"/>
        </w:rPr>
        <w:t>noteikumiem Nr.1035</w:t>
      </w:r>
    </w:p>
    <w:p w:rsidR="002B2E6B" w:rsidRPr="00CC71EF" w:rsidRDefault="002B2E6B" w:rsidP="002B2E6B">
      <w:pPr>
        <w:ind w:left="709"/>
        <w:jc w:val="right"/>
        <w:rPr>
          <w:sz w:val="22"/>
          <w:szCs w:val="22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8"/>
        <w:gridCol w:w="2447"/>
      </w:tblGrid>
      <w:tr w:rsidR="002B2E6B" w:rsidRPr="00CC71EF" w:rsidTr="00B669C7">
        <w:tc>
          <w:tcPr>
            <w:tcW w:w="5000" w:type="pct"/>
            <w:gridSpan w:val="2"/>
          </w:tcPr>
          <w:p w:rsidR="002B2E6B" w:rsidRPr="00CC71EF" w:rsidRDefault="002B2E6B" w:rsidP="00B669C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C71EF">
              <w:rPr>
                <w:b/>
                <w:sz w:val="22"/>
                <w:szCs w:val="22"/>
              </w:rPr>
              <w:t xml:space="preserve">Pārskats </w:t>
            </w:r>
            <w:r w:rsidRPr="00CC71EF">
              <w:rPr>
                <w:b/>
                <w:bCs/>
                <w:sz w:val="22"/>
                <w:szCs w:val="22"/>
              </w:rPr>
              <w:t xml:space="preserve">par dotācijas izlietojumu atbilstoši normatīvajos aktos budžeta izdevumu klasifikācijas jomā noteiktajai atlīdzības klasifikācijai </w:t>
            </w:r>
          </w:p>
        </w:tc>
      </w:tr>
      <w:tr w:rsidR="002B2E6B" w:rsidRPr="00CC71EF" w:rsidTr="00B669C7">
        <w:trPr>
          <w:trHeight w:val="225"/>
        </w:trPr>
        <w:tc>
          <w:tcPr>
            <w:tcW w:w="4137" w:type="pct"/>
            <w:vAlign w:val="bottom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</w:p>
        </w:tc>
        <w:tc>
          <w:tcPr>
            <w:tcW w:w="863" w:type="pct"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KODI</w:t>
            </w:r>
          </w:p>
        </w:tc>
      </w:tr>
      <w:tr w:rsidR="002B2E6B" w:rsidRPr="00CC71EF" w:rsidTr="00B669C7">
        <w:trPr>
          <w:trHeight w:val="225"/>
        </w:trPr>
        <w:tc>
          <w:tcPr>
            <w:tcW w:w="4137" w:type="pct"/>
            <w:vAlign w:val="bottom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 xml:space="preserve">Izglītības iestādes dibinātāja nosaukums </w:t>
            </w:r>
          </w:p>
        </w:tc>
        <w:tc>
          <w:tcPr>
            <w:tcW w:w="863" w:type="pct"/>
          </w:tcPr>
          <w:p w:rsidR="002B2E6B" w:rsidRPr="00CC71EF" w:rsidRDefault="002B2E6B" w:rsidP="00B669C7">
            <w:pPr>
              <w:jc w:val="center"/>
              <w:rPr>
                <w:sz w:val="22"/>
                <w:szCs w:val="22"/>
              </w:rPr>
            </w:pPr>
          </w:p>
        </w:tc>
      </w:tr>
      <w:tr w:rsidR="002B2E6B" w:rsidRPr="00CC71EF" w:rsidTr="00B669C7">
        <w:trPr>
          <w:trHeight w:val="222"/>
        </w:trPr>
        <w:tc>
          <w:tcPr>
            <w:tcW w:w="4137" w:type="pct"/>
            <w:vAlign w:val="center"/>
          </w:tcPr>
          <w:p w:rsidR="002B2E6B" w:rsidRPr="00CC71EF" w:rsidRDefault="002B2E6B" w:rsidP="00B669C7">
            <w:pPr>
              <w:rPr>
                <w:sz w:val="22"/>
                <w:szCs w:val="22"/>
              </w:rPr>
            </w:pPr>
            <w:r w:rsidRPr="00CC71EF">
              <w:rPr>
                <w:sz w:val="22"/>
                <w:szCs w:val="22"/>
              </w:rPr>
              <w:t>Pārskata gads</w:t>
            </w:r>
          </w:p>
        </w:tc>
        <w:tc>
          <w:tcPr>
            <w:tcW w:w="863" w:type="pct"/>
          </w:tcPr>
          <w:p w:rsidR="002B2E6B" w:rsidRPr="00CC71EF" w:rsidRDefault="002B2E6B" w:rsidP="00B669C7">
            <w:pPr>
              <w:jc w:val="right"/>
              <w:rPr>
                <w:sz w:val="22"/>
                <w:szCs w:val="22"/>
              </w:rPr>
            </w:pPr>
          </w:p>
        </w:tc>
      </w:tr>
      <w:tr w:rsidR="002B2E6B" w:rsidRPr="00CC71EF" w:rsidTr="00B6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E6B" w:rsidRPr="00CC71EF" w:rsidRDefault="002B2E6B" w:rsidP="00B669C7">
            <w:pPr>
              <w:ind w:right="725"/>
              <w:jc w:val="right"/>
              <w:rPr>
                <w:i/>
                <w:sz w:val="22"/>
                <w:szCs w:val="22"/>
              </w:rPr>
            </w:pPr>
            <w:r w:rsidRPr="00CC71EF">
              <w:rPr>
                <w:i/>
                <w:sz w:val="22"/>
                <w:szCs w:val="22"/>
              </w:rPr>
              <w:t>(euro)</w:t>
            </w:r>
          </w:p>
          <w:tbl>
            <w:tblPr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1143"/>
              <w:gridCol w:w="1144"/>
              <w:gridCol w:w="482"/>
              <w:gridCol w:w="482"/>
              <w:gridCol w:w="1058"/>
              <w:gridCol w:w="1058"/>
              <w:gridCol w:w="809"/>
              <w:gridCol w:w="614"/>
              <w:gridCol w:w="661"/>
              <w:gridCol w:w="709"/>
              <w:gridCol w:w="425"/>
              <w:gridCol w:w="709"/>
              <w:gridCol w:w="709"/>
              <w:gridCol w:w="709"/>
              <w:gridCol w:w="992"/>
              <w:gridCol w:w="567"/>
              <w:gridCol w:w="567"/>
              <w:gridCol w:w="850"/>
            </w:tblGrid>
            <w:tr w:rsidR="002B2E6B" w:rsidRPr="00CC71EF" w:rsidTr="00B669C7">
              <w:trPr>
                <w:trHeight w:val="511"/>
              </w:trPr>
              <w:tc>
                <w:tcPr>
                  <w:tcW w:w="482" w:type="dxa"/>
                  <w:vMerge w:val="restart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Izglītības iestāde</w:t>
                  </w:r>
                </w:p>
              </w:tc>
              <w:tc>
                <w:tcPr>
                  <w:tcW w:w="2287" w:type="dxa"/>
                  <w:gridSpan w:val="2"/>
                  <w:vMerge w:val="restart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Noslēgtā finansēšanas līguma</w:t>
                  </w:r>
                </w:p>
              </w:tc>
              <w:tc>
                <w:tcPr>
                  <w:tcW w:w="482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2B2E6B" w:rsidRPr="00CC71EF" w:rsidRDefault="002B2E6B" w:rsidP="00B669C7">
                  <w:pPr>
                    <w:ind w:left="-110" w:right="-105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Izglītības programmu grupas nosaukums</w:t>
                  </w:r>
                </w:p>
              </w:tc>
              <w:tc>
                <w:tcPr>
                  <w:tcW w:w="482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Izglītības programmas kods (10V, 20V, 30V)</w:t>
                  </w:r>
                </w:p>
              </w:tc>
              <w:tc>
                <w:tcPr>
                  <w:tcW w:w="2925" w:type="dxa"/>
                  <w:gridSpan w:val="3"/>
                  <w:shd w:val="clear" w:color="auto" w:fill="auto"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Finansēts no valsts budžeta līdzekļiem</w:t>
                  </w:r>
                </w:p>
              </w:tc>
              <w:tc>
                <w:tcPr>
                  <w:tcW w:w="614" w:type="dxa"/>
                  <w:vMerge w:val="restart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Finanšu līdzekļu atlikums no iepriekšējā perioda</w:t>
                  </w:r>
                </w:p>
              </w:tc>
              <w:tc>
                <w:tcPr>
                  <w:tcW w:w="661" w:type="dxa"/>
                  <w:vMerge w:val="restart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-95" w:right="-69" w:hanging="7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Pārskata periodā saņemtais</w:t>
                  </w:r>
                </w:p>
                <w:p w:rsidR="002B2E6B" w:rsidRPr="00CC71EF" w:rsidRDefault="002B2E6B" w:rsidP="00B669C7">
                  <w:pPr>
                    <w:ind w:left="-95" w:right="-69" w:hanging="7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valsts finansējums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-112" w:right="-154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Kopā finanšu līdzekļi pārskata periodā</w:t>
                  </w:r>
                </w:p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(4.+5.)</w:t>
                  </w:r>
                </w:p>
              </w:tc>
              <w:tc>
                <w:tcPr>
                  <w:tcW w:w="4678" w:type="dxa"/>
                  <w:gridSpan w:val="7"/>
                  <w:vMerge w:val="restart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Izdevumi pārskata periodā</w:t>
                  </w:r>
                </w:p>
              </w:tc>
              <w:tc>
                <w:tcPr>
                  <w:tcW w:w="850" w:type="dxa"/>
                  <w:vMerge w:val="restart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Līdzekļu atlikums uz pārskata perioda beigām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C71EF">
                    <w:rPr>
                      <w:sz w:val="22"/>
                      <w:szCs w:val="22"/>
                    </w:rPr>
                    <w:t>(6.-13.)</w:t>
                  </w:r>
                </w:p>
              </w:tc>
            </w:tr>
            <w:tr w:rsidR="002B2E6B" w:rsidRPr="00CC71EF" w:rsidTr="00B669C7">
              <w:trPr>
                <w:trHeight w:val="70"/>
              </w:trPr>
              <w:tc>
                <w:tcPr>
                  <w:tcW w:w="482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87" w:type="dxa"/>
                  <w:gridSpan w:val="2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16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audzēkņu skaits</w:t>
                  </w:r>
                </w:p>
              </w:tc>
              <w:tc>
                <w:tcPr>
                  <w:tcW w:w="809" w:type="dxa"/>
                  <w:vMerge w:val="restart"/>
                  <w:shd w:val="clear" w:color="auto" w:fill="auto"/>
                  <w:textDirection w:val="btLr"/>
                  <w:vAlign w:val="center"/>
                  <w:hideMark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faktiski apmaksāto pedagoģisko likmju skaits (pārskata periodā vidēji mēnesī)</w:t>
                  </w:r>
                </w:p>
              </w:tc>
              <w:tc>
                <w:tcPr>
                  <w:tcW w:w="614" w:type="dxa"/>
                  <w:vMerge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" w:type="dxa"/>
                  <w:vMerge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78" w:type="dxa"/>
                  <w:gridSpan w:val="7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B2E6B" w:rsidRPr="00CC71EF" w:rsidTr="00B669C7">
              <w:trPr>
                <w:cantSplit/>
                <w:trHeight w:val="4256"/>
              </w:trPr>
              <w:tc>
                <w:tcPr>
                  <w:tcW w:w="482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3" w:type="dxa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-108" w:right="-111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datums</w:t>
                  </w:r>
                </w:p>
              </w:tc>
              <w:tc>
                <w:tcPr>
                  <w:tcW w:w="1144" w:type="dxa"/>
                  <w:textDirection w:val="btLr"/>
                  <w:vAlign w:val="center"/>
                </w:tcPr>
                <w:p w:rsidR="002B2E6B" w:rsidRPr="00CC71EF" w:rsidRDefault="002B2E6B" w:rsidP="00B669C7">
                  <w:pPr>
                    <w:ind w:left="-107" w:right="-106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numurs</w:t>
                  </w:r>
                </w:p>
              </w:tc>
              <w:tc>
                <w:tcPr>
                  <w:tcW w:w="482" w:type="dxa"/>
                  <w:vMerge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vMerge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textDirection w:val="btLr"/>
                  <w:vAlign w:val="center"/>
                  <w:hideMark/>
                </w:tcPr>
                <w:p w:rsidR="002B2E6B" w:rsidRPr="00CC71EF" w:rsidRDefault="002B2E6B" w:rsidP="00B669C7">
                  <w:pPr>
                    <w:ind w:left="-151" w:right="-101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pārskata perioda sākumā</w:t>
                  </w:r>
                </w:p>
              </w:tc>
              <w:tc>
                <w:tcPr>
                  <w:tcW w:w="1058" w:type="dxa"/>
                  <w:shd w:val="clear" w:color="auto" w:fill="auto"/>
                  <w:textDirection w:val="btLr"/>
                  <w:vAlign w:val="center"/>
                  <w:hideMark/>
                </w:tcPr>
                <w:p w:rsidR="002B2E6B" w:rsidRPr="00CC71EF" w:rsidRDefault="002B2E6B" w:rsidP="00B669C7">
                  <w:pPr>
                    <w:ind w:left="-117" w:right="-107"/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pārskata perioda beigās</w:t>
                  </w:r>
                </w:p>
              </w:tc>
              <w:tc>
                <w:tcPr>
                  <w:tcW w:w="809" w:type="dxa"/>
                  <w:vMerge/>
                  <w:shd w:val="clear" w:color="auto" w:fill="auto"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sz w:val="22"/>
                      <w:szCs w:val="22"/>
                    </w:rPr>
                    <w:t>Atalgojums EKK 1119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color w:val="000000"/>
                      <w:sz w:val="22"/>
                      <w:szCs w:val="22"/>
                    </w:rPr>
                    <w:t xml:space="preserve">Piemaksa par darbu īpašos apstākļos, speciālās piemaksas </w:t>
                  </w:r>
                  <w:r w:rsidRPr="00EC74E2">
                    <w:rPr>
                      <w:sz w:val="22"/>
                      <w:szCs w:val="22"/>
                    </w:rPr>
                    <w:t>EKK 1145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color w:val="000000"/>
                      <w:sz w:val="22"/>
                      <w:szCs w:val="22"/>
                    </w:rPr>
                    <w:t xml:space="preserve">Piemaksa par personisko darba ieguldījumu un darba kvalitāti </w:t>
                  </w:r>
                  <w:r w:rsidRPr="00EC74E2">
                    <w:rPr>
                      <w:sz w:val="22"/>
                      <w:szCs w:val="22"/>
                    </w:rPr>
                    <w:t>EKK 1146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F9669B">
                    <w:rPr>
                      <w:sz w:val="22"/>
                      <w:szCs w:val="22"/>
                      <w:lang w:val="en-AU"/>
                    </w:rPr>
                    <w:t>Piemaksa par papildu darbu</w:t>
                  </w:r>
                  <w:r w:rsidRPr="00F9669B" w:rsidDel="00F9669B"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r w:rsidRPr="00EC74E2">
                    <w:rPr>
                      <w:sz w:val="22"/>
                      <w:szCs w:val="22"/>
                    </w:rPr>
                    <w:t>EKK 1147</w:t>
                  </w:r>
                </w:p>
              </w:tc>
              <w:tc>
                <w:tcPr>
                  <w:tcW w:w="992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sz w:val="22"/>
                      <w:szCs w:val="22"/>
                    </w:rPr>
                    <w:t>darba devēja</w:t>
                  </w:r>
                </w:p>
                <w:p w:rsidR="002B2E6B" w:rsidRPr="00EC74E2" w:rsidRDefault="002B2E6B" w:rsidP="00B669C7">
                  <w:pPr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sz w:val="22"/>
                      <w:szCs w:val="22"/>
                    </w:rPr>
                    <w:t>valsts sociālās apdrošinā</w:t>
                  </w:r>
                  <w:r w:rsidRPr="00EC74E2">
                    <w:rPr>
                      <w:sz w:val="22"/>
                      <w:szCs w:val="22"/>
                    </w:rPr>
                    <w:softHyphen/>
                    <w:t>šanas obligātās iemaksas EKK 1210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-111" w:right="-140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sz w:val="22"/>
                      <w:szCs w:val="22"/>
                    </w:rPr>
                    <w:t>Citi izdevumi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2B2E6B" w:rsidRPr="00EC74E2" w:rsidRDefault="002B2E6B" w:rsidP="00B669C7">
                  <w:pPr>
                    <w:ind w:left="-111" w:right="-140"/>
                    <w:jc w:val="center"/>
                    <w:rPr>
                      <w:sz w:val="22"/>
                      <w:szCs w:val="22"/>
                    </w:rPr>
                  </w:pPr>
                  <w:r w:rsidRPr="00EC74E2">
                    <w:rPr>
                      <w:sz w:val="22"/>
                      <w:szCs w:val="22"/>
                    </w:rPr>
                    <w:t>Kopā (7.+8.+9.+10.+11.+12.)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B2E6B" w:rsidRPr="00CC71EF" w:rsidTr="00B669C7">
              <w:trPr>
                <w:trHeight w:val="300"/>
              </w:trPr>
              <w:tc>
                <w:tcPr>
                  <w:tcW w:w="482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A</w:t>
                  </w:r>
                </w:p>
              </w:tc>
              <w:tc>
                <w:tcPr>
                  <w:tcW w:w="1143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144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C</w:t>
                  </w:r>
                </w:p>
              </w:tc>
              <w:tc>
                <w:tcPr>
                  <w:tcW w:w="482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D</w:t>
                  </w:r>
                </w:p>
              </w:tc>
              <w:tc>
                <w:tcPr>
                  <w:tcW w:w="482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14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61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25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2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67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850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14</w:t>
                  </w:r>
                </w:p>
              </w:tc>
            </w:tr>
            <w:tr w:rsidR="002B2E6B" w:rsidRPr="00CC71EF" w:rsidTr="00B669C7">
              <w:trPr>
                <w:trHeight w:val="300"/>
              </w:trPr>
              <w:tc>
                <w:tcPr>
                  <w:tcW w:w="482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  <w:hideMark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B2E6B" w:rsidRPr="00CC71EF" w:rsidTr="00B669C7">
              <w:trPr>
                <w:trHeight w:val="300"/>
              </w:trPr>
              <w:tc>
                <w:tcPr>
                  <w:tcW w:w="482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4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noWrap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noWrap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  <w:noWrap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09" w:type="dxa"/>
                  <w:shd w:val="clear" w:color="auto" w:fill="auto"/>
                  <w:noWrap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61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B2E6B" w:rsidRPr="00CC71EF" w:rsidRDefault="002B2E6B" w:rsidP="00B669C7">
                  <w:pPr>
                    <w:jc w:val="center"/>
                    <w:rPr>
                      <w:sz w:val="22"/>
                      <w:szCs w:val="22"/>
                    </w:rPr>
                  </w:pPr>
                  <w:r w:rsidRPr="00CC71EF">
                    <w:rPr>
                      <w:sz w:val="22"/>
                      <w:szCs w:val="22"/>
                    </w:rPr>
                    <w:t>„</w:t>
                  </w:r>
                </w:p>
              </w:tc>
            </w:tr>
          </w:tbl>
          <w:p w:rsidR="002B2E6B" w:rsidRPr="00CC71EF" w:rsidRDefault="002B2E6B" w:rsidP="00B669C7">
            <w:pPr>
              <w:jc w:val="right"/>
              <w:rPr>
                <w:sz w:val="22"/>
                <w:szCs w:val="22"/>
              </w:rPr>
            </w:pPr>
          </w:p>
        </w:tc>
      </w:tr>
    </w:tbl>
    <w:p w:rsidR="002B2E6B" w:rsidRPr="00CC71EF" w:rsidRDefault="002B2E6B" w:rsidP="002B2E6B">
      <w:pPr>
        <w:pStyle w:val="NoSpacing"/>
        <w:rPr>
          <w:sz w:val="28"/>
          <w:szCs w:val="28"/>
        </w:rPr>
      </w:pPr>
    </w:p>
    <w:p w:rsidR="002B2E6B" w:rsidRDefault="002B2E6B" w:rsidP="002B2E6B">
      <w:pPr>
        <w:pStyle w:val="NoSpacing"/>
        <w:numPr>
          <w:ilvl w:val="0"/>
          <w:numId w:val="1"/>
        </w:numPr>
        <w:ind w:hanging="371"/>
        <w:rPr>
          <w:sz w:val="28"/>
          <w:szCs w:val="28"/>
        </w:rPr>
        <w:sectPr w:rsidR="002B2E6B" w:rsidSect="00337773">
          <w:headerReference w:type="first" r:id="rId10"/>
          <w:pgSz w:w="16840" w:h="11907" w:orient="landscape" w:code="9"/>
          <w:pgMar w:top="1701" w:right="1418" w:bottom="1134" w:left="1134" w:header="709" w:footer="709" w:gutter="0"/>
          <w:cols w:space="708"/>
          <w:titlePg/>
          <w:docGrid w:linePitch="360"/>
        </w:sectPr>
      </w:pPr>
    </w:p>
    <w:p w:rsidR="002B2E6B" w:rsidRPr="00CC71EF" w:rsidRDefault="002B2E6B" w:rsidP="002B2E6B">
      <w:pPr>
        <w:pStyle w:val="NoSpacing"/>
        <w:numPr>
          <w:ilvl w:val="0"/>
          <w:numId w:val="1"/>
        </w:numPr>
        <w:ind w:hanging="371"/>
        <w:rPr>
          <w:sz w:val="28"/>
          <w:szCs w:val="28"/>
        </w:rPr>
      </w:pPr>
      <w:r w:rsidRPr="00CC71EF">
        <w:rPr>
          <w:sz w:val="28"/>
          <w:szCs w:val="28"/>
        </w:rPr>
        <w:lastRenderedPageBreak/>
        <w:t>Noteikumi stājas spēkā 2017.gada 1.septembrī.</w:t>
      </w:r>
    </w:p>
    <w:p w:rsidR="002B2E6B" w:rsidRPr="00CC71EF" w:rsidRDefault="002B2E6B" w:rsidP="002B2E6B">
      <w:pPr>
        <w:tabs>
          <w:tab w:val="left" w:pos="709"/>
        </w:tabs>
        <w:jc w:val="both"/>
        <w:rPr>
          <w:sz w:val="28"/>
          <w:szCs w:val="28"/>
        </w:rPr>
      </w:pPr>
    </w:p>
    <w:p w:rsidR="002B2E6B" w:rsidRPr="00CC71EF" w:rsidRDefault="002B2E6B" w:rsidP="002B2E6B">
      <w:pPr>
        <w:tabs>
          <w:tab w:val="left" w:pos="709"/>
        </w:tabs>
        <w:jc w:val="both"/>
        <w:rPr>
          <w:sz w:val="28"/>
          <w:szCs w:val="28"/>
        </w:rPr>
      </w:pPr>
    </w:p>
    <w:p w:rsidR="002B2E6B" w:rsidRPr="00CC71EF" w:rsidRDefault="002B2E6B" w:rsidP="002B2E6B">
      <w:pPr>
        <w:tabs>
          <w:tab w:val="left" w:pos="6804"/>
        </w:tabs>
        <w:ind w:left="142"/>
        <w:rPr>
          <w:sz w:val="28"/>
          <w:szCs w:val="28"/>
        </w:rPr>
      </w:pPr>
      <w:r w:rsidRPr="00CC71EF">
        <w:rPr>
          <w:sz w:val="28"/>
          <w:szCs w:val="28"/>
        </w:rPr>
        <w:t>Ministru prezidents</w:t>
      </w:r>
      <w:r w:rsidRPr="00CC71EF">
        <w:rPr>
          <w:sz w:val="28"/>
          <w:szCs w:val="28"/>
        </w:rPr>
        <w:tab/>
      </w:r>
      <w:r w:rsidRPr="00CC71EF">
        <w:rPr>
          <w:sz w:val="28"/>
          <w:szCs w:val="28"/>
        </w:rPr>
        <w:tab/>
        <w:t>M.Kučinskis</w:t>
      </w:r>
    </w:p>
    <w:p w:rsidR="002B2E6B" w:rsidRPr="00CC71EF" w:rsidRDefault="002B2E6B" w:rsidP="002B2E6B">
      <w:pPr>
        <w:tabs>
          <w:tab w:val="left" w:pos="6804"/>
        </w:tabs>
        <w:rPr>
          <w:sz w:val="28"/>
          <w:szCs w:val="28"/>
        </w:rPr>
      </w:pPr>
    </w:p>
    <w:p w:rsidR="002B2E6B" w:rsidRDefault="002B2E6B" w:rsidP="002B2E6B">
      <w:pPr>
        <w:tabs>
          <w:tab w:val="left" w:pos="6804"/>
        </w:tabs>
        <w:ind w:left="142"/>
        <w:jc w:val="both"/>
        <w:rPr>
          <w:sz w:val="28"/>
        </w:rPr>
      </w:pPr>
      <w:r w:rsidRPr="00CC71EF">
        <w:rPr>
          <w:sz w:val="28"/>
        </w:rPr>
        <w:t>Kultūras ministr</w:t>
      </w:r>
      <w:r>
        <w:rPr>
          <w:sz w:val="28"/>
        </w:rPr>
        <w:t>a p.i.</w:t>
      </w:r>
    </w:p>
    <w:p w:rsidR="002B2E6B" w:rsidRPr="00CC71EF" w:rsidRDefault="002B2E6B" w:rsidP="002B2E6B">
      <w:pPr>
        <w:tabs>
          <w:tab w:val="left" w:pos="6804"/>
        </w:tabs>
        <w:ind w:left="142"/>
        <w:jc w:val="both"/>
        <w:rPr>
          <w:sz w:val="28"/>
        </w:rPr>
      </w:pPr>
      <w:r>
        <w:rPr>
          <w:sz w:val="28"/>
        </w:rPr>
        <w:t xml:space="preserve">labklājības ministrs </w:t>
      </w:r>
      <w:r w:rsidRPr="00CC71EF">
        <w:rPr>
          <w:sz w:val="28"/>
        </w:rPr>
        <w:tab/>
      </w:r>
      <w:r w:rsidRPr="00CC71EF">
        <w:rPr>
          <w:sz w:val="28"/>
        </w:rPr>
        <w:tab/>
      </w:r>
      <w:r>
        <w:rPr>
          <w:sz w:val="28"/>
        </w:rPr>
        <w:t>J.Reirs</w:t>
      </w:r>
    </w:p>
    <w:p w:rsidR="002B2E6B" w:rsidRPr="00CC71EF" w:rsidRDefault="002B2E6B" w:rsidP="002B2E6B">
      <w:pPr>
        <w:tabs>
          <w:tab w:val="left" w:pos="6804"/>
        </w:tabs>
        <w:jc w:val="both"/>
        <w:rPr>
          <w:sz w:val="28"/>
        </w:rPr>
      </w:pPr>
    </w:p>
    <w:p w:rsidR="002B2E6B" w:rsidRPr="00CC71EF" w:rsidRDefault="002B2E6B" w:rsidP="002B2E6B">
      <w:pPr>
        <w:tabs>
          <w:tab w:val="left" w:pos="426"/>
          <w:tab w:val="left" w:pos="7230"/>
        </w:tabs>
        <w:ind w:left="142" w:right="28"/>
        <w:jc w:val="both"/>
        <w:rPr>
          <w:sz w:val="28"/>
          <w:szCs w:val="28"/>
          <w:highlight w:val="lightGray"/>
        </w:rPr>
      </w:pPr>
      <w:r w:rsidRPr="00CC71EF">
        <w:rPr>
          <w:sz w:val="28"/>
          <w:szCs w:val="28"/>
        </w:rPr>
        <w:t>Vīza: Valsts sekretārs</w:t>
      </w:r>
      <w:r w:rsidRPr="00CC71EF">
        <w:rPr>
          <w:sz w:val="28"/>
          <w:szCs w:val="28"/>
        </w:rPr>
        <w:tab/>
        <w:t>S.Voldiņš</w:t>
      </w: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jc w:val="both"/>
        <w:rPr>
          <w:highlight w:val="yellow"/>
        </w:rPr>
      </w:pPr>
    </w:p>
    <w:p w:rsidR="002B2E6B" w:rsidRPr="00CC71EF" w:rsidRDefault="002B2E6B" w:rsidP="002B2E6B">
      <w:pPr>
        <w:pStyle w:val="Header"/>
        <w:rPr>
          <w:sz w:val="20"/>
          <w:szCs w:val="20"/>
          <w:lang w:val="lv-LV"/>
        </w:rPr>
      </w:pPr>
      <w:bookmarkStart w:id="16" w:name="OLE_LINK7"/>
      <w:bookmarkStart w:id="17" w:name="OLE_LINK8"/>
      <w:bookmarkStart w:id="18" w:name="OLE_LINK11"/>
      <w:r w:rsidRPr="00CC71EF">
        <w:rPr>
          <w:sz w:val="20"/>
          <w:szCs w:val="20"/>
          <w:lang w:val="lv-LV"/>
        </w:rPr>
        <w:t>Beinaroviča 67356284</w:t>
      </w:r>
    </w:p>
    <w:p w:rsidR="002B2E6B" w:rsidRPr="00CC71EF" w:rsidRDefault="001A4E76" w:rsidP="002B2E6B">
      <w:pPr>
        <w:pStyle w:val="Header"/>
        <w:rPr>
          <w:sz w:val="28"/>
        </w:rPr>
      </w:pPr>
      <w:hyperlink r:id="rId11" w:history="1">
        <w:r w:rsidR="002B2E6B" w:rsidRPr="00B23BC6">
          <w:rPr>
            <w:rStyle w:val="Hyperlink"/>
            <w:sz w:val="20"/>
            <w:szCs w:val="20"/>
            <w:lang w:val="lv-LV"/>
          </w:rPr>
          <w:t>Baiba.Beinarovica@lnkc.gov.lv</w:t>
        </w:r>
      </w:hyperlink>
      <w:r w:rsidR="002B2E6B">
        <w:rPr>
          <w:sz w:val="20"/>
          <w:szCs w:val="20"/>
          <w:lang w:val="lv-LV"/>
        </w:rPr>
        <w:t xml:space="preserve"> </w:t>
      </w:r>
      <w:bookmarkEnd w:id="16"/>
      <w:bookmarkEnd w:id="17"/>
      <w:bookmarkEnd w:id="18"/>
    </w:p>
    <w:p w:rsidR="001E72FA" w:rsidRPr="002B2E6B" w:rsidRDefault="001E72FA">
      <w:pPr>
        <w:rPr>
          <w:lang w:val="x-none"/>
        </w:rPr>
      </w:pPr>
    </w:p>
    <w:sectPr w:rsidR="001E72FA" w:rsidRPr="002B2E6B" w:rsidSect="00D615D4">
      <w:type w:val="continuous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E76" w:rsidRDefault="001A4E76">
      <w:r>
        <w:separator/>
      </w:r>
    </w:p>
  </w:endnote>
  <w:endnote w:type="continuationSeparator" w:id="0">
    <w:p w:rsidR="001A4E76" w:rsidRDefault="001A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E" w:rsidRPr="003D1425" w:rsidRDefault="002B2E6B" w:rsidP="003B6A83">
    <w:pPr>
      <w:pStyle w:val="Footer"/>
      <w:jc w:val="both"/>
      <w:rPr>
        <w:sz w:val="20"/>
        <w:szCs w:val="20"/>
        <w:lang w:val="lv-LV"/>
      </w:rPr>
    </w:pPr>
    <w:bookmarkStart w:id="5" w:name="OLE_LINK9"/>
    <w:bookmarkStart w:id="6" w:name="OLE_LINK10"/>
    <w:bookmarkStart w:id="7" w:name="_Hlk483815635"/>
    <w:r w:rsidRPr="003D1425">
      <w:rPr>
        <w:sz w:val="20"/>
        <w:szCs w:val="20"/>
      </w:rPr>
      <w:t>KMNot_</w:t>
    </w:r>
    <w:r>
      <w:rPr>
        <w:sz w:val="20"/>
        <w:szCs w:val="20"/>
        <w:lang w:val="lv-LV"/>
      </w:rPr>
      <w:t>2408</w:t>
    </w:r>
    <w:r w:rsidRPr="003D1425">
      <w:rPr>
        <w:sz w:val="20"/>
        <w:szCs w:val="20"/>
        <w:lang w:val="lv-LV"/>
      </w:rPr>
      <w:t>17</w:t>
    </w:r>
    <w:r w:rsidRPr="003D1425">
      <w:rPr>
        <w:sz w:val="20"/>
        <w:szCs w:val="20"/>
      </w:rPr>
      <w:t>_1035_grozijumi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E" w:rsidRPr="003D1425" w:rsidRDefault="002B2E6B" w:rsidP="003B6A83">
    <w:pPr>
      <w:pStyle w:val="Footer"/>
      <w:jc w:val="both"/>
      <w:rPr>
        <w:sz w:val="20"/>
        <w:szCs w:val="20"/>
        <w:lang w:val="lv-LV"/>
      </w:rPr>
    </w:pPr>
    <w:bookmarkStart w:id="8" w:name="OLE_LINK5"/>
    <w:bookmarkStart w:id="9" w:name="OLE_LINK6"/>
    <w:bookmarkStart w:id="10" w:name="OLE_LINK3"/>
    <w:bookmarkStart w:id="11" w:name="OLE_LINK4"/>
    <w:bookmarkStart w:id="12" w:name="_Hlk483233139"/>
    <w:bookmarkStart w:id="13" w:name="OLE_LINK12"/>
    <w:bookmarkStart w:id="14" w:name="OLE_LINK13"/>
    <w:bookmarkStart w:id="15" w:name="_Hlk490468963"/>
    <w:r w:rsidRPr="003D1425">
      <w:rPr>
        <w:sz w:val="20"/>
        <w:szCs w:val="20"/>
      </w:rPr>
      <w:t>KMNot_</w:t>
    </w:r>
    <w:r>
      <w:rPr>
        <w:sz w:val="20"/>
        <w:szCs w:val="20"/>
        <w:lang w:val="lv-LV"/>
      </w:rPr>
      <w:t>24081</w:t>
    </w:r>
    <w:r w:rsidRPr="003D1425">
      <w:rPr>
        <w:sz w:val="20"/>
        <w:szCs w:val="20"/>
        <w:lang w:val="lv-LV"/>
      </w:rPr>
      <w:t>7</w:t>
    </w:r>
    <w:r w:rsidRPr="003D1425">
      <w:rPr>
        <w:sz w:val="20"/>
        <w:szCs w:val="20"/>
      </w:rPr>
      <w:t>_1035_grozijumi</w:t>
    </w:r>
    <w:bookmarkEnd w:id="8"/>
    <w:bookmarkEnd w:id="9"/>
    <w:bookmarkEnd w:id="10"/>
    <w:bookmarkEnd w:id="11"/>
    <w:bookmarkEnd w:id="12"/>
    <w:bookmarkEnd w:id="13"/>
    <w:bookmarkEnd w:id="14"/>
    <w:bookmarkEnd w:id="1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E76" w:rsidRDefault="001A4E76">
      <w:r>
        <w:separator/>
      </w:r>
    </w:p>
  </w:footnote>
  <w:footnote w:type="continuationSeparator" w:id="0">
    <w:p w:rsidR="001A4E76" w:rsidRDefault="001A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E" w:rsidRPr="006B6AAE" w:rsidRDefault="002B2E6B" w:rsidP="00337773">
    <w:pPr>
      <w:pStyle w:val="Header"/>
      <w:jc w:val="center"/>
      <w:rPr>
        <w:sz w:val="22"/>
        <w:szCs w:val="22"/>
        <w:lang w:val="lv-LV"/>
      </w:rPr>
    </w:pPr>
    <w:r w:rsidRPr="006B6AAE">
      <w:rPr>
        <w:sz w:val="22"/>
        <w:szCs w:val="22"/>
      </w:rPr>
      <w:fldChar w:fldCharType="begin"/>
    </w:r>
    <w:r w:rsidRPr="006B6AAE">
      <w:rPr>
        <w:sz w:val="22"/>
        <w:szCs w:val="22"/>
      </w:rPr>
      <w:instrText xml:space="preserve"> PAGE   \* MERGEFORMAT </w:instrText>
    </w:r>
    <w:r w:rsidRPr="006B6AAE">
      <w:rPr>
        <w:sz w:val="22"/>
        <w:szCs w:val="22"/>
      </w:rPr>
      <w:fldChar w:fldCharType="separate"/>
    </w:r>
    <w:r w:rsidR="00E36CBD">
      <w:rPr>
        <w:noProof/>
        <w:sz w:val="22"/>
        <w:szCs w:val="22"/>
      </w:rPr>
      <w:t>2</w:t>
    </w:r>
    <w:r w:rsidRPr="006B6AAE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5FE" w:rsidRPr="004D4843" w:rsidRDefault="002B2E6B">
    <w:pPr>
      <w:pStyle w:val="Header"/>
      <w:jc w:val="center"/>
      <w:rPr>
        <w:sz w:val="22"/>
        <w:szCs w:val="22"/>
      </w:rPr>
    </w:pPr>
    <w:r w:rsidRPr="004D4843">
      <w:rPr>
        <w:sz w:val="22"/>
        <w:szCs w:val="22"/>
      </w:rPr>
      <w:fldChar w:fldCharType="begin"/>
    </w:r>
    <w:r w:rsidRPr="004D4843">
      <w:rPr>
        <w:sz w:val="22"/>
        <w:szCs w:val="22"/>
      </w:rPr>
      <w:instrText xml:space="preserve"> PAGE   \* MERGEFORMAT </w:instrText>
    </w:r>
    <w:r w:rsidRPr="004D4843">
      <w:rPr>
        <w:sz w:val="22"/>
        <w:szCs w:val="22"/>
      </w:rPr>
      <w:fldChar w:fldCharType="separate"/>
    </w:r>
    <w:r w:rsidR="00E36CBD">
      <w:rPr>
        <w:noProof/>
        <w:sz w:val="22"/>
        <w:szCs w:val="22"/>
      </w:rPr>
      <w:t>8</w:t>
    </w:r>
    <w:r w:rsidRPr="004D4843">
      <w:rPr>
        <w:sz w:val="22"/>
        <w:szCs w:val="22"/>
      </w:rPr>
      <w:fldChar w:fldCharType="end"/>
    </w:r>
  </w:p>
  <w:p w:rsidR="00F915FE" w:rsidRPr="004534F4" w:rsidRDefault="001A4E76" w:rsidP="004534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39C8"/>
    <w:multiLevelType w:val="multilevel"/>
    <w:tmpl w:val="7DF48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6B"/>
    <w:rsid w:val="000945F2"/>
    <w:rsid w:val="001A4E76"/>
    <w:rsid w:val="001E72FA"/>
    <w:rsid w:val="002B2E6B"/>
    <w:rsid w:val="00371C65"/>
    <w:rsid w:val="0045508E"/>
    <w:rsid w:val="008140F7"/>
    <w:rsid w:val="00E3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5C5D7-016F-40A7-9A18-1CBF0687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B2E6B"/>
    <w:pPr>
      <w:keepNext/>
      <w:jc w:val="both"/>
      <w:outlineLvl w:val="2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B2E6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B2E6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2B2E6B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NormalWeb">
    <w:name w:val="Normal (Web)"/>
    <w:basedOn w:val="Normal"/>
    <w:rsid w:val="002B2E6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2E6B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2B2E6B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Hyperlink">
    <w:name w:val="Hyperlink"/>
    <w:uiPriority w:val="99"/>
    <w:unhideWhenUsed/>
    <w:rsid w:val="002B2E6B"/>
    <w:rPr>
      <w:color w:val="0000FF"/>
      <w:u w:val="single"/>
    </w:rPr>
  </w:style>
  <w:style w:type="paragraph" w:customStyle="1" w:styleId="NormalWeb1">
    <w:name w:val="Normal (Web)1"/>
    <w:basedOn w:val="Normal"/>
    <w:rsid w:val="002B2E6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2B2E6B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2B2E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2B2E6B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2B2E6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NoSpacing">
    <w:name w:val="No Spacing"/>
    <w:uiPriority w:val="1"/>
    <w:qFormat/>
    <w:rsid w:val="002B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iba.Beinarovica@lnkc.gov.lv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6300</Words>
  <Characters>3592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Vesma Voitkevica</dc:creator>
  <cp:keywords/>
  <dc:description/>
  <cp:lastModifiedBy>Vesma Voitkevica</cp:lastModifiedBy>
  <cp:revision>2</cp:revision>
  <dcterms:created xsi:type="dcterms:W3CDTF">2017-08-24T13:29:00Z</dcterms:created>
  <dcterms:modified xsi:type="dcterms:W3CDTF">2017-08-24T13:29:00Z</dcterms:modified>
</cp:coreProperties>
</file>