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877" w:rsidRPr="00AD1A7F" w:rsidRDefault="00A77877" w:rsidP="00BB69C4">
      <w:pPr>
        <w:jc w:val="center"/>
        <w:rPr>
          <w:b/>
          <w:szCs w:val="28"/>
        </w:rPr>
      </w:pPr>
      <w:r w:rsidRPr="00AD1A7F">
        <w:rPr>
          <w:b/>
          <w:szCs w:val="28"/>
        </w:rPr>
        <w:t xml:space="preserve">Ministru kabineta noteikumu projekta „Grozījumi Ministru kabineta 2009. gada 29. septembra noteikumos Nr. 1104 „Noteikumi par valsts autoceļu un valsts autoceļu maršrutā ietverto pašvaldībām piederošo autoceļu posmu sarakstiem”” sākotnējās ietekmes novērtējuma </w:t>
      </w:r>
      <w:smartTag w:uri="schemas-tilde-lv/tildestengine" w:element="veidnes">
        <w:smartTagPr>
          <w:attr w:name="id" w:val="-1"/>
          <w:attr w:name="baseform" w:val="ziņojums"/>
          <w:attr w:name="text" w:val="ziņojums"/>
        </w:smartTagPr>
        <w:r w:rsidRPr="00AD1A7F">
          <w:rPr>
            <w:b/>
            <w:szCs w:val="28"/>
          </w:rPr>
          <w:t>ziņojums</w:t>
        </w:r>
      </w:smartTag>
      <w:r w:rsidRPr="00AD1A7F">
        <w:rPr>
          <w:b/>
          <w:szCs w:val="28"/>
        </w:rPr>
        <w:t xml:space="preserve"> (anotācija)</w:t>
      </w:r>
    </w:p>
    <w:p w:rsidR="00A77877" w:rsidRPr="00AD1A7F" w:rsidRDefault="00A77877" w:rsidP="00B56C3E">
      <w:pPr>
        <w:jc w:val="center"/>
        <w:rPr>
          <w:b/>
          <w:bCs/>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2831"/>
        <w:gridCol w:w="5844"/>
      </w:tblGrid>
      <w:tr w:rsidR="00AD1A7F" w:rsidRPr="00AD1A7F" w:rsidTr="003D4334">
        <w:trPr>
          <w:trHeight w:val="405"/>
        </w:trPr>
        <w:tc>
          <w:tcPr>
            <w:tcW w:w="0" w:type="auto"/>
            <w:gridSpan w:val="3"/>
            <w:tcBorders>
              <w:top w:val="outset" w:sz="6" w:space="0" w:color="414142"/>
              <w:bottom w:val="outset" w:sz="6" w:space="0" w:color="414142"/>
            </w:tcBorders>
            <w:shd w:val="clear" w:color="auto" w:fill="FFFFFF"/>
            <w:vAlign w:val="center"/>
          </w:tcPr>
          <w:p w:rsidR="00A77877" w:rsidRPr="00AD1A7F" w:rsidRDefault="00A77877" w:rsidP="00B56C3E">
            <w:pPr>
              <w:spacing w:before="100" w:beforeAutospacing="1" w:after="100" w:afterAutospacing="1" w:line="285" w:lineRule="atLeast"/>
              <w:jc w:val="center"/>
              <w:rPr>
                <w:b/>
                <w:bCs/>
                <w:sz w:val="24"/>
                <w:szCs w:val="24"/>
                <w:lang w:eastAsia="lv-LV"/>
              </w:rPr>
            </w:pPr>
            <w:r w:rsidRPr="00AD1A7F">
              <w:rPr>
                <w:b/>
                <w:bCs/>
                <w:sz w:val="24"/>
                <w:szCs w:val="24"/>
                <w:lang w:eastAsia="lv-LV"/>
              </w:rPr>
              <w:t>I. Tiesību akta projekta izstrādes nepieciešamība</w:t>
            </w:r>
          </w:p>
        </w:tc>
      </w:tr>
      <w:tr w:rsidR="00AD1A7F" w:rsidRPr="00AD1A7F" w:rsidTr="003D4334">
        <w:trPr>
          <w:trHeight w:val="405"/>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spacing w:before="100" w:beforeAutospacing="1" w:after="100" w:afterAutospacing="1" w:line="285" w:lineRule="atLeast"/>
              <w:jc w:val="center"/>
              <w:rPr>
                <w:sz w:val="24"/>
                <w:szCs w:val="24"/>
                <w:lang w:eastAsia="lv-LV"/>
              </w:rPr>
            </w:pPr>
            <w:r w:rsidRPr="00AD1A7F">
              <w:rPr>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Pamatojums</w:t>
            </w:r>
          </w:p>
        </w:tc>
        <w:tc>
          <w:tcPr>
            <w:tcW w:w="3200" w:type="pct"/>
            <w:tcBorders>
              <w:top w:val="outset" w:sz="6" w:space="0" w:color="414142"/>
              <w:left w:val="outset" w:sz="6" w:space="0" w:color="414142"/>
              <w:bottom w:val="outset" w:sz="6" w:space="0" w:color="414142"/>
            </w:tcBorders>
            <w:shd w:val="clear" w:color="auto" w:fill="FFFFFF"/>
          </w:tcPr>
          <w:p w:rsidR="00A77877" w:rsidRPr="00AD1A7F" w:rsidRDefault="00A77877" w:rsidP="007E4596">
            <w:pPr>
              <w:jc w:val="both"/>
              <w:rPr>
                <w:sz w:val="24"/>
                <w:szCs w:val="24"/>
                <w:lang w:eastAsia="lv-LV"/>
              </w:rPr>
            </w:pPr>
            <w:r w:rsidRPr="00AD1A7F">
              <w:rPr>
                <w:sz w:val="24"/>
                <w:szCs w:val="24"/>
                <w:lang w:eastAsia="lv-LV"/>
              </w:rPr>
              <w:t>Likuma „Par autoceļiem” 8. panta pirmā daļa.</w:t>
            </w:r>
          </w:p>
        </w:tc>
      </w:tr>
      <w:tr w:rsidR="00AD1A7F" w:rsidRPr="00AD1A7F" w:rsidTr="00BB69C4">
        <w:trPr>
          <w:trHeight w:val="465"/>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spacing w:before="100" w:beforeAutospacing="1" w:after="100" w:afterAutospacing="1" w:line="285" w:lineRule="atLeast"/>
              <w:jc w:val="center"/>
              <w:rPr>
                <w:sz w:val="24"/>
                <w:szCs w:val="24"/>
                <w:lang w:eastAsia="lv-LV"/>
              </w:rPr>
            </w:pPr>
            <w:r w:rsidRPr="00AD1A7F">
              <w:rPr>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0876E3">
            <w:pPr>
              <w:jc w:val="both"/>
              <w:rPr>
                <w:sz w:val="24"/>
                <w:szCs w:val="24"/>
                <w:lang w:eastAsia="lv-LV"/>
              </w:rPr>
            </w:pPr>
            <w:r w:rsidRPr="00AD1A7F">
              <w:rPr>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tcBorders>
            <w:shd w:val="clear" w:color="auto" w:fill="FFFFFF"/>
          </w:tcPr>
          <w:p w:rsidR="00A77877" w:rsidRPr="00AD1A7F" w:rsidRDefault="00A77877" w:rsidP="00BB69C4">
            <w:pPr>
              <w:pStyle w:val="naiskr"/>
              <w:spacing w:before="0" w:beforeAutospacing="0" w:after="0" w:afterAutospacing="0"/>
              <w:ind w:firstLine="720"/>
              <w:jc w:val="both"/>
            </w:pPr>
            <w:r w:rsidRPr="00AD1A7F">
              <w:t>Ņemot vērā valsts autoceļu un valsts autoceļu maršrutā ietverto pašvaldībām piederošo autoceļu posmu sarakstos konstatētās izmaiņas pēc ikgadējās valsts autoceļu inventarizācijas datiem, kā arī valsts autoceļu maršrutu novietojumu izmaiņām un valsts autoceļu vai to maršrutu posmu nodošanu pašvaldību īpašumā, ir nepieciešams veikt grozījumus Ministru kabineta 2009. gada 29. septembra noteikumos Nr. 1104 „Noteikumi par valsts autoceļu un valsts autoceļu maršrutā ietverto pašvaldībām piederošo autoceļu posmu sarakstiem”.</w:t>
            </w:r>
          </w:p>
          <w:p w:rsidR="00A77877" w:rsidRPr="00AD1A7F" w:rsidRDefault="00A77877" w:rsidP="00BB69C4">
            <w:pPr>
              <w:ind w:firstLine="720"/>
              <w:jc w:val="both"/>
              <w:rPr>
                <w:sz w:val="24"/>
                <w:szCs w:val="24"/>
              </w:rPr>
            </w:pPr>
            <w:r w:rsidRPr="00AD1A7F">
              <w:rPr>
                <w:sz w:val="24"/>
                <w:szCs w:val="24"/>
              </w:rPr>
              <w:t>Šie grozījumi ir nepieciešami, lai tiktu nodrošināta aktuāla informācija par valsts autoceļu maršrutiem, kā arī lai pašvaldības, kuru pilsētu teritorijās ir mainīti valsts autoceļu maršrutu novietojumi, varētu pretendēt uz Ministru kabineta 2008. gada 11. marta noteikumos Nr. 173 „Valsts pamatbudžeta valsts autoceļu fonda programmai piešķirto līdzekļu izlietošanas kārtība” noteikto valsts pamatbudžeta valsts autoceļu fonda programmas tranzītielām paredzēto līdzfinansējumu.</w:t>
            </w:r>
          </w:p>
          <w:p w:rsidR="003C126A" w:rsidRPr="00F23B96" w:rsidRDefault="00A77877" w:rsidP="004C0DC5">
            <w:pPr>
              <w:pStyle w:val="naispant"/>
              <w:spacing w:before="0" w:beforeAutospacing="0" w:after="0" w:afterAutospacing="0"/>
              <w:ind w:firstLine="720"/>
              <w:jc w:val="both"/>
            </w:pPr>
            <w:r w:rsidRPr="00AD1A7F">
              <w:t>Projekta mērķis ir aktualizēt informāciju par valsts autoceļu maršrutiem un valsts autoceļu maršrutā ietvertajiem pašvaldībām piederošajiem autoceļu posmiem.</w:t>
            </w:r>
          </w:p>
        </w:tc>
      </w:tr>
      <w:tr w:rsidR="00AD1A7F" w:rsidRPr="00AD1A7F" w:rsidTr="003D4334">
        <w:trPr>
          <w:trHeight w:val="465"/>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spacing w:before="100" w:beforeAutospacing="1" w:after="100" w:afterAutospacing="1" w:line="285" w:lineRule="atLeast"/>
              <w:jc w:val="center"/>
              <w:rPr>
                <w:sz w:val="24"/>
                <w:szCs w:val="24"/>
                <w:lang w:eastAsia="lv-LV"/>
              </w:rPr>
            </w:pPr>
            <w:r w:rsidRPr="00AD1A7F">
              <w:rPr>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0876E3">
            <w:pPr>
              <w:jc w:val="both"/>
              <w:rPr>
                <w:sz w:val="24"/>
                <w:szCs w:val="24"/>
                <w:lang w:eastAsia="lv-LV"/>
              </w:rPr>
            </w:pPr>
            <w:r w:rsidRPr="00AD1A7F">
              <w:rPr>
                <w:sz w:val="24"/>
                <w:szCs w:val="24"/>
                <w:lang w:eastAsia="lv-LV"/>
              </w:rPr>
              <w:t>Projek</w:t>
            </w:r>
            <w:bookmarkStart w:id="0" w:name="_GoBack"/>
            <w:bookmarkEnd w:id="0"/>
            <w:r w:rsidRPr="00AD1A7F">
              <w:rPr>
                <w:sz w:val="24"/>
                <w:szCs w:val="24"/>
                <w:lang w:eastAsia="lv-LV"/>
              </w:rPr>
              <w:t>ta izstrādē iesaistītās institūcijas</w:t>
            </w:r>
          </w:p>
        </w:tc>
        <w:tc>
          <w:tcPr>
            <w:tcW w:w="3200" w:type="pct"/>
            <w:tcBorders>
              <w:top w:val="outset" w:sz="6" w:space="0" w:color="414142"/>
              <w:left w:val="outset" w:sz="6" w:space="0" w:color="414142"/>
              <w:bottom w:val="outset" w:sz="6" w:space="0" w:color="414142"/>
            </w:tcBorders>
            <w:shd w:val="clear" w:color="auto" w:fill="FFFFFF"/>
          </w:tcPr>
          <w:p w:rsidR="00A77877" w:rsidRPr="00AD1A7F" w:rsidRDefault="00A77877" w:rsidP="00F23B96">
            <w:pPr>
              <w:jc w:val="both"/>
              <w:rPr>
                <w:sz w:val="24"/>
                <w:szCs w:val="24"/>
                <w:lang w:eastAsia="lv-LV"/>
              </w:rPr>
            </w:pPr>
            <w:r w:rsidRPr="00AD1A7F">
              <w:rPr>
                <w:sz w:val="24"/>
                <w:szCs w:val="24"/>
                <w:lang w:eastAsia="lv-LV"/>
              </w:rPr>
              <w:t>Satiksmes ministrija, valsts akciju sabiedrība „Latvijas Valsts ceļi”.</w:t>
            </w:r>
          </w:p>
        </w:tc>
      </w:tr>
      <w:tr w:rsidR="00AD1A7F" w:rsidRPr="00AD1A7F" w:rsidTr="003D4334">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spacing w:before="100" w:beforeAutospacing="1" w:after="100" w:afterAutospacing="1" w:line="285" w:lineRule="atLeast"/>
              <w:jc w:val="center"/>
              <w:rPr>
                <w:sz w:val="24"/>
                <w:szCs w:val="24"/>
                <w:lang w:eastAsia="lv-LV"/>
              </w:rPr>
            </w:pPr>
            <w:r w:rsidRPr="00AD1A7F">
              <w:rPr>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Cita informācija</w:t>
            </w:r>
          </w:p>
        </w:tc>
        <w:tc>
          <w:tcPr>
            <w:tcW w:w="3200" w:type="pct"/>
            <w:tcBorders>
              <w:top w:val="outset" w:sz="6" w:space="0" w:color="414142"/>
              <w:left w:val="outset" w:sz="6" w:space="0" w:color="414142"/>
              <w:bottom w:val="outset" w:sz="6" w:space="0" w:color="414142"/>
            </w:tcBorders>
            <w:shd w:val="clear" w:color="auto" w:fill="FFFFFF"/>
          </w:tcPr>
          <w:p w:rsidR="00A77877" w:rsidRPr="00AD1A7F" w:rsidRDefault="00A77877" w:rsidP="00B56C3E">
            <w:pPr>
              <w:spacing w:before="100" w:beforeAutospacing="1" w:after="100" w:afterAutospacing="1" w:line="285" w:lineRule="atLeast"/>
              <w:rPr>
                <w:sz w:val="24"/>
                <w:szCs w:val="24"/>
                <w:lang w:eastAsia="lv-LV"/>
              </w:rPr>
            </w:pPr>
            <w:r w:rsidRPr="00AD1A7F">
              <w:rPr>
                <w:sz w:val="24"/>
                <w:szCs w:val="24"/>
                <w:lang w:eastAsia="lv-LV"/>
              </w:rPr>
              <w:t>Nav.</w:t>
            </w:r>
          </w:p>
        </w:tc>
      </w:tr>
    </w:tbl>
    <w:p w:rsidR="00A77877" w:rsidRDefault="00A77877" w:rsidP="00B56C3E">
      <w:pPr>
        <w:rPr>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2831"/>
        <w:gridCol w:w="5844"/>
      </w:tblGrid>
      <w:tr w:rsidR="00AD1A7F" w:rsidRPr="00AD1A7F" w:rsidTr="003D4334">
        <w:trPr>
          <w:trHeight w:val="555"/>
        </w:trPr>
        <w:tc>
          <w:tcPr>
            <w:tcW w:w="0" w:type="auto"/>
            <w:gridSpan w:val="3"/>
            <w:tcBorders>
              <w:top w:val="outset" w:sz="6" w:space="0" w:color="414142"/>
              <w:bottom w:val="outset" w:sz="6" w:space="0" w:color="414142"/>
            </w:tcBorders>
            <w:shd w:val="clear" w:color="auto" w:fill="FFFFFF"/>
            <w:vAlign w:val="center"/>
          </w:tcPr>
          <w:p w:rsidR="00A77877" w:rsidRPr="00AD1A7F" w:rsidRDefault="00A77877" w:rsidP="00B56C3E">
            <w:pPr>
              <w:spacing w:before="100" w:beforeAutospacing="1" w:after="100" w:afterAutospacing="1" w:line="285" w:lineRule="atLeast"/>
              <w:jc w:val="center"/>
              <w:rPr>
                <w:b/>
                <w:bCs/>
                <w:sz w:val="24"/>
                <w:szCs w:val="24"/>
                <w:lang w:eastAsia="lv-LV"/>
              </w:rPr>
            </w:pPr>
            <w:r w:rsidRPr="00AD1A7F">
              <w:rPr>
                <w:b/>
                <w:bCs/>
                <w:sz w:val="24"/>
                <w:szCs w:val="24"/>
                <w:lang w:eastAsia="lv-LV"/>
              </w:rPr>
              <w:t>II. Tiesību akta projekta ietekme uz sabiedrību, tautsaimniecības attīstību un administratīvo slogu</w:t>
            </w:r>
          </w:p>
        </w:tc>
      </w:tr>
      <w:tr w:rsidR="00AD1A7F" w:rsidRPr="00AD1A7F" w:rsidTr="003D4334">
        <w:trPr>
          <w:trHeight w:val="465"/>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0876E3">
            <w:pPr>
              <w:jc w:val="both"/>
              <w:rPr>
                <w:sz w:val="24"/>
                <w:szCs w:val="24"/>
                <w:lang w:eastAsia="lv-LV"/>
              </w:rPr>
            </w:pPr>
            <w:r w:rsidRPr="00AD1A7F">
              <w:rPr>
                <w:sz w:val="24"/>
                <w:szCs w:val="24"/>
                <w:lang w:eastAsia="lv-LV"/>
              </w:rPr>
              <w:t xml:space="preserve">Sabiedrības </w:t>
            </w:r>
            <w:proofErr w:type="spellStart"/>
            <w:r w:rsidRPr="00AD1A7F">
              <w:rPr>
                <w:sz w:val="24"/>
                <w:szCs w:val="24"/>
                <w:lang w:eastAsia="lv-LV"/>
              </w:rPr>
              <w:t>mērķgrupas</w:t>
            </w:r>
            <w:proofErr w:type="spellEnd"/>
            <w:r w:rsidRPr="00AD1A7F">
              <w:rPr>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tcBorders>
            <w:shd w:val="clear" w:color="auto" w:fill="FFFFFF"/>
          </w:tcPr>
          <w:p w:rsidR="00A77877" w:rsidRPr="00AD1A7F" w:rsidRDefault="00A77877" w:rsidP="009D1149">
            <w:pPr>
              <w:jc w:val="both"/>
              <w:rPr>
                <w:sz w:val="24"/>
                <w:szCs w:val="24"/>
                <w:lang w:eastAsia="lv-LV"/>
              </w:rPr>
            </w:pPr>
            <w:r w:rsidRPr="00AD1A7F">
              <w:rPr>
                <w:sz w:val="24"/>
                <w:szCs w:val="24"/>
                <w:lang w:eastAsia="lv-LV"/>
              </w:rPr>
              <w:t>Pašvaldības.</w:t>
            </w:r>
          </w:p>
        </w:tc>
      </w:tr>
      <w:tr w:rsidR="00AD1A7F" w:rsidRPr="00AD1A7F" w:rsidTr="003D4334">
        <w:trPr>
          <w:trHeight w:val="510"/>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tcBorders>
            <w:shd w:val="clear" w:color="auto" w:fill="FFFFFF"/>
          </w:tcPr>
          <w:p w:rsidR="00A77877" w:rsidRPr="00AD1A7F" w:rsidRDefault="00A77877" w:rsidP="00BB69C4">
            <w:pPr>
              <w:jc w:val="both"/>
              <w:rPr>
                <w:sz w:val="24"/>
                <w:szCs w:val="24"/>
              </w:rPr>
            </w:pPr>
            <w:r w:rsidRPr="00AD1A7F">
              <w:rPr>
                <w:sz w:val="24"/>
                <w:szCs w:val="24"/>
              </w:rPr>
              <w:t>Pašvaldības, kuru pilsētu teritorijās ir mainīti valsts autoceļu maršrutu novietojumi, var pretendēt uz Ministru kabineta 2008. gada 11. marta noteikumos Nr. 173 „Valsts pamatbudžeta valsts autoceļu fonda programmai piešķirto līdzekļu izlietošanas kārtība” noteikto valsts pamatbudžeta valsts autoceļu fonda programmas tranzītielām paredzēto līdzfinansējumu.</w:t>
            </w:r>
          </w:p>
        </w:tc>
      </w:tr>
      <w:tr w:rsidR="00AD1A7F" w:rsidRPr="00AD1A7F" w:rsidTr="003D4334">
        <w:trPr>
          <w:trHeight w:val="510"/>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0876E3">
            <w:pPr>
              <w:jc w:val="both"/>
              <w:rPr>
                <w:sz w:val="24"/>
                <w:szCs w:val="24"/>
                <w:lang w:eastAsia="lv-LV"/>
              </w:rPr>
            </w:pPr>
            <w:r w:rsidRPr="00AD1A7F">
              <w:rPr>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Projekts šo jomu neskar.</w:t>
            </w:r>
          </w:p>
        </w:tc>
      </w:tr>
      <w:tr w:rsidR="00AD1A7F" w:rsidRPr="00AD1A7F" w:rsidTr="003D4334">
        <w:trPr>
          <w:trHeight w:val="345"/>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Cita informācija</w:t>
            </w:r>
          </w:p>
        </w:tc>
        <w:tc>
          <w:tcPr>
            <w:tcW w:w="3200" w:type="pct"/>
            <w:tcBorders>
              <w:top w:val="outset" w:sz="6" w:space="0" w:color="414142"/>
              <w:left w:val="outset" w:sz="6" w:space="0" w:color="414142"/>
              <w:bottom w:val="outset" w:sz="6" w:space="0" w:color="414142"/>
            </w:tcBorders>
            <w:shd w:val="clear" w:color="auto" w:fill="FFFFFF"/>
          </w:tcPr>
          <w:p w:rsidR="00A77877" w:rsidRPr="00AD1A7F" w:rsidRDefault="00A77877" w:rsidP="00B56C3E">
            <w:pPr>
              <w:spacing w:before="100" w:beforeAutospacing="1" w:after="100" w:afterAutospacing="1" w:line="285" w:lineRule="atLeast"/>
              <w:rPr>
                <w:sz w:val="24"/>
                <w:szCs w:val="24"/>
                <w:lang w:eastAsia="lv-LV"/>
              </w:rPr>
            </w:pPr>
            <w:r w:rsidRPr="00AD1A7F">
              <w:rPr>
                <w:sz w:val="24"/>
                <w:szCs w:val="24"/>
                <w:lang w:eastAsia="lv-LV"/>
              </w:rPr>
              <w:t>Nav.</w:t>
            </w:r>
          </w:p>
        </w:tc>
      </w:tr>
    </w:tbl>
    <w:p w:rsidR="00BF2031" w:rsidRDefault="00BF2031"/>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7"/>
        <w:gridCol w:w="2739"/>
        <w:gridCol w:w="5935"/>
      </w:tblGrid>
      <w:tr w:rsidR="00DB0EC9" w:rsidRPr="00587718" w:rsidTr="00CE5A82">
        <w:trPr>
          <w:trHeight w:val="420"/>
        </w:trPr>
        <w:tc>
          <w:tcPr>
            <w:tcW w:w="0" w:type="auto"/>
            <w:gridSpan w:val="3"/>
            <w:tcBorders>
              <w:top w:val="outset" w:sz="6" w:space="0" w:color="414142"/>
              <w:bottom w:val="outset" w:sz="6" w:space="0" w:color="414142"/>
            </w:tcBorders>
            <w:shd w:val="clear" w:color="auto" w:fill="FFFFFF"/>
            <w:vAlign w:val="center"/>
          </w:tcPr>
          <w:p w:rsidR="00DB0EC9" w:rsidRPr="00F80C03" w:rsidRDefault="00DB0EC9" w:rsidP="00CE5A82">
            <w:pPr>
              <w:spacing w:before="100" w:beforeAutospacing="1" w:after="100" w:afterAutospacing="1" w:line="285" w:lineRule="atLeast"/>
              <w:jc w:val="center"/>
              <w:rPr>
                <w:b/>
                <w:bCs/>
                <w:color w:val="000000"/>
                <w:sz w:val="24"/>
                <w:szCs w:val="24"/>
                <w:lang w:eastAsia="lv-LV"/>
              </w:rPr>
            </w:pPr>
            <w:r w:rsidRPr="00F80C03">
              <w:rPr>
                <w:b/>
                <w:bCs/>
                <w:color w:val="000000"/>
                <w:sz w:val="24"/>
                <w:szCs w:val="24"/>
                <w:lang w:eastAsia="lv-LV"/>
              </w:rPr>
              <w:t>VI Sabiedrības līdzdalība un komunikācijas aktivitātes</w:t>
            </w:r>
          </w:p>
        </w:tc>
      </w:tr>
      <w:tr w:rsidR="00DB0EC9" w:rsidRPr="00587718" w:rsidTr="00CE5A82">
        <w:trPr>
          <w:trHeight w:val="540"/>
        </w:trPr>
        <w:tc>
          <w:tcPr>
            <w:tcW w:w="250" w:type="pct"/>
            <w:tcBorders>
              <w:top w:val="outset" w:sz="6" w:space="0" w:color="414142"/>
              <w:bottom w:val="outset" w:sz="6" w:space="0" w:color="414142"/>
              <w:right w:val="outset" w:sz="6" w:space="0" w:color="414142"/>
            </w:tcBorders>
            <w:shd w:val="clear" w:color="auto" w:fill="FFFFFF"/>
          </w:tcPr>
          <w:p w:rsidR="00DB0EC9" w:rsidRPr="00F80C03" w:rsidRDefault="00DB0EC9" w:rsidP="00CE5A82">
            <w:pPr>
              <w:rPr>
                <w:color w:val="000000"/>
                <w:sz w:val="24"/>
                <w:szCs w:val="24"/>
                <w:lang w:eastAsia="lv-LV"/>
              </w:rPr>
            </w:pPr>
            <w:r w:rsidRPr="00F80C03">
              <w:rPr>
                <w:color w:val="000000"/>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DB0EC9" w:rsidRPr="00F80C03" w:rsidRDefault="00DB0EC9" w:rsidP="000876E3">
            <w:pPr>
              <w:jc w:val="both"/>
              <w:rPr>
                <w:color w:val="000000"/>
                <w:sz w:val="24"/>
                <w:szCs w:val="24"/>
                <w:lang w:eastAsia="lv-LV"/>
              </w:rPr>
            </w:pPr>
            <w:r w:rsidRPr="00F80C03">
              <w:rPr>
                <w:color w:val="000000"/>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tcBorders>
            <w:shd w:val="clear" w:color="auto" w:fill="FFFFFF"/>
          </w:tcPr>
          <w:p w:rsidR="00DB0EC9" w:rsidRPr="00E51EA8" w:rsidRDefault="00F956C5" w:rsidP="00F956C5">
            <w:pPr>
              <w:jc w:val="both"/>
              <w:rPr>
                <w:color w:val="000000"/>
                <w:sz w:val="24"/>
                <w:szCs w:val="24"/>
                <w:lang w:eastAsia="lv-LV"/>
              </w:rPr>
            </w:pPr>
            <w:r w:rsidRPr="00AD1A7F">
              <w:rPr>
                <w:sz w:val="24"/>
                <w:szCs w:val="24"/>
                <w:lang w:eastAsia="lv-LV"/>
              </w:rPr>
              <w:t>Projekts šo jomu neskar.</w:t>
            </w:r>
          </w:p>
        </w:tc>
      </w:tr>
      <w:tr w:rsidR="00DB0EC9" w:rsidRPr="00587718" w:rsidTr="00CE5A82">
        <w:trPr>
          <w:trHeight w:val="330"/>
        </w:trPr>
        <w:tc>
          <w:tcPr>
            <w:tcW w:w="250" w:type="pct"/>
            <w:tcBorders>
              <w:top w:val="outset" w:sz="6" w:space="0" w:color="414142"/>
              <w:bottom w:val="outset" w:sz="6" w:space="0" w:color="414142"/>
              <w:right w:val="outset" w:sz="6" w:space="0" w:color="414142"/>
            </w:tcBorders>
            <w:shd w:val="clear" w:color="auto" w:fill="FFFFFF"/>
          </w:tcPr>
          <w:p w:rsidR="00DB0EC9" w:rsidRPr="00F80C03" w:rsidRDefault="00DB0EC9" w:rsidP="00CE5A82">
            <w:pPr>
              <w:rPr>
                <w:color w:val="000000"/>
                <w:sz w:val="24"/>
                <w:szCs w:val="24"/>
                <w:lang w:eastAsia="lv-LV"/>
              </w:rPr>
            </w:pPr>
            <w:r w:rsidRPr="00F80C03">
              <w:rPr>
                <w:color w:val="000000"/>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DB0EC9" w:rsidRPr="00F80C03" w:rsidRDefault="00DB0EC9" w:rsidP="000876E3">
            <w:pPr>
              <w:jc w:val="both"/>
              <w:rPr>
                <w:color w:val="000000"/>
                <w:sz w:val="24"/>
                <w:szCs w:val="24"/>
                <w:lang w:eastAsia="lv-LV"/>
              </w:rPr>
            </w:pPr>
            <w:r w:rsidRPr="00F80C03">
              <w:rPr>
                <w:color w:val="000000"/>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tcBorders>
            <w:shd w:val="clear" w:color="auto" w:fill="FFFFFF"/>
          </w:tcPr>
          <w:p w:rsidR="00DB0EC9" w:rsidRPr="002D359F" w:rsidRDefault="00F956C5" w:rsidP="00F956C5">
            <w:pPr>
              <w:jc w:val="both"/>
              <w:rPr>
                <w:sz w:val="24"/>
                <w:szCs w:val="24"/>
              </w:rPr>
            </w:pPr>
            <w:r>
              <w:rPr>
                <w:sz w:val="24"/>
                <w:szCs w:val="24"/>
              </w:rPr>
              <w:t>2017. gada 13. jūnijā</w:t>
            </w:r>
            <w:r w:rsidRPr="00587718">
              <w:rPr>
                <w:sz w:val="24"/>
                <w:szCs w:val="24"/>
              </w:rPr>
              <w:t xml:space="preserve"> </w:t>
            </w:r>
            <w:r>
              <w:rPr>
                <w:sz w:val="24"/>
                <w:szCs w:val="24"/>
              </w:rPr>
              <w:t>p</w:t>
            </w:r>
            <w:r w:rsidRPr="00587718">
              <w:rPr>
                <w:sz w:val="24"/>
                <w:szCs w:val="24"/>
              </w:rPr>
              <w:t xml:space="preserve">rojekts publicēts </w:t>
            </w:r>
            <w:r>
              <w:rPr>
                <w:sz w:val="24"/>
                <w:szCs w:val="24"/>
              </w:rPr>
              <w:t xml:space="preserve">Satiksmes ministrijas mājas lapā </w:t>
            </w:r>
            <w:r w:rsidRPr="00587718">
              <w:rPr>
                <w:sz w:val="24"/>
                <w:szCs w:val="24"/>
              </w:rPr>
              <w:t>sadaļā „Izstrādē esošie attīstības plānošanas dokumenti un tiesību akti ”.</w:t>
            </w:r>
          </w:p>
        </w:tc>
      </w:tr>
      <w:tr w:rsidR="002D359F" w:rsidRPr="00587718" w:rsidTr="00CE5A82">
        <w:trPr>
          <w:trHeight w:val="465"/>
        </w:trPr>
        <w:tc>
          <w:tcPr>
            <w:tcW w:w="250" w:type="pct"/>
            <w:tcBorders>
              <w:top w:val="outset" w:sz="6" w:space="0" w:color="414142"/>
              <w:bottom w:val="outset" w:sz="6" w:space="0" w:color="414142"/>
              <w:right w:val="outset" w:sz="6" w:space="0" w:color="414142"/>
            </w:tcBorders>
            <w:shd w:val="clear" w:color="auto" w:fill="FFFFFF"/>
          </w:tcPr>
          <w:p w:rsidR="002D359F" w:rsidRPr="00F80C03" w:rsidRDefault="002D359F" w:rsidP="002D359F">
            <w:pPr>
              <w:rPr>
                <w:color w:val="000000"/>
                <w:sz w:val="24"/>
                <w:szCs w:val="24"/>
                <w:lang w:eastAsia="lv-LV"/>
              </w:rPr>
            </w:pPr>
            <w:r w:rsidRPr="00F80C03">
              <w:rPr>
                <w:color w:val="000000"/>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2D359F" w:rsidRPr="00F80C03" w:rsidRDefault="002D359F" w:rsidP="000876E3">
            <w:pPr>
              <w:jc w:val="both"/>
              <w:rPr>
                <w:color w:val="000000"/>
                <w:sz w:val="24"/>
                <w:szCs w:val="24"/>
                <w:lang w:eastAsia="lv-LV"/>
              </w:rPr>
            </w:pPr>
            <w:r w:rsidRPr="00F80C03">
              <w:rPr>
                <w:color w:val="000000"/>
                <w:sz w:val="24"/>
                <w:szCs w:val="24"/>
                <w:lang w:eastAsia="lv-LV"/>
              </w:rPr>
              <w:t>Sabiedrības līdzdalības rezultāti</w:t>
            </w:r>
          </w:p>
        </w:tc>
        <w:tc>
          <w:tcPr>
            <w:tcW w:w="3250" w:type="pct"/>
            <w:tcBorders>
              <w:top w:val="outset" w:sz="6" w:space="0" w:color="414142"/>
              <w:left w:val="outset" w:sz="6" w:space="0" w:color="414142"/>
              <w:bottom w:val="outset" w:sz="6" w:space="0" w:color="414142"/>
            </w:tcBorders>
            <w:shd w:val="clear" w:color="auto" w:fill="FFFFFF"/>
          </w:tcPr>
          <w:p w:rsidR="00F956C5" w:rsidRDefault="00F956C5" w:rsidP="00F956C5">
            <w:pPr>
              <w:jc w:val="both"/>
              <w:rPr>
                <w:sz w:val="24"/>
                <w:szCs w:val="24"/>
              </w:rPr>
            </w:pPr>
            <w:r w:rsidRPr="006E0BA2">
              <w:rPr>
                <w:sz w:val="24"/>
                <w:szCs w:val="24"/>
              </w:rPr>
              <w:t xml:space="preserve">Mihails </w:t>
            </w:r>
            <w:proofErr w:type="spellStart"/>
            <w:r w:rsidRPr="006E0BA2">
              <w:rPr>
                <w:sz w:val="24"/>
                <w:szCs w:val="24"/>
              </w:rPr>
              <w:t>Simvulidi</w:t>
            </w:r>
            <w:proofErr w:type="spellEnd"/>
            <w:r>
              <w:rPr>
                <w:sz w:val="24"/>
                <w:szCs w:val="24"/>
              </w:rPr>
              <w:t xml:space="preserve"> izsaka </w:t>
            </w:r>
            <w:r>
              <w:rPr>
                <w:sz w:val="24"/>
                <w:szCs w:val="24"/>
              </w:rPr>
              <w:t xml:space="preserve">šādu </w:t>
            </w:r>
            <w:r>
              <w:rPr>
                <w:sz w:val="24"/>
                <w:szCs w:val="24"/>
              </w:rPr>
              <w:t>priek</w:t>
            </w:r>
            <w:r>
              <w:rPr>
                <w:sz w:val="24"/>
                <w:szCs w:val="24"/>
              </w:rPr>
              <w:t>šlikumu:</w:t>
            </w:r>
          </w:p>
          <w:p w:rsidR="002D359F" w:rsidRPr="002D359F" w:rsidRDefault="002D359F" w:rsidP="00F956C5">
            <w:pPr>
              <w:jc w:val="both"/>
              <w:rPr>
                <w:sz w:val="24"/>
                <w:szCs w:val="24"/>
              </w:rPr>
            </w:pPr>
            <w:r w:rsidRPr="002D359F">
              <w:rPr>
                <w:sz w:val="24"/>
                <w:szCs w:val="24"/>
              </w:rPr>
              <w:t>Valsts autoceļu A2, A6, A7, A8, A10 un P1 pašreizējie maršruti ir ierīkoti ielās, kas saskaņā ar Rīgas domes 20.12.2005. </w:t>
            </w:r>
            <w:r w:rsidRPr="002D359F">
              <w:rPr>
                <w:sz w:val="24"/>
                <w:szCs w:val="24"/>
              </w:rPr>
              <w:t>saistošo noteikumu Nr. </w:t>
            </w:r>
            <w:r w:rsidRPr="002D359F">
              <w:rPr>
                <w:sz w:val="24"/>
                <w:szCs w:val="24"/>
              </w:rPr>
              <w:t>34 (</w:t>
            </w:r>
            <w:hyperlink r:id="rId8" w:history="1">
              <w:r w:rsidRPr="002D359F">
                <w:rPr>
                  <w:rStyle w:val="Hipersaite"/>
                  <w:sz w:val="24"/>
                  <w:szCs w:val="24"/>
                </w:rPr>
                <w:t>http://www.rdpad.lv/wp-content/uploads/2014/11/RTIAN_aktuala_redakcija.pdf</w:t>
              </w:r>
            </w:hyperlink>
            <w:r w:rsidRPr="002D359F">
              <w:rPr>
                <w:sz w:val="24"/>
                <w:szCs w:val="24"/>
              </w:rPr>
              <w:t>, 154. </w:t>
            </w:r>
            <w:proofErr w:type="spellStart"/>
            <w:r w:rsidRPr="002D359F">
              <w:rPr>
                <w:sz w:val="24"/>
                <w:szCs w:val="24"/>
              </w:rPr>
              <w:t>lp</w:t>
            </w:r>
            <w:proofErr w:type="spellEnd"/>
            <w:r w:rsidRPr="002D359F">
              <w:rPr>
                <w:sz w:val="24"/>
                <w:szCs w:val="24"/>
              </w:rPr>
              <w:t>.) 5.</w:t>
            </w:r>
            <w:r w:rsidRPr="002D359F">
              <w:rPr>
                <w:sz w:val="24"/>
                <w:szCs w:val="24"/>
              </w:rPr>
              <w:t>pielikumu ir D kategorijas ielas. Atbilstoši Ministru kab</w:t>
            </w:r>
            <w:r w:rsidRPr="002D359F">
              <w:rPr>
                <w:sz w:val="24"/>
                <w:szCs w:val="24"/>
              </w:rPr>
              <w:t>ineta 30.04.2013. noteikumu Nr. 240 2. </w:t>
            </w:r>
            <w:r w:rsidRPr="002D359F">
              <w:rPr>
                <w:sz w:val="24"/>
                <w:szCs w:val="24"/>
              </w:rPr>
              <w:t>pielikumam D kategorijas ielas ir piekļūšanas ielas, un daudzas no tām atrodas Rīgas vēsturiskā centra teritorijā, kas atbilstoši teritorijas plānojumam jāatslogo no autotransporta satiksmes, tātad šīs ielas nav paredzētas tādai satiksmes intensitātei kāda ir uz valsts autoceļiem. Arī kravas autotransporta kustība šajās ielās ir aizliegta (</w:t>
            </w:r>
            <w:hyperlink r:id="rId9" w:history="1">
              <w:r w:rsidRPr="002D359F">
                <w:rPr>
                  <w:rStyle w:val="Hipersaite"/>
                  <w:sz w:val="24"/>
                  <w:szCs w:val="24"/>
                </w:rPr>
                <w:t>http://rdsd.lv/kravas-transportam</w:t>
              </w:r>
            </w:hyperlink>
            <w:r w:rsidRPr="002D359F">
              <w:rPr>
                <w:sz w:val="24"/>
                <w:szCs w:val="24"/>
              </w:rPr>
              <w:t>). Turklāt šajās ielās ir daudz luksoforu un sastrēgumu, līdz ar to ieteicams šīs ielas apbraukt pa citām, tranzīta satiksmei paredzētām ielām.</w:t>
            </w:r>
          </w:p>
          <w:p w:rsidR="002D359F" w:rsidRPr="002D359F" w:rsidRDefault="002D359F" w:rsidP="00F956C5">
            <w:pPr>
              <w:jc w:val="both"/>
              <w:rPr>
                <w:sz w:val="24"/>
                <w:szCs w:val="24"/>
              </w:rPr>
            </w:pPr>
          </w:p>
          <w:p w:rsidR="002D359F" w:rsidRPr="002D359F" w:rsidRDefault="002D359F" w:rsidP="00F956C5">
            <w:pPr>
              <w:jc w:val="both"/>
              <w:rPr>
                <w:sz w:val="24"/>
                <w:szCs w:val="24"/>
              </w:rPr>
            </w:pPr>
            <w:r w:rsidRPr="002D359F">
              <w:rPr>
                <w:sz w:val="24"/>
                <w:szCs w:val="24"/>
              </w:rPr>
              <w:t>Ņemot vērā šos apstākļus, lūdzu grozīt valsts autoceļu A2, A6, A7, A8, A10 un P1 maršrutus Rīgas teritorijā, novirzot tos pa B kategorijas ielām, bet vietās, kur tādas vēl nav izbūvētas - pa C kategorijas ielām, kur atļauta kravas autotransporta kustība, piemēram:</w:t>
            </w:r>
          </w:p>
          <w:p w:rsidR="002D359F" w:rsidRPr="002D359F" w:rsidRDefault="002D359F" w:rsidP="00F956C5">
            <w:pPr>
              <w:jc w:val="both"/>
              <w:rPr>
                <w:sz w:val="24"/>
                <w:szCs w:val="24"/>
              </w:rPr>
            </w:pPr>
            <w:r w:rsidRPr="002D359F">
              <w:rPr>
                <w:sz w:val="24"/>
                <w:szCs w:val="24"/>
              </w:rPr>
              <w:t xml:space="preserve">1. </w:t>
            </w:r>
            <w:r w:rsidRPr="002D359F">
              <w:rPr>
                <w:rFonts w:eastAsia="Times New Roman"/>
                <w:sz w:val="24"/>
                <w:szCs w:val="24"/>
              </w:rPr>
              <w:t>A2 - Slāvu iela, Slāvu satiksmes pārvads, Lubānas iela, Juglas iela, Brīvības gatve;</w:t>
            </w:r>
          </w:p>
          <w:p w:rsidR="002D359F" w:rsidRPr="002D359F" w:rsidRDefault="002D359F" w:rsidP="00F956C5">
            <w:pPr>
              <w:jc w:val="both"/>
              <w:rPr>
                <w:sz w:val="24"/>
                <w:szCs w:val="24"/>
              </w:rPr>
            </w:pPr>
            <w:r w:rsidRPr="002D359F">
              <w:rPr>
                <w:sz w:val="24"/>
                <w:szCs w:val="24"/>
              </w:rPr>
              <w:t xml:space="preserve">2. </w:t>
            </w:r>
            <w:r w:rsidRPr="002D359F">
              <w:rPr>
                <w:rFonts w:eastAsia="Times New Roman"/>
                <w:sz w:val="24"/>
                <w:szCs w:val="24"/>
              </w:rPr>
              <w:t>A6 - Slāvu iela, Slāvu satiksmes pārvads, Krustpils iela, Maskavas iela;</w:t>
            </w:r>
          </w:p>
          <w:p w:rsidR="002D359F" w:rsidRPr="002D359F" w:rsidRDefault="002D359F" w:rsidP="00F956C5">
            <w:pPr>
              <w:jc w:val="both"/>
              <w:rPr>
                <w:sz w:val="24"/>
                <w:szCs w:val="24"/>
              </w:rPr>
            </w:pPr>
            <w:r w:rsidRPr="002D359F">
              <w:rPr>
                <w:sz w:val="24"/>
                <w:szCs w:val="24"/>
              </w:rPr>
              <w:t xml:space="preserve">3. </w:t>
            </w:r>
            <w:r w:rsidRPr="002D359F">
              <w:rPr>
                <w:rFonts w:eastAsia="Times New Roman"/>
                <w:sz w:val="24"/>
                <w:szCs w:val="24"/>
              </w:rPr>
              <w:t>A7 - Dienvidu tilts, Jāņa Čakstes gatve, Ziepniekkalna iela (no Jāņa Čakstes gatves līdz Rīgas robežai);</w:t>
            </w:r>
          </w:p>
          <w:p w:rsidR="002D359F" w:rsidRPr="002D359F" w:rsidRDefault="002D359F" w:rsidP="00F956C5">
            <w:pPr>
              <w:jc w:val="both"/>
              <w:rPr>
                <w:sz w:val="24"/>
                <w:szCs w:val="24"/>
              </w:rPr>
            </w:pPr>
            <w:r w:rsidRPr="002D359F">
              <w:rPr>
                <w:sz w:val="24"/>
                <w:szCs w:val="24"/>
              </w:rPr>
              <w:t xml:space="preserve">4. </w:t>
            </w:r>
            <w:r w:rsidRPr="002D359F">
              <w:rPr>
                <w:rFonts w:eastAsia="Times New Roman"/>
                <w:sz w:val="24"/>
                <w:szCs w:val="24"/>
              </w:rPr>
              <w:t>A8 - Vienības gatve (no Kārļa Ulmaņa gatves līdz Rīgas robežai);</w:t>
            </w:r>
          </w:p>
          <w:p w:rsidR="002D359F" w:rsidRPr="002D359F" w:rsidRDefault="002D359F" w:rsidP="00F956C5">
            <w:pPr>
              <w:jc w:val="both"/>
              <w:rPr>
                <w:sz w:val="24"/>
                <w:szCs w:val="24"/>
              </w:rPr>
            </w:pPr>
            <w:r w:rsidRPr="002D359F">
              <w:rPr>
                <w:sz w:val="24"/>
                <w:szCs w:val="24"/>
              </w:rPr>
              <w:t xml:space="preserve">5. </w:t>
            </w:r>
            <w:r w:rsidRPr="002D359F">
              <w:rPr>
                <w:rFonts w:eastAsia="Times New Roman"/>
                <w:sz w:val="24"/>
                <w:szCs w:val="24"/>
              </w:rPr>
              <w:t>A10 - Kārļa Ulmaņa gatve (no Vienības gatves līdz Rīgas robežai);</w:t>
            </w:r>
          </w:p>
          <w:p w:rsidR="002D359F" w:rsidRPr="002D359F" w:rsidRDefault="002D359F" w:rsidP="00F956C5">
            <w:pPr>
              <w:jc w:val="both"/>
              <w:rPr>
                <w:sz w:val="24"/>
                <w:szCs w:val="24"/>
              </w:rPr>
            </w:pPr>
            <w:r w:rsidRPr="002D359F">
              <w:rPr>
                <w:sz w:val="24"/>
                <w:szCs w:val="24"/>
              </w:rPr>
              <w:t xml:space="preserve">6. </w:t>
            </w:r>
            <w:r w:rsidRPr="002D359F">
              <w:rPr>
                <w:rFonts w:eastAsia="Times New Roman"/>
                <w:sz w:val="24"/>
                <w:szCs w:val="24"/>
              </w:rPr>
              <w:t>P1 - Slāvu iela, Slāvu satiksmes pārvads, Piedrujas iela, Vestienas iela, Braslas iela, Gustava Zemgala gatve, Viestura prospekts, Mīlgrāvja iela, Jaunciema gatve.</w:t>
            </w:r>
          </w:p>
          <w:p w:rsidR="002D359F" w:rsidRPr="002D359F" w:rsidRDefault="002D359F" w:rsidP="00F956C5">
            <w:pPr>
              <w:jc w:val="both"/>
              <w:rPr>
                <w:rFonts w:eastAsiaTheme="minorHAnsi"/>
                <w:sz w:val="24"/>
                <w:szCs w:val="24"/>
              </w:rPr>
            </w:pPr>
          </w:p>
          <w:p w:rsidR="002D359F" w:rsidRPr="002D359F" w:rsidRDefault="002D359F" w:rsidP="00F956C5">
            <w:pPr>
              <w:jc w:val="both"/>
              <w:rPr>
                <w:sz w:val="24"/>
                <w:szCs w:val="24"/>
                <w:lang w:eastAsia="lv-LV"/>
              </w:rPr>
            </w:pPr>
            <w:r>
              <w:rPr>
                <w:sz w:val="24"/>
                <w:szCs w:val="24"/>
              </w:rPr>
              <w:t>Satiksmes ministrijas ieskatā</w:t>
            </w:r>
            <w:r w:rsidR="00F956C5">
              <w:rPr>
                <w:sz w:val="24"/>
                <w:szCs w:val="24"/>
              </w:rPr>
              <w:t xml:space="preserve"> M. </w:t>
            </w:r>
            <w:proofErr w:type="spellStart"/>
            <w:r w:rsidR="00F956C5">
              <w:rPr>
                <w:sz w:val="24"/>
                <w:szCs w:val="24"/>
              </w:rPr>
              <w:t>Simvulidi</w:t>
            </w:r>
            <w:proofErr w:type="spellEnd"/>
            <w:r w:rsidR="00F956C5">
              <w:rPr>
                <w:sz w:val="24"/>
                <w:szCs w:val="24"/>
              </w:rPr>
              <w:t xml:space="preserve"> priekšlikums nav atbalstāms, jo </w:t>
            </w:r>
            <w:r w:rsidRPr="002D359F">
              <w:rPr>
                <w:sz w:val="24"/>
                <w:szCs w:val="24"/>
              </w:rPr>
              <w:t>Ministru kabineta 2009.</w:t>
            </w:r>
            <w:r>
              <w:rPr>
                <w:sz w:val="24"/>
                <w:szCs w:val="24"/>
              </w:rPr>
              <w:t> </w:t>
            </w:r>
            <w:r w:rsidRPr="002D359F">
              <w:rPr>
                <w:sz w:val="24"/>
                <w:szCs w:val="24"/>
              </w:rPr>
              <w:t>gada 29.</w:t>
            </w:r>
            <w:r>
              <w:rPr>
                <w:sz w:val="24"/>
                <w:szCs w:val="24"/>
              </w:rPr>
              <w:t> </w:t>
            </w:r>
            <w:r w:rsidRPr="002D359F">
              <w:rPr>
                <w:sz w:val="24"/>
                <w:szCs w:val="24"/>
              </w:rPr>
              <w:t>septembra noteikumi Nr.</w:t>
            </w:r>
            <w:r>
              <w:rPr>
                <w:sz w:val="24"/>
                <w:szCs w:val="24"/>
              </w:rPr>
              <w:t> </w:t>
            </w:r>
            <w:r w:rsidRPr="002D359F">
              <w:rPr>
                <w:sz w:val="24"/>
                <w:szCs w:val="24"/>
              </w:rPr>
              <w:t xml:space="preserve">1104 „Noteikumi par valsts autoceļu un valsts autoceļu maršrutā ietverto pašvaldībām piederošo autoceļu posmu sarakstiem” nosaka </w:t>
            </w:r>
            <w:r>
              <w:rPr>
                <w:sz w:val="24"/>
                <w:szCs w:val="24"/>
              </w:rPr>
              <w:t xml:space="preserve">tikai </w:t>
            </w:r>
            <w:r w:rsidRPr="002D359F">
              <w:rPr>
                <w:sz w:val="24"/>
                <w:szCs w:val="24"/>
              </w:rPr>
              <w:t>valsts autoceļu un valsts autoceļu maršrutā ietverto pašvaldībām pie</w:t>
            </w:r>
            <w:r>
              <w:rPr>
                <w:sz w:val="24"/>
                <w:szCs w:val="24"/>
              </w:rPr>
              <w:t>derošo autoceļu posmu sarakstus, bet ne</w:t>
            </w:r>
            <w:r w:rsidRPr="002D359F">
              <w:rPr>
                <w:sz w:val="24"/>
                <w:szCs w:val="24"/>
              </w:rPr>
              <w:t>nosaka valsts autoceļa maršruta veidošanas princi</w:t>
            </w:r>
            <w:r>
              <w:rPr>
                <w:sz w:val="24"/>
                <w:szCs w:val="24"/>
              </w:rPr>
              <w:t>pus, tāpēc šajos</w:t>
            </w:r>
            <w:r w:rsidRPr="002D359F">
              <w:rPr>
                <w:sz w:val="24"/>
                <w:szCs w:val="24"/>
              </w:rPr>
              <w:t xml:space="preserve"> noteikum</w:t>
            </w:r>
            <w:r>
              <w:rPr>
                <w:sz w:val="24"/>
                <w:szCs w:val="24"/>
              </w:rPr>
              <w:t>os</w:t>
            </w:r>
            <w:r w:rsidRPr="002D359F">
              <w:rPr>
                <w:sz w:val="24"/>
                <w:szCs w:val="24"/>
              </w:rPr>
              <w:t xml:space="preserve"> nav pamata ieviest </w:t>
            </w:r>
            <w:r>
              <w:rPr>
                <w:sz w:val="24"/>
                <w:szCs w:val="24"/>
              </w:rPr>
              <w:t>M. </w:t>
            </w:r>
            <w:proofErr w:type="spellStart"/>
            <w:r>
              <w:rPr>
                <w:sz w:val="24"/>
                <w:szCs w:val="24"/>
              </w:rPr>
              <w:t>Simvulidi</w:t>
            </w:r>
            <w:proofErr w:type="spellEnd"/>
            <w:r>
              <w:rPr>
                <w:sz w:val="24"/>
                <w:szCs w:val="24"/>
              </w:rPr>
              <w:t xml:space="preserve"> priekšlikumu</w:t>
            </w:r>
            <w:r w:rsidRPr="002D359F">
              <w:rPr>
                <w:sz w:val="24"/>
                <w:szCs w:val="24"/>
              </w:rPr>
              <w:t xml:space="preserve"> </w:t>
            </w:r>
            <w:r w:rsidR="00F956C5">
              <w:rPr>
                <w:sz w:val="24"/>
                <w:szCs w:val="24"/>
              </w:rPr>
              <w:t xml:space="preserve">par </w:t>
            </w:r>
            <w:r w:rsidRPr="002D359F">
              <w:rPr>
                <w:sz w:val="24"/>
                <w:szCs w:val="24"/>
              </w:rPr>
              <w:t>val</w:t>
            </w:r>
            <w:r w:rsidR="00F956C5">
              <w:rPr>
                <w:sz w:val="24"/>
                <w:szCs w:val="24"/>
              </w:rPr>
              <w:t>sts autoceļu maršrutu korekcijām</w:t>
            </w:r>
            <w:r w:rsidRPr="002D359F">
              <w:rPr>
                <w:sz w:val="24"/>
                <w:szCs w:val="24"/>
              </w:rPr>
              <w:t xml:space="preserve">. </w:t>
            </w:r>
          </w:p>
          <w:p w:rsidR="002D359F" w:rsidRDefault="002D359F" w:rsidP="00F956C5">
            <w:pPr>
              <w:jc w:val="both"/>
              <w:rPr>
                <w:sz w:val="24"/>
                <w:szCs w:val="24"/>
              </w:rPr>
            </w:pPr>
            <w:r w:rsidRPr="002D359F">
              <w:rPr>
                <w:sz w:val="24"/>
                <w:szCs w:val="24"/>
              </w:rPr>
              <w:t xml:space="preserve">Lai mainītu </w:t>
            </w:r>
            <w:r w:rsidR="00F956C5">
              <w:rPr>
                <w:sz w:val="24"/>
                <w:szCs w:val="24"/>
              </w:rPr>
              <w:t xml:space="preserve">priekšlikumā minēto </w:t>
            </w:r>
            <w:r w:rsidRPr="002D359F">
              <w:rPr>
                <w:sz w:val="24"/>
                <w:szCs w:val="24"/>
              </w:rPr>
              <w:t xml:space="preserve">autoceļa maršrutu, tas ir jāsaskaņo ar </w:t>
            </w:r>
            <w:r w:rsidR="00F956C5">
              <w:rPr>
                <w:sz w:val="24"/>
                <w:szCs w:val="24"/>
              </w:rPr>
              <w:t>attiecīgo</w:t>
            </w:r>
            <w:r w:rsidRPr="002D359F">
              <w:rPr>
                <w:sz w:val="24"/>
                <w:szCs w:val="24"/>
              </w:rPr>
              <w:t xml:space="preserve"> pašvaldību, šajā gadījumā</w:t>
            </w:r>
            <w:r w:rsidR="00F956C5">
              <w:rPr>
                <w:sz w:val="24"/>
                <w:szCs w:val="24"/>
              </w:rPr>
              <w:t xml:space="preserve"> –</w:t>
            </w:r>
            <w:r w:rsidRPr="002D359F">
              <w:rPr>
                <w:sz w:val="24"/>
                <w:szCs w:val="24"/>
              </w:rPr>
              <w:t xml:space="preserve"> ar Rīgas</w:t>
            </w:r>
            <w:r w:rsidR="00F956C5">
              <w:rPr>
                <w:sz w:val="24"/>
                <w:szCs w:val="24"/>
              </w:rPr>
              <w:t xml:space="preserve"> domes</w:t>
            </w:r>
            <w:r w:rsidRPr="002D359F">
              <w:rPr>
                <w:sz w:val="24"/>
                <w:szCs w:val="24"/>
              </w:rPr>
              <w:t xml:space="preserve"> </w:t>
            </w:r>
            <w:r w:rsidR="00F956C5">
              <w:rPr>
                <w:sz w:val="24"/>
                <w:szCs w:val="24"/>
              </w:rPr>
              <w:t>Satiksmes departamentu,</w:t>
            </w:r>
            <w:r w:rsidRPr="002D359F">
              <w:rPr>
                <w:sz w:val="24"/>
                <w:szCs w:val="24"/>
              </w:rPr>
              <w:t xml:space="preserve"> </w:t>
            </w:r>
            <w:r w:rsidR="00F956C5">
              <w:rPr>
                <w:sz w:val="24"/>
                <w:szCs w:val="24"/>
              </w:rPr>
              <w:t>u</w:t>
            </w:r>
            <w:r w:rsidRPr="002D359F">
              <w:rPr>
                <w:sz w:val="24"/>
                <w:szCs w:val="24"/>
              </w:rPr>
              <w:t xml:space="preserve">n jāparedz teritorijas plānojumā. </w:t>
            </w:r>
            <w:r w:rsidR="00F956C5">
              <w:rPr>
                <w:sz w:val="24"/>
                <w:szCs w:val="24"/>
              </w:rPr>
              <w:t xml:space="preserve">Turklāt Satiksmes ministrija nav tiesīga vienpersoniski mainīt priekšlikumā minēto autoceļu </w:t>
            </w:r>
            <w:r w:rsidRPr="002D359F">
              <w:rPr>
                <w:sz w:val="24"/>
                <w:szCs w:val="24"/>
              </w:rPr>
              <w:t xml:space="preserve">maršruta novietojumu </w:t>
            </w:r>
            <w:r w:rsidR="00F956C5">
              <w:rPr>
                <w:sz w:val="24"/>
                <w:szCs w:val="24"/>
              </w:rPr>
              <w:t xml:space="preserve">Rīgas </w:t>
            </w:r>
            <w:r w:rsidRPr="002D359F">
              <w:rPr>
                <w:sz w:val="24"/>
                <w:szCs w:val="24"/>
              </w:rPr>
              <w:t>pilsētā, j</w:t>
            </w:r>
            <w:r w:rsidR="00F956C5">
              <w:rPr>
                <w:sz w:val="24"/>
                <w:szCs w:val="24"/>
              </w:rPr>
              <w:t>o</w:t>
            </w:r>
            <w:r w:rsidRPr="002D359F">
              <w:rPr>
                <w:sz w:val="24"/>
                <w:szCs w:val="24"/>
              </w:rPr>
              <w:t xml:space="preserve"> visi </w:t>
            </w:r>
            <w:r w:rsidR="00F956C5">
              <w:rPr>
                <w:sz w:val="24"/>
                <w:szCs w:val="24"/>
              </w:rPr>
              <w:t>nosauktie ceļu posmi ir Rīgas pašvaldības īpašums.</w:t>
            </w:r>
          </w:p>
          <w:p w:rsidR="00F956C5" w:rsidRPr="002D359F" w:rsidRDefault="00F956C5" w:rsidP="00F956C5">
            <w:pPr>
              <w:jc w:val="both"/>
              <w:rPr>
                <w:color w:val="000000"/>
                <w:sz w:val="24"/>
                <w:szCs w:val="24"/>
                <w:lang w:eastAsia="lv-LV"/>
              </w:rPr>
            </w:pPr>
          </w:p>
        </w:tc>
      </w:tr>
      <w:tr w:rsidR="002D359F" w:rsidRPr="00587718" w:rsidTr="00CE5A82">
        <w:trPr>
          <w:trHeight w:val="465"/>
        </w:trPr>
        <w:tc>
          <w:tcPr>
            <w:tcW w:w="250" w:type="pct"/>
            <w:tcBorders>
              <w:top w:val="outset" w:sz="6" w:space="0" w:color="414142"/>
              <w:bottom w:val="outset" w:sz="6" w:space="0" w:color="414142"/>
              <w:right w:val="outset" w:sz="6" w:space="0" w:color="414142"/>
            </w:tcBorders>
            <w:shd w:val="clear" w:color="auto" w:fill="FFFFFF"/>
          </w:tcPr>
          <w:p w:rsidR="002D359F" w:rsidRPr="00F80C03" w:rsidRDefault="002D359F" w:rsidP="002D359F">
            <w:pPr>
              <w:rPr>
                <w:color w:val="000000"/>
                <w:sz w:val="24"/>
                <w:szCs w:val="24"/>
                <w:lang w:eastAsia="lv-LV"/>
              </w:rPr>
            </w:pPr>
            <w:r w:rsidRPr="00F80C03">
              <w:rPr>
                <w:color w:val="000000"/>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2D359F" w:rsidRPr="00F80C03" w:rsidRDefault="002D359F" w:rsidP="002D359F">
            <w:pPr>
              <w:rPr>
                <w:color w:val="000000"/>
                <w:sz w:val="24"/>
                <w:szCs w:val="24"/>
                <w:lang w:eastAsia="lv-LV"/>
              </w:rPr>
            </w:pPr>
            <w:r w:rsidRPr="00F80C03">
              <w:rPr>
                <w:color w:val="000000"/>
                <w:sz w:val="24"/>
                <w:szCs w:val="24"/>
                <w:lang w:eastAsia="lv-LV"/>
              </w:rPr>
              <w:t>Cita informācija</w:t>
            </w:r>
          </w:p>
        </w:tc>
        <w:tc>
          <w:tcPr>
            <w:tcW w:w="3250" w:type="pct"/>
            <w:tcBorders>
              <w:top w:val="outset" w:sz="6" w:space="0" w:color="414142"/>
              <w:left w:val="outset" w:sz="6" w:space="0" w:color="414142"/>
              <w:bottom w:val="outset" w:sz="6" w:space="0" w:color="414142"/>
            </w:tcBorders>
            <w:shd w:val="clear" w:color="auto" w:fill="FFFFFF"/>
          </w:tcPr>
          <w:p w:rsidR="002D359F" w:rsidRPr="00F80C03" w:rsidRDefault="002D359F" w:rsidP="002D359F">
            <w:pPr>
              <w:spacing w:before="100" w:beforeAutospacing="1" w:after="100" w:afterAutospacing="1" w:line="285" w:lineRule="atLeast"/>
              <w:rPr>
                <w:color w:val="000000"/>
                <w:sz w:val="24"/>
                <w:szCs w:val="24"/>
                <w:lang w:eastAsia="lv-LV"/>
              </w:rPr>
            </w:pPr>
            <w:r>
              <w:rPr>
                <w:color w:val="000000"/>
                <w:sz w:val="24"/>
                <w:szCs w:val="24"/>
                <w:lang w:eastAsia="lv-LV"/>
              </w:rPr>
              <w:t>Nav.</w:t>
            </w:r>
          </w:p>
        </w:tc>
      </w:tr>
    </w:tbl>
    <w:p w:rsidR="00AE1F91" w:rsidRDefault="00AE1F91"/>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3470"/>
        <w:gridCol w:w="5205"/>
      </w:tblGrid>
      <w:tr w:rsidR="00AD1A7F" w:rsidRPr="00AD1A7F" w:rsidTr="003D4334">
        <w:trPr>
          <w:trHeight w:val="375"/>
        </w:trPr>
        <w:tc>
          <w:tcPr>
            <w:tcW w:w="0" w:type="auto"/>
            <w:gridSpan w:val="3"/>
            <w:tcBorders>
              <w:top w:val="outset" w:sz="6" w:space="0" w:color="414142"/>
              <w:bottom w:val="outset" w:sz="6" w:space="0" w:color="414142"/>
            </w:tcBorders>
            <w:shd w:val="clear" w:color="auto" w:fill="FFFFFF"/>
            <w:vAlign w:val="center"/>
          </w:tcPr>
          <w:p w:rsidR="00A77877" w:rsidRPr="00AD1A7F" w:rsidRDefault="00C93FE1" w:rsidP="00B56C3E">
            <w:pPr>
              <w:spacing w:before="100" w:beforeAutospacing="1" w:after="100" w:afterAutospacing="1" w:line="285" w:lineRule="atLeast"/>
              <w:jc w:val="center"/>
              <w:rPr>
                <w:b/>
                <w:bCs/>
                <w:sz w:val="24"/>
                <w:szCs w:val="24"/>
                <w:lang w:eastAsia="lv-LV"/>
              </w:rPr>
            </w:pPr>
            <w:r>
              <w:rPr>
                <w:b/>
                <w:bCs/>
                <w:sz w:val="24"/>
                <w:szCs w:val="24"/>
                <w:lang w:eastAsia="lv-LV"/>
              </w:rPr>
              <w:t>VII</w:t>
            </w:r>
            <w:r w:rsidR="00A77877" w:rsidRPr="00AD1A7F">
              <w:rPr>
                <w:b/>
                <w:bCs/>
                <w:sz w:val="24"/>
                <w:szCs w:val="24"/>
                <w:lang w:eastAsia="lv-LV"/>
              </w:rPr>
              <w:t xml:space="preserve"> Tiesību akta projekta izpildes nodrošināšana un tās ietekme uz institūcijām</w:t>
            </w:r>
          </w:p>
        </w:tc>
      </w:tr>
      <w:tr w:rsidR="00AD1A7F" w:rsidRPr="00AD1A7F" w:rsidTr="003D4334">
        <w:trPr>
          <w:trHeight w:val="420"/>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0876E3">
            <w:pPr>
              <w:jc w:val="both"/>
              <w:rPr>
                <w:sz w:val="24"/>
                <w:szCs w:val="24"/>
                <w:lang w:eastAsia="lv-LV"/>
              </w:rPr>
            </w:pPr>
            <w:r w:rsidRPr="00AD1A7F">
              <w:rPr>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tcBorders>
            <w:shd w:val="clear" w:color="auto" w:fill="FFFFFF"/>
          </w:tcPr>
          <w:p w:rsidR="00A77877" w:rsidRPr="00AD1A7F" w:rsidRDefault="00A77877" w:rsidP="00071B34">
            <w:pPr>
              <w:jc w:val="both"/>
              <w:rPr>
                <w:sz w:val="24"/>
                <w:szCs w:val="24"/>
                <w:lang w:eastAsia="lv-LV"/>
              </w:rPr>
            </w:pPr>
            <w:r w:rsidRPr="00AD1A7F">
              <w:rPr>
                <w:sz w:val="24"/>
                <w:szCs w:val="24"/>
                <w:lang w:eastAsia="lv-LV"/>
              </w:rPr>
              <w:t>Satiksmes ministrija, valsts akciju sabiedrība „Latvijas Valsts ceļi”.</w:t>
            </w:r>
          </w:p>
        </w:tc>
      </w:tr>
      <w:tr w:rsidR="00AD1A7F" w:rsidRPr="00AD1A7F" w:rsidTr="003D4334">
        <w:trPr>
          <w:trHeight w:val="450"/>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0876E3">
            <w:pPr>
              <w:jc w:val="both"/>
              <w:rPr>
                <w:sz w:val="24"/>
                <w:szCs w:val="24"/>
                <w:lang w:eastAsia="lv-LV"/>
              </w:rPr>
            </w:pPr>
            <w:r w:rsidRPr="00AD1A7F">
              <w:rPr>
                <w:sz w:val="24"/>
                <w:szCs w:val="24"/>
                <w:lang w:eastAsia="lv-LV"/>
              </w:rPr>
              <w:t>Projekta izpildes ietekme uz pārvaldes funkcijām un institucionālo struktūru.</w:t>
            </w:r>
          </w:p>
          <w:p w:rsidR="00A77877" w:rsidRPr="00AD1A7F" w:rsidRDefault="00A77877" w:rsidP="000876E3">
            <w:pPr>
              <w:spacing w:before="100" w:beforeAutospacing="1" w:after="100" w:afterAutospacing="1" w:line="285" w:lineRule="atLeast"/>
              <w:jc w:val="both"/>
              <w:rPr>
                <w:sz w:val="24"/>
                <w:szCs w:val="24"/>
                <w:lang w:eastAsia="lv-LV"/>
              </w:rPr>
            </w:pPr>
            <w:r w:rsidRPr="00AD1A7F">
              <w:rPr>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shd w:val="clear" w:color="auto" w:fill="FFFFFF"/>
          </w:tcPr>
          <w:p w:rsidR="00A77877" w:rsidRPr="00AD1A7F" w:rsidRDefault="00A77877" w:rsidP="00B56C3E">
            <w:pPr>
              <w:spacing w:before="100" w:beforeAutospacing="1" w:after="100" w:afterAutospacing="1" w:line="285" w:lineRule="atLeast"/>
              <w:rPr>
                <w:sz w:val="24"/>
                <w:szCs w:val="24"/>
                <w:lang w:eastAsia="lv-LV"/>
              </w:rPr>
            </w:pPr>
            <w:r w:rsidRPr="00AD1A7F">
              <w:rPr>
                <w:sz w:val="24"/>
                <w:szCs w:val="24"/>
                <w:lang w:eastAsia="lv-LV"/>
              </w:rPr>
              <w:t>Projekts šo jomu neskar.</w:t>
            </w:r>
          </w:p>
        </w:tc>
      </w:tr>
      <w:tr w:rsidR="00AD1A7F" w:rsidRPr="00AD1A7F" w:rsidTr="003D4334">
        <w:trPr>
          <w:trHeight w:val="390"/>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0876E3">
            <w:pPr>
              <w:jc w:val="both"/>
              <w:rPr>
                <w:sz w:val="24"/>
                <w:szCs w:val="24"/>
                <w:lang w:eastAsia="lv-LV"/>
              </w:rPr>
            </w:pPr>
            <w:r w:rsidRPr="00AD1A7F">
              <w:rPr>
                <w:sz w:val="24"/>
                <w:szCs w:val="24"/>
                <w:lang w:eastAsia="lv-LV"/>
              </w:rPr>
              <w:t>Cita informācija</w:t>
            </w:r>
          </w:p>
        </w:tc>
        <w:tc>
          <w:tcPr>
            <w:tcW w:w="2850" w:type="pct"/>
            <w:tcBorders>
              <w:top w:val="outset" w:sz="6" w:space="0" w:color="414142"/>
              <w:left w:val="outset" w:sz="6" w:space="0" w:color="414142"/>
              <w:bottom w:val="outset" w:sz="6" w:space="0" w:color="414142"/>
            </w:tcBorders>
            <w:shd w:val="clear" w:color="auto" w:fill="FFFFFF"/>
          </w:tcPr>
          <w:p w:rsidR="00A77877" w:rsidRPr="00AD1A7F" w:rsidRDefault="00A77877" w:rsidP="00B56C3E">
            <w:pPr>
              <w:spacing w:before="100" w:beforeAutospacing="1" w:after="100" w:afterAutospacing="1" w:line="285" w:lineRule="atLeast"/>
              <w:rPr>
                <w:sz w:val="24"/>
                <w:szCs w:val="24"/>
                <w:lang w:eastAsia="lv-LV"/>
              </w:rPr>
            </w:pPr>
            <w:r w:rsidRPr="00AD1A7F">
              <w:rPr>
                <w:sz w:val="24"/>
                <w:szCs w:val="24"/>
                <w:lang w:eastAsia="lv-LV"/>
              </w:rPr>
              <w:t>Nav.</w:t>
            </w:r>
          </w:p>
        </w:tc>
      </w:tr>
    </w:tbl>
    <w:p w:rsidR="00A77877" w:rsidRPr="00AD1A7F" w:rsidRDefault="00A77877" w:rsidP="00B56C3E">
      <w:pPr>
        <w:rPr>
          <w:iCs/>
          <w:szCs w:val="28"/>
        </w:rPr>
      </w:pPr>
    </w:p>
    <w:p w:rsidR="00A77877" w:rsidRPr="00AD1A7F" w:rsidRDefault="00DB0EC9" w:rsidP="00B56C3E">
      <w:pPr>
        <w:ind w:firstLine="720"/>
        <w:rPr>
          <w:iCs/>
          <w:szCs w:val="28"/>
        </w:rPr>
      </w:pPr>
      <w:r>
        <w:rPr>
          <w:iCs/>
          <w:szCs w:val="28"/>
        </w:rPr>
        <w:t xml:space="preserve">Anotācijas III, IV, V </w:t>
      </w:r>
      <w:r w:rsidR="00A77877" w:rsidRPr="00AD1A7F">
        <w:rPr>
          <w:iCs/>
          <w:szCs w:val="28"/>
        </w:rPr>
        <w:t>sadaļa – projekts šīs jomas neskar.</w:t>
      </w:r>
    </w:p>
    <w:p w:rsidR="00A77877" w:rsidRDefault="00A77877" w:rsidP="00B56C3E">
      <w:pPr>
        <w:ind w:firstLine="720"/>
        <w:jc w:val="both"/>
        <w:rPr>
          <w:szCs w:val="28"/>
          <w:lang w:eastAsia="lv-LV"/>
        </w:rPr>
      </w:pPr>
    </w:p>
    <w:p w:rsidR="00EF280C" w:rsidRDefault="00EF280C" w:rsidP="00B56C3E">
      <w:pPr>
        <w:ind w:firstLine="720"/>
        <w:jc w:val="both"/>
        <w:rPr>
          <w:szCs w:val="28"/>
          <w:lang w:eastAsia="lv-LV"/>
        </w:rPr>
      </w:pPr>
    </w:p>
    <w:p w:rsidR="00F23B96" w:rsidRDefault="00F23B96" w:rsidP="00F23B96">
      <w:pPr>
        <w:ind w:firstLine="720"/>
        <w:jc w:val="both"/>
        <w:rPr>
          <w:szCs w:val="28"/>
          <w:lang w:eastAsia="lv-LV"/>
        </w:rPr>
      </w:pPr>
      <w:r>
        <w:rPr>
          <w:szCs w:val="28"/>
          <w:lang w:eastAsia="lv-LV"/>
        </w:rPr>
        <w:t>Satiksmes ministrs</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t>U. Augulis</w:t>
      </w:r>
    </w:p>
    <w:p w:rsidR="00F23B96" w:rsidRDefault="00F23B96" w:rsidP="00F23B96">
      <w:pPr>
        <w:jc w:val="both"/>
        <w:rPr>
          <w:szCs w:val="28"/>
          <w:lang w:eastAsia="lv-LV"/>
        </w:rPr>
      </w:pPr>
    </w:p>
    <w:p w:rsidR="00F23B96" w:rsidRDefault="00F23B96" w:rsidP="00F23B96">
      <w:pPr>
        <w:ind w:firstLine="720"/>
        <w:jc w:val="both"/>
        <w:rPr>
          <w:szCs w:val="28"/>
          <w:lang w:eastAsia="lv-LV"/>
        </w:rPr>
      </w:pPr>
      <w:r>
        <w:rPr>
          <w:szCs w:val="28"/>
          <w:lang w:eastAsia="lv-LV"/>
        </w:rPr>
        <w:t>Vīza: valsts sekretārs</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t>K. Ozoliņš</w:t>
      </w:r>
    </w:p>
    <w:p w:rsidR="00F23B96" w:rsidRDefault="00F23B96" w:rsidP="00F23B96">
      <w:pPr>
        <w:jc w:val="both"/>
        <w:rPr>
          <w:szCs w:val="28"/>
          <w:lang w:eastAsia="lv-LV"/>
        </w:rPr>
      </w:pPr>
    </w:p>
    <w:p w:rsidR="00F23B96" w:rsidRDefault="00B71FE1" w:rsidP="00F23B96">
      <w:pPr>
        <w:jc w:val="both"/>
        <w:rPr>
          <w:sz w:val="20"/>
          <w:szCs w:val="20"/>
          <w:lang w:eastAsia="lv-LV"/>
        </w:rPr>
      </w:pPr>
      <w:r>
        <w:rPr>
          <w:sz w:val="20"/>
          <w:szCs w:val="20"/>
          <w:lang w:eastAsia="lv-LV"/>
        </w:rPr>
        <w:t>2017.08.02. 12:57</w:t>
      </w:r>
    </w:p>
    <w:p w:rsidR="00F23B96" w:rsidRDefault="00197EAC" w:rsidP="00F23B96">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B71FE1">
        <w:rPr>
          <w:noProof/>
          <w:sz w:val="20"/>
          <w:szCs w:val="20"/>
        </w:rPr>
        <w:t>804</w:t>
      </w:r>
      <w:r>
        <w:rPr>
          <w:sz w:val="20"/>
          <w:szCs w:val="20"/>
        </w:rPr>
        <w:fldChar w:fldCharType="end"/>
      </w:r>
    </w:p>
    <w:p w:rsidR="00F23B96" w:rsidRDefault="00F23B96" w:rsidP="00F23B96">
      <w:pPr>
        <w:jc w:val="both"/>
        <w:rPr>
          <w:sz w:val="20"/>
          <w:szCs w:val="20"/>
        </w:rPr>
      </w:pPr>
      <w:r>
        <w:rPr>
          <w:bCs/>
          <w:sz w:val="20"/>
          <w:szCs w:val="20"/>
        </w:rPr>
        <w:t>A. Granīta, 6</w:t>
      </w:r>
      <w:r>
        <w:rPr>
          <w:sz w:val="20"/>
          <w:szCs w:val="20"/>
        </w:rPr>
        <w:t>7028157</w:t>
      </w:r>
    </w:p>
    <w:p w:rsidR="00F23B96" w:rsidRDefault="00820CF4" w:rsidP="00F23B96">
      <w:pPr>
        <w:jc w:val="both"/>
        <w:rPr>
          <w:sz w:val="20"/>
          <w:szCs w:val="20"/>
        </w:rPr>
      </w:pPr>
      <w:hyperlink r:id="rId10" w:history="1">
        <w:r w:rsidR="00F23B96">
          <w:rPr>
            <w:rStyle w:val="Hipersaite"/>
            <w:color w:val="0000FF"/>
            <w:sz w:val="20"/>
            <w:szCs w:val="20"/>
          </w:rPr>
          <w:t>Andra.Granita@lvceli.lv</w:t>
        </w:r>
      </w:hyperlink>
      <w:r w:rsidR="00F23B96">
        <w:rPr>
          <w:sz w:val="20"/>
          <w:szCs w:val="20"/>
        </w:rPr>
        <w:t xml:space="preserve"> </w:t>
      </w:r>
    </w:p>
    <w:p w:rsidR="00F23B96" w:rsidRDefault="00F23B96" w:rsidP="00F23B96">
      <w:pPr>
        <w:rPr>
          <w:rFonts w:eastAsia="Times New Roman"/>
          <w:sz w:val="20"/>
          <w:szCs w:val="20"/>
          <w:lang w:eastAsia="lv-LV"/>
        </w:rPr>
      </w:pPr>
      <w:r>
        <w:rPr>
          <w:rFonts w:eastAsia="Times New Roman"/>
          <w:sz w:val="20"/>
          <w:szCs w:val="20"/>
          <w:lang w:eastAsia="lv-LV"/>
        </w:rPr>
        <w:t>D. Supe, 67028253</w:t>
      </w:r>
    </w:p>
    <w:p w:rsidR="00F23B96" w:rsidRDefault="00820CF4" w:rsidP="00F23B96">
      <w:pPr>
        <w:rPr>
          <w:rFonts w:ascii="Arial" w:hAnsi="Arial" w:cs="Arial"/>
          <w:b/>
          <w:bCs/>
          <w:color w:val="414142"/>
          <w:sz w:val="20"/>
          <w:szCs w:val="20"/>
          <w:lang w:eastAsia="lv-LV"/>
        </w:rPr>
      </w:pPr>
      <w:hyperlink r:id="rId11" w:history="1">
        <w:r w:rsidR="00F23B96" w:rsidRPr="00D8137D">
          <w:rPr>
            <w:rStyle w:val="Hipersaite"/>
            <w:sz w:val="20"/>
            <w:szCs w:val="20"/>
          </w:rPr>
          <w:t>dace.supe@sam.gov.lv</w:t>
        </w:r>
      </w:hyperlink>
    </w:p>
    <w:sectPr w:rsidR="00F23B96" w:rsidSect="004407DE">
      <w:headerReference w:type="default" r:id="rId12"/>
      <w:footerReference w:type="default" r:id="rId13"/>
      <w:footerReference w:type="first" r:id="rId14"/>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CF4" w:rsidRDefault="00820CF4" w:rsidP="004407DE">
      <w:r>
        <w:separator/>
      </w:r>
    </w:p>
  </w:endnote>
  <w:endnote w:type="continuationSeparator" w:id="0">
    <w:p w:rsidR="00820CF4" w:rsidRDefault="00820CF4" w:rsidP="0044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31" w:rsidRDefault="00706EB5" w:rsidP="00EF280C">
    <w:pPr>
      <w:pStyle w:val="Galvene"/>
      <w:tabs>
        <w:tab w:val="clear" w:pos="4153"/>
        <w:tab w:val="clear" w:pos="8306"/>
      </w:tabs>
      <w:jc w:val="both"/>
    </w:pPr>
    <w:r>
      <w:rPr>
        <w:lang w:val="en-US"/>
      </w:rPr>
      <w:t>SAMAnot_0</w:t>
    </w:r>
    <w:r w:rsidR="00EF280C">
      <w:rPr>
        <w:lang w:val="en-US"/>
      </w:rPr>
      <w:t>2</w:t>
    </w:r>
    <w:r>
      <w:rPr>
        <w:lang w:val="en-US"/>
      </w:rPr>
      <w:t>08</w:t>
    </w:r>
    <w:r w:rsidR="004337C3">
      <w:rPr>
        <w:lang w:val="en-US"/>
      </w:rPr>
      <w:t>17</w:t>
    </w:r>
    <w:r>
      <w:rPr>
        <w:lang w:val="en-US"/>
      </w:rPr>
      <w:t>_</w:t>
    </w:r>
    <w:r w:rsidR="00283D31">
      <w:rPr>
        <w:lang w:val="en-US"/>
      </w:rPr>
      <w:t>acsaraksti</w:t>
    </w:r>
    <w:r w:rsidR="00283D31" w:rsidRPr="004407DE">
      <w:rPr>
        <w:lang w:val="en-US"/>
      </w:rPr>
      <w:t xml:space="preserve">; </w:t>
    </w:r>
    <w:r w:rsidR="00283D31" w:rsidRPr="004407DE">
      <w:t>Ministru</w:t>
    </w:r>
    <w:r w:rsidR="00283D31" w:rsidRPr="004407DE">
      <w:rPr>
        <w:lang w:val="en-US"/>
      </w:rPr>
      <w:t xml:space="preserve"> </w:t>
    </w:r>
    <w:r w:rsidR="00283D31" w:rsidRPr="004407DE">
      <w:t>kabineta</w:t>
    </w:r>
    <w:r w:rsidR="00283D31" w:rsidRPr="004407DE">
      <w:rPr>
        <w:lang w:val="en-US"/>
      </w:rPr>
      <w:t xml:space="preserve"> </w:t>
    </w:r>
    <w:r w:rsidR="00283D31" w:rsidRPr="004407DE">
      <w:t>noteikumu projekta</w:t>
    </w:r>
    <w:r w:rsidR="00283D31" w:rsidRPr="004407DE">
      <w:rPr>
        <w:lang w:val="en-US"/>
      </w:rPr>
      <w:t xml:space="preserve"> „</w:t>
    </w:r>
    <w:r w:rsidR="00283D31">
      <w:t>Grozījumi Ministru kabineta 2009. </w:t>
    </w:r>
    <w:r w:rsidR="00283D31">
      <w:t>gada 29. septembra noteikumos Nr. 1104 „Noteikumi par valsts autoceļu un valsts autoceļu maršrutā ietverto pašvaldībām piederošo autoceļu posmu sarakstiem”</w:t>
    </w:r>
    <w:r w:rsidR="00283D31" w:rsidRPr="004407DE">
      <w:t>”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31" w:rsidRPr="004337C3" w:rsidRDefault="004337C3" w:rsidP="004337C3">
    <w:pPr>
      <w:pStyle w:val="Galvene"/>
      <w:tabs>
        <w:tab w:val="clear" w:pos="4153"/>
        <w:tab w:val="clear" w:pos="8306"/>
      </w:tabs>
      <w:jc w:val="both"/>
      <w:rPr>
        <w:lang w:val="en-US"/>
      </w:rPr>
    </w:pPr>
    <w:r w:rsidRPr="004407DE">
      <w:rPr>
        <w:lang w:val="en-US"/>
      </w:rPr>
      <w:t>SAMAnot_</w:t>
    </w:r>
    <w:r w:rsidR="00706EB5">
      <w:rPr>
        <w:lang w:val="en-US"/>
      </w:rPr>
      <w:t>0</w:t>
    </w:r>
    <w:r w:rsidR="00EF280C">
      <w:rPr>
        <w:lang w:val="en-US"/>
      </w:rPr>
      <w:t>2</w:t>
    </w:r>
    <w:r w:rsidR="00706EB5">
      <w:rPr>
        <w:lang w:val="en-US"/>
      </w:rPr>
      <w:t>08</w:t>
    </w:r>
    <w:r>
      <w:rPr>
        <w:lang w:val="en-US"/>
      </w:rPr>
      <w:t>17_acsaraksti</w:t>
    </w:r>
    <w:r w:rsidRPr="004407DE">
      <w:rPr>
        <w:lang w:val="en-US"/>
      </w:rPr>
      <w:t xml:space="preserve">; </w:t>
    </w:r>
    <w:r w:rsidRPr="004407DE">
      <w:t>Ministru</w:t>
    </w:r>
    <w:r w:rsidRPr="004407DE">
      <w:rPr>
        <w:lang w:val="en-US"/>
      </w:rPr>
      <w:t xml:space="preserve"> </w:t>
    </w:r>
    <w:r w:rsidRPr="004407DE">
      <w:t>kabineta</w:t>
    </w:r>
    <w:r w:rsidRPr="004407DE">
      <w:rPr>
        <w:lang w:val="en-US"/>
      </w:rPr>
      <w:t xml:space="preserve"> </w:t>
    </w:r>
    <w:r w:rsidRPr="004407DE">
      <w:t>noteikumu projekta</w:t>
    </w:r>
    <w:r w:rsidRPr="004407DE">
      <w:rPr>
        <w:lang w:val="en-US"/>
      </w:rPr>
      <w:t xml:space="preserve"> „</w:t>
    </w:r>
    <w:r>
      <w:t>Grozījumi Ministru kabineta 2009. </w:t>
    </w:r>
    <w:r>
      <w:t>gada 29. septembra noteikumos Nr. 1104 „Noteikumi par valsts autoceļu un valsts autoceļu maršrutā ietverto pašvaldībām piederošo autoceļu posmu sarakstiem”</w:t>
    </w:r>
    <w:r w:rsidRPr="004407DE">
      <w:t>”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CF4" w:rsidRDefault="00820CF4" w:rsidP="004407DE">
      <w:r>
        <w:separator/>
      </w:r>
    </w:p>
  </w:footnote>
  <w:footnote w:type="continuationSeparator" w:id="0">
    <w:p w:rsidR="00820CF4" w:rsidRDefault="00820CF4" w:rsidP="0044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77" w:rsidRDefault="0040586D">
    <w:pPr>
      <w:pStyle w:val="Galvene"/>
      <w:jc w:val="center"/>
    </w:pPr>
    <w:r>
      <w:fldChar w:fldCharType="begin"/>
    </w:r>
    <w:r>
      <w:instrText xml:space="preserve"> PAGE   \* MERGEFORMAT </w:instrText>
    </w:r>
    <w:r>
      <w:fldChar w:fldCharType="separate"/>
    </w:r>
    <w:r w:rsidR="000876E3">
      <w:rPr>
        <w:noProof/>
      </w:rPr>
      <w:t>3</w:t>
    </w:r>
    <w:r>
      <w:rPr>
        <w:noProof/>
      </w:rPr>
      <w:fldChar w:fldCharType="end"/>
    </w:r>
  </w:p>
  <w:p w:rsidR="00A77877" w:rsidRDefault="00A778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60777"/>
    <w:multiLevelType w:val="hybridMultilevel"/>
    <w:tmpl w:val="450C700E"/>
    <w:lvl w:ilvl="0" w:tplc="8DE86B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68901A6"/>
    <w:multiLevelType w:val="hybridMultilevel"/>
    <w:tmpl w:val="18F27F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E2D3B74"/>
    <w:multiLevelType w:val="multilevel"/>
    <w:tmpl w:val="37982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5"/>
    <w:rsid w:val="00001C26"/>
    <w:rsid w:val="00014C68"/>
    <w:rsid w:val="00025A30"/>
    <w:rsid w:val="00026CC7"/>
    <w:rsid w:val="00035C94"/>
    <w:rsid w:val="0003674A"/>
    <w:rsid w:val="0006255D"/>
    <w:rsid w:val="00071B34"/>
    <w:rsid w:val="00075BFA"/>
    <w:rsid w:val="000872B6"/>
    <w:rsid w:val="000876E3"/>
    <w:rsid w:val="00097059"/>
    <w:rsid w:val="000A1515"/>
    <w:rsid w:val="000A69C6"/>
    <w:rsid w:val="000B1654"/>
    <w:rsid w:val="000C3B06"/>
    <w:rsid w:val="000D03FF"/>
    <w:rsid w:val="000E36FC"/>
    <w:rsid w:val="000F2879"/>
    <w:rsid w:val="00114862"/>
    <w:rsid w:val="00117334"/>
    <w:rsid w:val="001209CB"/>
    <w:rsid w:val="00143A9A"/>
    <w:rsid w:val="0015760C"/>
    <w:rsid w:val="00163482"/>
    <w:rsid w:val="00186FB0"/>
    <w:rsid w:val="00187FE0"/>
    <w:rsid w:val="00197EAC"/>
    <w:rsid w:val="001B189A"/>
    <w:rsid w:val="001B6111"/>
    <w:rsid w:val="001C1435"/>
    <w:rsid w:val="001D4940"/>
    <w:rsid w:val="001E7DCC"/>
    <w:rsid w:val="001F0D34"/>
    <w:rsid w:val="002014A0"/>
    <w:rsid w:val="0020340D"/>
    <w:rsid w:val="002103B3"/>
    <w:rsid w:val="00222E0C"/>
    <w:rsid w:val="00245B0A"/>
    <w:rsid w:val="00255521"/>
    <w:rsid w:val="0028132E"/>
    <w:rsid w:val="00283D31"/>
    <w:rsid w:val="002D359F"/>
    <w:rsid w:val="002E42C0"/>
    <w:rsid w:val="002F7775"/>
    <w:rsid w:val="00303B19"/>
    <w:rsid w:val="00327241"/>
    <w:rsid w:val="00345D68"/>
    <w:rsid w:val="00346F35"/>
    <w:rsid w:val="00351945"/>
    <w:rsid w:val="003664DC"/>
    <w:rsid w:val="00366583"/>
    <w:rsid w:val="0039035F"/>
    <w:rsid w:val="00395371"/>
    <w:rsid w:val="0039693A"/>
    <w:rsid w:val="003A0AEB"/>
    <w:rsid w:val="003B1E79"/>
    <w:rsid w:val="003B2F89"/>
    <w:rsid w:val="003C126A"/>
    <w:rsid w:val="003C29D8"/>
    <w:rsid w:val="003D40A5"/>
    <w:rsid w:val="003D4334"/>
    <w:rsid w:val="003D4CD9"/>
    <w:rsid w:val="003D7AF6"/>
    <w:rsid w:val="003E07CA"/>
    <w:rsid w:val="003E20CF"/>
    <w:rsid w:val="003F0353"/>
    <w:rsid w:val="00401B68"/>
    <w:rsid w:val="0040586D"/>
    <w:rsid w:val="00407657"/>
    <w:rsid w:val="004161DE"/>
    <w:rsid w:val="00416A40"/>
    <w:rsid w:val="00423CF8"/>
    <w:rsid w:val="004316E8"/>
    <w:rsid w:val="004337C3"/>
    <w:rsid w:val="004407DE"/>
    <w:rsid w:val="00440E23"/>
    <w:rsid w:val="004445A3"/>
    <w:rsid w:val="004522CD"/>
    <w:rsid w:val="00466818"/>
    <w:rsid w:val="00476DB9"/>
    <w:rsid w:val="004912DF"/>
    <w:rsid w:val="004A4949"/>
    <w:rsid w:val="004C0DC5"/>
    <w:rsid w:val="00515BBE"/>
    <w:rsid w:val="0052304D"/>
    <w:rsid w:val="00533D0B"/>
    <w:rsid w:val="00542025"/>
    <w:rsid w:val="00551FB9"/>
    <w:rsid w:val="005566A4"/>
    <w:rsid w:val="005633D6"/>
    <w:rsid w:val="005643F2"/>
    <w:rsid w:val="0056587A"/>
    <w:rsid w:val="00566FF6"/>
    <w:rsid w:val="0057041A"/>
    <w:rsid w:val="00577B53"/>
    <w:rsid w:val="0059501C"/>
    <w:rsid w:val="005B5E79"/>
    <w:rsid w:val="005D20A4"/>
    <w:rsid w:val="005D5771"/>
    <w:rsid w:val="005E2880"/>
    <w:rsid w:val="00606DCC"/>
    <w:rsid w:val="00611095"/>
    <w:rsid w:val="00616E17"/>
    <w:rsid w:val="0062064F"/>
    <w:rsid w:val="006310FC"/>
    <w:rsid w:val="00665FCB"/>
    <w:rsid w:val="006863DD"/>
    <w:rsid w:val="00686D26"/>
    <w:rsid w:val="00693954"/>
    <w:rsid w:val="0069400A"/>
    <w:rsid w:val="006956ED"/>
    <w:rsid w:val="006966F8"/>
    <w:rsid w:val="006A16D6"/>
    <w:rsid w:val="006A6DB7"/>
    <w:rsid w:val="006A7BE4"/>
    <w:rsid w:val="006C6524"/>
    <w:rsid w:val="006D3102"/>
    <w:rsid w:val="006E0BA2"/>
    <w:rsid w:val="006E63A6"/>
    <w:rsid w:val="006E6990"/>
    <w:rsid w:val="006E72E7"/>
    <w:rsid w:val="00706EB5"/>
    <w:rsid w:val="007157DA"/>
    <w:rsid w:val="00725CD8"/>
    <w:rsid w:val="00734B0E"/>
    <w:rsid w:val="00742393"/>
    <w:rsid w:val="00743044"/>
    <w:rsid w:val="0075161D"/>
    <w:rsid w:val="00756663"/>
    <w:rsid w:val="0078487A"/>
    <w:rsid w:val="007A112D"/>
    <w:rsid w:val="007B0A1C"/>
    <w:rsid w:val="007B60E4"/>
    <w:rsid w:val="007B640D"/>
    <w:rsid w:val="007C29AD"/>
    <w:rsid w:val="007C5D99"/>
    <w:rsid w:val="007D08E2"/>
    <w:rsid w:val="007E4596"/>
    <w:rsid w:val="007E6270"/>
    <w:rsid w:val="007F3821"/>
    <w:rsid w:val="007F4F55"/>
    <w:rsid w:val="008061B5"/>
    <w:rsid w:val="00810800"/>
    <w:rsid w:val="00820CF4"/>
    <w:rsid w:val="00832D2E"/>
    <w:rsid w:val="00844904"/>
    <w:rsid w:val="00844C9B"/>
    <w:rsid w:val="00847F1F"/>
    <w:rsid w:val="00864D28"/>
    <w:rsid w:val="00867CE4"/>
    <w:rsid w:val="00870FD1"/>
    <w:rsid w:val="00874148"/>
    <w:rsid w:val="00877451"/>
    <w:rsid w:val="0088592A"/>
    <w:rsid w:val="00891D13"/>
    <w:rsid w:val="00897D99"/>
    <w:rsid w:val="008A03CE"/>
    <w:rsid w:val="008B5D7F"/>
    <w:rsid w:val="008F0B89"/>
    <w:rsid w:val="008F2CB3"/>
    <w:rsid w:val="008F4222"/>
    <w:rsid w:val="009167FF"/>
    <w:rsid w:val="00921973"/>
    <w:rsid w:val="00922859"/>
    <w:rsid w:val="00941C09"/>
    <w:rsid w:val="00950EA6"/>
    <w:rsid w:val="009A1024"/>
    <w:rsid w:val="009D048E"/>
    <w:rsid w:val="009D1149"/>
    <w:rsid w:val="009D3102"/>
    <w:rsid w:val="009D61F4"/>
    <w:rsid w:val="009E10C3"/>
    <w:rsid w:val="009F0863"/>
    <w:rsid w:val="009F783E"/>
    <w:rsid w:val="00A03E18"/>
    <w:rsid w:val="00A06B2D"/>
    <w:rsid w:val="00A1131E"/>
    <w:rsid w:val="00A12DCC"/>
    <w:rsid w:val="00A131A4"/>
    <w:rsid w:val="00A16058"/>
    <w:rsid w:val="00A233A5"/>
    <w:rsid w:val="00A55025"/>
    <w:rsid w:val="00A55C00"/>
    <w:rsid w:val="00A606F3"/>
    <w:rsid w:val="00A7000D"/>
    <w:rsid w:val="00A725E8"/>
    <w:rsid w:val="00A77877"/>
    <w:rsid w:val="00A91CE2"/>
    <w:rsid w:val="00A91FC9"/>
    <w:rsid w:val="00A965FE"/>
    <w:rsid w:val="00AB2A56"/>
    <w:rsid w:val="00AB3551"/>
    <w:rsid w:val="00AC59D7"/>
    <w:rsid w:val="00AD1769"/>
    <w:rsid w:val="00AD1A7F"/>
    <w:rsid w:val="00AD4F2A"/>
    <w:rsid w:val="00AD66E4"/>
    <w:rsid w:val="00AE1F91"/>
    <w:rsid w:val="00B02324"/>
    <w:rsid w:val="00B1377A"/>
    <w:rsid w:val="00B14757"/>
    <w:rsid w:val="00B36743"/>
    <w:rsid w:val="00B36AEA"/>
    <w:rsid w:val="00B44B4B"/>
    <w:rsid w:val="00B4617C"/>
    <w:rsid w:val="00B50548"/>
    <w:rsid w:val="00B56C3E"/>
    <w:rsid w:val="00B67398"/>
    <w:rsid w:val="00B71FE1"/>
    <w:rsid w:val="00B77E9D"/>
    <w:rsid w:val="00B82151"/>
    <w:rsid w:val="00B87EAD"/>
    <w:rsid w:val="00BA4A70"/>
    <w:rsid w:val="00BB0A51"/>
    <w:rsid w:val="00BB69C4"/>
    <w:rsid w:val="00BC4C05"/>
    <w:rsid w:val="00BD6647"/>
    <w:rsid w:val="00BE2B6D"/>
    <w:rsid w:val="00BE7ECF"/>
    <w:rsid w:val="00BF2031"/>
    <w:rsid w:val="00C04636"/>
    <w:rsid w:val="00C062DF"/>
    <w:rsid w:val="00C43B15"/>
    <w:rsid w:val="00C57FC6"/>
    <w:rsid w:val="00C61165"/>
    <w:rsid w:val="00C61A2F"/>
    <w:rsid w:val="00C6623D"/>
    <w:rsid w:val="00C7426A"/>
    <w:rsid w:val="00C91038"/>
    <w:rsid w:val="00C938F2"/>
    <w:rsid w:val="00C93FE1"/>
    <w:rsid w:val="00C96066"/>
    <w:rsid w:val="00CA1A9A"/>
    <w:rsid w:val="00CB244F"/>
    <w:rsid w:val="00CB5192"/>
    <w:rsid w:val="00CB6DCD"/>
    <w:rsid w:val="00CC0CAC"/>
    <w:rsid w:val="00CD5C4D"/>
    <w:rsid w:val="00CE2A78"/>
    <w:rsid w:val="00D018DE"/>
    <w:rsid w:val="00D15598"/>
    <w:rsid w:val="00D25C58"/>
    <w:rsid w:val="00D26555"/>
    <w:rsid w:val="00D45A8A"/>
    <w:rsid w:val="00D54A05"/>
    <w:rsid w:val="00D579C0"/>
    <w:rsid w:val="00D57F14"/>
    <w:rsid w:val="00D67BCE"/>
    <w:rsid w:val="00D7114D"/>
    <w:rsid w:val="00DA7722"/>
    <w:rsid w:val="00DB0EC9"/>
    <w:rsid w:val="00DB15C1"/>
    <w:rsid w:val="00DC74C0"/>
    <w:rsid w:val="00DD5352"/>
    <w:rsid w:val="00DE42F7"/>
    <w:rsid w:val="00DF51EA"/>
    <w:rsid w:val="00DF58E8"/>
    <w:rsid w:val="00E01244"/>
    <w:rsid w:val="00E03539"/>
    <w:rsid w:val="00E14AA0"/>
    <w:rsid w:val="00E2256A"/>
    <w:rsid w:val="00E2282D"/>
    <w:rsid w:val="00E504FB"/>
    <w:rsid w:val="00E53582"/>
    <w:rsid w:val="00E6386E"/>
    <w:rsid w:val="00E65C2C"/>
    <w:rsid w:val="00E65ECC"/>
    <w:rsid w:val="00E65FED"/>
    <w:rsid w:val="00E87CD4"/>
    <w:rsid w:val="00EB7FC3"/>
    <w:rsid w:val="00EC3FA0"/>
    <w:rsid w:val="00EC5CD2"/>
    <w:rsid w:val="00EE22B4"/>
    <w:rsid w:val="00EF1941"/>
    <w:rsid w:val="00EF280C"/>
    <w:rsid w:val="00EF28E2"/>
    <w:rsid w:val="00F06535"/>
    <w:rsid w:val="00F10521"/>
    <w:rsid w:val="00F14737"/>
    <w:rsid w:val="00F16357"/>
    <w:rsid w:val="00F23021"/>
    <w:rsid w:val="00F23B96"/>
    <w:rsid w:val="00F25A25"/>
    <w:rsid w:val="00F26B74"/>
    <w:rsid w:val="00F26BE3"/>
    <w:rsid w:val="00F32B38"/>
    <w:rsid w:val="00F45A6D"/>
    <w:rsid w:val="00F46C37"/>
    <w:rsid w:val="00F62BA2"/>
    <w:rsid w:val="00F70336"/>
    <w:rsid w:val="00F720FD"/>
    <w:rsid w:val="00F747DC"/>
    <w:rsid w:val="00F803C8"/>
    <w:rsid w:val="00F956C5"/>
    <w:rsid w:val="00FA3105"/>
    <w:rsid w:val="00FA6B25"/>
    <w:rsid w:val="00FA7D81"/>
    <w:rsid w:val="00FB5A83"/>
    <w:rsid w:val="00FC22AE"/>
    <w:rsid w:val="00FD5542"/>
    <w:rsid w:val="00FE56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0AF96B06"/>
  <w15:docId w15:val="{806AFB61-EFA0-48F6-9B26-A1AEB890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B2A56"/>
    <w:rPr>
      <w:sz w:val="28"/>
      <w:szCs w:val="22"/>
      <w:lang w:eastAsia="en-US"/>
    </w:rPr>
  </w:style>
  <w:style w:type="paragraph" w:styleId="Virsraksts3">
    <w:name w:val="heading 3"/>
    <w:basedOn w:val="Parasts"/>
    <w:link w:val="Virsraksts3Rakstz"/>
    <w:uiPriority w:val="99"/>
    <w:qFormat/>
    <w:rsid w:val="00BB69C4"/>
    <w:pPr>
      <w:spacing w:before="100" w:beforeAutospacing="1" w:after="100" w:afterAutospacing="1"/>
      <w:outlineLvl w:val="2"/>
    </w:pPr>
    <w:rPr>
      <w:rFonts w:eastAsia="Times New Roman"/>
      <w:b/>
      <w:bCs/>
      <w:sz w:val="27"/>
      <w:szCs w:val="27"/>
      <w:lang w:eastAsia="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uiPriority w:val="99"/>
    <w:locked/>
    <w:rsid w:val="00BB69C4"/>
    <w:rPr>
      <w:rFonts w:eastAsia="Times New Roman"/>
      <w:b/>
      <w:sz w:val="27"/>
      <w:lang w:eastAsia="lv-LV"/>
    </w:rPr>
  </w:style>
  <w:style w:type="paragraph" w:styleId="Galvene">
    <w:name w:val="header"/>
    <w:basedOn w:val="Parasts"/>
    <w:link w:val="GalveneRakstz"/>
    <w:uiPriority w:val="99"/>
    <w:rsid w:val="004407DE"/>
    <w:pPr>
      <w:tabs>
        <w:tab w:val="center" w:pos="4153"/>
        <w:tab w:val="right" w:pos="8306"/>
      </w:tabs>
    </w:pPr>
    <w:rPr>
      <w:sz w:val="20"/>
      <w:szCs w:val="20"/>
      <w:lang w:eastAsia="lv-LV"/>
    </w:rPr>
  </w:style>
  <w:style w:type="character" w:customStyle="1" w:styleId="GalveneRakstz">
    <w:name w:val="Galvene Rakstz."/>
    <w:basedOn w:val="Noklusjumarindkopasfonts"/>
    <w:link w:val="Galvene"/>
    <w:uiPriority w:val="99"/>
    <w:locked/>
    <w:rsid w:val="004407DE"/>
  </w:style>
  <w:style w:type="paragraph" w:styleId="Kjene">
    <w:name w:val="footer"/>
    <w:basedOn w:val="Parasts"/>
    <w:link w:val="KjeneRakstz"/>
    <w:uiPriority w:val="99"/>
    <w:rsid w:val="004407DE"/>
    <w:pPr>
      <w:tabs>
        <w:tab w:val="center" w:pos="4153"/>
        <w:tab w:val="right" w:pos="8306"/>
      </w:tabs>
    </w:pPr>
    <w:rPr>
      <w:sz w:val="20"/>
      <w:szCs w:val="20"/>
      <w:lang w:eastAsia="lv-LV"/>
    </w:rPr>
  </w:style>
  <w:style w:type="character" w:customStyle="1" w:styleId="KjeneRakstz">
    <w:name w:val="Kājene Rakstz."/>
    <w:basedOn w:val="Noklusjumarindkopasfonts"/>
    <w:link w:val="Kjene"/>
    <w:uiPriority w:val="99"/>
    <w:locked/>
    <w:rsid w:val="004407DE"/>
  </w:style>
  <w:style w:type="paragraph" w:styleId="Balonteksts">
    <w:name w:val="Balloon Text"/>
    <w:basedOn w:val="Parasts"/>
    <w:link w:val="BalontekstsRakstz"/>
    <w:uiPriority w:val="99"/>
    <w:semiHidden/>
    <w:rsid w:val="004407DE"/>
    <w:rPr>
      <w:rFonts w:ascii="Tahoma" w:hAnsi="Tahoma"/>
      <w:sz w:val="16"/>
      <w:szCs w:val="16"/>
      <w:lang w:eastAsia="lv-LV"/>
    </w:rPr>
  </w:style>
  <w:style w:type="character" w:customStyle="1" w:styleId="BalontekstsRakstz">
    <w:name w:val="Balonteksts Rakstz."/>
    <w:link w:val="Balonteksts"/>
    <w:uiPriority w:val="99"/>
    <w:semiHidden/>
    <w:locked/>
    <w:rsid w:val="004407DE"/>
    <w:rPr>
      <w:rFonts w:ascii="Tahoma" w:hAnsi="Tahoma"/>
      <w:sz w:val="16"/>
    </w:rPr>
  </w:style>
  <w:style w:type="paragraph" w:customStyle="1" w:styleId="naiskr">
    <w:name w:val="naiskr"/>
    <w:basedOn w:val="Parasts"/>
    <w:uiPriority w:val="99"/>
    <w:rsid w:val="00BB69C4"/>
    <w:pPr>
      <w:spacing w:before="100" w:beforeAutospacing="1" w:after="100" w:afterAutospacing="1"/>
    </w:pPr>
    <w:rPr>
      <w:rFonts w:eastAsia="Times New Roman"/>
      <w:sz w:val="24"/>
      <w:szCs w:val="24"/>
      <w:lang w:eastAsia="lv-LV"/>
    </w:rPr>
  </w:style>
  <w:style w:type="paragraph" w:customStyle="1" w:styleId="naispant">
    <w:name w:val="naispant"/>
    <w:basedOn w:val="Parasts"/>
    <w:uiPriority w:val="99"/>
    <w:rsid w:val="00BB69C4"/>
    <w:pPr>
      <w:spacing w:before="100" w:beforeAutospacing="1" w:after="100" w:afterAutospacing="1"/>
    </w:pPr>
    <w:rPr>
      <w:rFonts w:eastAsia="Times New Roman"/>
      <w:sz w:val="24"/>
      <w:szCs w:val="24"/>
      <w:lang w:eastAsia="lv-LV"/>
    </w:rPr>
  </w:style>
  <w:style w:type="character" w:styleId="Komentraatsauce">
    <w:name w:val="annotation reference"/>
    <w:uiPriority w:val="99"/>
    <w:semiHidden/>
    <w:rsid w:val="004522CD"/>
    <w:rPr>
      <w:rFonts w:cs="Times New Roman"/>
      <w:sz w:val="16"/>
    </w:rPr>
  </w:style>
  <w:style w:type="paragraph" w:styleId="Komentrateksts">
    <w:name w:val="annotation text"/>
    <w:basedOn w:val="Parasts"/>
    <w:link w:val="KomentratekstsRakstz"/>
    <w:uiPriority w:val="99"/>
    <w:semiHidden/>
    <w:rsid w:val="004522CD"/>
    <w:rPr>
      <w:sz w:val="20"/>
      <w:szCs w:val="20"/>
    </w:rPr>
  </w:style>
  <w:style w:type="character" w:customStyle="1" w:styleId="KomentratekstsRakstz">
    <w:name w:val="Komentāra teksts Rakstz."/>
    <w:link w:val="Komentrateksts"/>
    <w:uiPriority w:val="99"/>
    <w:semiHidden/>
    <w:locked/>
    <w:rsid w:val="004522CD"/>
    <w:rPr>
      <w:lang w:eastAsia="en-US"/>
    </w:rPr>
  </w:style>
  <w:style w:type="paragraph" w:styleId="Komentratma">
    <w:name w:val="annotation subject"/>
    <w:basedOn w:val="Komentrateksts"/>
    <w:next w:val="Komentrateksts"/>
    <w:link w:val="KomentratmaRakstz"/>
    <w:uiPriority w:val="99"/>
    <w:semiHidden/>
    <w:rsid w:val="004522CD"/>
    <w:rPr>
      <w:b/>
      <w:bCs/>
    </w:rPr>
  </w:style>
  <w:style w:type="character" w:customStyle="1" w:styleId="KomentratmaRakstz">
    <w:name w:val="Komentāra tēma Rakstz."/>
    <w:link w:val="Komentratma"/>
    <w:uiPriority w:val="99"/>
    <w:semiHidden/>
    <w:locked/>
    <w:rsid w:val="004522CD"/>
    <w:rPr>
      <w:b/>
      <w:lang w:eastAsia="en-US"/>
    </w:rPr>
  </w:style>
  <w:style w:type="paragraph" w:styleId="Sarakstarindkopa">
    <w:name w:val="List Paragraph"/>
    <w:basedOn w:val="Parasts"/>
    <w:uiPriority w:val="34"/>
    <w:qFormat/>
    <w:rsid w:val="00F32B38"/>
    <w:pPr>
      <w:ind w:left="720"/>
      <w:contextualSpacing/>
    </w:pPr>
  </w:style>
  <w:style w:type="character" w:styleId="Hipersaite">
    <w:name w:val="Hyperlink"/>
    <w:basedOn w:val="Noklusjumarindkopasfonts"/>
    <w:uiPriority w:val="99"/>
    <w:unhideWhenUsed/>
    <w:rsid w:val="00F23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5184">
      <w:bodyDiv w:val="1"/>
      <w:marLeft w:val="0"/>
      <w:marRight w:val="0"/>
      <w:marTop w:val="0"/>
      <w:marBottom w:val="0"/>
      <w:divBdr>
        <w:top w:val="none" w:sz="0" w:space="0" w:color="auto"/>
        <w:left w:val="none" w:sz="0" w:space="0" w:color="auto"/>
        <w:bottom w:val="none" w:sz="0" w:space="0" w:color="auto"/>
        <w:right w:val="none" w:sz="0" w:space="0" w:color="auto"/>
      </w:divBdr>
    </w:div>
    <w:div w:id="123740724">
      <w:bodyDiv w:val="1"/>
      <w:marLeft w:val="0"/>
      <w:marRight w:val="0"/>
      <w:marTop w:val="0"/>
      <w:marBottom w:val="0"/>
      <w:divBdr>
        <w:top w:val="none" w:sz="0" w:space="0" w:color="auto"/>
        <w:left w:val="none" w:sz="0" w:space="0" w:color="auto"/>
        <w:bottom w:val="none" w:sz="0" w:space="0" w:color="auto"/>
        <w:right w:val="none" w:sz="0" w:space="0" w:color="auto"/>
      </w:divBdr>
    </w:div>
    <w:div w:id="214660055">
      <w:marLeft w:val="0"/>
      <w:marRight w:val="0"/>
      <w:marTop w:val="0"/>
      <w:marBottom w:val="0"/>
      <w:divBdr>
        <w:top w:val="none" w:sz="0" w:space="0" w:color="auto"/>
        <w:left w:val="none" w:sz="0" w:space="0" w:color="auto"/>
        <w:bottom w:val="none" w:sz="0" w:space="0" w:color="auto"/>
        <w:right w:val="none" w:sz="0" w:space="0" w:color="auto"/>
      </w:divBdr>
    </w:div>
    <w:div w:id="214660056">
      <w:marLeft w:val="0"/>
      <w:marRight w:val="0"/>
      <w:marTop w:val="0"/>
      <w:marBottom w:val="0"/>
      <w:divBdr>
        <w:top w:val="none" w:sz="0" w:space="0" w:color="auto"/>
        <w:left w:val="none" w:sz="0" w:space="0" w:color="auto"/>
        <w:bottom w:val="none" w:sz="0" w:space="0" w:color="auto"/>
        <w:right w:val="none" w:sz="0" w:space="0" w:color="auto"/>
      </w:divBdr>
    </w:div>
    <w:div w:id="450904748">
      <w:bodyDiv w:val="1"/>
      <w:marLeft w:val="0"/>
      <w:marRight w:val="0"/>
      <w:marTop w:val="0"/>
      <w:marBottom w:val="0"/>
      <w:divBdr>
        <w:top w:val="none" w:sz="0" w:space="0" w:color="auto"/>
        <w:left w:val="none" w:sz="0" w:space="0" w:color="auto"/>
        <w:bottom w:val="none" w:sz="0" w:space="0" w:color="auto"/>
        <w:right w:val="none" w:sz="0" w:space="0" w:color="auto"/>
      </w:divBdr>
    </w:div>
    <w:div w:id="528682047">
      <w:bodyDiv w:val="1"/>
      <w:marLeft w:val="0"/>
      <w:marRight w:val="0"/>
      <w:marTop w:val="0"/>
      <w:marBottom w:val="0"/>
      <w:divBdr>
        <w:top w:val="none" w:sz="0" w:space="0" w:color="auto"/>
        <w:left w:val="none" w:sz="0" w:space="0" w:color="auto"/>
        <w:bottom w:val="none" w:sz="0" w:space="0" w:color="auto"/>
        <w:right w:val="none" w:sz="0" w:space="0" w:color="auto"/>
      </w:divBdr>
    </w:div>
    <w:div w:id="765423029">
      <w:bodyDiv w:val="1"/>
      <w:marLeft w:val="0"/>
      <w:marRight w:val="0"/>
      <w:marTop w:val="0"/>
      <w:marBottom w:val="0"/>
      <w:divBdr>
        <w:top w:val="none" w:sz="0" w:space="0" w:color="auto"/>
        <w:left w:val="none" w:sz="0" w:space="0" w:color="auto"/>
        <w:bottom w:val="none" w:sz="0" w:space="0" w:color="auto"/>
        <w:right w:val="none" w:sz="0" w:space="0" w:color="auto"/>
      </w:divBdr>
    </w:div>
    <w:div w:id="999767487">
      <w:bodyDiv w:val="1"/>
      <w:marLeft w:val="0"/>
      <w:marRight w:val="0"/>
      <w:marTop w:val="0"/>
      <w:marBottom w:val="0"/>
      <w:divBdr>
        <w:top w:val="none" w:sz="0" w:space="0" w:color="auto"/>
        <w:left w:val="none" w:sz="0" w:space="0" w:color="auto"/>
        <w:bottom w:val="none" w:sz="0" w:space="0" w:color="auto"/>
        <w:right w:val="none" w:sz="0" w:space="0" w:color="auto"/>
      </w:divBdr>
    </w:div>
    <w:div w:id="1402829684">
      <w:bodyDiv w:val="1"/>
      <w:marLeft w:val="0"/>
      <w:marRight w:val="0"/>
      <w:marTop w:val="0"/>
      <w:marBottom w:val="0"/>
      <w:divBdr>
        <w:top w:val="none" w:sz="0" w:space="0" w:color="auto"/>
        <w:left w:val="none" w:sz="0" w:space="0" w:color="auto"/>
        <w:bottom w:val="none" w:sz="0" w:space="0" w:color="auto"/>
        <w:right w:val="none" w:sz="0" w:space="0" w:color="auto"/>
      </w:divBdr>
    </w:div>
    <w:div w:id="17878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pad.lv/wp-content/uploads/2014/11/RTIAN_aktuala_redakcija.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supe@s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a.Granita@lvceli.lv" TargetMode="External"/><Relationship Id="rId4" Type="http://schemas.openxmlformats.org/officeDocument/2006/relationships/settings" Target="settings.xml"/><Relationship Id="rId9" Type="http://schemas.openxmlformats.org/officeDocument/2006/relationships/hyperlink" Target="http://rdsd.lv/kravas-transport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6A1F9-A348-4606-9545-2E0BC47F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3</Pages>
  <Words>843</Words>
  <Characters>5747</Characters>
  <Application>Microsoft Office Word</Application>
  <DocSecurity>0</DocSecurity>
  <Lines>191</Lines>
  <Paragraphs>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2009.gada 29.septembra noteikumos Nr.1104 „Noteikumi par valsts autoceļu un valsts autoceļu maršrutā ietverto pašvaldībām piederošo autoceļu posmu sarakstiem””</vt:lpstr>
      <vt:lpstr>Ministru kabineta noteikumu projekts „Grozījumi Ministru kabineta 2009.gada 29.septembra noteikumos Nr.1104 „Noteikumi par valsts autoceļu un valsts autoceļu maršrutā ietverto pašvaldībām piederošo autoceļu posmu sarakstiem””</vt:lpstr>
    </vt:vector>
  </TitlesOfParts>
  <Company>Microsoft</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29.septembra noteikumos Nr.1104 „Noteikumi par valsts autoceļu un valsts autoceļu maršrutā ietverto pašvaldībām piederošo autoceļu posmu sarakstiem””</dc:title>
  <dc:creator>Dace.Supe@sam.gov.lv</dc:creator>
  <cp:keywords>anotācija</cp:keywords>
  <dc:description>dace.supe@sam.gov.lv, 67028253; andra.granita@lvceli.lv, 67028157</dc:description>
  <cp:lastModifiedBy>Andra Granīta</cp:lastModifiedBy>
  <cp:revision>12</cp:revision>
  <cp:lastPrinted>2016-07-18T10:48:00Z</cp:lastPrinted>
  <dcterms:created xsi:type="dcterms:W3CDTF">2017-06-14T12:02:00Z</dcterms:created>
  <dcterms:modified xsi:type="dcterms:W3CDTF">2017-08-02T09:58:00Z</dcterms:modified>
</cp:coreProperties>
</file>