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13E9F" w14:textId="77777777" w:rsidR="00F11842" w:rsidRPr="00550FE9" w:rsidRDefault="00261291" w:rsidP="00261291">
      <w:pPr>
        <w:pStyle w:val="naislab"/>
        <w:spacing w:before="0" w:after="0"/>
        <w:jc w:val="center"/>
        <w:outlineLvl w:val="0"/>
        <w:rPr>
          <w:b/>
        </w:rPr>
      </w:pPr>
      <w:r w:rsidRPr="00550FE9">
        <w:rPr>
          <w:b/>
        </w:rPr>
        <w:t>Ministru kabineta rīkojuma projekta</w:t>
      </w:r>
    </w:p>
    <w:p w14:paraId="665C1AB9" w14:textId="0B194C91" w:rsidR="00261291" w:rsidRPr="00550FE9" w:rsidRDefault="00261291" w:rsidP="00261291">
      <w:pPr>
        <w:pStyle w:val="naislab"/>
        <w:spacing w:before="0" w:after="0"/>
        <w:jc w:val="center"/>
        <w:outlineLvl w:val="0"/>
        <w:rPr>
          <w:b/>
        </w:rPr>
      </w:pPr>
      <w:r w:rsidRPr="00550FE9">
        <w:rPr>
          <w:b/>
        </w:rPr>
        <w:t>„</w:t>
      </w:r>
      <w:r w:rsidR="00F11842" w:rsidRPr="00550FE9">
        <w:rPr>
          <w:b/>
        </w:rPr>
        <w:t xml:space="preserve">Par valstij dividendēs izmaksājamo valsts akciju sabiedrības “Latvijas gaisa satiksme” peļņas daļu par </w:t>
      </w:r>
      <w:r w:rsidR="00152218" w:rsidRPr="00550FE9">
        <w:rPr>
          <w:b/>
        </w:rPr>
        <w:t>2016</w:t>
      </w:r>
      <w:r w:rsidR="00F11842" w:rsidRPr="00550FE9">
        <w:rPr>
          <w:b/>
        </w:rPr>
        <w:t>.gadu</w:t>
      </w:r>
      <w:r w:rsidRPr="00550FE9">
        <w:rPr>
          <w:b/>
        </w:rPr>
        <w:t>” sākotnējās ietekmes novērtējuma ziņojums (anotācija)</w:t>
      </w:r>
    </w:p>
    <w:p w14:paraId="767A178D" w14:textId="77777777" w:rsidR="00261291" w:rsidRPr="00550FE9" w:rsidRDefault="00261291" w:rsidP="00261291">
      <w:pPr>
        <w:pStyle w:val="naislab"/>
        <w:spacing w:before="0" w:after="0"/>
        <w:jc w:val="center"/>
        <w:outlineLvl w:val="0"/>
        <w:rPr>
          <w:b/>
        </w:rPr>
      </w:pPr>
    </w:p>
    <w:tbl>
      <w:tblPr>
        <w:tblpPr w:leftFromText="180" w:rightFromText="180" w:vertAnchor="text" w:horzAnchor="margin" w:tblpXSpec="center" w:tblpY="149"/>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423"/>
        <w:gridCol w:w="7315"/>
      </w:tblGrid>
      <w:tr w:rsidR="00261291" w:rsidRPr="00550FE9" w14:paraId="57408A5D" w14:textId="77777777" w:rsidTr="00CB3FDC">
        <w:tc>
          <w:tcPr>
            <w:tcW w:w="9163" w:type="dxa"/>
            <w:gridSpan w:val="3"/>
            <w:vAlign w:val="center"/>
          </w:tcPr>
          <w:p w14:paraId="44E66F16" w14:textId="77777777" w:rsidR="00261291" w:rsidRPr="00550FE9" w:rsidRDefault="00261291" w:rsidP="00D26C2D">
            <w:pPr>
              <w:pStyle w:val="naisnod"/>
              <w:spacing w:before="0" w:after="0"/>
            </w:pPr>
            <w:r w:rsidRPr="00550FE9">
              <w:t>I. Tiesību akta projekta izstrādes nepieciešamība</w:t>
            </w:r>
          </w:p>
        </w:tc>
      </w:tr>
      <w:tr w:rsidR="00261291" w:rsidRPr="00550FE9" w14:paraId="58B983F0" w14:textId="77777777" w:rsidTr="00CB3FDC">
        <w:trPr>
          <w:trHeight w:val="630"/>
        </w:trPr>
        <w:tc>
          <w:tcPr>
            <w:tcW w:w="425" w:type="dxa"/>
          </w:tcPr>
          <w:p w14:paraId="6208F6C9" w14:textId="77777777" w:rsidR="00261291" w:rsidRPr="00550FE9" w:rsidRDefault="00261291" w:rsidP="00D26C2D">
            <w:pPr>
              <w:pStyle w:val="naiskr"/>
              <w:spacing w:before="0" w:after="0"/>
            </w:pPr>
            <w:r w:rsidRPr="00550FE9">
              <w:t>1.</w:t>
            </w:r>
          </w:p>
        </w:tc>
        <w:tc>
          <w:tcPr>
            <w:tcW w:w="1423" w:type="dxa"/>
          </w:tcPr>
          <w:p w14:paraId="0CF07788" w14:textId="77777777" w:rsidR="00261291" w:rsidRPr="00550FE9" w:rsidRDefault="00261291" w:rsidP="00D26C2D">
            <w:pPr>
              <w:pStyle w:val="naiskr"/>
              <w:spacing w:before="0" w:after="0"/>
              <w:ind w:left="142" w:hanging="10"/>
            </w:pPr>
            <w:r w:rsidRPr="00550FE9">
              <w:t>Pamatojums</w:t>
            </w:r>
          </w:p>
        </w:tc>
        <w:tc>
          <w:tcPr>
            <w:tcW w:w="7315" w:type="dxa"/>
          </w:tcPr>
          <w:p w14:paraId="00264F36" w14:textId="77777777" w:rsidR="00261291" w:rsidRPr="00550FE9" w:rsidRDefault="00746658" w:rsidP="000D5CC6">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5.punkts, kas paredz, ka Ministru kabinets pēc valsts kapitāla daļu turētāja pamatota priekšlikuma ar Ministru kabineta rīkojumu var atļaut noteikt kapitālsabiedrības stratēģijā atšķirīgu prognozējamo dividendēs izmaksājamo peļņas daļu par attiecīgo pārskata gadu.</w:t>
            </w:r>
          </w:p>
        </w:tc>
      </w:tr>
      <w:tr w:rsidR="00261291" w:rsidRPr="00550FE9" w14:paraId="6C6FCD56" w14:textId="77777777" w:rsidTr="00CB3FDC">
        <w:trPr>
          <w:trHeight w:val="472"/>
        </w:trPr>
        <w:tc>
          <w:tcPr>
            <w:tcW w:w="425" w:type="dxa"/>
          </w:tcPr>
          <w:p w14:paraId="6007664E" w14:textId="77777777" w:rsidR="00261291" w:rsidRPr="00550FE9" w:rsidRDefault="00261291" w:rsidP="00D26C2D">
            <w:pPr>
              <w:pStyle w:val="naiskr"/>
              <w:spacing w:before="0" w:after="0"/>
            </w:pPr>
            <w:r w:rsidRPr="00550FE9">
              <w:t>2.</w:t>
            </w:r>
          </w:p>
        </w:tc>
        <w:tc>
          <w:tcPr>
            <w:tcW w:w="1423" w:type="dxa"/>
          </w:tcPr>
          <w:p w14:paraId="16EC9794" w14:textId="77777777" w:rsidR="00261291" w:rsidRPr="00550FE9" w:rsidRDefault="00261291" w:rsidP="00D26C2D">
            <w:pPr>
              <w:pStyle w:val="naiskr"/>
              <w:tabs>
                <w:tab w:val="left" w:pos="170"/>
              </w:tabs>
              <w:spacing w:before="0" w:after="0"/>
              <w:ind w:left="142"/>
            </w:pPr>
            <w:r w:rsidRPr="00550FE9">
              <w:t>Pašreizējā situācija un problēmas, kuru risināšanai tiesību akta projekts izstrādāts, tiesiskā regulējuma mērķis un būtība</w:t>
            </w:r>
          </w:p>
        </w:tc>
        <w:tc>
          <w:tcPr>
            <w:tcW w:w="7315" w:type="dxa"/>
          </w:tcPr>
          <w:p w14:paraId="0D7FC90F" w14:textId="77777777" w:rsidR="00CA058C" w:rsidRPr="00550FE9" w:rsidRDefault="00261291" w:rsidP="00CA058C">
            <w:pPr>
              <w:pStyle w:val="naiskr"/>
              <w:ind w:left="132" w:right="248" w:firstLine="425"/>
              <w:jc w:val="both"/>
              <w:rPr>
                <w:rFonts w:eastAsiaTheme="minorHAnsi"/>
                <w:color w:val="000000"/>
                <w:lang w:eastAsia="en-US"/>
              </w:rPr>
            </w:pPr>
            <w:r w:rsidRPr="00550FE9">
              <w:t>Valsts akciju sabiedrība „Latvijas g</w:t>
            </w:r>
            <w:r w:rsidR="00746658" w:rsidRPr="00550FE9">
              <w:t>aisa satiksme” (t</w:t>
            </w:r>
            <w:r w:rsidR="000D5CC6" w:rsidRPr="00550FE9">
              <w:t>urpmāk</w:t>
            </w:r>
            <w:r w:rsidR="00746658" w:rsidRPr="00550FE9">
              <w:t xml:space="preserve"> - LGS)</w:t>
            </w:r>
            <w:r w:rsidR="007D04AC" w:rsidRPr="00550FE9">
              <w:rPr>
                <w:rFonts w:eastAsiaTheme="minorHAnsi"/>
                <w:color w:val="000000"/>
                <w:lang w:eastAsia="en-US"/>
              </w:rPr>
              <w:t xml:space="preserve"> ir 100% pašfinansējoša </w:t>
            </w:r>
            <w:r w:rsidR="00746658" w:rsidRPr="00550FE9">
              <w:rPr>
                <w:rFonts w:eastAsiaTheme="minorHAnsi"/>
                <w:color w:val="000000"/>
                <w:lang w:eastAsia="en-US"/>
              </w:rPr>
              <w:t xml:space="preserve">kapitālsabiedrība, līdz ar to LGS netiek subsidēta no valsts budžeta un nesaņem nekāda veida valsts dotācijas. LGS galvenais mērķis ir nodrošināt ar aeronavigācijas pakalpojumiem visus gaisa telpas lietotājus Latvijas gaisa telpā jeb Rīgas Lidojumu informācijas rajonā (Rīgas LIR), tādējādi LGS sniedz aeronavigācijas pakalpojumus ne tikai vietējām aviokompānijām, bet galvenokārt starptautiskajiem gaisa telpas lietotājiem. </w:t>
            </w:r>
          </w:p>
          <w:p w14:paraId="7A50F214" w14:textId="6FE035C6" w:rsidR="00746658" w:rsidRPr="00550FE9" w:rsidRDefault="00746658" w:rsidP="00746658">
            <w:pPr>
              <w:autoSpaceDE w:val="0"/>
              <w:autoSpaceDN w:val="0"/>
              <w:adjustRightInd w:val="0"/>
              <w:ind w:left="132" w:right="248" w:firstLine="425"/>
              <w:jc w:val="both"/>
              <w:rPr>
                <w:rFonts w:eastAsiaTheme="minorHAnsi"/>
                <w:color w:val="000000"/>
                <w:lang w:eastAsia="en-US"/>
              </w:rPr>
            </w:pPr>
            <w:r w:rsidRPr="00550FE9">
              <w:rPr>
                <w:rFonts w:eastAsiaTheme="minorHAnsi"/>
                <w:color w:val="000000"/>
                <w:lang w:eastAsia="en-US"/>
              </w:rPr>
              <w:t xml:space="preserve">Saskaņā ar apstiprinātajiem </w:t>
            </w:r>
            <w:r w:rsidR="007950C5" w:rsidRPr="00550FE9">
              <w:rPr>
                <w:rFonts w:eastAsiaTheme="minorHAnsi"/>
                <w:color w:val="000000"/>
                <w:lang w:eastAsia="en-US"/>
              </w:rPr>
              <w:t>2016</w:t>
            </w:r>
            <w:r w:rsidRPr="00550FE9">
              <w:rPr>
                <w:rFonts w:eastAsiaTheme="minorHAnsi"/>
                <w:color w:val="000000"/>
                <w:lang w:eastAsia="en-US"/>
              </w:rPr>
              <w:t xml:space="preserve">.gada finanšu rezultātiem LGS peļņa </w:t>
            </w:r>
            <w:r w:rsidR="007950C5" w:rsidRPr="00550FE9">
              <w:rPr>
                <w:rFonts w:eastAsiaTheme="minorHAnsi"/>
                <w:color w:val="000000"/>
                <w:lang w:eastAsia="en-US"/>
              </w:rPr>
              <w:t>2016</w:t>
            </w:r>
            <w:r w:rsidRPr="00550FE9">
              <w:rPr>
                <w:rFonts w:eastAsiaTheme="minorHAnsi"/>
                <w:color w:val="000000"/>
                <w:lang w:eastAsia="en-US"/>
              </w:rPr>
              <w:t xml:space="preserve">.gadā ir EUR </w:t>
            </w:r>
            <w:r w:rsidR="007950C5" w:rsidRPr="00550FE9">
              <w:rPr>
                <w:rFonts w:eastAsiaTheme="minorHAnsi"/>
                <w:color w:val="000000"/>
                <w:lang w:eastAsia="en-US"/>
              </w:rPr>
              <w:t>335 738</w:t>
            </w:r>
            <w:r w:rsidRPr="00550FE9">
              <w:rPr>
                <w:rFonts w:eastAsiaTheme="minorHAnsi"/>
                <w:color w:val="000000"/>
                <w:lang w:eastAsia="en-US"/>
              </w:rPr>
              <w:t>.</w:t>
            </w:r>
          </w:p>
          <w:p w14:paraId="0E63DADC" w14:textId="154F51A2"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Saskaņā ar </w:t>
            </w:r>
            <w:r w:rsidR="00F47CA9">
              <w:t xml:space="preserve"> </w:t>
            </w:r>
            <w:r w:rsidR="00F47CA9" w:rsidRPr="00F47CA9">
              <w:rPr>
                <w:rFonts w:eastAsiaTheme="minorHAnsi"/>
                <w:color w:val="000000"/>
                <w:lang w:eastAsia="en-US"/>
              </w:rPr>
              <w:t xml:space="preserve">likuma “Par valsts budžetu 2017.gadam” 43.pantu minimālā dividendēs izmaksājamā peļņas daļa par 2016. pārskata gadu kapitālsabiedrībai ir 85 % no pārskata perioda peļņas. Valsts kasē par 2016.gadu būtu jāieskaita dividendes </w:t>
            </w:r>
            <w:r w:rsidR="00F47CA9">
              <w:rPr>
                <w:rFonts w:eastAsiaTheme="minorHAnsi"/>
                <w:color w:val="000000"/>
                <w:lang w:eastAsia="en-US"/>
              </w:rPr>
              <w:t>285 377</w:t>
            </w:r>
            <w:r w:rsidR="00F47CA9" w:rsidRPr="00F47CA9">
              <w:rPr>
                <w:rFonts w:eastAsiaTheme="minorHAnsi"/>
                <w:color w:val="000000"/>
                <w:lang w:eastAsia="en-US"/>
              </w:rPr>
              <w:t xml:space="preserve"> EUR apmērā.</w:t>
            </w:r>
            <w:r w:rsidR="00CB3FDC" w:rsidRPr="00550FE9">
              <w:rPr>
                <w:rFonts w:eastAsiaTheme="minorHAnsi"/>
                <w:color w:val="000000"/>
                <w:lang w:eastAsia="en-US"/>
              </w:rPr>
              <w:t xml:space="preserve"> </w:t>
            </w:r>
          </w:p>
          <w:p w14:paraId="27CFEB7C" w14:textId="3D56D048"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Pamata principus tarifikācijas procesam nosaka Eiropas Parlamenta un Padomes </w:t>
            </w:r>
            <w:r w:rsidR="00F11842" w:rsidRPr="00550FE9">
              <w:rPr>
                <w:rFonts w:eastAsiaTheme="minorHAnsi"/>
                <w:color w:val="000000"/>
                <w:lang w:eastAsia="en-US"/>
              </w:rPr>
              <w:t>2004.gada 10.marta r</w:t>
            </w:r>
            <w:r w:rsidRPr="00550FE9">
              <w:rPr>
                <w:rFonts w:eastAsiaTheme="minorHAnsi"/>
                <w:color w:val="000000"/>
                <w:lang w:eastAsia="en-US"/>
              </w:rPr>
              <w:t>egula Nr.</w:t>
            </w:r>
            <w:r w:rsidR="00F11842" w:rsidRPr="00550FE9">
              <w:rPr>
                <w:rFonts w:eastAsiaTheme="minorHAnsi"/>
                <w:color w:val="000000"/>
                <w:lang w:eastAsia="en-US"/>
              </w:rPr>
              <w:t> 550/2004</w:t>
            </w:r>
            <w:r w:rsidRPr="00550FE9">
              <w:rPr>
                <w:rFonts w:eastAsiaTheme="minorHAnsi"/>
                <w:color w:val="000000"/>
                <w:lang w:eastAsia="en-US"/>
              </w:rPr>
              <w:t xml:space="preserve"> par aeronavigācijas pakalpojumu sniegšanu vienotajā Eiropas gaisa telpā (</w:t>
            </w:r>
            <w:r w:rsidR="007E3EC0">
              <w:rPr>
                <w:rFonts w:eastAsiaTheme="minorHAnsi"/>
                <w:color w:val="000000"/>
                <w:lang w:eastAsia="en-US"/>
              </w:rPr>
              <w:t>turpmāk –</w:t>
            </w:r>
            <w:r w:rsidRPr="00550FE9">
              <w:rPr>
                <w:rFonts w:eastAsiaTheme="minorHAnsi"/>
                <w:color w:val="000000"/>
                <w:lang w:eastAsia="en-US"/>
              </w:rPr>
              <w:t xml:space="preserve"> </w:t>
            </w:r>
            <w:r w:rsidR="007E3EC0">
              <w:rPr>
                <w:rFonts w:eastAsiaTheme="minorHAnsi"/>
                <w:color w:val="000000"/>
                <w:lang w:eastAsia="en-US"/>
              </w:rPr>
              <w:t>R</w:t>
            </w:r>
            <w:r w:rsidRPr="00550FE9">
              <w:rPr>
                <w:rFonts w:eastAsiaTheme="minorHAnsi"/>
                <w:color w:val="000000"/>
                <w:lang w:eastAsia="en-US"/>
              </w:rPr>
              <w:t>egula</w:t>
            </w:r>
            <w:r w:rsidR="007E3EC0">
              <w:rPr>
                <w:rFonts w:eastAsiaTheme="minorHAnsi"/>
                <w:color w:val="000000"/>
                <w:lang w:eastAsia="en-US"/>
              </w:rPr>
              <w:t xml:space="preserve"> </w:t>
            </w:r>
            <w:r w:rsidR="007E3EC0" w:rsidRPr="007E3EC0">
              <w:rPr>
                <w:rFonts w:eastAsiaTheme="minorHAnsi"/>
                <w:color w:val="000000"/>
                <w:lang w:eastAsia="en-US"/>
              </w:rPr>
              <w:t>Nr. 550/2004</w:t>
            </w:r>
            <w:r w:rsidRPr="00550FE9">
              <w:rPr>
                <w:rFonts w:eastAsiaTheme="minorHAnsi"/>
                <w:color w:val="000000"/>
                <w:lang w:eastAsia="en-US"/>
              </w:rPr>
              <w:t>), un proti, regulas III nodaļa.</w:t>
            </w:r>
            <w:r w:rsidR="00CB3FDC" w:rsidRPr="00550FE9">
              <w:rPr>
                <w:rFonts w:eastAsiaTheme="minorHAnsi"/>
                <w:color w:val="000000"/>
                <w:lang w:eastAsia="en-US"/>
              </w:rPr>
              <w:t xml:space="preserve"> </w:t>
            </w:r>
            <w:r w:rsidRPr="00550FE9">
              <w:rPr>
                <w:rFonts w:eastAsiaTheme="minorHAnsi"/>
                <w:color w:val="000000"/>
                <w:lang w:eastAsia="en-US"/>
              </w:rPr>
              <w:t>Kā viens no principiem minētās nodaļas 15.panta 3.punkta „d” apakšpunktā noteikts, ka aeronavigācijas pakalpojumi var dot pietiekamus ieņēmumus, kas nodrošina pamatotu atdevi no aktīviem, lai veidotu vajadzīgos kapitālieguldījumus.</w:t>
            </w:r>
          </w:p>
          <w:p w14:paraId="6E89CB69" w14:textId="6187CE53" w:rsidR="00746658" w:rsidRPr="00550FE9" w:rsidRDefault="007950C5"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Vienību maksu </w:t>
            </w:r>
            <w:r w:rsidR="00746658" w:rsidRPr="00550FE9">
              <w:rPr>
                <w:rFonts w:eastAsiaTheme="minorHAnsi"/>
                <w:color w:val="000000"/>
                <w:lang w:eastAsia="en-US"/>
              </w:rPr>
              <w:t>veidošanas nosacījumus reglamentē Eiropas Komisijas 2013.gada 3.maija Regula Nr.391/2013</w:t>
            </w:r>
            <w:r w:rsidR="00F11842" w:rsidRPr="00550FE9">
              <w:rPr>
                <w:rFonts w:eastAsiaTheme="minorHAnsi"/>
                <w:color w:val="000000"/>
                <w:lang w:eastAsia="en-US"/>
              </w:rPr>
              <w:t>,</w:t>
            </w:r>
            <w:r w:rsidR="00746658" w:rsidRPr="00550FE9">
              <w:rPr>
                <w:rFonts w:eastAsiaTheme="minorHAnsi"/>
                <w:color w:val="000000"/>
                <w:lang w:eastAsia="en-US"/>
              </w:rPr>
              <w:t xml:space="preserve"> ar ko nosaka kopējās tarifikācijas sistēmu aeronavigācijas pakalpojumiem (turpmāk – Regula 391/2013). </w:t>
            </w:r>
          </w:p>
          <w:p w14:paraId="10FD2237" w14:textId="12A63FED" w:rsidR="00746658" w:rsidRPr="00550FE9" w:rsidRDefault="007950C5" w:rsidP="00640144">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Saskaņā ar </w:t>
            </w:r>
            <w:r w:rsidR="007E3EC0">
              <w:t xml:space="preserve"> </w:t>
            </w:r>
            <w:r w:rsidR="007E3EC0" w:rsidRPr="007E3EC0">
              <w:rPr>
                <w:rFonts w:eastAsiaTheme="minorHAnsi"/>
                <w:color w:val="000000"/>
                <w:lang w:eastAsia="en-US"/>
              </w:rPr>
              <w:t>Regula Nr. 550/2004</w:t>
            </w:r>
            <w:r w:rsidR="007E3EC0">
              <w:rPr>
                <w:rFonts w:eastAsiaTheme="minorHAnsi"/>
                <w:color w:val="000000"/>
                <w:lang w:eastAsia="en-US"/>
              </w:rPr>
              <w:t xml:space="preserve"> </w:t>
            </w:r>
            <w:r w:rsidR="00E74349" w:rsidRPr="00550FE9">
              <w:rPr>
                <w:rFonts w:eastAsiaTheme="minorHAnsi"/>
                <w:color w:val="000000"/>
                <w:lang w:eastAsia="en-US"/>
              </w:rPr>
              <w:t xml:space="preserve">15.pantu 1.punktu, tarifikācijas sistēma pamatojas uz to aeronavigācijas pakalpojumu izmaksu uzskaiti, kas pakalpojumu sniedzējiem rodas par labu gaisa telpas izmantotājiem. Regulas 391/2013 6.pantā </w:t>
            </w:r>
            <w:r w:rsidR="00746658" w:rsidRPr="00550FE9">
              <w:rPr>
                <w:rFonts w:eastAsiaTheme="minorHAnsi"/>
                <w:color w:val="000000"/>
                <w:lang w:eastAsia="en-US"/>
              </w:rPr>
              <w:t xml:space="preserve">ir strikti definēts, kādas izmaksas var tikt attiecinātas uz aeronavigācijas pakalpojumu sniegšanu. </w:t>
            </w:r>
            <w:r w:rsidR="00E74349" w:rsidRPr="00550FE9">
              <w:rPr>
                <w:rFonts w:eastAsiaTheme="minorHAnsi"/>
                <w:color w:val="000000"/>
                <w:lang w:eastAsia="en-US"/>
              </w:rPr>
              <w:t xml:space="preserve">Īpaši izceļams ir Regulas 391/2013 6.panta 3.punkts, kas nosaka, ka daļu no ienākumiem, kuri izriet no aeronavigācijas maksājumiem, var izmantot, lai finansētu kopīgus projektus ar tīklu saistītām funkcijām, kas ir īpaši svarīgi, lai kopumā uzlabotu gaisa satiksmes pārvaldības darbību un aeronavigācijas pakalpojumus. </w:t>
            </w:r>
            <w:r w:rsidR="00746658" w:rsidRPr="00550FE9">
              <w:rPr>
                <w:rFonts w:eastAsiaTheme="minorHAnsi"/>
                <w:color w:val="000000"/>
                <w:lang w:eastAsia="en-US"/>
              </w:rPr>
              <w:t xml:space="preserve">Jebkādas citas izmaksas ir uzskatāmas </w:t>
            </w:r>
            <w:r w:rsidR="00746658" w:rsidRPr="00550FE9">
              <w:rPr>
                <w:rFonts w:eastAsiaTheme="minorHAnsi"/>
                <w:color w:val="000000"/>
                <w:lang w:eastAsia="en-US"/>
              </w:rPr>
              <w:lastRenderedPageBreak/>
              <w:t>par neatbilstošām un neattiecināmām. Regula arī nosaka principu, ka tarifikācijas sistēmai jānodrošina izmaksu bāzes un izmaksu sadalījuma starp dažādiem pakalpojumiem pārredzamība</w:t>
            </w:r>
            <w:r w:rsidR="00E74349" w:rsidRPr="00550FE9">
              <w:rPr>
                <w:rFonts w:eastAsiaTheme="minorHAnsi"/>
                <w:color w:val="000000"/>
                <w:lang w:eastAsia="en-US"/>
              </w:rPr>
              <w:t>, kas nostiprināts Regulas 391/2013 8.pantā.</w:t>
            </w:r>
            <w:r w:rsidR="00746658" w:rsidRPr="00550FE9">
              <w:rPr>
                <w:rFonts w:eastAsiaTheme="minorHAnsi"/>
                <w:color w:val="000000"/>
                <w:lang w:eastAsia="en-US"/>
              </w:rPr>
              <w:t xml:space="preserve"> </w:t>
            </w:r>
            <w:r w:rsidR="00E74349" w:rsidRPr="00550FE9">
              <w:rPr>
                <w:rFonts w:eastAsiaTheme="minorHAnsi"/>
                <w:color w:val="000000"/>
                <w:lang w:eastAsia="en-US"/>
              </w:rPr>
              <w:t>T</w:t>
            </w:r>
            <w:r w:rsidR="00746658" w:rsidRPr="00550FE9">
              <w:rPr>
                <w:rFonts w:eastAsiaTheme="minorHAnsi"/>
                <w:color w:val="000000"/>
                <w:lang w:eastAsia="en-US"/>
              </w:rPr>
              <w:t>ādējādi LGS, apstiprinot tarifu, tajā ir iekļāvusi izmaksas  (kapitāla izmaksas), kuras pieļauj Regulas noteikumi un „peļņa”, kas tiek uzrādīta par 201</w:t>
            </w:r>
            <w:r w:rsidR="00E74349" w:rsidRPr="00550FE9">
              <w:rPr>
                <w:rFonts w:eastAsiaTheme="minorHAnsi"/>
                <w:color w:val="000000"/>
                <w:lang w:eastAsia="en-US"/>
              </w:rPr>
              <w:t>6</w:t>
            </w:r>
            <w:r w:rsidR="00746658" w:rsidRPr="00550FE9">
              <w:rPr>
                <w:rFonts w:eastAsiaTheme="minorHAnsi"/>
                <w:color w:val="000000"/>
                <w:lang w:eastAsia="en-US"/>
              </w:rPr>
              <w:t xml:space="preserve">.gadu, faktiski jau ir iestrādāta tarifā ar nākotnes izlietojumu, atbilstoši Regulas principiem – tikai un vienīgi lai segtu izdevumus, kas rodas saistībā ar aeronavigācijas pakalpojumu  sniegšanu. Ņemot vērā apstākli, ka </w:t>
            </w:r>
            <w:r w:rsidR="00F11842" w:rsidRPr="00550FE9">
              <w:rPr>
                <w:rFonts w:eastAsiaTheme="minorHAnsi"/>
                <w:color w:val="000000"/>
                <w:lang w:eastAsia="en-US"/>
              </w:rPr>
              <w:t>r</w:t>
            </w:r>
            <w:r w:rsidR="00746658" w:rsidRPr="00550FE9">
              <w:rPr>
                <w:rFonts w:eastAsiaTheme="minorHAnsi"/>
                <w:color w:val="000000"/>
                <w:lang w:eastAsia="en-US"/>
              </w:rPr>
              <w:t>egulas nosaka atsevišķas tarifikācijas zonas aeronavigācijas pakalpojumiem termināļa zonā un maršrutā, arī pieļaujamās izmaksas ir iekļautas atsevišķos aprēķinos. Tādējād</w:t>
            </w:r>
            <w:r w:rsidR="00F11842" w:rsidRPr="00550FE9">
              <w:rPr>
                <w:rFonts w:eastAsiaTheme="minorHAnsi"/>
                <w:color w:val="000000"/>
                <w:lang w:eastAsia="en-US"/>
              </w:rPr>
              <w:t>i kapitāla izmaksas (jeb peļņa)</w:t>
            </w:r>
            <w:r w:rsidR="00746658" w:rsidRPr="00550FE9">
              <w:rPr>
                <w:rFonts w:eastAsiaTheme="minorHAnsi"/>
                <w:color w:val="000000"/>
                <w:lang w:eastAsia="en-US"/>
              </w:rPr>
              <w:t xml:space="preserve"> saskaņā ar </w:t>
            </w:r>
            <w:r w:rsidR="00F11842" w:rsidRPr="00550FE9">
              <w:rPr>
                <w:rFonts w:eastAsiaTheme="minorHAnsi"/>
                <w:color w:val="000000"/>
                <w:lang w:eastAsia="en-US"/>
              </w:rPr>
              <w:t xml:space="preserve">regulu prasībām </w:t>
            </w:r>
            <w:r w:rsidR="00746658" w:rsidRPr="00550FE9">
              <w:rPr>
                <w:rFonts w:eastAsiaTheme="minorHAnsi"/>
                <w:color w:val="000000"/>
                <w:lang w:eastAsia="en-US"/>
              </w:rPr>
              <w:t>tiek aprēķināta</w:t>
            </w:r>
            <w:r w:rsidR="00F11842" w:rsidRPr="00550FE9">
              <w:rPr>
                <w:rFonts w:eastAsiaTheme="minorHAnsi"/>
                <w:color w:val="000000"/>
                <w:lang w:eastAsia="en-US"/>
              </w:rPr>
              <w:t>s</w:t>
            </w:r>
            <w:r w:rsidR="00746658" w:rsidRPr="00550FE9">
              <w:rPr>
                <w:rFonts w:eastAsiaTheme="minorHAnsi"/>
                <w:color w:val="000000"/>
                <w:lang w:eastAsia="en-US"/>
              </w:rPr>
              <w:t xml:space="preserve"> atsevišķi. </w:t>
            </w:r>
          </w:p>
          <w:p w14:paraId="2789F473" w14:textId="77777777"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Peļņa, kas netiks izlietota, lai nodrošinātu aeronavigācijas pakalpojumus nav pieļaujama, jo nav iekļaujama LGS izdevumos saskaņā ar </w:t>
            </w:r>
            <w:r w:rsidR="00F11842" w:rsidRPr="00550FE9">
              <w:rPr>
                <w:rFonts w:eastAsiaTheme="minorHAnsi"/>
                <w:color w:val="000000"/>
                <w:lang w:eastAsia="en-US"/>
              </w:rPr>
              <w:t>r</w:t>
            </w:r>
            <w:r w:rsidRPr="00550FE9">
              <w:rPr>
                <w:rFonts w:eastAsiaTheme="minorHAnsi"/>
                <w:color w:val="000000"/>
                <w:lang w:eastAsia="en-US"/>
              </w:rPr>
              <w:t>egulu noteiktajiem tarifikācijas principiem.</w:t>
            </w:r>
            <w:r w:rsidR="00A9236F" w:rsidRPr="00550FE9">
              <w:rPr>
                <w:rFonts w:eastAsiaTheme="minorHAnsi"/>
                <w:color w:val="000000"/>
                <w:lang w:eastAsia="en-US"/>
              </w:rPr>
              <w:t xml:space="preserve"> </w:t>
            </w:r>
            <w:r w:rsidRPr="00550FE9">
              <w:rPr>
                <w:rFonts w:eastAsiaTheme="minorHAnsi"/>
                <w:color w:val="000000"/>
                <w:lang w:eastAsia="en-US"/>
              </w:rPr>
              <w:t>Konstatējot neatbilstošu izmaksu iekļaušanu tarifā, saskaņā ar Regulas Nr.391/2013 9.pantu ir noteikta procedūra, kādā tiek aktivizēts brīdinājuma mehānisms, kas var būt par iemeslu, lai pārskatītu aprēķināto vienības likmi (tarifu).</w:t>
            </w:r>
          </w:p>
          <w:p w14:paraId="7273A5AF" w14:textId="77777777"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Turklāt, LGS kā sabiedrībai, kas galvenokārt darbojas starptautiskajā vidē, ir jāievēro starptautiskie līgumi (konvencijas), kuri saskaņā ar 1969.gada 23.maija Vīnes Konvencijas par starptautisko līgumu tiesībām 27.pantu un likuma „Par Latvijas Republikas starptautiskajiem līgumiem” ir prioritāte pār nacionālajām tiesību normām.</w:t>
            </w:r>
          </w:p>
          <w:p w14:paraId="2566882D" w14:textId="14F68164" w:rsidR="00C610CA" w:rsidRPr="00550FE9" w:rsidRDefault="00C610CA" w:rsidP="00C610CA">
            <w:pPr>
              <w:autoSpaceDE w:val="0"/>
              <w:autoSpaceDN w:val="0"/>
              <w:adjustRightInd w:val="0"/>
              <w:ind w:left="132" w:right="248" w:firstLine="415"/>
              <w:jc w:val="both"/>
              <w:rPr>
                <w:rFonts w:eastAsiaTheme="minorHAnsi"/>
                <w:color w:val="000000"/>
                <w:lang w:eastAsia="en-US"/>
              </w:rPr>
            </w:pPr>
            <w:r>
              <w:rPr>
                <w:rFonts w:eastAsiaTheme="minorHAnsi"/>
                <w:color w:val="000000"/>
                <w:lang w:eastAsia="en-US"/>
              </w:rPr>
              <w:t>Tādejādi secinām</w:t>
            </w:r>
            <w:r w:rsidR="00836981">
              <w:rPr>
                <w:rFonts w:eastAsiaTheme="minorHAnsi"/>
                <w:color w:val="000000"/>
                <w:lang w:eastAsia="en-US"/>
              </w:rPr>
              <w:t>s</w:t>
            </w:r>
            <w:r>
              <w:rPr>
                <w:rFonts w:eastAsiaTheme="minorHAnsi"/>
                <w:color w:val="000000"/>
                <w:lang w:eastAsia="en-US"/>
              </w:rPr>
              <w:t>, ka,</w:t>
            </w:r>
            <w:r w:rsidRPr="00550FE9">
              <w:rPr>
                <w:rFonts w:eastAsiaTheme="minorHAnsi"/>
                <w:color w:val="000000"/>
                <w:lang w:eastAsia="en-US"/>
              </w:rPr>
              <w:t xml:space="preserve"> nosakot jebkādu dividendēs izmaksājamo peļņas daļu, faktiski tiktu pārkāptas Regulas 391/2013 normas.</w:t>
            </w:r>
          </w:p>
          <w:p w14:paraId="59A81678" w14:textId="77777777"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LGS tehniskajam nodrošinājumam un cilvēkresur</w:t>
            </w:r>
            <w:r w:rsidR="00F11842" w:rsidRPr="00550FE9">
              <w:rPr>
                <w:rFonts w:eastAsiaTheme="minorHAnsi"/>
                <w:color w:val="000000"/>
                <w:lang w:eastAsia="en-US"/>
              </w:rPr>
              <w:t>siem ir jāatbilst starptautiskajiem</w:t>
            </w:r>
            <w:r w:rsidRPr="00550FE9">
              <w:rPr>
                <w:rFonts w:eastAsiaTheme="minorHAnsi"/>
                <w:color w:val="000000"/>
                <w:lang w:eastAsia="en-US"/>
              </w:rPr>
              <w:t xml:space="preserve"> aviācijas normatīviem un jānodrošina atbilstoša Latvijas Republikas starptautisko saistību izpilde pret gaisa telpas lietotājiem. Šo mērķu sasniegšanai, kā arī Darbības uzlabošanas plāna (</w:t>
            </w:r>
            <w:proofErr w:type="spellStart"/>
            <w:r w:rsidRPr="00550FE9">
              <w:rPr>
                <w:rFonts w:eastAsiaTheme="minorHAnsi"/>
                <w:color w:val="000000"/>
                <w:lang w:eastAsia="en-US"/>
              </w:rPr>
              <w:t>Functional</w:t>
            </w:r>
            <w:proofErr w:type="spellEnd"/>
            <w:r w:rsidRPr="00550FE9">
              <w:rPr>
                <w:rFonts w:eastAsiaTheme="minorHAnsi"/>
                <w:color w:val="000000"/>
                <w:lang w:eastAsia="en-US"/>
              </w:rPr>
              <w:t xml:space="preserve"> </w:t>
            </w:r>
            <w:proofErr w:type="spellStart"/>
            <w:r w:rsidRPr="00550FE9">
              <w:rPr>
                <w:rFonts w:eastAsiaTheme="minorHAnsi"/>
                <w:color w:val="000000"/>
                <w:lang w:eastAsia="en-US"/>
              </w:rPr>
              <w:t>airspace</w:t>
            </w:r>
            <w:proofErr w:type="spellEnd"/>
            <w:r w:rsidRPr="00550FE9">
              <w:rPr>
                <w:rFonts w:eastAsiaTheme="minorHAnsi"/>
                <w:color w:val="000000"/>
                <w:lang w:eastAsia="en-US"/>
              </w:rPr>
              <w:t xml:space="preserve"> </w:t>
            </w:r>
            <w:proofErr w:type="spellStart"/>
            <w:r w:rsidRPr="00550FE9">
              <w:rPr>
                <w:rFonts w:eastAsiaTheme="minorHAnsi"/>
                <w:color w:val="000000"/>
                <w:lang w:eastAsia="en-US"/>
              </w:rPr>
              <w:t>blocks</w:t>
            </w:r>
            <w:proofErr w:type="spellEnd"/>
            <w:r w:rsidRPr="00550FE9">
              <w:rPr>
                <w:rFonts w:eastAsiaTheme="minorHAnsi"/>
                <w:color w:val="000000"/>
                <w:lang w:eastAsia="en-US"/>
              </w:rPr>
              <w:t xml:space="preserve"> (FAB) </w:t>
            </w:r>
            <w:proofErr w:type="spellStart"/>
            <w:r w:rsidRPr="00550FE9">
              <w:rPr>
                <w:rFonts w:eastAsiaTheme="minorHAnsi"/>
                <w:color w:val="000000"/>
                <w:lang w:eastAsia="en-US"/>
              </w:rPr>
              <w:t>Performance</w:t>
            </w:r>
            <w:proofErr w:type="spellEnd"/>
            <w:r w:rsidRPr="00550FE9">
              <w:rPr>
                <w:rFonts w:eastAsiaTheme="minorHAnsi"/>
                <w:color w:val="000000"/>
                <w:lang w:eastAsia="en-US"/>
              </w:rPr>
              <w:t xml:space="preserve"> </w:t>
            </w:r>
            <w:proofErr w:type="spellStart"/>
            <w:r w:rsidRPr="00550FE9">
              <w:rPr>
                <w:rFonts w:eastAsiaTheme="minorHAnsi"/>
                <w:color w:val="000000"/>
                <w:lang w:eastAsia="en-US"/>
              </w:rPr>
              <w:t>plan</w:t>
            </w:r>
            <w:proofErr w:type="spellEnd"/>
            <w:r w:rsidRPr="00550FE9">
              <w:rPr>
                <w:rFonts w:eastAsiaTheme="minorHAnsi"/>
                <w:color w:val="000000"/>
                <w:lang w:eastAsia="en-US"/>
              </w:rPr>
              <w:t xml:space="preserve">) ieviešanai nepieciešams veikt investīcijas gan sarežģītu tehnoloģisko iekārtu iegādei (infrastruktūrā) un apkalpošanai, gan lai sagatavotu un uzturētu augsti kvalificētu, starptautiskās sertifikācijas prasībām atbilstošu personālu. </w:t>
            </w:r>
          </w:p>
          <w:p w14:paraId="2072E904" w14:textId="0F173D90"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LGS ir izveidojusi Funkcionālās gaisa telpas bloku ar Ziemeļeiropas valstīm saskaņā ar Vienotas Eiropas Gaisa telpas likumdošanas II. Paketes prasībām. Šobrīd tiek izskatīta Vienotas Eiropas Gaisa telpas likumdošanas II+ paketes prasības, kas prasīs</w:t>
            </w:r>
            <w:r w:rsidR="00C610CA">
              <w:rPr>
                <w:rFonts w:eastAsiaTheme="minorHAnsi"/>
                <w:color w:val="000000"/>
                <w:lang w:eastAsia="en-US"/>
              </w:rPr>
              <w:t xml:space="preserve"> </w:t>
            </w:r>
            <w:r w:rsidRPr="00550FE9">
              <w:rPr>
                <w:rFonts w:eastAsiaTheme="minorHAnsi"/>
                <w:color w:val="000000"/>
                <w:lang w:eastAsia="en-US"/>
              </w:rPr>
              <w:t>papildus finansējumu šā mērķa realizēšanai.</w:t>
            </w:r>
          </w:p>
          <w:p w14:paraId="7361F5BF" w14:textId="58E7C312"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LGS ir viens no lielākajiem Latvijas Republikas nodokļu maksātājiem (</w:t>
            </w:r>
            <w:r w:rsidR="00CD0CA7" w:rsidRPr="00550FE9">
              <w:rPr>
                <w:rFonts w:eastAsiaTheme="minorHAnsi"/>
                <w:color w:val="000000"/>
                <w:lang w:eastAsia="en-US"/>
              </w:rPr>
              <w:t>faktiski samaksātie nodokļi 2016.gadā bija 6 519.4 tūkst. EUR un 2015.gadā – 5 775.8 tūkst. EUR</w:t>
            </w:r>
            <w:r w:rsidRPr="00550FE9">
              <w:rPr>
                <w:rFonts w:eastAsiaTheme="minorHAnsi"/>
                <w:color w:val="000000"/>
                <w:lang w:eastAsia="en-US"/>
              </w:rPr>
              <w:t xml:space="preserve">) un peļņu nesošs uzņēmums </w:t>
            </w:r>
            <w:r w:rsidR="00CD0CA7" w:rsidRPr="00550FE9">
              <w:rPr>
                <w:rFonts w:eastAsiaTheme="minorHAnsi"/>
                <w:color w:val="000000"/>
                <w:lang w:eastAsia="en-US"/>
              </w:rPr>
              <w:t>(tīrā 2016.gada peļņa 335.7 tūkst. EUR un 2015.gadā – 470.9 tūkst. EUR</w:t>
            </w:r>
            <w:r w:rsidRPr="00550FE9">
              <w:rPr>
                <w:rFonts w:eastAsiaTheme="minorHAnsi"/>
                <w:color w:val="000000"/>
                <w:lang w:eastAsia="en-US"/>
              </w:rPr>
              <w:t>).</w:t>
            </w:r>
          </w:p>
          <w:p w14:paraId="16B270ED" w14:textId="77777777" w:rsidR="000F51B8" w:rsidRDefault="00CD0CA7" w:rsidP="000F51B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2016</w:t>
            </w:r>
            <w:r w:rsidR="00746658" w:rsidRPr="00550FE9">
              <w:rPr>
                <w:rFonts w:eastAsiaTheme="minorHAnsi"/>
                <w:color w:val="000000"/>
                <w:lang w:eastAsia="en-US"/>
              </w:rPr>
              <w:t>.gada laikā tika novērots mērens kopējo lidojumu skaita pieaugums (par 0.</w:t>
            </w:r>
            <w:r w:rsidRPr="00550FE9">
              <w:rPr>
                <w:rFonts w:eastAsiaTheme="minorHAnsi"/>
                <w:color w:val="000000"/>
                <w:lang w:eastAsia="en-US"/>
              </w:rPr>
              <w:t>7</w:t>
            </w:r>
            <w:r w:rsidR="00746658" w:rsidRPr="00550FE9">
              <w:rPr>
                <w:rFonts w:eastAsiaTheme="minorHAnsi"/>
                <w:color w:val="000000"/>
                <w:lang w:eastAsia="en-US"/>
              </w:rPr>
              <w:t xml:space="preserve">%), salīdzinot ar </w:t>
            </w:r>
            <w:r w:rsidRPr="00550FE9">
              <w:rPr>
                <w:rFonts w:eastAsiaTheme="minorHAnsi"/>
                <w:color w:val="000000"/>
                <w:lang w:eastAsia="en-US"/>
              </w:rPr>
              <w:t>2015</w:t>
            </w:r>
            <w:r w:rsidR="00746658" w:rsidRPr="00550FE9">
              <w:rPr>
                <w:rFonts w:eastAsiaTheme="minorHAnsi"/>
                <w:color w:val="000000"/>
                <w:lang w:eastAsia="en-US"/>
              </w:rPr>
              <w:t xml:space="preserve">.gadu, salīdzinot ar </w:t>
            </w:r>
            <w:r w:rsidRPr="00550FE9">
              <w:rPr>
                <w:rFonts w:eastAsiaTheme="minorHAnsi"/>
                <w:color w:val="000000"/>
                <w:lang w:eastAsia="en-US"/>
              </w:rPr>
              <w:t>2014</w:t>
            </w:r>
            <w:r w:rsidR="00746658" w:rsidRPr="00550FE9">
              <w:rPr>
                <w:rFonts w:eastAsiaTheme="minorHAnsi"/>
                <w:color w:val="000000"/>
                <w:lang w:eastAsia="en-US"/>
              </w:rPr>
              <w:t xml:space="preserve">.gadu, pieaugums bija </w:t>
            </w:r>
            <w:r w:rsidRPr="00550FE9">
              <w:rPr>
                <w:rFonts w:eastAsiaTheme="minorHAnsi"/>
                <w:color w:val="000000"/>
                <w:lang w:eastAsia="en-US"/>
              </w:rPr>
              <w:t>1.5</w:t>
            </w:r>
            <w:r w:rsidR="00746658" w:rsidRPr="00550FE9">
              <w:rPr>
                <w:rFonts w:eastAsiaTheme="minorHAnsi"/>
                <w:color w:val="000000"/>
                <w:lang w:eastAsia="en-US"/>
              </w:rPr>
              <w:t xml:space="preserve">%. Vienlaikus, Eiropas Komisija ir uzlikusi dalībvalstīm par pienākumu samazināt vienības maksu, kas ir viens no </w:t>
            </w:r>
            <w:r w:rsidR="00746658" w:rsidRPr="00550FE9">
              <w:rPr>
                <w:rFonts w:eastAsiaTheme="minorHAnsi"/>
                <w:color w:val="000000"/>
                <w:lang w:eastAsia="en-US"/>
              </w:rPr>
              <w:lastRenderedPageBreak/>
              <w:t>darbības pamata rādītājiem, kas tiek stingri regulēts ar NEFAB darbības uzlabošanas palīdzību otrajā atskaites periodā (2015-2019).</w:t>
            </w:r>
          </w:p>
          <w:p w14:paraId="45BB7BEB" w14:textId="77777777" w:rsidR="000F51B8" w:rsidRDefault="00746658" w:rsidP="000F51B8">
            <w:pPr>
              <w:autoSpaceDE w:val="0"/>
              <w:autoSpaceDN w:val="0"/>
              <w:adjustRightInd w:val="0"/>
              <w:ind w:left="132" w:right="248" w:firstLine="415"/>
              <w:jc w:val="both"/>
            </w:pPr>
            <w:r w:rsidRPr="00550FE9">
              <w:rPr>
                <w:rFonts w:eastAsiaTheme="minorHAnsi"/>
                <w:color w:val="000000"/>
                <w:lang w:eastAsia="en-US"/>
              </w:rPr>
              <w:t xml:space="preserve">Pēdējo gadu laikā tehniskās modernizācijas ietvaros ir īstenoti vairāki </w:t>
            </w:r>
            <w:r w:rsidR="000F51B8">
              <w:rPr>
                <w:rFonts w:eastAsiaTheme="minorHAnsi"/>
                <w:color w:val="000000"/>
                <w:lang w:eastAsia="en-US"/>
              </w:rPr>
              <w:t>nozīmīgi</w:t>
            </w:r>
            <w:r w:rsidRPr="00550FE9">
              <w:rPr>
                <w:rFonts w:eastAsiaTheme="minorHAnsi"/>
                <w:color w:val="000000"/>
                <w:lang w:eastAsia="en-US"/>
              </w:rPr>
              <w:t xml:space="preserve"> projekti, nodrošinot tehnoloģisko procesu kvalitātes un lidojumu drošības </w:t>
            </w:r>
            <w:r w:rsidR="000F51B8">
              <w:rPr>
                <w:rFonts w:eastAsiaTheme="minorHAnsi"/>
                <w:color w:val="000000"/>
                <w:lang w:eastAsia="en-US"/>
              </w:rPr>
              <w:t>būtisku</w:t>
            </w:r>
            <w:r w:rsidRPr="00550FE9">
              <w:rPr>
                <w:rFonts w:eastAsiaTheme="minorHAnsi"/>
                <w:color w:val="000000"/>
                <w:lang w:eastAsia="en-US"/>
              </w:rPr>
              <w:t xml:space="preserve"> paaugstināšanos. Lai uzturētu drošus un kvalitatīvus pakalpojumus un īstenotu regulas prasības, nepieciešams uzturēt augstu personāla kvalifikāciju, ieviest jaunākās darba tehnoloģijas un veikt pasākumus dispečeru noslogotības samazināšanai. </w:t>
            </w:r>
            <w:r w:rsidR="00550FE9" w:rsidRPr="00550FE9">
              <w:t xml:space="preserve">2016. gadā </w:t>
            </w:r>
            <w:r w:rsidR="000F51B8">
              <w:t>LGS</w:t>
            </w:r>
            <w:r w:rsidR="00550FE9" w:rsidRPr="00550FE9">
              <w:t xml:space="preserve"> ir realizējusi un </w:t>
            </w:r>
            <w:r w:rsidR="000F51B8">
              <w:t>turpina</w:t>
            </w:r>
            <w:r w:rsidR="00550FE9" w:rsidRPr="00550FE9">
              <w:t xml:space="preserve"> ieviest šādus</w:t>
            </w:r>
            <w:r w:rsidR="000F51B8">
              <w:t xml:space="preserve"> galvenos projektus:</w:t>
            </w:r>
          </w:p>
          <w:p w14:paraId="344A9D95" w14:textId="4CF54762" w:rsidR="008A4F7E" w:rsidRPr="00836981" w:rsidRDefault="008A4F7E" w:rsidP="000F51B8">
            <w:pPr>
              <w:pStyle w:val="ListParagraph"/>
              <w:numPr>
                <w:ilvl w:val="0"/>
                <w:numId w:val="5"/>
              </w:numPr>
              <w:autoSpaceDE w:val="0"/>
              <w:autoSpaceDN w:val="0"/>
              <w:adjustRightInd w:val="0"/>
              <w:ind w:right="248"/>
              <w:jc w:val="both"/>
              <w:rPr>
                <w:rFonts w:eastAsiaTheme="minorHAnsi"/>
                <w:color w:val="000000"/>
                <w:lang w:eastAsia="en-US"/>
              </w:rPr>
            </w:pPr>
            <w:r>
              <w:rPr>
                <w:rFonts w:eastAsiaTheme="minorHAnsi"/>
                <w:color w:val="000000"/>
                <w:lang w:eastAsia="en-US"/>
              </w:rPr>
              <w:t xml:space="preserve">2016.gada 2.ceturksnī tika gūts atbalsts jauna GSV torņa būvniecībai un aprīkošanai. Esošais Rīgas GSV tornis ir celts 1973.gadā un tā novietojums, ņemot vērā lidostas “Rīga” attīstību, </w:t>
            </w:r>
            <w:r w:rsidR="00B937B0">
              <w:rPr>
                <w:rFonts w:eastAsiaTheme="minorHAnsi"/>
                <w:color w:val="000000"/>
                <w:lang w:eastAsia="en-US"/>
              </w:rPr>
              <w:t xml:space="preserve">nākotnē </w:t>
            </w:r>
            <w:r>
              <w:rPr>
                <w:rFonts w:eastAsiaTheme="minorHAnsi"/>
                <w:color w:val="000000"/>
                <w:lang w:eastAsia="en-US"/>
              </w:rPr>
              <w:t xml:space="preserve">var radīt ierobežojumus gaisa satiksmes vadības kontrolei. Kopējās projekta izmaksas pašlaik tiek lēstas 18 līdz 20 miljonu euro apmērā un ieviešana ekspluatācijā tiek prognozēta 2024.gadā. Daļa izmaksu tiks segta no uzņēmuma līdzekļiem, tomēr, lai veiksmīgi īstenotu projektu tiks ņemts aizņēmums kredītiestādēs. Aizņēmuma lielums ir atkarīgs no Eiropas Savienības fondu pieejamības un pašu līdzekļu apjoma. </w:t>
            </w:r>
          </w:p>
          <w:p w14:paraId="132E6075" w14:textId="77777777" w:rsidR="000F51B8" w:rsidRPr="000F51B8" w:rsidRDefault="00550FE9" w:rsidP="000F51B8">
            <w:pPr>
              <w:pStyle w:val="ListParagraph"/>
              <w:numPr>
                <w:ilvl w:val="0"/>
                <w:numId w:val="5"/>
              </w:numPr>
              <w:autoSpaceDE w:val="0"/>
              <w:autoSpaceDN w:val="0"/>
              <w:adjustRightInd w:val="0"/>
              <w:ind w:right="248"/>
              <w:jc w:val="both"/>
              <w:rPr>
                <w:rFonts w:eastAsiaTheme="minorHAnsi"/>
                <w:color w:val="000000"/>
                <w:lang w:eastAsia="en-US"/>
              </w:rPr>
            </w:pPr>
            <w:r w:rsidRPr="000F51B8">
              <w:rPr>
                <w:iCs/>
              </w:rPr>
              <w:t>Gaisa satiksmes vadības automatizētās sistēmas modernizācija ATRACC-2014+ noslēdzās 2016. gadā, kā rezultātā tika ieviestas papildus funkcionalitātes, izpildītas normatīvo aktu prasības un uzlabota sistēmas darbspēja. Sistēma nodrošina jaunu brīvu maršrutu apstrādi un kontroli; izveidots jauns modulis Gaisa telpas operatīvai rezervēšanai; atjaunoti datu apmaiņas interfeisi ar ATIS/VOLMET, A-SMGCS un LARA sistēmām. Kopā ar pamatsistēmu tika modernizēts GSV un Torņa trenažieris.</w:t>
            </w:r>
          </w:p>
          <w:p w14:paraId="5A5BAA2F" w14:textId="77777777" w:rsidR="000F51B8" w:rsidRPr="000F51B8" w:rsidRDefault="00550FE9" w:rsidP="000F51B8">
            <w:pPr>
              <w:pStyle w:val="ListParagraph"/>
              <w:numPr>
                <w:ilvl w:val="0"/>
                <w:numId w:val="5"/>
              </w:numPr>
              <w:autoSpaceDE w:val="0"/>
              <w:autoSpaceDN w:val="0"/>
              <w:adjustRightInd w:val="0"/>
              <w:ind w:right="248"/>
              <w:jc w:val="both"/>
              <w:rPr>
                <w:rFonts w:eastAsiaTheme="minorHAnsi"/>
                <w:color w:val="000000"/>
                <w:lang w:eastAsia="en-US"/>
              </w:rPr>
            </w:pPr>
            <w:r w:rsidRPr="00550FE9">
              <w:t>Noslēgts līgums par projekta “</w:t>
            </w:r>
            <w:proofErr w:type="spellStart"/>
            <w:r w:rsidRPr="00550FE9">
              <w:t>Riga</w:t>
            </w:r>
            <w:proofErr w:type="spellEnd"/>
            <w:r w:rsidRPr="00550FE9">
              <w:t xml:space="preserve"> FIR, esošās gaisa telpas struktūras analīze, PBN gaisa telpas elementu un procedūru izstrāde, validēšana un ieviešana” </w:t>
            </w:r>
            <w:proofErr w:type="spellStart"/>
            <w:r w:rsidRPr="00550FE9">
              <w:t>II.daļas</w:t>
            </w:r>
            <w:proofErr w:type="spellEnd"/>
            <w:r w:rsidRPr="00550FE9">
              <w:t xml:space="preserve"> realizāciju. Līdz ar projekta īstenošanu tiks izstrādāti jauni gaisa kuģu lidojumu maršruti Rīgas lidojumu zonā, kas uzlabos lidojumu drošumu un efektivitāti, optimizējot ielidošanas un izlidošanas mijiedarbību, horizontālo un vertikālo gaisa trašu izvietojumu, samazinot degvielas patēriņu, izmešu un trokšņa līmeni un, iespēju robežās, nodrošinot lidojumu nepārtrauktību. PBN (</w:t>
            </w:r>
            <w:proofErr w:type="spellStart"/>
            <w:r w:rsidRPr="00550FE9">
              <w:t>Performance</w:t>
            </w:r>
            <w:proofErr w:type="spellEnd"/>
            <w:r w:rsidRPr="00550FE9">
              <w:t xml:space="preserve"> </w:t>
            </w:r>
            <w:proofErr w:type="spellStart"/>
            <w:r w:rsidRPr="00550FE9">
              <w:t>Based</w:t>
            </w:r>
            <w:proofErr w:type="spellEnd"/>
            <w:r w:rsidRPr="00550FE9">
              <w:t xml:space="preserve"> </w:t>
            </w:r>
            <w:proofErr w:type="spellStart"/>
            <w:r w:rsidRPr="00550FE9">
              <w:t>Navigation</w:t>
            </w:r>
            <w:proofErr w:type="spellEnd"/>
            <w:r w:rsidRPr="00550FE9">
              <w:t>) piedāvā vairākas priekšrocības attiecībā pret tradicionālajām instrumentālo lidojumu procedūrām un gaisa trasēm, kas balstās uz noteiktām stacionārajām navigācijas iekārtām. PBN ļauj izmantot gaisa telpu daudz efektīvāk (gaisa trašu izveide, degvielas efektivitāte, trokšņu līmeņa samazinājums utt.), kā arī samazina kopējo investīciju apjomu, atjaunojot navigācijas sensorus atbilstoši to tehnoloģiskai attīstībai.</w:t>
            </w:r>
          </w:p>
          <w:p w14:paraId="0466C078" w14:textId="77777777" w:rsidR="000F51B8" w:rsidRPr="000F51B8" w:rsidRDefault="00550FE9" w:rsidP="000F51B8">
            <w:pPr>
              <w:pStyle w:val="ListParagraph"/>
              <w:numPr>
                <w:ilvl w:val="0"/>
                <w:numId w:val="5"/>
              </w:numPr>
              <w:autoSpaceDE w:val="0"/>
              <w:autoSpaceDN w:val="0"/>
              <w:adjustRightInd w:val="0"/>
              <w:ind w:right="248"/>
              <w:jc w:val="both"/>
              <w:rPr>
                <w:rFonts w:eastAsiaTheme="minorHAnsi"/>
                <w:color w:val="000000"/>
                <w:lang w:eastAsia="en-US"/>
              </w:rPr>
            </w:pPr>
            <w:r w:rsidRPr="00550FE9">
              <w:t xml:space="preserve">Radiolokācijas novērošanas pakalpojumu attīstības virzienā kā svarīgākais projekts jāmin lidlauka </w:t>
            </w:r>
            <w:proofErr w:type="spellStart"/>
            <w:r w:rsidRPr="00550FE9">
              <w:t>multilaterācijas</w:t>
            </w:r>
            <w:proofErr w:type="spellEnd"/>
            <w:r w:rsidRPr="00550FE9">
              <w:t xml:space="preserve"> novērošanas sistēmas modernizācija, kas ietver sevī sistēmas sensoru skaita palielināšana un centrālās apstrādes stacijas (CPS)/raidītāja stacijas (TXS) modernizāciju, kas nodrošina: </w:t>
            </w:r>
          </w:p>
          <w:p w14:paraId="3E75BBD4" w14:textId="77777777" w:rsidR="000F51B8" w:rsidRPr="000F51B8" w:rsidRDefault="00550FE9" w:rsidP="000F51B8">
            <w:pPr>
              <w:pStyle w:val="ListParagraph"/>
              <w:numPr>
                <w:ilvl w:val="0"/>
                <w:numId w:val="6"/>
              </w:numPr>
              <w:autoSpaceDE w:val="0"/>
              <w:autoSpaceDN w:val="0"/>
              <w:adjustRightInd w:val="0"/>
              <w:ind w:right="248"/>
              <w:jc w:val="both"/>
              <w:rPr>
                <w:rFonts w:eastAsiaTheme="minorHAnsi"/>
                <w:color w:val="000000"/>
                <w:lang w:eastAsia="en-US"/>
              </w:rPr>
            </w:pPr>
            <w:r w:rsidRPr="00550FE9">
              <w:lastRenderedPageBreak/>
              <w:t xml:space="preserve">Nepieciešamo pārklājumu, precizitāti un drošuma līmeni (N-1 </w:t>
            </w:r>
            <w:proofErr w:type="spellStart"/>
            <w:r w:rsidRPr="00550FE9">
              <w:t>redundancy</w:t>
            </w:r>
            <w:proofErr w:type="spellEnd"/>
            <w:r w:rsidRPr="00550FE9">
              <w:t xml:space="preserve">) VAS „Starptautiskā lidosta „Rīga”” lidlauka manevrēšanas teritorijā un 1., 2., 3. peronā, saskaņā ar EUROCAE ED-117 (“MOPS </w:t>
            </w:r>
            <w:proofErr w:type="spellStart"/>
            <w:r w:rsidRPr="00550FE9">
              <w:t>for</w:t>
            </w:r>
            <w:proofErr w:type="spellEnd"/>
            <w:r w:rsidRPr="00550FE9">
              <w:t xml:space="preserve"> Mode S </w:t>
            </w:r>
            <w:proofErr w:type="spellStart"/>
            <w:r w:rsidRPr="00550FE9">
              <w:t>Multilateration</w:t>
            </w:r>
            <w:proofErr w:type="spellEnd"/>
            <w:r w:rsidRPr="00550FE9">
              <w:t xml:space="preserve"> </w:t>
            </w:r>
            <w:proofErr w:type="spellStart"/>
            <w:r w:rsidRPr="00550FE9">
              <w:t>Systems</w:t>
            </w:r>
            <w:proofErr w:type="spellEnd"/>
            <w:r w:rsidRPr="00550FE9">
              <w:t xml:space="preserve"> </w:t>
            </w:r>
            <w:proofErr w:type="spellStart"/>
            <w:r w:rsidRPr="00550FE9">
              <w:t>for</w:t>
            </w:r>
            <w:proofErr w:type="spellEnd"/>
            <w:r w:rsidRPr="00550FE9">
              <w:t xml:space="preserve"> </w:t>
            </w:r>
            <w:proofErr w:type="spellStart"/>
            <w:r w:rsidRPr="00550FE9">
              <w:t>Use</w:t>
            </w:r>
            <w:proofErr w:type="spellEnd"/>
            <w:r w:rsidRPr="00550FE9">
              <w:t xml:space="preserve"> </w:t>
            </w:r>
            <w:proofErr w:type="spellStart"/>
            <w:r w:rsidRPr="00550FE9">
              <w:t>in</w:t>
            </w:r>
            <w:proofErr w:type="spellEnd"/>
            <w:r w:rsidRPr="00550FE9">
              <w:t xml:space="preserve"> A-SMGCS”) dokumenta prasībām un sistēmas drošuma (N-1 </w:t>
            </w:r>
            <w:proofErr w:type="spellStart"/>
            <w:r w:rsidRPr="00550FE9">
              <w:t>redundancy</w:t>
            </w:r>
            <w:proofErr w:type="spellEnd"/>
            <w:r w:rsidRPr="00550FE9">
              <w:t xml:space="preserve">) līmeņa </w:t>
            </w:r>
            <w:r w:rsidRPr="000F51B8">
              <w:rPr>
                <w:bCs/>
                <w:color w:val="000000"/>
              </w:rPr>
              <w:t>koncepciju.</w:t>
            </w:r>
          </w:p>
          <w:p w14:paraId="2C8BC2FE" w14:textId="77777777" w:rsidR="000F51B8" w:rsidRPr="000F51B8" w:rsidRDefault="00550FE9" w:rsidP="000F51B8">
            <w:pPr>
              <w:pStyle w:val="ListParagraph"/>
              <w:numPr>
                <w:ilvl w:val="0"/>
                <w:numId w:val="6"/>
              </w:numPr>
              <w:autoSpaceDE w:val="0"/>
              <w:autoSpaceDN w:val="0"/>
              <w:adjustRightInd w:val="0"/>
              <w:ind w:right="248"/>
              <w:jc w:val="both"/>
              <w:rPr>
                <w:rFonts w:eastAsiaTheme="minorHAnsi"/>
                <w:color w:val="000000"/>
                <w:lang w:eastAsia="en-US"/>
              </w:rPr>
            </w:pPr>
            <w:r w:rsidRPr="00550FE9">
              <w:t xml:space="preserve">„MSS-A RIX” sistēmas („A-SMGCS NOVA 9000” sistēmas sastāvdaļas) maldus mērķu parādīšanas gadījumu minimizēšanu (ņemot vērā iespējamos </w:t>
            </w:r>
            <w:proofErr w:type="spellStart"/>
            <w:r w:rsidRPr="00550FE9">
              <w:t>transponderu</w:t>
            </w:r>
            <w:proofErr w:type="spellEnd"/>
            <w:r w:rsidRPr="00550FE9">
              <w:t xml:space="preserve"> signālu atstarojumu gadījumus no celtnēm un būvkonstrukcijām).</w:t>
            </w:r>
          </w:p>
          <w:p w14:paraId="63F6E24C" w14:textId="08C44997" w:rsidR="000F51B8" w:rsidRPr="000F51B8" w:rsidRDefault="00550FE9" w:rsidP="000F51B8">
            <w:pPr>
              <w:pStyle w:val="ListParagraph"/>
              <w:numPr>
                <w:ilvl w:val="0"/>
                <w:numId w:val="6"/>
              </w:numPr>
              <w:autoSpaceDE w:val="0"/>
              <w:autoSpaceDN w:val="0"/>
              <w:adjustRightInd w:val="0"/>
              <w:ind w:right="248"/>
              <w:jc w:val="both"/>
              <w:rPr>
                <w:rFonts w:eastAsiaTheme="minorHAnsi"/>
                <w:color w:val="000000"/>
                <w:lang w:eastAsia="en-US"/>
              </w:rPr>
            </w:pPr>
            <w:r w:rsidRPr="00550FE9">
              <w:t xml:space="preserve">Pēc modernizācijas projekta 1. posma “MSS-A RIX” lidlauka novērošanas sistēma nodrošina ar Mode-S </w:t>
            </w:r>
            <w:proofErr w:type="spellStart"/>
            <w:r w:rsidRPr="00550FE9">
              <w:t>transponderiem</w:t>
            </w:r>
            <w:proofErr w:type="spellEnd"/>
            <w:r w:rsidRPr="00550FE9">
              <w:t xml:space="preserve"> (raiduztvērējiem) aprīkoto gaisa kuģu un ar SQB Mode-S raidītājiem aprīkoto transportlīdzekļu precīzās pozīcijas noteikšanu Starptautiskās lidostas “Rīga” lidlauka manevrēšanas teritorijā, 1., 2., un 3. g/k peronos / stāvvietās (izņemot 4.peronu), kā arī gaisa kuģu</w:t>
            </w:r>
            <w:r w:rsidRPr="000F51B8">
              <w:rPr>
                <w:bCs/>
                <w:i/>
              </w:rPr>
              <w:t xml:space="preserve"> </w:t>
            </w:r>
            <w:r w:rsidRPr="00550FE9">
              <w:t>izlidošanas/nosēšanās fāzēs, nodrošinot sistēmas pārklājumu teritoriāli no ILS LLZ 18 līdz ILS LLZ 36 radiobākām.</w:t>
            </w:r>
          </w:p>
          <w:p w14:paraId="4EFBB446" w14:textId="77777777" w:rsidR="000F51B8" w:rsidRPr="000F51B8" w:rsidRDefault="00550FE9" w:rsidP="000F51B8">
            <w:pPr>
              <w:pStyle w:val="ListParagraph"/>
              <w:numPr>
                <w:ilvl w:val="0"/>
                <w:numId w:val="5"/>
              </w:numPr>
              <w:autoSpaceDE w:val="0"/>
              <w:autoSpaceDN w:val="0"/>
              <w:adjustRightInd w:val="0"/>
              <w:ind w:right="248"/>
              <w:jc w:val="both"/>
              <w:rPr>
                <w:rFonts w:eastAsiaTheme="minorHAnsi"/>
                <w:color w:val="000000"/>
                <w:lang w:eastAsia="en-US"/>
              </w:rPr>
            </w:pPr>
            <w:r w:rsidRPr="00550FE9">
              <w:t xml:space="preserve">2016. gadā tika pabeigta lidojumu plūsmas, meteoroloģiskās un aeronavigācijas datu apstrādes un apmaiņas sistēmas ANOF modernizācija un paplašināšana. </w:t>
            </w:r>
            <w:r w:rsidRPr="000F51B8">
              <w:rPr>
                <w:iCs/>
              </w:rPr>
              <w:t>ANOF sistēmas modernizācija un paplašināšana ietvēra tās paplašināšanu ar “ENHANCED AMHS” funkcijām, esošo moduļu atjaunošanu atbilstoši jaunā regulējuma un LGS lietotāju prasībām. Tika atjaunoti un paplašināti OPMET, NOTAM, PUMA, AMI, AFTN/AMHS moduļi, kā arī atjaunots datu apmaiņu interfeiss starp ANOF sistēmu un Eiropas aeronavigācijas datubāzi EAD.</w:t>
            </w:r>
          </w:p>
          <w:p w14:paraId="2F6A9004" w14:textId="293FC66F" w:rsidR="00550FE9" w:rsidRPr="000F51B8" w:rsidRDefault="00550FE9" w:rsidP="000F51B8">
            <w:pPr>
              <w:pStyle w:val="ListParagraph"/>
              <w:numPr>
                <w:ilvl w:val="0"/>
                <w:numId w:val="5"/>
              </w:numPr>
              <w:autoSpaceDE w:val="0"/>
              <w:autoSpaceDN w:val="0"/>
              <w:adjustRightInd w:val="0"/>
              <w:ind w:right="248"/>
              <w:jc w:val="both"/>
              <w:rPr>
                <w:rFonts w:eastAsiaTheme="minorHAnsi"/>
                <w:color w:val="000000"/>
                <w:lang w:eastAsia="en-US"/>
              </w:rPr>
            </w:pPr>
            <w:r w:rsidRPr="000F51B8">
              <w:rPr>
                <w:iCs/>
              </w:rPr>
              <w:t xml:space="preserve">2016. gadā tika veikti darbi, lai nodrošinātu gaisa satiksmes vadības pakalpojumus lidostā “Liepāja”. Projekta ietvaros tika izstrādātas procedūras, aprīkotas darba vietas, veikti sagatavošanās darbi, kā arī sniegts atbalsts Lidostas sertifikācijas procesā, lai nodrošinātu GSV pakalpojumu. </w:t>
            </w:r>
          </w:p>
          <w:p w14:paraId="4147D11D" w14:textId="77777777" w:rsidR="00550FE9" w:rsidRPr="00550FE9" w:rsidRDefault="00550FE9" w:rsidP="00550FE9">
            <w:pPr>
              <w:pStyle w:val="ListParagraph"/>
              <w:rPr>
                <w:rFonts w:eastAsiaTheme="minorHAnsi"/>
                <w:color w:val="000000"/>
                <w:lang w:eastAsia="en-US"/>
              </w:rPr>
            </w:pPr>
          </w:p>
          <w:p w14:paraId="02314DB1" w14:textId="2B728F1E" w:rsidR="00746658" w:rsidRPr="00550FE9" w:rsidRDefault="00746658" w:rsidP="000F51B8">
            <w:pPr>
              <w:pStyle w:val="ListParagraph"/>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LGS savas saimnieciskās darbības ietvaros saskaņā ar Ministru kabineta </w:t>
            </w:r>
            <w:r w:rsidR="001A18C6" w:rsidRPr="00550FE9">
              <w:rPr>
                <w:rFonts w:eastAsiaTheme="minorHAnsi"/>
                <w:color w:val="000000"/>
                <w:lang w:eastAsia="en-US"/>
              </w:rPr>
              <w:t>2015</w:t>
            </w:r>
            <w:r w:rsidRPr="00550FE9">
              <w:rPr>
                <w:rFonts w:eastAsiaTheme="minorHAnsi"/>
                <w:color w:val="000000"/>
                <w:lang w:eastAsia="en-US"/>
              </w:rPr>
              <w:t xml:space="preserve">.gada </w:t>
            </w:r>
            <w:r w:rsidR="001A18C6" w:rsidRPr="00550FE9">
              <w:rPr>
                <w:rFonts w:eastAsiaTheme="minorHAnsi"/>
                <w:color w:val="000000"/>
                <w:lang w:eastAsia="en-US"/>
              </w:rPr>
              <w:t>23</w:t>
            </w:r>
            <w:r w:rsidRPr="00550FE9">
              <w:rPr>
                <w:rFonts w:eastAsiaTheme="minorHAnsi"/>
                <w:color w:val="000000"/>
                <w:lang w:eastAsia="en-US"/>
              </w:rPr>
              <w:t>.</w:t>
            </w:r>
            <w:r w:rsidR="001A18C6" w:rsidRPr="00550FE9">
              <w:rPr>
                <w:rFonts w:eastAsiaTheme="minorHAnsi"/>
                <w:color w:val="000000"/>
                <w:lang w:eastAsia="en-US"/>
              </w:rPr>
              <w:t xml:space="preserve">decembra rīkojumu </w:t>
            </w:r>
            <w:r w:rsidRPr="00550FE9">
              <w:rPr>
                <w:rFonts w:eastAsiaTheme="minorHAnsi"/>
                <w:color w:val="000000"/>
                <w:lang w:eastAsia="en-US"/>
              </w:rPr>
              <w:t>Nr.</w:t>
            </w:r>
            <w:r w:rsidR="001A18C6" w:rsidRPr="00550FE9">
              <w:rPr>
                <w:rFonts w:eastAsiaTheme="minorHAnsi"/>
                <w:color w:val="000000"/>
                <w:lang w:eastAsia="en-US"/>
              </w:rPr>
              <w:t xml:space="preserve">810 </w:t>
            </w:r>
            <w:r w:rsidRPr="00550FE9">
              <w:rPr>
                <w:rFonts w:eastAsiaTheme="minorHAnsi"/>
                <w:color w:val="000000"/>
                <w:lang w:eastAsia="en-US"/>
              </w:rPr>
              <w:t>„</w:t>
            </w:r>
            <w:r w:rsidR="001A18C6" w:rsidRPr="00550FE9">
              <w:rPr>
                <w:rFonts w:eastAsiaTheme="minorHAnsi"/>
                <w:color w:val="000000"/>
                <w:lang w:eastAsia="en-US"/>
              </w:rPr>
              <w:t>Par valsts aģentūras “Civilās aviācijas aģentūra” 2016.gada budžeta apstiprināšanu</w:t>
            </w:r>
            <w:r w:rsidRPr="00550FE9">
              <w:rPr>
                <w:rFonts w:eastAsiaTheme="minorHAnsi"/>
                <w:color w:val="000000"/>
                <w:lang w:eastAsia="en-US"/>
              </w:rPr>
              <w:t xml:space="preserve">” valsts aģentūras „Civilās aviācijas aģentūra” budžetā  </w:t>
            </w:r>
            <w:r w:rsidR="00D6297A" w:rsidRPr="00550FE9">
              <w:rPr>
                <w:rFonts w:eastAsiaTheme="minorHAnsi"/>
                <w:color w:val="000000"/>
                <w:lang w:eastAsia="en-US"/>
              </w:rPr>
              <w:t>2016</w:t>
            </w:r>
            <w:r w:rsidRPr="00550FE9">
              <w:rPr>
                <w:rFonts w:eastAsiaTheme="minorHAnsi"/>
                <w:color w:val="000000"/>
                <w:lang w:eastAsia="en-US"/>
              </w:rPr>
              <w:t xml:space="preserve">.gadā ieskaitīja </w:t>
            </w:r>
            <w:r w:rsidR="00D6297A" w:rsidRPr="00550FE9">
              <w:rPr>
                <w:rFonts w:eastAsiaTheme="minorHAnsi"/>
                <w:color w:val="000000"/>
                <w:lang w:eastAsia="en-US"/>
              </w:rPr>
              <w:t>976</w:t>
            </w:r>
            <w:r w:rsidRPr="00550FE9">
              <w:rPr>
                <w:rFonts w:eastAsiaTheme="minorHAnsi"/>
                <w:color w:val="000000"/>
                <w:lang w:eastAsia="en-US"/>
              </w:rPr>
              <w:t xml:space="preserve">.1 tūkst. EUR. </w:t>
            </w:r>
            <w:r w:rsidR="001A18C6" w:rsidRPr="00550FE9">
              <w:rPr>
                <w:rFonts w:eastAsiaTheme="minorHAnsi"/>
                <w:color w:val="000000"/>
                <w:lang w:eastAsia="en-US"/>
              </w:rPr>
              <w:t xml:space="preserve">Saskaņā ar </w:t>
            </w:r>
            <w:r w:rsidR="0078154C" w:rsidRPr="00550FE9">
              <w:rPr>
                <w:rFonts w:eastAsiaTheme="minorHAnsi"/>
                <w:color w:val="000000"/>
                <w:lang w:eastAsia="en-US"/>
              </w:rPr>
              <w:t>2015.gada 30.septembra rīkojumu Nr.590 „Par Transporta nelaimes gadījumu un incidentu izmeklēšanas biroja 2016.gada budžeta apstiprināšanu” Transporta nelaimes gadījumu un incidentu izmeklēšanas biroja budžetā 2016.gadā tika ieskaitīts 172.9 tūkst.  EUR.</w:t>
            </w:r>
          </w:p>
          <w:p w14:paraId="387E42D0" w14:textId="09A1652E"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Saskaņā ar Ministru kabineta </w:t>
            </w:r>
            <w:r w:rsidR="001A18C6" w:rsidRPr="00550FE9">
              <w:rPr>
                <w:rFonts w:eastAsiaTheme="minorHAnsi"/>
                <w:color w:val="000000"/>
                <w:lang w:eastAsia="en-US"/>
              </w:rPr>
              <w:t>2016</w:t>
            </w:r>
            <w:r w:rsidRPr="00550FE9">
              <w:rPr>
                <w:rFonts w:eastAsiaTheme="minorHAnsi"/>
                <w:color w:val="000000"/>
                <w:lang w:eastAsia="en-US"/>
              </w:rPr>
              <w:t xml:space="preserve">.gada </w:t>
            </w:r>
            <w:r w:rsidR="001A18C6" w:rsidRPr="00550FE9">
              <w:rPr>
                <w:rFonts w:eastAsiaTheme="minorHAnsi"/>
                <w:color w:val="000000"/>
                <w:lang w:eastAsia="en-US"/>
              </w:rPr>
              <w:t>29</w:t>
            </w:r>
            <w:r w:rsidRPr="00550FE9">
              <w:rPr>
                <w:rFonts w:eastAsiaTheme="minorHAnsi"/>
                <w:color w:val="000000"/>
                <w:lang w:eastAsia="en-US"/>
              </w:rPr>
              <w:t>.</w:t>
            </w:r>
            <w:r w:rsidR="001A18C6" w:rsidRPr="00550FE9">
              <w:rPr>
                <w:rFonts w:eastAsiaTheme="minorHAnsi"/>
                <w:color w:val="000000"/>
                <w:lang w:eastAsia="en-US"/>
              </w:rPr>
              <w:t xml:space="preserve">novembra </w:t>
            </w:r>
            <w:r w:rsidRPr="00550FE9">
              <w:rPr>
                <w:rFonts w:eastAsiaTheme="minorHAnsi"/>
                <w:color w:val="000000"/>
                <w:lang w:eastAsia="en-US"/>
              </w:rPr>
              <w:t>rīkojumā Nr.</w:t>
            </w:r>
            <w:r w:rsidR="001A18C6" w:rsidRPr="00550FE9">
              <w:rPr>
                <w:rFonts w:eastAsiaTheme="minorHAnsi"/>
                <w:color w:val="000000"/>
                <w:lang w:eastAsia="en-US"/>
              </w:rPr>
              <w:t xml:space="preserve">731 </w:t>
            </w:r>
            <w:r w:rsidRPr="00550FE9">
              <w:rPr>
                <w:rFonts w:eastAsiaTheme="minorHAnsi"/>
                <w:color w:val="000000"/>
                <w:lang w:eastAsia="en-US"/>
              </w:rPr>
              <w:t xml:space="preserve">„Par valsts aģentūras "Civilās aviācijas aģentūra" </w:t>
            </w:r>
            <w:r w:rsidR="001A18C6" w:rsidRPr="00550FE9">
              <w:rPr>
                <w:rFonts w:eastAsiaTheme="minorHAnsi"/>
                <w:color w:val="000000"/>
                <w:lang w:eastAsia="en-US"/>
              </w:rPr>
              <w:t>2017</w:t>
            </w:r>
            <w:r w:rsidRPr="00550FE9">
              <w:rPr>
                <w:rFonts w:eastAsiaTheme="minorHAnsi"/>
                <w:color w:val="000000"/>
                <w:lang w:eastAsia="en-US"/>
              </w:rPr>
              <w:t xml:space="preserve">.gada budžeta apstiprināšanu” noteikto LGS </w:t>
            </w:r>
            <w:r w:rsidR="001A18C6" w:rsidRPr="00550FE9">
              <w:rPr>
                <w:rFonts w:eastAsiaTheme="minorHAnsi"/>
                <w:color w:val="000000"/>
                <w:lang w:eastAsia="en-US"/>
              </w:rPr>
              <w:t>2017</w:t>
            </w:r>
            <w:r w:rsidRPr="00550FE9">
              <w:rPr>
                <w:rFonts w:eastAsiaTheme="minorHAnsi"/>
                <w:color w:val="000000"/>
                <w:lang w:eastAsia="en-US"/>
              </w:rPr>
              <w:t>.gadā valsts aģentūras „Civilās aviācijas aģentūra” budžetā, jāieskaita 976</w:t>
            </w:r>
            <w:r w:rsidR="001A18C6" w:rsidRPr="00550FE9">
              <w:rPr>
                <w:rFonts w:eastAsiaTheme="minorHAnsi"/>
                <w:color w:val="000000"/>
                <w:lang w:eastAsia="en-US"/>
              </w:rPr>
              <w:t>.1</w:t>
            </w:r>
            <w:r w:rsidRPr="00550FE9">
              <w:rPr>
                <w:rFonts w:eastAsiaTheme="minorHAnsi"/>
                <w:color w:val="000000"/>
                <w:lang w:eastAsia="en-US"/>
              </w:rPr>
              <w:t xml:space="preserve"> tūkst. EUR, bet saskaņā ar Ministru kabineta </w:t>
            </w:r>
            <w:r w:rsidR="0078154C" w:rsidRPr="00550FE9">
              <w:rPr>
                <w:rFonts w:eastAsiaTheme="minorHAnsi"/>
                <w:color w:val="000000"/>
                <w:lang w:eastAsia="en-US"/>
              </w:rPr>
              <w:t>2017</w:t>
            </w:r>
            <w:r w:rsidRPr="00550FE9">
              <w:rPr>
                <w:rFonts w:eastAsiaTheme="minorHAnsi"/>
                <w:color w:val="000000"/>
                <w:lang w:eastAsia="en-US"/>
              </w:rPr>
              <w:t xml:space="preserve">.gada </w:t>
            </w:r>
            <w:r w:rsidR="0078154C" w:rsidRPr="00550FE9">
              <w:rPr>
                <w:rFonts w:eastAsiaTheme="minorHAnsi"/>
                <w:color w:val="000000"/>
                <w:lang w:eastAsia="en-US"/>
              </w:rPr>
              <w:t>4</w:t>
            </w:r>
            <w:r w:rsidRPr="00550FE9">
              <w:rPr>
                <w:rFonts w:eastAsiaTheme="minorHAnsi"/>
                <w:color w:val="000000"/>
                <w:lang w:eastAsia="en-US"/>
              </w:rPr>
              <w:t>.</w:t>
            </w:r>
            <w:r w:rsidR="0078154C" w:rsidRPr="00550FE9">
              <w:rPr>
                <w:rFonts w:eastAsiaTheme="minorHAnsi"/>
                <w:color w:val="000000"/>
                <w:lang w:eastAsia="en-US"/>
              </w:rPr>
              <w:t xml:space="preserve">aprīļa </w:t>
            </w:r>
            <w:r w:rsidRPr="00550FE9">
              <w:rPr>
                <w:rFonts w:eastAsiaTheme="minorHAnsi"/>
                <w:color w:val="000000"/>
                <w:lang w:eastAsia="en-US"/>
              </w:rPr>
              <w:t>rīkojumu Nr.</w:t>
            </w:r>
            <w:r w:rsidR="0078154C" w:rsidRPr="00550FE9">
              <w:rPr>
                <w:rFonts w:eastAsiaTheme="minorHAnsi"/>
                <w:color w:val="000000"/>
                <w:lang w:eastAsia="en-US"/>
              </w:rPr>
              <w:t xml:space="preserve">177 </w:t>
            </w:r>
            <w:r w:rsidRPr="00550FE9">
              <w:rPr>
                <w:rFonts w:eastAsiaTheme="minorHAnsi"/>
                <w:color w:val="000000"/>
                <w:lang w:eastAsia="en-US"/>
              </w:rPr>
              <w:t xml:space="preserve">„Par Transporta nelaimes gadījumu un incidentu izmeklēšanas biroja </w:t>
            </w:r>
            <w:r w:rsidR="0078154C" w:rsidRPr="00550FE9">
              <w:rPr>
                <w:rFonts w:eastAsiaTheme="minorHAnsi"/>
                <w:color w:val="000000"/>
                <w:lang w:eastAsia="en-US"/>
              </w:rPr>
              <w:t>2017</w:t>
            </w:r>
            <w:r w:rsidRPr="00550FE9">
              <w:rPr>
                <w:rFonts w:eastAsiaTheme="minorHAnsi"/>
                <w:color w:val="000000"/>
                <w:lang w:eastAsia="en-US"/>
              </w:rPr>
              <w:t xml:space="preserve">.gada budžeta apstiprināšanu” Transporta nelaimes gadījumu un </w:t>
            </w:r>
            <w:r w:rsidRPr="00550FE9">
              <w:rPr>
                <w:rFonts w:eastAsiaTheme="minorHAnsi"/>
                <w:color w:val="000000"/>
                <w:lang w:eastAsia="en-US"/>
              </w:rPr>
              <w:lastRenderedPageBreak/>
              <w:t xml:space="preserve">incidentu izmeklēšanas biroja budžetā jāieskaita </w:t>
            </w:r>
            <w:r w:rsidR="0078154C" w:rsidRPr="00550FE9">
              <w:rPr>
                <w:rFonts w:eastAsiaTheme="minorHAnsi"/>
                <w:color w:val="000000"/>
                <w:lang w:eastAsia="en-US"/>
              </w:rPr>
              <w:t>185.0</w:t>
            </w:r>
            <w:r w:rsidRPr="00550FE9">
              <w:rPr>
                <w:rFonts w:eastAsiaTheme="minorHAnsi"/>
                <w:color w:val="000000"/>
                <w:lang w:eastAsia="en-US"/>
              </w:rPr>
              <w:t xml:space="preserve"> tūkst.  EUR.</w:t>
            </w:r>
          </w:p>
          <w:p w14:paraId="5ED5F24A" w14:textId="0926AD38" w:rsidR="00746658"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2010.gadā Latvijas Republika ir pievienojusies Eiropas aeronavigācijas drošības organizācijai (</w:t>
            </w:r>
            <w:proofErr w:type="spellStart"/>
            <w:r w:rsidRPr="00550FE9">
              <w:rPr>
                <w:rFonts w:eastAsiaTheme="minorHAnsi"/>
                <w:color w:val="000000"/>
                <w:lang w:eastAsia="en-US"/>
              </w:rPr>
              <w:t>Eurocontrol</w:t>
            </w:r>
            <w:proofErr w:type="spellEnd"/>
            <w:r w:rsidRPr="00550FE9">
              <w:rPr>
                <w:rFonts w:eastAsiaTheme="minorHAnsi"/>
                <w:color w:val="000000"/>
                <w:lang w:eastAsia="en-US"/>
              </w:rPr>
              <w:t>)</w:t>
            </w:r>
            <w:r w:rsidR="000F51B8">
              <w:rPr>
                <w:rFonts w:eastAsiaTheme="minorHAnsi"/>
                <w:color w:val="000000"/>
                <w:lang w:eastAsia="en-US"/>
              </w:rPr>
              <w:t xml:space="preserve">. </w:t>
            </w:r>
            <w:proofErr w:type="spellStart"/>
            <w:r w:rsidR="000F51B8">
              <w:rPr>
                <w:rFonts w:eastAsiaTheme="minorHAnsi"/>
                <w:color w:val="000000"/>
                <w:lang w:eastAsia="en-US"/>
              </w:rPr>
              <w:t>Eurocontrol</w:t>
            </w:r>
            <w:proofErr w:type="spellEnd"/>
            <w:r w:rsidR="000F51B8">
              <w:rPr>
                <w:rFonts w:eastAsiaTheme="minorHAnsi"/>
                <w:color w:val="000000"/>
                <w:lang w:eastAsia="en-US"/>
              </w:rPr>
              <w:t xml:space="preserve"> dalības maksu sedz LGS un </w:t>
            </w:r>
            <w:r w:rsidR="0078154C" w:rsidRPr="00550FE9">
              <w:rPr>
                <w:rFonts w:eastAsiaTheme="minorHAnsi"/>
                <w:color w:val="000000"/>
                <w:lang w:eastAsia="en-US"/>
              </w:rPr>
              <w:t>2017</w:t>
            </w:r>
            <w:r w:rsidRPr="00550FE9">
              <w:rPr>
                <w:rFonts w:eastAsiaTheme="minorHAnsi"/>
                <w:color w:val="000000"/>
                <w:lang w:eastAsia="en-US"/>
              </w:rPr>
              <w:t xml:space="preserve">.gadā </w:t>
            </w:r>
            <w:r w:rsidR="000F51B8">
              <w:rPr>
                <w:rFonts w:eastAsiaTheme="minorHAnsi"/>
                <w:color w:val="000000"/>
                <w:lang w:eastAsia="en-US"/>
              </w:rPr>
              <w:t>tā ir noteikta</w:t>
            </w:r>
            <w:r w:rsidRPr="00550FE9">
              <w:rPr>
                <w:rFonts w:eastAsiaTheme="minorHAnsi"/>
                <w:color w:val="000000"/>
                <w:lang w:eastAsia="en-US"/>
              </w:rPr>
              <w:t xml:space="preserve"> 1 </w:t>
            </w:r>
            <w:r w:rsidR="0078154C" w:rsidRPr="00550FE9">
              <w:rPr>
                <w:rFonts w:eastAsiaTheme="minorHAnsi"/>
                <w:color w:val="000000"/>
                <w:lang w:eastAsia="en-US"/>
              </w:rPr>
              <w:t xml:space="preserve">012 </w:t>
            </w:r>
            <w:r w:rsidRPr="00550FE9">
              <w:rPr>
                <w:rFonts w:eastAsiaTheme="minorHAnsi"/>
                <w:color w:val="000000"/>
                <w:lang w:eastAsia="en-US"/>
              </w:rPr>
              <w:t xml:space="preserve">tūkst. EUR apmērā. </w:t>
            </w:r>
          </w:p>
          <w:p w14:paraId="46BBDC28" w14:textId="77777777" w:rsidR="00B937B0" w:rsidRDefault="00B937B0" w:rsidP="00B937B0">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 xml:space="preserve">Regula 391/2013 nosaka, ka dalībvalstis no maršruta un termināļa maksājumiem var atbrīvot militāros lidojumus, kurus veic jebkuras valsts militārie gaisa kuģi. Vienlaikus Regulas nosaka, ka dalībvalstis nodrošina, ka aeronavigācijas pakalpojumu sniedzēji saņem atlīdzību par pakalpojumiem, ko sniedz atbrīvotajiem lidojumiem. Saskaņā ar Ministru kabineta 2012.gada 3.janvāra noteikumiem Nr.28 „Valsts akciju sabiedrības "Latvijas gaisa satiksme" sniegto aeronavigācijas pakalpojumu maksas noteikšanas un iekasēšanas kārtība”, Latvijas Republika ir noteikusi militāro gaisa kuģu lidojumu atbrīvojumu no vienības maksām, </w:t>
            </w:r>
            <w:r>
              <w:rPr>
                <w:rFonts w:eastAsiaTheme="minorHAnsi"/>
                <w:color w:val="000000"/>
                <w:lang w:eastAsia="en-US"/>
              </w:rPr>
              <w:t>taču atbrīvoto lidojumu kompensācijas mehānisms nav noteikts.</w:t>
            </w:r>
            <w:r w:rsidRPr="00550FE9">
              <w:rPr>
                <w:rFonts w:eastAsiaTheme="minorHAnsi"/>
                <w:color w:val="000000"/>
                <w:lang w:eastAsia="en-US"/>
              </w:rPr>
              <w:t xml:space="preserve"> Tādējādi 2016.gadā LGS </w:t>
            </w:r>
            <w:r>
              <w:rPr>
                <w:rFonts w:eastAsiaTheme="minorHAnsi"/>
                <w:color w:val="000000"/>
                <w:lang w:eastAsia="en-US"/>
              </w:rPr>
              <w:t>nav saņēmusi</w:t>
            </w:r>
            <w:r w:rsidRPr="00550FE9">
              <w:rPr>
                <w:rFonts w:eastAsiaTheme="minorHAnsi"/>
                <w:color w:val="000000"/>
                <w:lang w:eastAsia="en-US"/>
              </w:rPr>
              <w:t xml:space="preserve"> ieņēmumus par  to gaisa kuģu lidojumiem, kuri ir atbrīvoti no vienības maksām 172.6 tūkst. EUR apmērā. </w:t>
            </w:r>
          </w:p>
          <w:p w14:paraId="66192D52" w14:textId="37F6ED9B" w:rsidR="00E7380D" w:rsidRPr="00B2449D" w:rsidRDefault="00E7380D" w:rsidP="00E7380D">
            <w:pPr>
              <w:autoSpaceDE w:val="0"/>
              <w:autoSpaceDN w:val="0"/>
              <w:adjustRightInd w:val="0"/>
              <w:ind w:left="132" w:right="248" w:firstLine="415"/>
              <w:jc w:val="both"/>
              <w:rPr>
                <w:rFonts w:eastAsiaTheme="minorHAnsi"/>
                <w:b/>
                <w:color w:val="000000"/>
                <w:lang w:eastAsia="en-US"/>
              </w:rPr>
            </w:pPr>
            <w:r w:rsidRPr="00B2449D">
              <w:rPr>
                <w:b/>
              </w:rPr>
              <w:t xml:space="preserve">Satiksmes ministrija, ievērojot Ministru kabineta 2017. gada 14. marta sēdē (protokols Nr. 12, §.12) lemto, likumprojekta "Par valsts budžetu 2018. gadam" un likumprojekta "Par vidēja termiņa budžeta ietvaru 2018., 2019. un 2020. gadam" sagatavošanas procesā kā politikas prioritāti ir iesniegusi pieprasījumu par izdevumu kompensēšanu valsts akciju sabiedrībai “Latvijas </w:t>
            </w:r>
            <w:r w:rsidR="00355465">
              <w:rPr>
                <w:b/>
              </w:rPr>
              <w:t>g</w:t>
            </w:r>
            <w:r w:rsidRPr="00B2449D">
              <w:rPr>
                <w:b/>
              </w:rPr>
              <w:t xml:space="preserve">aisa satiksme”, kas radušies par aeronavigācijas pakalpojumu nodrošināšanu no vienības maksas atbrīvotajiem militārajiem lidojumiem. Ministriju pieprasījumi politikas prioritātēm šobrīd atrodas saskaņošanas stadijā Finanšu ministrijā.  </w:t>
            </w:r>
          </w:p>
          <w:p w14:paraId="50BCF1B9" w14:textId="0748CFA5" w:rsidR="00746658" w:rsidRPr="00550FE9" w:rsidRDefault="00746658" w:rsidP="00746658">
            <w:pPr>
              <w:autoSpaceDE w:val="0"/>
              <w:autoSpaceDN w:val="0"/>
              <w:adjustRightInd w:val="0"/>
              <w:ind w:left="132" w:right="248" w:firstLine="415"/>
              <w:jc w:val="both"/>
              <w:rPr>
                <w:rFonts w:eastAsiaTheme="minorHAnsi"/>
                <w:color w:val="000000"/>
                <w:lang w:eastAsia="en-US"/>
              </w:rPr>
            </w:pPr>
            <w:r w:rsidRPr="00550FE9">
              <w:rPr>
                <w:rFonts w:eastAsiaTheme="minorHAnsi"/>
                <w:color w:val="000000"/>
                <w:lang w:eastAsia="en-US"/>
              </w:rPr>
              <w:t>Lai nodrošinātu drošu un kvalitatīvu aeronavigācijas pakalpojumu, kā arī, lai izpildītu starptautisko regulu, lietotāju un citas prasības, LGS plānotās inves</w:t>
            </w:r>
            <w:r w:rsidR="00A9236F" w:rsidRPr="00550FE9">
              <w:rPr>
                <w:rFonts w:eastAsiaTheme="minorHAnsi"/>
                <w:color w:val="000000"/>
                <w:lang w:eastAsia="en-US"/>
              </w:rPr>
              <w:t xml:space="preserve">tīcijas </w:t>
            </w:r>
            <w:r w:rsidR="0078154C" w:rsidRPr="00550FE9">
              <w:rPr>
                <w:rFonts w:eastAsiaTheme="minorHAnsi"/>
                <w:color w:val="000000"/>
                <w:lang w:eastAsia="en-US"/>
              </w:rPr>
              <w:t>2017</w:t>
            </w:r>
            <w:r w:rsidR="00A9236F" w:rsidRPr="00550FE9">
              <w:rPr>
                <w:rFonts w:eastAsiaTheme="minorHAnsi"/>
                <w:color w:val="000000"/>
                <w:lang w:eastAsia="en-US"/>
              </w:rPr>
              <w:t xml:space="preserve">. - </w:t>
            </w:r>
            <w:r w:rsidR="0078154C" w:rsidRPr="00550FE9">
              <w:rPr>
                <w:rFonts w:eastAsiaTheme="minorHAnsi"/>
                <w:color w:val="000000"/>
                <w:lang w:eastAsia="en-US"/>
              </w:rPr>
              <w:t>2021</w:t>
            </w:r>
            <w:r w:rsidR="00A9236F" w:rsidRPr="00550FE9">
              <w:rPr>
                <w:rFonts w:eastAsiaTheme="minorHAnsi"/>
                <w:color w:val="000000"/>
                <w:lang w:eastAsia="en-US"/>
              </w:rPr>
              <w:t>. gada</w:t>
            </w:r>
            <w:r w:rsidRPr="00550FE9">
              <w:rPr>
                <w:rFonts w:eastAsiaTheme="minorHAnsi"/>
                <w:color w:val="000000"/>
                <w:lang w:eastAsia="en-US"/>
              </w:rPr>
              <w:t>m, saskaņā ar uzņēmējdarbības plānu</w:t>
            </w:r>
            <w:r w:rsidR="0078154C" w:rsidRPr="00550FE9">
              <w:rPr>
                <w:rFonts w:eastAsiaTheme="minorHAnsi"/>
                <w:color w:val="000000"/>
                <w:lang w:eastAsia="en-US"/>
              </w:rPr>
              <w:t xml:space="preserve"> (vidēja termiņa stratēģiju</w:t>
            </w:r>
            <w:r w:rsidR="00B937B0">
              <w:rPr>
                <w:rFonts w:eastAsiaTheme="minorHAnsi"/>
                <w:color w:val="000000"/>
                <w:lang w:eastAsia="en-US"/>
              </w:rPr>
              <w:t>)</w:t>
            </w:r>
            <w:r w:rsidRPr="00550FE9">
              <w:rPr>
                <w:rFonts w:eastAsiaTheme="minorHAnsi"/>
                <w:color w:val="000000"/>
                <w:lang w:eastAsia="en-US"/>
              </w:rPr>
              <w:t xml:space="preserve">, ir aptuveni </w:t>
            </w:r>
            <w:r w:rsidR="0078154C" w:rsidRPr="00550FE9">
              <w:rPr>
                <w:rFonts w:eastAsiaTheme="minorHAnsi"/>
                <w:color w:val="000000"/>
                <w:lang w:eastAsia="en-US"/>
              </w:rPr>
              <w:t>40,343</w:t>
            </w:r>
            <w:r w:rsidRPr="00550FE9">
              <w:rPr>
                <w:rFonts w:eastAsiaTheme="minorHAnsi"/>
                <w:color w:val="000000"/>
                <w:lang w:eastAsia="en-US"/>
              </w:rPr>
              <w:t xml:space="preserve"> milj. EUR apmērā.</w:t>
            </w:r>
          </w:p>
          <w:p w14:paraId="1DC21FB7" w14:textId="3F66A340" w:rsidR="00B937B0" w:rsidRDefault="00B937B0" w:rsidP="00746658">
            <w:pPr>
              <w:autoSpaceDE w:val="0"/>
              <w:autoSpaceDN w:val="0"/>
              <w:adjustRightInd w:val="0"/>
              <w:ind w:left="132" w:right="248" w:firstLine="415"/>
              <w:jc w:val="both"/>
              <w:rPr>
                <w:rFonts w:eastAsiaTheme="minorHAnsi"/>
                <w:color w:val="000000"/>
                <w:lang w:eastAsia="en-US"/>
              </w:rPr>
            </w:pPr>
            <w:r>
              <w:rPr>
                <w:rFonts w:eastAsiaTheme="minorHAnsi"/>
                <w:color w:val="000000"/>
                <w:lang w:eastAsia="en-US"/>
              </w:rPr>
              <w:t>LGS atbrīvošana no dividenžu izmaksas nodrošinās:</w:t>
            </w:r>
          </w:p>
          <w:p w14:paraId="2CE4C325" w14:textId="77777777" w:rsidR="00B937B0" w:rsidRDefault="00B937B0" w:rsidP="00B937B0">
            <w:pPr>
              <w:pStyle w:val="ListParagraph"/>
              <w:numPr>
                <w:ilvl w:val="0"/>
                <w:numId w:val="7"/>
              </w:numPr>
              <w:autoSpaceDE w:val="0"/>
              <w:autoSpaceDN w:val="0"/>
              <w:adjustRightInd w:val="0"/>
              <w:ind w:right="248"/>
              <w:jc w:val="both"/>
              <w:rPr>
                <w:rFonts w:eastAsiaTheme="minorHAnsi"/>
                <w:color w:val="000000"/>
                <w:lang w:eastAsia="en-US"/>
              </w:rPr>
            </w:pPr>
            <w:r>
              <w:rPr>
                <w:rFonts w:eastAsiaTheme="minorHAnsi"/>
                <w:color w:val="000000"/>
                <w:lang w:eastAsia="en-US"/>
              </w:rPr>
              <w:t xml:space="preserve">iespēju </w:t>
            </w:r>
            <w:r w:rsidR="00746658" w:rsidRPr="00B937B0">
              <w:rPr>
                <w:rFonts w:eastAsiaTheme="minorHAnsi"/>
                <w:color w:val="000000"/>
                <w:lang w:eastAsia="en-US"/>
              </w:rPr>
              <w:t>finansēt daļu no plānotajiem in</w:t>
            </w:r>
            <w:r>
              <w:rPr>
                <w:rFonts w:eastAsiaTheme="minorHAnsi"/>
                <w:color w:val="000000"/>
                <w:lang w:eastAsia="en-US"/>
              </w:rPr>
              <w:t>vestīciju projektu maksājumiem;</w:t>
            </w:r>
          </w:p>
          <w:p w14:paraId="74E5836E" w14:textId="77777777" w:rsidR="00B937B0" w:rsidRDefault="00746658" w:rsidP="00B937B0">
            <w:pPr>
              <w:pStyle w:val="ListParagraph"/>
              <w:numPr>
                <w:ilvl w:val="0"/>
                <w:numId w:val="7"/>
              </w:numPr>
              <w:autoSpaceDE w:val="0"/>
              <w:autoSpaceDN w:val="0"/>
              <w:adjustRightInd w:val="0"/>
              <w:ind w:right="248"/>
              <w:jc w:val="both"/>
              <w:rPr>
                <w:rFonts w:eastAsiaTheme="minorHAnsi"/>
                <w:color w:val="000000"/>
                <w:lang w:eastAsia="en-US"/>
              </w:rPr>
            </w:pPr>
            <w:r w:rsidRPr="00B937B0">
              <w:rPr>
                <w:rFonts w:eastAsiaTheme="minorHAnsi"/>
                <w:color w:val="000000"/>
                <w:lang w:eastAsia="en-US"/>
              </w:rPr>
              <w:t>LGS konkurētspējas saglabāšanu un ilgtspējīgu attīstību, tai skaitā drošuma un kvalitātes uzlabošanu, maksimāli izmantojot pašu finanšu resursus, nodrošinātu investīciju projektu realizāciju;</w:t>
            </w:r>
          </w:p>
          <w:p w14:paraId="0853AD11" w14:textId="77777777" w:rsidR="00C24AFE" w:rsidRDefault="00C610CA" w:rsidP="00C24AFE">
            <w:pPr>
              <w:pStyle w:val="ListParagraph"/>
              <w:numPr>
                <w:ilvl w:val="0"/>
                <w:numId w:val="7"/>
              </w:numPr>
              <w:autoSpaceDE w:val="0"/>
              <w:autoSpaceDN w:val="0"/>
              <w:adjustRightInd w:val="0"/>
              <w:ind w:right="248"/>
              <w:jc w:val="both"/>
              <w:rPr>
                <w:rFonts w:eastAsiaTheme="minorHAnsi"/>
                <w:color w:val="000000"/>
                <w:lang w:eastAsia="en-US"/>
              </w:rPr>
            </w:pPr>
            <w:r w:rsidRPr="00B937B0">
              <w:rPr>
                <w:rFonts w:eastAsiaTheme="minorHAnsi"/>
                <w:color w:val="000000"/>
                <w:lang w:eastAsia="en-US"/>
              </w:rPr>
              <w:t xml:space="preserve">LGS </w:t>
            </w:r>
            <w:r w:rsidR="00746658" w:rsidRPr="00B937B0">
              <w:rPr>
                <w:rFonts w:eastAsiaTheme="minorHAnsi"/>
                <w:color w:val="000000"/>
                <w:lang w:eastAsia="en-US"/>
              </w:rPr>
              <w:t>darbības virzieniem atbilstošu pakalpojumu kvalitātes un pieejamības uzlabošanu, kuru nodrošināšanai nepieciešams ieg</w:t>
            </w:r>
            <w:r w:rsidR="003921EC" w:rsidRPr="00B937B0">
              <w:rPr>
                <w:rFonts w:eastAsiaTheme="minorHAnsi"/>
                <w:color w:val="000000"/>
                <w:lang w:eastAsia="en-US"/>
              </w:rPr>
              <w:t>uldīt papildu finanšu līdzekļus</w:t>
            </w:r>
            <w:r w:rsidR="00C24AFE">
              <w:rPr>
                <w:rFonts w:eastAsiaTheme="minorHAnsi"/>
                <w:color w:val="000000"/>
                <w:lang w:eastAsia="en-US"/>
              </w:rPr>
              <w:t>.</w:t>
            </w:r>
          </w:p>
          <w:p w14:paraId="00DF9DE1" w14:textId="7519E9D9" w:rsidR="0072055D" w:rsidRPr="00550FE9" w:rsidRDefault="0072055D" w:rsidP="0072055D">
            <w:pPr>
              <w:pStyle w:val="naiskr"/>
              <w:spacing w:before="0" w:after="0"/>
              <w:ind w:left="132" w:right="106" w:firstLine="425"/>
              <w:jc w:val="both"/>
            </w:pPr>
            <w:r w:rsidRPr="00550FE9">
              <w:t xml:space="preserve">LGS </w:t>
            </w:r>
            <w:r w:rsidR="00640144" w:rsidRPr="00550FE9">
              <w:t>2016</w:t>
            </w:r>
            <w:r w:rsidR="003921EC" w:rsidRPr="00550FE9">
              <w:t xml:space="preserve">.gada pārskats ir apstiprināts kārtējā akcionāru sapulcē </w:t>
            </w:r>
            <w:r w:rsidR="00640144" w:rsidRPr="00550FE9">
              <w:t>2017</w:t>
            </w:r>
            <w:r w:rsidR="003921EC" w:rsidRPr="00550FE9">
              <w:t xml:space="preserve">.gada </w:t>
            </w:r>
            <w:r w:rsidR="00640144" w:rsidRPr="00550FE9">
              <w:t>15</w:t>
            </w:r>
            <w:r w:rsidR="003921EC" w:rsidRPr="00550FE9">
              <w:t>.maijā.</w:t>
            </w:r>
            <w:r w:rsidR="00261291" w:rsidRPr="00550FE9">
              <w:t xml:space="preserve"> Šobrīd lē</w:t>
            </w:r>
            <w:r w:rsidRPr="00550FE9">
              <w:t xml:space="preserve">mums par kapitālsabiedrības </w:t>
            </w:r>
            <w:r w:rsidR="00640144" w:rsidRPr="00550FE9">
              <w:t>2016</w:t>
            </w:r>
            <w:r w:rsidR="00261291" w:rsidRPr="00550FE9">
              <w:t>.gada peļņas sadali</w:t>
            </w:r>
            <w:r w:rsidR="003921EC" w:rsidRPr="00550FE9">
              <w:t xml:space="preserve"> vēl</w:t>
            </w:r>
            <w:r w:rsidR="00261291" w:rsidRPr="00550FE9">
              <w:t xml:space="preserve"> nav pieņemts un peļņa nav sadalīta. </w:t>
            </w:r>
          </w:p>
          <w:p w14:paraId="1DB86F92" w14:textId="77777777" w:rsidR="00B244A7" w:rsidRPr="00550FE9" w:rsidRDefault="00C65A2E" w:rsidP="00B244A7">
            <w:pPr>
              <w:pStyle w:val="naiskr"/>
              <w:spacing w:before="0" w:after="0"/>
              <w:ind w:left="132" w:right="106" w:firstLine="425"/>
              <w:jc w:val="both"/>
            </w:pPr>
            <w:r w:rsidRPr="00550FE9">
              <w:t>A</w:t>
            </w:r>
            <w:r w:rsidR="00261291" w:rsidRPr="00550FE9">
              <w:t xml:space="preserve">tšķirīgas dividendēs izmaksājamās </w:t>
            </w:r>
            <w:r w:rsidR="00B244A7" w:rsidRPr="00550FE9">
              <w:t>peļņas daļas noteikšana atbilst Ministru kabineta 2015.gada 22.decembra noteikumu Nr.806 “</w:t>
            </w:r>
            <w:r w:rsidR="00B244A7" w:rsidRPr="00550FE9">
              <w:rPr>
                <w:rFonts w:eastAsiaTheme="minorHAnsi"/>
                <w:color w:val="000000"/>
                <w:lang w:eastAsia="en-US"/>
              </w:rPr>
              <w:t>Kārtība, kādā valsts kapitālsabiedrības un publiski privātās kapitālsabiedrības, kurās valsts ir dalībnieks (akcionārs), prognozē un nosaka dividendēs izmaksājamo peļņas daļu un veic maksājumus valsts budžetā p</w:t>
            </w:r>
            <w:r w:rsidR="008D21CC" w:rsidRPr="00550FE9">
              <w:rPr>
                <w:rFonts w:eastAsiaTheme="minorHAnsi"/>
                <w:color w:val="000000"/>
                <w:lang w:eastAsia="en-US"/>
              </w:rPr>
              <w:t xml:space="preserve">ar valsts </w:t>
            </w:r>
            <w:r w:rsidR="008D21CC" w:rsidRPr="00550FE9">
              <w:rPr>
                <w:rFonts w:eastAsiaTheme="minorHAnsi"/>
                <w:color w:val="000000"/>
                <w:lang w:eastAsia="en-US"/>
              </w:rPr>
              <w:lastRenderedPageBreak/>
              <w:t xml:space="preserve">kapitāla </w:t>
            </w:r>
            <w:r w:rsidR="008D21CC" w:rsidRPr="00550FE9">
              <w:t>izmantošanu” 11.2.3. un 11.2.4</w:t>
            </w:r>
            <w:r w:rsidR="00261291" w:rsidRPr="00550FE9">
              <w:t>.</w:t>
            </w:r>
            <w:r w:rsidRPr="00550FE9">
              <w:t>apakš</w:t>
            </w:r>
            <w:r w:rsidR="00261291" w:rsidRPr="00550FE9">
              <w:t>punktā noteiktajam.</w:t>
            </w:r>
          </w:p>
          <w:p w14:paraId="35869263" w14:textId="77777777" w:rsidR="00261291" w:rsidRDefault="00261291" w:rsidP="00640144">
            <w:pPr>
              <w:pStyle w:val="naiskr"/>
              <w:spacing w:before="0" w:after="0"/>
              <w:ind w:left="132" w:right="106" w:firstLine="425"/>
              <w:jc w:val="both"/>
            </w:pPr>
            <w:r w:rsidRPr="00550FE9">
              <w:t>Rīkojuma projekts paredz, ka Ministru kabinets no</w:t>
            </w:r>
            <w:r w:rsidR="00B244A7" w:rsidRPr="00550FE9">
              <w:t xml:space="preserve">saka, ka kapitālsabiedrības </w:t>
            </w:r>
            <w:r w:rsidR="00640144" w:rsidRPr="00550FE9">
              <w:t>2016</w:t>
            </w:r>
            <w:r w:rsidRPr="00550FE9">
              <w:t xml:space="preserve">.pārskata gada tīrā peļņa netiek izmaksāta dividendēs, </w:t>
            </w:r>
            <w:r w:rsidR="00C65A2E" w:rsidRPr="00550FE9">
              <w:t xml:space="preserve">bet </w:t>
            </w:r>
            <w:r w:rsidR="00B244A7" w:rsidRPr="00550FE9">
              <w:t xml:space="preserve">tiek novirzīta uzsākto un </w:t>
            </w:r>
            <w:r w:rsidR="00640144" w:rsidRPr="00550FE9">
              <w:t>2017</w:t>
            </w:r>
            <w:r w:rsidRPr="00550FE9">
              <w:t>.gadā plānoto  investīciju projektu īstenošanai, kā arī drošuma un kvalitātes paaugstināšanai, tādējādi nodrošinot LGS konkurētspēju un ilgtspējīgu attīstību</w:t>
            </w:r>
            <w:r w:rsidR="002A2091" w:rsidRPr="00550FE9">
              <w:t xml:space="preserve">, kā arī  kompensējot </w:t>
            </w:r>
            <w:r w:rsidR="00640144" w:rsidRPr="00550FE9">
              <w:t>2016</w:t>
            </w:r>
            <w:r w:rsidR="002A2091" w:rsidRPr="00550FE9">
              <w:t>.gadā nesaņemtos ieņēmumus par</w:t>
            </w:r>
            <w:r w:rsidR="00C65A2E" w:rsidRPr="00550FE9">
              <w:t xml:space="preserve"> sniegtajiem pakalpojumiem</w:t>
            </w:r>
            <w:r w:rsidR="002A2091" w:rsidRPr="00550FE9">
              <w:t>.</w:t>
            </w:r>
          </w:p>
          <w:p w14:paraId="479CFBAC" w14:textId="75B2F71F" w:rsidR="00E211C7" w:rsidRPr="00B2449D" w:rsidRDefault="00E7380D" w:rsidP="00E7380D">
            <w:pPr>
              <w:pStyle w:val="naiskr"/>
              <w:spacing w:before="0" w:after="0"/>
              <w:ind w:left="132" w:right="106" w:firstLine="425"/>
              <w:jc w:val="both"/>
              <w:rPr>
                <w:b/>
              </w:rPr>
            </w:pPr>
            <w:r w:rsidRPr="00B2449D">
              <w:rPr>
                <w:b/>
              </w:rPr>
              <w:t>LGS atbrīvošana no dividenžu iemaksas valsts budžetā nav uzskatāma par komercdarbības atbalstu, jo neizpildās neviens no Komercdarbības atbalsta kontroles likuma 5.pantā uzskaitītajiem kritērijiem.</w:t>
            </w:r>
          </w:p>
        </w:tc>
      </w:tr>
      <w:tr w:rsidR="00261291" w:rsidRPr="00550FE9" w14:paraId="6E73A710" w14:textId="77777777" w:rsidTr="00CB3FDC">
        <w:trPr>
          <w:trHeight w:val="476"/>
        </w:trPr>
        <w:tc>
          <w:tcPr>
            <w:tcW w:w="425" w:type="dxa"/>
          </w:tcPr>
          <w:p w14:paraId="1825484B" w14:textId="0D232146" w:rsidR="00261291" w:rsidRPr="00550FE9" w:rsidRDefault="00261291" w:rsidP="00D26C2D">
            <w:pPr>
              <w:pStyle w:val="naiskr"/>
              <w:spacing w:before="0" w:after="0"/>
            </w:pPr>
            <w:r w:rsidRPr="00550FE9">
              <w:lastRenderedPageBreak/>
              <w:t>3.</w:t>
            </w:r>
          </w:p>
        </w:tc>
        <w:tc>
          <w:tcPr>
            <w:tcW w:w="1423" w:type="dxa"/>
          </w:tcPr>
          <w:p w14:paraId="69531606" w14:textId="77777777" w:rsidR="00261291" w:rsidRPr="00550FE9" w:rsidRDefault="00261291" w:rsidP="00D26C2D">
            <w:pPr>
              <w:pStyle w:val="naiskr"/>
              <w:spacing w:before="0" w:after="0"/>
            </w:pPr>
            <w:r w:rsidRPr="00550FE9">
              <w:t>Projekta izstrādē iesaistītās institūcijas</w:t>
            </w:r>
          </w:p>
        </w:tc>
        <w:tc>
          <w:tcPr>
            <w:tcW w:w="7315" w:type="dxa"/>
          </w:tcPr>
          <w:p w14:paraId="3380C789" w14:textId="77777777" w:rsidR="00261291" w:rsidRPr="00550FE9" w:rsidRDefault="00261291" w:rsidP="00C65A2E">
            <w:pPr>
              <w:pStyle w:val="naiskr"/>
              <w:spacing w:before="0" w:after="0"/>
              <w:ind w:right="102" w:firstLine="283"/>
              <w:jc w:val="both"/>
            </w:pPr>
            <w:r w:rsidRPr="00550FE9">
              <w:t>Satiksmes ministrija un valsts akciju sabiedrība „Latvijas gaisa satiksme”.</w:t>
            </w:r>
          </w:p>
        </w:tc>
      </w:tr>
      <w:tr w:rsidR="00261291" w:rsidRPr="00550FE9" w14:paraId="6E38BCC0" w14:textId="77777777" w:rsidTr="00CB3FDC">
        <w:trPr>
          <w:trHeight w:val="450"/>
        </w:trPr>
        <w:tc>
          <w:tcPr>
            <w:tcW w:w="425" w:type="dxa"/>
          </w:tcPr>
          <w:p w14:paraId="65DCF7E9" w14:textId="77777777" w:rsidR="00261291" w:rsidRPr="00550FE9" w:rsidRDefault="00261291" w:rsidP="00D26C2D">
            <w:pPr>
              <w:pStyle w:val="naiskr"/>
              <w:spacing w:before="0" w:after="0"/>
            </w:pPr>
            <w:r w:rsidRPr="00550FE9">
              <w:t>4.</w:t>
            </w:r>
          </w:p>
        </w:tc>
        <w:tc>
          <w:tcPr>
            <w:tcW w:w="1423" w:type="dxa"/>
          </w:tcPr>
          <w:p w14:paraId="691FA372" w14:textId="77777777" w:rsidR="00261291" w:rsidRPr="00550FE9" w:rsidRDefault="00261291" w:rsidP="00D26C2D">
            <w:pPr>
              <w:pStyle w:val="naiskr"/>
              <w:spacing w:before="0" w:after="0"/>
            </w:pPr>
            <w:r w:rsidRPr="00550FE9">
              <w:t>Cita informācija</w:t>
            </w:r>
          </w:p>
        </w:tc>
        <w:tc>
          <w:tcPr>
            <w:tcW w:w="7315" w:type="dxa"/>
          </w:tcPr>
          <w:p w14:paraId="7DCE4BA4" w14:textId="77777777" w:rsidR="00261291" w:rsidRPr="00550FE9" w:rsidRDefault="00261291" w:rsidP="00D26C2D">
            <w:pPr>
              <w:pStyle w:val="naiskr"/>
              <w:spacing w:before="0" w:after="0"/>
              <w:ind w:right="102" w:firstLine="283"/>
              <w:jc w:val="both"/>
            </w:pPr>
            <w:r w:rsidRPr="00550FE9">
              <w:t>Nav.</w:t>
            </w:r>
          </w:p>
        </w:tc>
      </w:tr>
    </w:tbl>
    <w:p w14:paraId="11ADFA6E" w14:textId="77777777" w:rsidR="00261291" w:rsidRPr="00550FE9" w:rsidRDefault="00261291" w:rsidP="00261291">
      <w:pPr>
        <w:rPr>
          <w:vanish/>
        </w:rPr>
      </w:pPr>
    </w:p>
    <w:tbl>
      <w:tblPr>
        <w:tblStyle w:val="TableGrid"/>
        <w:tblW w:w="9640" w:type="dxa"/>
        <w:tblInd w:w="-176" w:type="dxa"/>
        <w:tblLook w:val="00A0" w:firstRow="1" w:lastRow="0" w:firstColumn="1" w:lastColumn="0" w:noHBand="0" w:noVBand="0"/>
      </w:tblPr>
      <w:tblGrid>
        <w:gridCol w:w="2955"/>
        <w:gridCol w:w="1649"/>
        <w:gridCol w:w="1281"/>
        <w:gridCol w:w="1276"/>
        <w:gridCol w:w="1276"/>
        <w:gridCol w:w="1203"/>
      </w:tblGrid>
      <w:tr w:rsidR="00261291" w:rsidRPr="00550FE9" w14:paraId="2172C7A8" w14:textId="77777777" w:rsidTr="00C65A2E">
        <w:trPr>
          <w:trHeight w:val="652"/>
        </w:trPr>
        <w:tc>
          <w:tcPr>
            <w:tcW w:w="9640" w:type="dxa"/>
            <w:gridSpan w:val="6"/>
          </w:tcPr>
          <w:p w14:paraId="72611583" w14:textId="77777777" w:rsidR="00B45C0C" w:rsidRDefault="00B45C0C" w:rsidP="00D26C2D">
            <w:pPr>
              <w:ind w:firstLine="720"/>
              <w:jc w:val="both"/>
              <w:rPr>
                <w:b/>
                <w:bCs/>
              </w:rPr>
            </w:pPr>
          </w:p>
          <w:p w14:paraId="118346EB" w14:textId="77777777" w:rsidR="00B45C0C" w:rsidRDefault="00B45C0C" w:rsidP="00D26C2D">
            <w:pPr>
              <w:ind w:firstLine="720"/>
              <w:jc w:val="both"/>
              <w:rPr>
                <w:b/>
                <w:bCs/>
              </w:rPr>
            </w:pPr>
          </w:p>
          <w:p w14:paraId="5A6CF7FF" w14:textId="77777777" w:rsidR="00261291" w:rsidRPr="00550FE9" w:rsidRDefault="00261291" w:rsidP="00D26C2D">
            <w:pPr>
              <w:ind w:firstLine="720"/>
              <w:jc w:val="both"/>
              <w:rPr>
                <w:b/>
                <w:bCs/>
              </w:rPr>
            </w:pPr>
            <w:r w:rsidRPr="00550FE9">
              <w:rPr>
                <w:b/>
                <w:bCs/>
              </w:rPr>
              <w:t>III. Tiesību akta projekta ietekme uz valsts budžetu un pašvaldību budžetiem</w:t>
            </w:r>
          </w:p>
        </w:tc>
      </w:tr>
      <w:tr w:rsidR="00261291" w:rsidRPr="00550FE9" w14:paraId="691F9B7A" w14:textId="77777777" w:rsidTr="0030606F">
        <w:tc>
          <w:tcPr>
            <w:tcW w:w="2955" w:type="dxa"/>
            <w:vMerge w:val="restart"/>
            <w:shd w:val="clear" w:color="auto" w:fill="auto"/>
          </w:tcPr>
          <w:p w14:paraId="4B623F96" w14:textId="77777777" w:rsidR="00261291" w:rsidRPr="00550FE9" w:rsidRDefault="00261291" w:rsidP="00D26C2D">
            <w:pPr>
              <w:ind w:firstLine="720"/>
              <w:jc w:val="both"/>
              <w:rPr>
                <w:b/>
              </w:rPr>
            </w:pPr>
            <w:r w:rsidRPr="00550FE9">
              <w:rPr>
                <w:b/>
              </w:rPr>
              <w:t> </w:t>
            </w:r>
            <w:r w:rsidRPr="00550FE9">
              <w:rPr>
                <w:b/>
                <w:bCs/>
              </w:rPr>
              <w:t>Rādītāji</w:t>
            </w:r>
          </w:p>
        </w:tc>
        <w:tc>
          <w:tcPr>
            <w:tcW w:w="2930" w:type="dxa"/>
            <w:gridSpan w:val="2"/>
            <w:vMerge w:val="restart"/>
            <w:shd w:val="clear" w:color="auto" w:fill="auto"/>
          </w:tcPr>
          <w:p w14:paraId="132E493E" w14:textId="77777777" w:rsidR="00261291" w:rsidRPr="00550FE9" w:rsidRDefault="00DE11F5" w:rsidP="00414C3F">
            <w:pPr>
              <w:ind w:firstLine="24"/>
              <w:jc w:val="center"/>
              <w:rPr>
                <w:b/>
              </w:rPr>
            </w:pPr>
            <w:r w:rsidRPr="00550FE9">
              <w:rPr>
                <w:b/>
                <w:bCs/>
              </w:rPr>
              <w:t>2016</w:t>
            </w:r>
          </w:p>
        </w:tc>
        <w:tc>
          <w:tcPr>
            <w:tcW w:w="3755" w:type="dxa"/>
            <w:gridSpan w:val="3"/>
          </w:tcPr>
          <w:p w14:paraId="71BC8AA4" w14:textId="77777777" w:rsidR="00261291" w:rsidRPr="00550FE9" w:rsidRDefault="00261291" w:rsidP="00D26C2D">
            <w:pPr>
              <w:ind w:firstLine="24"/>
              <w:jc w:val="both"/>
              <w:rPr>
                <w:b/>
              </w:rPr>
            </w:pPr>
            <w:r w:rsidRPr="00550FE9">
              <w:rPr>
                <w:b/>
              </w:rPr>
              <w:t> Turpmākie trīs gadi (tūkst. euro)</w:t>
            </w:r>
          </w:p>
        </w:tc>
      </w:tr>
      <w:tr w:rsidR="00261291" w:rsidRPr="00550FE9" w14:paraId="49AB730B" w14:textId="77777777" w:rsidTr="0030606F">
        <w:tc>
          <w:tcPr>
            <w:tcW w:w="2955" w:type="dxa"/>
            <w:vMerge/>
            <w:shd w:val="clear" w:color="auto" w:fill="auto"/>
          </w:tcPr>
          <w:p w14:paraId="7C9C98B8" w14:textId="77777777" w:rsidR="00261291" w:rsidRPr="00550FE9" w:rsidRDefault="00261291" w:rsidP="00D26C2D">
            <w:pPr>
              <w:ind w:firstLine="720"/>
              <w:jc w:val="both"/>
            </w:pPr>
          </w:p>
        </w:tc>
        <w:tc>
          <w:tcPr>
            <w:tcW w:w="2930" w:type="dxa"/>
            <w:gridSpan w:val="2"/>
            <w:vMerge/>
            <w:shd w:val="clear" w:color="auto" w:fill="auto"/>
          </w:tcPr>
          <w:p w14:paraId="1E9BBF49" w14:textId="77777777" w:rsidR="00261291" w:rsidRPr="00550FE9" w:rsidRDefault="00261291" w:rsidP="00D26C2D">
            <w:pPr>
              <w:ind w:firstLine="24"/>
              <w:jc w:val="both"/>
            </w:pPr>
          </w:p>
        </w:tc>
        <w:tc>
          <w:tcPr>
            <w:tcW w:w="1276" w:type="dxa"/>
          </w:tcPr>
          <w:p w14:paraId="5806117C" w14:textId="77777777" w:rsidR="00261291" w:rsidRPr="00550FE9" w:rsidRDefault="00DE11F5" w:rsidP="00D26C2D">
            <w:pPr>
              <w:ind w:firstLine="24"/>
              <w:jc w:val="both"/>
              <w:rPr>
                <w:b/>
                <w:bCs/>
              </w:rPr>
            </w:pPr>
            <w:r w:rsidRPr="00550FE9">
              <w:rPr>
                <w:b/>
                <w:bCs/>
              </w:rPr>
              <w:t> 2017</w:t>
            </w:r>
          </w:p>
        </w:tc>
        <w:tc>
          <w:tcPr>
            <w:tcW w:w="1276" w:type="dxa"/>
          </w:tcPr>
          <w:p w14:paraId="7BD9A433" w14:textId="77777777" w:rsidR="00261291" w:rsidRPr="00550FE9" w:rsidRDefault="00DE11F5" w:rsidP="00D26C2D">
            <w:pPr>
              <w:ind w:firstLine="24"/>
              <w:jc w:val="both"/>
              <w:rPr>
                <w:b/>
                <w:bCs/>
              </w:rPr>
            </w:pPr>
            <w:r w:rsidRPr="00550FE9">
              <w:rPr>
                <w:b/>
                <w:bCs/>
              </w:rPr>
              <w:t>2018</w:t>
            </w:r>
          </w:p>
        </w:tc>
        <w:tc>
          <w:tcPr>
            <w:tcW w:w="1203" w:type="dxa"/>
          </w:tcPr>
          <w:p w14:paraId="677D36C8" w14:textId="77777777" w:rsidR="00261291" w:rsidRPr="00550FE9" w:rsidRDefault="00261291" w:rsidP="00D26C2D">
            <w:pPr>
              <w:ind w:firstLine="24"/>
              <w:jc w:val="both"/>
              <w:rPr>
                <w:b/>
                <w:bCs/>
              </w:rPr>
            </w:pPr>
            <w:r w:rsidRPr="00550FE9">
              <w:rPr>
                <w:b/>
                <w:bCs/>
              </w:rPr>
              <w:t>201</w:t>
            </w:r>
            <w:r w:rsidR="00DE11F5" w:rsidRPr="00550FE9">
              <w:rPr>
                <w:b/>
                <w:bCs/>
              </w:rPr>
              <w:t>9</w:t>
            </w:r>
          </w:p>
        </w:tc>
      </w:tr>
      <w:tr w:rsidR="00261291" w:rsidRPr="00550FE9" w14:paraId="5B4C9035" w14:textId="77777777" w:rsidTr="0030606F">
        <w:tc>
          <w:tcPr>
            <w:tcW w:w="2955" w:type="dxa"/>
            <w:vMerge/>
            <w:shd w:val="clear" w:color="auto" w:fill="auto"/>
          </w:tcPr>
          <w:p w14:paraId="51694569" w14:textId="77777777" w:rsidR="00261291" w:rsidRPr="00550FE9" w:rsidRDefault="00261291" w:rsidP="00D26C2D">
            <w:pPr>
              <w:ind w:firstLine="720"/>
              <w:jc w:val="both"/>
            </w:pPr>
          </w:p>
        </w:tc>
        <w:tc>
          <w:tcPr>
            <w:tcW w:w="1649" w:type="dxa"/>
            <w:shd w:val="clear" w:color="auto" w:fill="auto"/>
          </w:tcPr>
          <w:p w14:paraId="4E98B3DF" w14:textId="77777777" w:rsidR="00261291" w:rsidRPr="00550FE9" w:rsidRDefault="00261291" w:rsidP="00D26C2D">
            <w:pPr>
              <w:ind w:firstLine="24"/>
              <w:jc w:val="both"/>
            </w:pPr>
            <w:r w:rsidRPr="00550FE9">
              <w:t> Saskaņā ar valsts budžetu kārtējam gadam</w:t>
            </w:r>
          </w:p>
        </w:tc>
        <w:tc>
          <w:tcPr>
            <w:tcW w:w="1281" w:type="dxa"/>
            <w:shd w:val="clear" w:color="auto" w:fill="auto"/>
          </w:tcPr>
          <w:p w14:paraId="53394CF9" w14:textId="77777777" w:rsidR="00261291" w:rsidRPr="00550FE9" w:rsidRDefault="00261291" w:rsidP="00D26C2D">
            <w:pPr>
              <w:ind w:firstLine="24"/>
              <w:jc w:val="both"/>
            </w:pPr>
            <w:r w:rsidRPr="00550FE9">
              <w:t> Izmaiņas kārtējā gadā, salīdzinot ar budžetu kārtējam gadam</w:t>
            </w:r>
          </w:p>
        </w:tc>
        <w:tc>
          <w:tcPr>
            <w:tcW w:w="1276" w:type="dxa"/>
          </w:tcPr>
          <w:p w14:paraId="584AD9ED" w14:textId="77777777" w:rsidR="00261291" w:rsidRPr="00550FE9" w:rsidRDefault="00261291" w:rsidP="00D26C2D">
            <w:pPr>
              <w:ind w:firstLine="24"/>
              <w:jc w:val="both"/>
            </w:pPr>
            <w:r w:rsidRPr="00550FE9">
              <w:t> Izmaiņas, salīdzinot ar kārtējo (n) gadu</w:t>
            </w:r>
          </w:p>
        </w:tc>
        <w:tc>
          <w:tcPr>
            <w:tcW w:w="1276" w:type="dxa"/>
          </w:tcPr>
          <w:p w14:paraId="4A974166" w14:textId="77777777" w:rsidR="00261291" w:rsidRPr="00550FE9" w:rsidRDefault="00261291" w:rsidP="00D26C2D">
            <w:pPr>
              <w:ind w:firstLine="24"/>
              <w:jc w:val="both"/>
            </w:pPr>
            <w:r w:rsidRPr="00550FE9">
              <w:t> Izmaiņas, salīdzinot ar kārtējo (n) gadu</w:t>
            </w:r>
          </w:p>
        </w:tc>
        <w:tc>
          <w:tcPr>
            <w:tcW w:w="1203" w:type="dxa"/>
          </w:tcPr>
          <w:p w14:paraId="27B4B9E7" w14:textId="77777777" w:rsidR="00261291" w:rsidRPr="00550FE9" w:rsidRDefault="00261291" w:rsidP="00D26C2D">
            <w:pPr>
              <w:ind w:firstLine="24"/>
              <w:jc w:val="both"/>
            </w:pPr>
            <w:r w:rsidRPr="00550FE9">
              <w:t> Izmaiņas, salīdzinot ar kārtējo (n) gadu</w:t>
            </w:r>
          </w:p>
        </w:tc>
      </w:tr>
      <w:tr w:rsidR="00261291" w:rsidRPr="00550FE9" w14:paraId="3D35DB9E" w14:textId="77777777" w:rsidTr="0030606F">
        <w:tc>
          <w:tcPr>
            <w:tcW w:w="2955" w:type="dxa"/>
            <w:shd w:val="clear" w:color="auto" w:fill="auto"/>
          </w:tcPr>
          <w:p w14:paraId="2345316C" w14:textId="77777777" w:rsidR="00261291" w:rsidRPr="00550FE9" w:rsidRDefault="00261291" w:rsidP="00D26C2D">
            <w:pPr>
              <w:ind w:firstLine="720"/>
              <w:jc w:val="both"/>
            </w:pPr>
            <w:r w:rsidRPr="00550FE9">
              <w:t> 1</w:t>
            </w:r>
          </w:p>
        </w:tc>
        <w:tc>
          <w:tcPr>
            <w:tcW w:w="1649" w:type="dxa"/>
            <w:shd w:val="clear" w:color="auto" w:fill="auto"/>
          </w:tcPr>
          <w:p w14:paraId="3085D2DA" w14:textId="77777777" w:rsidR="00261291" w:rsidRPr="00550FE9" w:rsidRDefault="00261291" w:rsidP="00D26C2D">
            <w:pPr>
              <w:ind w:firstLine="720"/>
              <w:jc w:val="both"/>
            </w:pPr>
            <w:r w:rsidRPr="00550FE9">
              <w:t> 2</w:t>
            </w:r>
          </w:p>
        </w:tc>
        <w:tc>
          <w:tcPr>
            <w:tcW w:w="1281" w:type="dxa"/>
            <w:shd w:val="clear" w:color="auto" w:fill="auto"/>
          </w:tcPr>
          <w:p w14:paraId="18F6CE23" w14:textId="77777777" w:rsidR="00261291" w:rsidRPr="00550FE9" w:rsidRDefault="00261291" w:rsidP="00D26C2D">
            <w:pPr>
              <w:ind w:firstLine="720"/>
              <w:jc w:val="both"/>
            </w:pPr>
            <w:r w:rsidRPr="00550FE9">
              <w:t> 3</w:t>
            </w:r>
          </w:p>
        </w:tc>
        <w:tc>
          <w:tcPr>
            <w:tcW w:w="1276" w:type="dxa"/>
          </w:tcPr>
          <w:p w14:paraId="4F4EDF7E" w14:textId="77777777" w:rsidR="00261291" w:rsidRPr="00550FE9" w:rsidRDefault="00261291" w:rsidP="00D26C2D">
            <w:pPr>
              <w:ind w:firstLine="720"/>
              <w:jc w:val="both"/>
            </w:pPr>
            <w:r w:rsidRPr="00550FE9">
              <w:t> 4</w:t>
            </w:r>
          </w:p>
        </w:tc>
        <w:tc>
          <w:tcPr>
            <w:tcW w:w="1276" w:type="dxa"/>
          </w:tcPr>
          <w:p w14:paraId="1FE0C941" w14:textId="77777777" w:rsidR="00261291" w:rsidRPr="00550FE9" w:rsidRDefault="00261291" w:rsidP="00D26C2D">
            <w:pPr>
              <w:ind w:firstLine="720"/>
              <w:jc w:val="both"/>
            </w:pPr>
            <w:r w:rsidRPr="00550FE9">
              <w:t> 5</w:t>
            </w:r>
          </w:p>
        </w:tc>
        <w:tc>
          <w:tcPr>
            <w:tcW w:w="1203" w:type="dxa"/>
          </w:tcPr>
          <w:p w14:paraId="0D958C59" w14:textId="77777777" w:rsidR="00261291" w:rsidRPr="00550FE9" w:rsidRDefault="00261291" w:rsidP="00D26C2D">
            <w:pPr>
              <w:ind w:firstLine="720"/>
              <w:jc w:val="both"/>
            </w:pPr>
            <w:r w:rsidRPr="00550FE9">
              <w:t> 6</w:t>
            </w:r>
          </w:p>
        </w:tc>
      </w:tr>
      <w:tr w:rsidR="00261291" w:rsidRPr="00550FE9" w14:paraId="312AD70F" w14:textId="77777777" w:rsidTr="0030606F">
        <w:tc>
          <w:tcPr>
            <w:tcW w:w="2955" w:type="dxa"/>
            <w:shd w:val="clear" w:color="auto" w:fill="auto"/>
          </w:tcPr>
          <w:p w14:paraId="56371975" w14:textId="77777777" w:rsidR="00261291" w:rsidRPr="00550FE9" w:rsidRDefault="00261291" w:rsidP="00D26C2D">
            <w:pPr>
              <w:ind w:firstLine="127"/>
              <w:jc w:val="both"/>
            </w:pPr>
            <w:r w:rsidRPr="00550FE9">
              <w:t> 1. Budžeta ieņēmumi:</w:t>
            </w:r>
          </w:p>
        </w:tc>
        <w:tc>
          <w:tcPr>
            <w:tcW w:w="1649" w:type="dxa"/>
            <w:shd w:val="clear" w:color="auto" w:fill="auto"/>
          </w:tcPr>
          <w:p w14:paraId="1AD88E46" w14:textId="5AD7C83C" w:rsidR="00261291" w:rsidRPr="00550FE9" w:rsidRDefault="00F47CA9" w:rsidP="00D26C2D">
            <w:pPr>
              <w:ind w:firstLine="24"/>
              <w:jc w:val="both"/>
            </w:pPr>
            <w:r w:rsidRPr="00F47CA9">
              <w:t>162 478 303</w:t>
            </w:r>
          </w:p>
        </w:tc>
        <w:tc>
          <w:tcPr>
            <w:tcW w:w="1281" w:type="dxa"/>
            <w:shd w:val="clear" w:color="auto" w:fill="auto"/>
          </w:tcPr>
          <w:p w14:paraId="00D6D512" w14:textId="36032872" w:rsidR="00261291" w:rsidRPr="00550FE9" w:rsidRDefault="00261291" w:rsidP="00EB20B7">
            <w:pPr>
              <w:jc w:val="both"/>
            </w:pPr>
            <w:r w:rsidRPr="00550FE9">
              <w:t xml:space="preserve"> </w:t>
            </w:r>
            <w:r w:rsidR="0030606F" w:rsidRPr="00550FE9">
              <w:t>-</w:t>
            </w:r>
            <w:r w:rsidR="00EB20B7">
              <w:t>285377</w:t>
            </w:r>
          </w:p>
        </w:tc>
        <w:tc>
          <w:tcPr>
            <w:tcW w:w="1276" w:type="dxa"/>
          </w:tcPr>
          <w:p w14:paraId="4CB8CB83" w14:textId="77777777" w:rsidR="00261291" w:rsidRPr="00550FE9" w:rsidRDefault="00261291" w:rsidP="00D26C2D">
            <w:pPr>
              <w:ind w:firstLine="720"/>
              <w:jc w:val="both"/>
            </w:pPr>
            <w:r w:rsidRPr="00550FE9">
              <w:t>-</w:t>
            </w:r>
          </w:p>
        </w:tc>
        <w:tc>
          <w:tcPr>
            <w:tcW w:w="1276" w:type="dxa"/>
          </w:tcPr>
          <w:p w14:paraId="68642E5D" w14:textId="77777777" w:rsidR="00261291" w:rsidRPr="00550FE9" w:rsidRDefault="00261291" w:rsidP="00D26C2D">
            <w:pPr>
              <w:ind w:firstLine="720"/>
              <w:jc w:val="both"/>
            </w:pPr>
            <w:r w:rsidRPr="00550FE9">
              <w:t>-</w:t>
            </w:r>
          </w:p>
        </w:tc>
        <w:tc>
          <w:tcPr>
            <w:tcW w:w="1203" w:type="dxa"/>
          </w:tcPr>
          <w:p w14:paraId="66539FEB" w14:textId="77777777" w:rsidR="00261291" w:rsidRPr="00550FE9" w:rsidRDefault="00261291" w:rsidP="00D26C2D">
            <w:pPr>
              <w:ind w:firstLine="720"/>
              <w:jc w:val="both"/>
            </w:pPr>
            <w:r w:rsidRPr="00550FE9">
              <w:t>-</w:t>
            </w:r>
          </w:p>
        </w:tc>
      </w:tr>
      <w:tr w:rsidR="00261291" w:rsidRPr="00550FE9" w14:paraId="6B97E6B3" w14:textId="77777777" w:rsidTr="0030606F">
        <w:tc>
          <w:tcPr>
            <w:tcW w:w="2955" w:type="dxa"/>
            <w:shd w:val="clear" w:color="auto" w:fill="auto"/>
          </w:tcPr>
          <w:p w14:paraId="53892860" w14:textId="77777777" w:rsidR="00261291" w:rsidRPr="00550FE9" w:rsidRDefault="00261291" w:rsidP="00261291">
            <w:pPr>
              <w:numPr>
                <w:ilvl w:val="1"/>
                <w:numId w:val="1"/>
              </w:numPr>
              <w:jc w:val="both"/>
            </w:pPr>
            <w:r w:rsidRPr="00550FE9">
              <w:t>valst</w:t>
            </w:r>
            <w:r w:rsidR="00414C3F" w:rsidRPr="00550FE9">
              <w:t xml:space="preserve">s pamatbudžets, tai skaitā </w:t>
            </w:r>
            <w:r w:rsidR="005F6B3C" w:rsidRPr="00550FE9">
              <w:t xml:space="preserve">ieņēmumi </w:t>
            </w:r>
            <w:r w:rsidRPr="00550FE9">
              <w:t>no   maksas       pakalpojumiem un citi pašu ieņēmumi</w:t>
            </w:r>
          </w:p>
        </w:tc>
        <w:tc>
          <w:tcPr>
            <w:tcW w:w="1649" w:type="dxa"/>
            <w:shd w:val="clear" w:color="auto" w:fill="auto"/>
          </w:tcPr>
          <w:p w14:paraId="4FDEC11E" w14:textId="789EFB66" w:rsidR="00261291" w:rsidRPr="00550FE9" w:rsidRDefault="00F47CA9" w:rsidP="00D26C2D">
            <w:pPr>
              <w:ind w:firstLine="24"/>
              <w:jc w:val="both"/>
            </w:pPr>
            <w:r w:rsidRPr="00F47CA9">
              <w:t>162 478 303</w:t>
            </w:r>
          </w:p>
        </w:tc>
        <w:tc>
          <w:tcPr>
            <w:tcW w:w="1281" w:type="dxa"/>
            <w:shd w:val="clear" w:color="auto" w:fill="auto"/>
          </w:tcPr>
          <w:p w14:paraId="2FA3785C" w14:textId="77777777" w:rsidR="0030606F" w:rsidRPr="00550FE9" w:rsidRDefault="00261291" w:rsidP="00DE11F5">
            <w:pPr>
              <w:jc w:val="both"/>
            </w:pPr>
            <w:r w:rsidRPr="00550FE9">
              <w:t xml:space="preserve"> </w:t>
            </w:r>
          </w:p>
          <w:p w14:paraId="2D4D40CF" w14:textId="7AE030E1" w:rsidR="00261291" w:rsidRPr="00550FE9" w:rsidRDefault="0030606F" w:rsidP="00EB20B7">
            <w:pPr>
              <w:jc w:val="both"/>
            </w:pPr>
            <w:r w:rsidRPr="00550FE9">
              <w:t>-</w:t>
            </w:r>
            <w:r w:rsidR="00EB20B7">
              <w:t>285377</w:t>
            </w:r>
          </w:p>
        </w:tc>
        <w:tc>
          <w:tcPr>
            <w:tcW w:w="1276" w:type="dxa"/>
          </w:tcPr>
          <w:p w14:paraId="07BC0172" w14:textId="77777777" w:rsidR="00261291" w:rsidRPr="00550FE9" w:rsidRDefault="00261291" w:rsidP="00D26C2D">
            <w:pPr>
              <w:ind w:firstLine="720"/>
              <w:jc w:val="both"/>
            </w:pPr>
            <w:r w:rsidRPr="00550FE9">
              <w:t>-</w:t>
            </w:r>
          </w:p>
        </w:tc>
        <w:tc>
          <w:tcPr>
            <w:tcW w:w="1276" w:type="dxa"/>
          </w:tcPr>
          <w:p w14:paraId="52902763" w14:textId="77777777" w:rsidR="00261291" w:rsidRPr="00550FE9" w:rsidRDefault="00261291" w:rsidP="00D26C2D">
            <w:pPr>
              <w:ind w:firstLine="720"/>
              <w:jc w:val="both"/>
            </w:pPr>
            <w:r w:rsidRPr="00550FE9">
              <w:t>- </w:t>
            </w:r>
          </w:p>
        </w:tc>
        <w:tc>
          <w:tcPr>
            <w:tcW w:w="1203" w:type="dxa"/>
          </w:tcPr>
          <w:p w14:paraId="7F43EAE9" w14:textId="77777777" w:rsidR="00261291" w:rsidRPr="00550FE9" w:rsidRDefault="00261291" w:rsidP="00D26C2D">
            <w:pPr>
              <w:ind w:firstLine="720"/>
              <w:jc w:val="both"/>
            </w:pPr>
            <w:r w:rsidRPr="00550FE9">
              <w:t>-  </w:t>
            </w:r>
          </w:p>
        </w:tc>
      </w:tr>
      <w:tr w:rsidR="00261291" w:rsidRPr="00550FE9" w14:paraId="757331A5" w14:textId="77777777" w:rsidTr="0030606F">
        <w:tc>
          <w:tcPr>
            <w:tcW w:w="2955" w:type="dxa"/>
            <w:shd w:val="clear" w:color="auto" w:fill="auto"/>
          </w:tcPr>
          <w:p w14:paraId="3D7A5D2F" w14:textId="77777777" w:rsidR="00261291" w:rsidRPr="00550FE9" w:rsidRDefault="00261291" w:rsidP="00D26C2D">
            <w:pPr>
              <w:ind w:firstLine="127"/>
              <w:jc w:val="both"/>
            </w:pPr>
            <w:r w:rsidRPr="00550FE9">
              <w:t> 1.2. valsts speciālais budžets</w:t>
            </w:r>
          </w:p>
        </w:tc>
        <w:tc>
          <w:tcPr>
            <w:tcW w:w="1649" w:type="dxa"/>
            <w:shd w:val="clear" w:color="auto" w:fill="auto"/>
          </w:tcPr>
          <w:p w14:paraId="1A55AD2B" w14:textId="77777777" w:rsidR="00261291" w:rsidRPr="00550FE9" w:rsidRDefault="004164D1" w:rsidP="00C65A2E">
            <w:pPr>
              <w:ind w:firstLine="24"/>
              <w:jc w:val="both"/>
            </w:pPr>
            <w:r w:rsidRPr="00550FE9">
              <w:t xml:space="preserve">           </w:t>
            </w:r>
            <w:r w:rsidR="00261291" w:rsidRPr="00550FE9">
              <w:t>0</w:t>
            </w:r>
          </w:p>
        </w:tc>
        <w:tc>
          <w:tcPr>
            <w:tcW w:w="1281" w:type="dxa"/>
            <w:shd w:val="clear" w:color="auto" w:fill="auto"/>
          </w:tcPr>
          <w:p w14:paraId="63E0FCF9" w14:textId="77777777" w:rsidR="00261291" w:rsidRPr="00550FE9" w:rsidRDefault="00261291" w:rsidP="00D26C2D">
            <w:pPr>
              <w:ind w:firstLine="720"/>
              <w:jc w:val="both"/>
            </w:pPr>
            <w:r w:rsidRPr="00550FE9">
              <w:t>0</w:t>
            </w:r>
          </w:p>
        </w:tc>
        <w:tc>
          <w:tcPr>
            <w:tcW w:w="1276" w:type="dxa"/>
          </w:tcPr>
          <w:p w14:paraId="4955B8B2" w14:textId="77777777" w:rsidR="00261291" w:rsidRPr="00550FE9" w:rsidRDefault="00261291" w:rsidP="00D26C2D">
            <w:pPr>
              <w:ind w:firstLine="720"/>
              <w:jc w:val="both"/>
            </w:pPr>
            <w:r w:rsidRPr="00550FE9">
              <w:t>-</w:t>
            </w:r>
          </w:p>
        </w:tc>
        <w:tc>
          <w:tcPr>
            <w:tcW w:w="1276" w:type="dxa"/>
          </w:tcPr>
          <w:p w14:paraId="789B4F24" w14:textId="77777777" w:rsidR="00261291" w:rsidRPr="00550FE9" w:rsidRDefault="00261291" w:rsidP="00D26C2D">
            <w:pPr>
              <w:ind w:firstLine="720"/>
              <w:jc w:val="both"/>
            </w:pPr>
            <w:r w:rsidRPr="00550FE9">
              <w:t>- </w:t>
            </w:r>
          </w:p>
        </w:tc>
        <w:tc>
          <w:tcPr>
            <w:tcW w:w="1203" w:type="dxa"/>
          </w:tcPr>
          <w:p w14:paraId="7938070B" w14:textId="77777777" w:rsidR="00261291" w:rsidRPr="00550FE9" w:rsidRDefault="00261291" w:rsidP="00D26C2D">
            <w:pPr>
              <w:ind w:firstLine="720"/>
              <w:jc w:val="both"/>
            </w:pPr>
            <w:r w:rsidRPr="00550FE9">
              <w:t>-  </w:t>
            </w:r>
          </w:p>
        </w:tc>
      </w:tr>
      <w:tr w:rsidR="00261291" w:rsidRPr="00550FE9" w14:paraId="52F0C3EE" w14:textId="77777777" w:rsidTr="0030606F">
        <w:tc>
          <w:tcPr>
            <w:tcW w:w="2955" w:type="dxa"/>
            <w:shd w:val="clear" w:color="auto" w:fill="auto"/>
          </w:tcPr>
          <w:p w14:paraId="5F44827F" w14:textId="77777777" w:rsidR="00261291" w:rsidRPr="00550FE9" w:rsidRDefault="00261291" w:rsidP="00D26C2D">
            <w:pPr>
              <w:ind w:firstLine="127"/>
              <w:jc w:val="both"/>
            </w:pPr>
            <w:r w:rsidRPr="00550FE9">
              <w:t> 1.3. pašvaldību budžets</w:t>
            </w:r>
          </w:p>
        </w:tc>
        <w:tc>
          <w:tcPr>
            <w:tcW w:w="1649" w:type="dxa"/>
            <w:shd w:val="clear" w:color="auto" w:fill="auto"/>
          </w:tcPr>
          <w:p w14:paraId="624F3034" w14:textId="77777777" w:rsidR="00261291" w:rsidRPr="00550FE9" w:rsidRDefault="004164D1" w:rsidP="00D26C2D">
            <w:pPr>
              <w:ind w:firstLine="24"/>
              <w:jc w:val="both"/>
            </w:pPr>
            <w:r w:rsidRPr="00550FE9">
              <w:t xml:space="preserve">          </w:t>
            </w:r>
            <w:r w:rsidR="00C65A2E" w:rsidRPr="00550FE9">
              <w:t xml:space="preserve"> </w:t>
            </w:r>
            <w:r w:rsidR="00261291" w:rsidRPr="00550FE9">
              <w:t>0</w:t>
            </w:r>
          </w:p>
        </w:tc>
        <w:tc>
          <w:tcPr>
            <w:tcW w:w="1281" w:type="dxa"/>
            <w:shd w:val="clear" w:color="auto" w:fill="auto"/>
          </w:tcPr>
          <w:p w14:paraId="12F93494" w14:textId="77777777" w:rsidR="00261291" w:rsidRPr="00550FE9" w:rsidRDefault="00261291" w:rsidP="00D26C2D">
            <w:pPr>
              <w:ind w:firstLine="720"/>
              <w:jc w:val="both"/>
            </w:pPr>
            <w:r w:rsidRPr="00550FE9">
              <w:t>0</w:t>
            </w:r>
          </w:p>
        </w:tc>
        <w:tc>
          <w:tcPr>
            <w:tcW w:w="1276" w:type="dxa"/>
          </w:tcPr>
          <w:p w14:paraId="7D62C4A3" w14:textId="77777777" w:rsidR="00261291" w:rsidRPr="00550FE9" w:rsidRDefault="00261291" w:rsidP="00D26C2D">
            <w:pPr>
              <w:ind w:firstLine="720"/>
              <w:jc w:val="both"/>
            </w:pPr>
            <w:r w:rsidRPr="00550FE9">
              <w:t>-</w:t>
            </w:r>
          </w:p>
        </w:tc>
        <w:tc>
          <w:tcPr>
            <w:tcW w:w="1276" w:type="dxa"/>
          </w:tcPr>
          <w:p w14:paraId="511EAE3B" w14:textId="77777777" w:rsidR="00261291" w:rsidRPr="00550FE9" w:rsidRDefault="00261291" w:rsidP="00D26C2D">
            <w:pPr>
              <w:ind w:firstLine="720"/>
              <w:jc w:val="both"/>
            </w:pPr>
            <w:r w:rsidRPr="00550FE9">
              <w:t>- </w:t>
            </w:r>
          </w:p>
        </w:tc>
        <w:tc>
          <w:tcPr>
            <w:tcW w:w="1203" w:type="dxa"/>
          </w:tcPr>
          <w:p w14:paraId="210EE195" w14:textId="77777777" w:rsidR="00261291" w:rsidRPr="00550FE9" w:rsidRDefault="00261291" w:rsidP="00D26C2D">
            <w:pPr>
              <w:ind w:firstLine="720"/>
              <w:jc w:val="both"/>
            </w:pPr>
            <w:r w:rsidRPr="00550FE9">
              <w:t>-  </w:t>
            </w:r>
          </w:p>
        </w:tc>
      </w:tr>
      <w:tr w:rsidR="00261291" w:rsidRPr="00550FE9" w14:paraId="714F0ECF" w14:textId="77777777" w:rsidTr="0030606F">
        <w:tc>
          <w:tcPr>
            <w:tcW w:w="2955" w:type="dxa"/>
            <w:shd w:val="clear" w:color="auto" w:fill="auto"/>
          </w:tcPr>
          <w:p w14:paraId="79996124" w14:textId="77777777" w:rsidR="00261291" w:rsidRPr="00550FE9" w:rsidRDefault="00261291" w:rsidP="00D26C2D">
            <w:pPr>
              <w:ind w:firstLine="127"/>
              <w:jc w:val="both"/>
            </w:pPr>
            <w:r w:rsidRPr="00550FE9">
              <w:t> 2. Budžeta izdevumi:</w:t>
            </w:r>
          </w:p>
        </w:tc>
        <w:tc>
          <w:tcPr>
            <w:tcW w:w="1649" w:type="dxa"/>
            <w:shd w:val="clear" w:color="auto" w:fill="auto"/>
          </w:tcPr>
          <w:p w14:paraId="0C30A090" w14:textId="77777777" w:rsidR="00261291" w:rsidRPr="00550FE9" w:rsidRDefault="004164D1" w:rsidP="00D26C2D">
            <w:pPr>
              <w:ind w:firstLine="24"/>
              <w:jc w:val="both"/>
            </w:pPr>
            <w:r w:rsidRPr="00550FE9">
              <w:t xml:space="preserve">           </w:t>
            </w:r>
            <w:r w:rsidR="00261291" w:rsidRPr="00550FE9">
              <w:t>0</w:t>
            </w:r>
          </w:p>
        </w:tc>
        <w:tc>
          <w:tcPr>
            <w:tcW w:w="1281" w:type="dxa"/>
            <w:shd w:val="clear" w:color="auto" w:fill="auto"/>
          </w:tcPr>
          <w:p w14:paraId="408C58CE" w14:textId="77777777" w:rsidR="00261291" w:rsidRPr="00550FE9" w:rsidRDefault="00261291" w:rsidP="00D26C2D">
            <w:pPr>
              <w:ind w:firstLine="720"/>
              <w:jc w:val="both"/>
            </w:pPr>
            <w:r w:rsidRPr="00550FE9">
              <w:t>0</w:t>
            </w:r>
          </w:p>
        </w:tc>
        <w:tc>
          <w:tcPr>
            <w:tcW w:w="1276" w:type="dxa"/>
          </w:tcPr>
          <w:p w14:paraId="63379BEB" w14:textId="77777777" w:rsidR="00261291" w:rsidRPr="00550FE9" w:rsidRDefault="00261291" w:rsidP="00D26C2D">
            <w:pPr>
              <w:ind w:firstLine="720"/>
              <w:jc w:val="both"/>
            </w:pPr>
            <w:r w:rsidRPr="00550FE9">
              <w:t>-</w:t>
            </w:r>
          </w:p>
        </w:tc>
        <w:tc>
          <w:tcPr>
            <w:tcW w:w="1276" w:type="dxa"/>
          </w:tcPr>
          <w:p w14:paraId="67657257" w14:textId="77777777" w:rsidR="00261291" w:rsidRPr="00550FE9" w:rsidRDefault="00261291" w:rsidP="00D26C2D">
            <w:pPr>
              <w:ind w:firstLine="720"/>
              <w:jc w:val="both"/>
            </w:pPr>
            <w:r w:rsidRPr="00550FE9">
              <w:t>- </w:t>
            </w:r>
          </w:p>
        </w:tc>
        <w:tc>
          <w:tcPr>
            <w:tcW w:w="1203" w:type="dxa"/>
          </w:tcPr>
          <w:p w14:paraId="39E069FE" w14:textId="77777777" w:rsidR="00261291" w:rsidRPr="00550FE9" w:rsidRDefault="00261291" w:rsidP="00D26C2D">
            <w:pPr>
              <w:ind w:firstLine="720"/>
              <w:jc w:val="both"/>
            </w:pPr>
            <w:r w:rsidRPr="00550FE9">
              <w:t>-  </w:t>
            </w:r>
          </w:p>
        </w:tc>
      </w:tr>
      <w:tr w:rsidR="00261291" w:rsidRPr="00550FE9" w14:paraId="1BC01EEE" w14:textId="77777777" w:rsidTr="0030606F">
        <w:tc>
          <w:tcPr>
            <w:tcW w:w="2955" w:type="dxa"/>
            <w:shd w:val="clear" w:color="auto" w:fill="auto"/>
          </w:tcPr>
          <w:p w14:paraId="00F81DBA" w14:textId="77777777" w:rsidR="00261291" w:rsidRPr="00550FE9" w:rsidRDefault="00261291" w:rsidP="00D26C2D">
            <w:pPr>
              <w:ind w:firstLine="127"/>
              <w:jc w:val="both"/>
            </w:pPr>
            <w:r w:rsidRPr="00550FE9">
              <w:t> 2.1. valsts pamatbudžets</w:t>
            </w:r>
          </w:p>
        </w:tc>
        <w:tc>
          <w:tcPr>
            <w:tcW w:w="1649" w:type="dxa"/>
            <w:shd w:val="clear" w:color="auto" w:fill="auto"/>
          </w:tcPr>
          <w:p w14:paraId="49992C3B" w14:textId="77040D3D" w:rsidR="00261291" w:rsidRPr="00550FE9" w:rsidRDefault="00F47CA9" w:rsidP="00D26C2D">
            <w:pPr>
              <w:ind w:firstLine="24"/>
              <w:jc w:val="both"/>
            </w:pPr>
            <w:r w:rsidRPr="00F47CA9">
              <w:t>162 478 303</w:t>
            </w:r>
          </w:p>
        </w:tc>
        <w:tc>
          <w:tcPr>
            <w:tcW w:w="1281" w:type="dxa"/>
            <w:shd w:val="clear" w:color="auto" w:fill="auto"/>
          </w:tcPr>
          <w:p w14:paraId="1442AE1A" w14:textId="77777777" w:rsidR="00261291" w:rsidRPr="00550FE9" w:rsidRDefault="00261291" w:rsidP="00D26C2D">
            <w:pPr>
              <w:ind w:firstLine="720"/>
              <w:jc w:val="both"/>
            </w:pPr>
            <w:r w:rsidRPr="00550FE9">
              <w:t>0</w:t>
            </w:r>
          </w:p>
        </w:tc>
        <w:tc>
          <w:tcPr>
            <w:tcW w:w="1276" w:type="dxa"/>
          </w:tcPr>
          <w:p w14:paraId="5D1DD224" w14:textId="77777777" w:rsidR="00261291" w:rsidRPr="00550FE9" w:rsidRDefault="00261291" w:rsidP="00D26C2D">
            <w:pPr>
              <w:ind w:firstLine="720"/>
              <w:jc w:val="both"/>
            </w:pPr>
            <w:r w:rsidRPr="00550FE9">
              <w:t>-</w:t>
            </w:r>
          </w:p>
        </w:tc>
        <w:tc>
          <w:tcPr>
            <w:tcW w:w="1276" w:type="dxa"/>
          </w:tcPr>
          <w:p w14:paraId="5C139FD8" w14:textId="77777777" w:rsidR="00261291" w:rsidRPr="00550FE9" w:rsidRDefault="00261291" w:rsidP="00D26C2D">
            <w:pPr>
              <w:ind w:firstLine="720"/>
              <w:jc w:val="both"/>
            </w:pPr>
            <w:r w:rsidRPr="00550FE9">
              <w:t>- </w:t>
            </w:r>
          </w:p>
        </w:tc>
        <w:tc>
          <w:tcPr>
            <w:tcW w:w="1203" w:type="dxa"/>
          </w:tcPr>
          <w:p w14:paraId="77E80977" w14:textId="77777777" w:rsidR="00261291" w:rsidRPr="00550FE9" w:rsidRDefault="00261291" w:rsidP="00D26C2D">
            <w:pPr>
              <w:ind w:firstLine="720"/>
              <w:jc w:val="both"/>
            </w:pPr>
            <w:r w:rsidRPr="00550FE9">
              <w:t>-  </w:t>
            </w:r>
          </w:p>
        </w:tc>
      </w:tr>
      <w:tr w:rsidR="00261291" w:rsidRPr="00550FE9" w14:paraId="7A1BE10C" w14:textId="77777777" w:rsidTr="0030606F">
        <w:tc>
          <w:tcPr>
            <w:tcW w:w="2955" w:type="dxa"/>
            <w:shd w:val="clear" w:color="auto" w:fill="auto"/>
          </w:tcPr>
          <w:p w14:paraId="346F5E50" w14:textId="77777777" w:rsidR="00261291" w:rsidRPr="00550FE9" w:rsidRDefault="00261291" w:rsidP="00D26C2D">
            <w:pPr>
              <w:ind w:firstLine="127"/>
              <w:jc w:val="both"/>
            </w:pPr>
            <w:r w:rsidRPr="00550FE9">
              <w:t> 2.2. valsts speciālais budžets</w:t>
            </w:r>
          </w:p>
        </w:tc>
        <w:tc>
          <w:tcPr>
            <w:tcW w:w="1649" w:type="dxa"/>
            <w:shd w:val="clear" w:color="auto" w:fill="auto"/>
          </w:tcPr>
          <w:p w14:paraId="2F81F257" w14:textId="77777777" w:rsidR="00261291" w:rsidRPr="00550FE9" w:rsidRDefault="00261291" w:rsidP="00D26C2D">
            <w:pPr>
              <w:ind w:firstLine="720"/>
              <w:jc w:val="both"/>
            </w:pPr>
            <w:r w:rsidRPr="00550FE9">
              <w:t>0</w:t>
            </w:r>
          </w:p>
        </w:tc>
        <w:tc>
          <w:tcPr>
            <w:tcW w:w="1281" w:type="dxa"/>
            <w:shd w:val="clear" w:color="auto" w:fill="auto"/>
          </w:tcPr>
          <w:p w14:paraId="273AADD4" w14:textId="77777777" w:rsidR="00261291" w:rsidRPr="00550FE9" w:rsidRDefault="00261291" w:rsidP="00D26C2D">
            <w:pPr>
              <w:ind w:firstLine="720"/>
              <w:jc w:val="both"/>
            </w:pPr>
            <w:r w:rsidRPr="00550FE9">
              <w:t>0</w:t>
            </w:r>
          </w:p>
        </w:tc>
        <w:tc>
          <w:tcPr>
            <w:tcW w:w="1276" w:type="dxa"/>
          </w:tcPr>
          <w:p w14:paraId="112B56AA" w14:textId="77777777" w:rsidR="00261291" w:rsidRPr="00550FE9" w:rsidRDefault="00261291" w:rsidP="00D26C2D">
            <w:pPr>
              <w:ind w:firstLine="720"/>
              <w:jc w:val="both"/>
            </w:pPr>
            <w:r w:rsidRPr="00550FE9">
              <w:t>-</w:t>
            </w:r>
          </w:p>
        </w:tc>
        <w:tc>
          <w:tcPr>
            <w:tcW w:w="1276" w:type="dxa"/>
          </w:tcPr>
          <w:p w14:paraId="46A87786" w14:textId="77777777" w:rsidR="00261291" w:rsidRPr="00550FE9" w:rsidRDefault="00261291" w:rsidP="00D26C2D">
            <w:pPr>
              <w:ind w:firstLine="720"/>
              <w:jc w:val="both"/>
            </w:pPr>
            <w:r w:rsidRPr="00550FE9">
              <w:t>- </w:t>
            </w:r>
          </w:p>
        </w:tc>
        <w:tc>
          <w:tcPr>
            <w:tcW w:w="1203" w:type="dxa"/>
          </w:tcPr>
          <w:p w14:paraId="47FE1942" w14:textId="77777777" w:rsidR="00261291" w:rsidRPr="00550FE9" w:rsidRDefault="00261291" w:rsidP="00D26C2D">
            <w:pPr>
              <w:ind w:firstLine="720"/>
              <w:jc w:val="both"/>
            </w:pPr>
            <w:r w:rsidRPr="00550FE9">
              <w:t>-  </w:t>
            </w:r>
          </w:p>
        </w:tc>
      </w:tr>
      <w:tr w:rsidR="00261291" w:rsidRPr="00550FE9" w14:paraId="00485964" w14:textId="77777777" w:rsidTr="0030606F">
        <w:tc>
          <w:tcPr>
            <w:tcW w:w="2955" w:type="dxa"/>
            <w:shd w:val="clear" w:color="auto" w:fill="auto"/>
          </w:tcPr>
          <w:p w14:paraId="1A959507" w14:textId="77777777" w:rsidR="00261291" w:rsidRPr="00550FE9" w:rsidRDefault="00261291" w:rsidP="00D26C2D">
            <w:pPr>
              <w:ind w:firstLine="127"/>
              <w:jc w:val="both"/>
            </w:pPr>
            <w:r w:rsidRPr="00550FE9">
              <w:t> 2.3. pašvaldību budžets</w:t>
            </w:r>
          </w:p>
        </w:tc>
        <w:tc>
          <w:tcPr>
            <w:tcW w:w="1649" w:type="dxa"/>
            <w:shd w:val="clear" w:color="auto" w:fill="auto"/>
          </w:tcPr>
          <w:p w14:paraId="7782F732" w14:textId="77777777" w:rsidR="00261291" w:rsidRPr="00550FE9" w:rsidRDefault="00261291" w:rsidP="00D26C2D">
            <w:pPr>
              <w:ind w:firstLine="720"/>
              <w:jc w:val="both"/>
            </w:pPr>
            <w:r w:rsidRPr="00550FE9">
              <w:t>0</w:t>
            </w:r>
          </w:p>
        </w:tc>
        <w:tc>
          <w:tcPr>
            <w:tcW w:w="1281" w:type="dxa"/>
            <w:shd w:val="clear" w:color="auto" w:fill="auto"/>
          </w:tcPr>
          <w:p w14:paraId="76522834" w14:textId="77777777" w:rsidR="00261291" w:rsidRPr="00550FE9" w:rsidRDefault="00261291" w:rsidP="00D26C2D">
            <w:pPr>
              <w:ind w:firstLine="720"/>
              <w:jc w:val="both"/>
            </w:pPr>
            <w:r w:rsidRPr="00550FE9">
              <w:t>0</w:t>
            </w:r>
          </w:p>
        </w:tc>
        <w:tc>
          <w:tcPr>
            <w:tcW w:w="1276" w:type="dxa"/>
          </w:tcPr>
          <w:p w14:paraId="48DD5A96" w14:textId="77777777" w:rsidR="00261291" w:rsidRPr="00550FE9" w:rsidRDefault="00261291" w:rsidP="00D26C2D">
            <w:pPr>
              <w:ind w:firstLine="720"/>
              <w:jc w:val="both"/>
            </w:pPr>
            <w:r w:rsidRPr="00550FE9">
              <w:t>-</w:t>
            </w:r>
          </w:p>
        </w:tc>
        <w:tc>
          <w:tcPr>
            <w:tcW w:w="1276" w:type="dxa"/>
          </w:tcPr>
          <w:p w14:paraId="6EE90488" w14:textId="77777777" w:rsidR="00261291" w:rsidRPr="00550FE9" w:rsidRDefault="00261291" w:rsidP="00D26C2D">
            <w:pPr>
              <w:ind w:firstLine="720"/>
              <w:jc w:val="both"/>
            </w:pPr>
            <w:r w:rsidRPr="00550FE9">
              <w:t>- </w:t>
            </w:r>
          </w:p>
        </w:tc>
        <w:tc>
          <w:tcPr>
            <w:tcW w:w="1203" w:type="dxa"/>
          </w:tcPr>
          <w:p w14:paraId="7C5FBFA7" w14:textId="77777777" w:rsidR="00261291" w:rsidRPr="00550FE9" w:rsidRDefault="00261291" w:rsidP="00D26C2D">
            <w:pPr>
              <w:ind w:firstLine="720"/>
              <w:jc w:val="both"/>
            </w:pPr>
            <w:r w:rsidRPr="00550FE9">
              <w:t>-  </w:t>
            </w:r>
          </w:p>
        </w:tc>
      </w:tr>
      <w:tr w:rsidR="00261291" w:rsidRPr="00550FE9" w14:paraId="514A599E" w14:textId="77777777" w:rsidTr="00550FE9">
        <w:trPr>
          <w:trHeight w:val="335"/>
        </w:trPr>
        <w:tc>
          <w:tcPr>
            <w:tcW w:w="2955" w:type="dxa"/>
            <w:shd w:val="clear" w:color="auto" w:fill="auto"/>
          </w:tcPr>
          <w:p w14:paraId="7299FE35" w14:textId="77777777" w:rsidR="00261291" w:rsidRPr="00550FE9" w:rsidRDefault="00261291" w:rsidP="00D26C2D">
            <w:pPr>
              <w:ind w:firstLine="127"/>
              <w:jc w:val="both"/>
            </w:pPr>
            <w:r w:rsidRPr="00550FE9">
              <w:t> 3. Finansiālā ietekme:</w:t>
            </w:r>
          </w:p>
        </w:tc>
        <w:tc>
          <w:tcPr>
            <w:tcW w:w="1649" w:type="dxa"/>
            <w:shd w:val="clear" w:color="auto" w:fill="auto"/>
          </w:tcPr>
          <w:p w14:paraId="18BA2FE5" w14:textId="77777777" w:rsidR="00261291" w:rsidRPr="00550FE9" w:rsidRDefault="00261291" w:rsidP="00D26C2D">
            <w:pPr>
              <w:ind w:firstLine="720"/>
              <w:jc w:val="both"/>
            </w:pPr>
            <w:r w:rsidRPr="00550FE9">
              <w:t>0</w:t>
            </w:r>
          </w:p>
        </w:tc>
        <w:tc>
          <w:tcPr>
            <w:tcW w:w="1281" w:type="dxa"/>
            <w:shd w:val="clear" w:color="auto" w:fill="auto"/>
          </w:tcPr>
          <w:p w14:paraId="39CC10A0" w14:textId="77777777" w:rsidR="00261291" w:rsidRPr="00550FE9" w:rsidRDefault="00261291" w:rsidP="00D26C2D">
            <w:pPr>
              <w:ind w:firstLine="720"/>
              <w:jc w:val="both"/>
            </w:pPr>
            <w:r w:rsidRPr="00550FE9">
              <w:t>0</w:t>
            </w:r>
          </w:p>
        </w:tc>
        <w:tc>
          <w:tcPr>
            <w:tcW w:w="1276" w:type="dxa"/>
          </w:tcPr>
          <w:p w14:paraId="64A698F3" w14:textId="77777777" w:rsidR="00261291" w:rsidRPr="00550FE9" w:rsidRDefault="00261291" w:rsidP="00D26C2D">
            <w:pPr>
              <w:ind w:firstLine="720"/>
              <w:jc w:val="both"/>
            </w:pPr>
            <w:r w:rsidRPr="00550FE9">
              <w:t>-</w:t>
            </w:r>
          </w:p>
        </w:tc>
        <w:tc>
          <w:tcPr>
            <w:tcW w:w="1276" w:type="dxa"/>
          </w:tcPr>
          <w:p w14:paraId="66467F69" w14:textId="77777777" w:rsidR="00261291" w:rsidRPr="00550FE9" w:rsidRDefault="00261291" w:rsidP="00D26C2D">
            <w:pPr>
              <w:ind w:firstLine="720"/>
              <w:jc w:val="both"/>
            </w:pPr>
            <w:r w:rsidRPr="00550FE9">
              <w:t>-</w:t>
            </w:r>
          </w:p>
        </w:tc>
        <w:tc>
          <w:tcPr>
            <w:tcW w:w="1203" w:type="dxa"/>
          </w:tcPr>
          <w:p w14:paraId="3992D6E1" w14:textId="77777777" w:rsidR="00261291" w:rsidRPr="00550FE9" w:rsidRDefault="00261291" w:rsidP="00D26C2D">
            <w:pPr>
              <w:ind w:firstLine="720"/>
              <w:jc w:val="both"/>
            </w:pPr>
            <w:r w:rsidRPr="00550FE9">
              <w:t>-</w:t>
            </w:r>
          </w:p>
        </w:tc>
      </w:tr>
      <w:tr w:rsidR="00261291" w:rsidRPr="00550FE9" w14:paraId="7A3FC08B" w14:textId="77777777" w:rsidTr="0030606F">
        <w:tc>
          <w:tcPr>
            <w:tcW w:w="2955" w:type="dxa"/>
            <w:shd w:val="clear" w:color="auto" w:fill="auto"/>
          </w:tcPr>
          <w:p w14:paraId="2C5CE11C" w14:textId="77777777" w:rsidR="00261291" w:rsidRPr="00550FE9" w:rsidRDefault="00261291" w:rsidP="00D26C2D">
            <w:pPr>
              <w:ind w:firstLine="127"/>
              <w:jc w:val="both"/>
            </w:pPr>
            <w:r w:rsidRPr="00550FE9">
              <w:t> 3.1. valsts pamatbudžets</w:t>
            </w:r>
          </w:p>
        </w:tc>
        <w:tc>
          <w:tcPr>
            <w:tcW w:w="1649" w:type="dxa"/>
            <w:shd w:val="clear" w:color="auto" w:fill="auto"/>
          </w:tcPr>
          <w:p w14:paraId="0234B96E" w14:textId="77777777" w:rsidR="00261291" w:rsidRPr="00550FE9" w:rsidRDefault="00261291" w:rsidP="00D26C2D">
            <w:pPr>
              <w:ind w:firstLine="720"/>
              <w:jc w:val="both"/>
            </w:pPr>
            <w:r w:rsidRPr="00550FE9">
              <w:t>0</w:t>
            </w:r>
          </w:p>
        </w:tc>
        <w:tc>
          <w:tcPr>
            <w:tcW w:w="1281" w:type="dxa"/>
            <w:shd w:val="clear" w:color="auto" w:fill="auto"/>
          </w:tcPr>
          <w:p w14:paraId="3BBA64A9" w14:textId="1FE8E9F3" w:rsidR="00261291" w:rsidRPr="00550FE9" w:rsidRDefault="0030606F" w:rsidP="00EB20B7">
            <w:pPr>
              <w:jc w:val="both"/>
            </w:pPr>
            <w:r w:rsidRPr="00550FE9">
              <w:t>-</w:t>
            </w:r>
            <w:r w:rsidR="00EB20B7">
              <w:t xml:space="preserve"> 285377</w:t>
            </w:r>
          </w:p>
        </w:tc>
        <w:tc>
          <w:tcPr>
            <w:tcW w:w="1276" w:type="dxa"/>
          </w:tcPr>
          <w:p w14:paraId="78B48DF8" w14:textId="77777777" w:rsidR="00261291" w:rsidRPr="00550FE9" w:rsidRDefault="00261291" w:rsidP="00D26C2D">
            <w:pPr>
              <w:ind w:firstLine="720"/>
              <w:jc w:val="both"/>
            </w:pPr>
            <w:r w:rsidRPr="00550FE9">
              <w:t>-</w:t>
            </w:r>
          </w:p>
        </w:tc>
        <w:tc>
          <w:tcPr>
            <w:tcW w:w="1276" w:type="dxa"/>
          </w:tcPr>
          <w:p w14:paraId="41B76D7D" w14:textId="77777777" w:rsidR="00261291" w:rsidRPr="00550FE9" w:rsidRDefault="00261291" w:rsidP="00D26C2D">
            <w:pPr>
              <w:ind w:firstLine="720"/>
              <w:jc w:val="both"/>
            </w:pPr>
            <w:r w:rsidRPr="00550FE9">
              <w:t>- </w:t>
            </w:r>
          </w:p>
        </w:tc>
        <w:tc>
          <w:tcPr>
            <w:tcW w:w="1203" w:type="dxa"/>
          </w:tcPr>
          <w:p w14:paraId="34F01AC5" w14:textId="77777777" w:rsidR="00261291" w:rsidRPr="00550FE9" w:rsidRDefault="00261291" w:rsidP="00D26C2D">
            <w:pPr>
              <w:ind w:firstLine="720"/>
              <w:jc w:val="both"/>
            </w:pPr>
            <w:r w:rsidRPr="00550FE9">
              <w:t>-  </w:t>
            </w:r>
          </w:p>
        </w:tc>
      </w:tr>
      <w:tr w:rsidR="00261291" w:rsidRPr="00550FE9" w14:paraId="450B91AA" w14:textId="77777777" w:rsidTr="0030606F">
        <w:tc>
          <w:tcPr>
            <w:tcW w:w="2955" w:type="dxa"/>
            <w:shd w:val="clear" w:color="auto" w:fill="auto"/>
          </w:tcPr>
          <w:p w14:paraId="7ACA918C" w14:textId="77777777" w:rsidR="00261291" w:rsidRPr="00550FE9" w:rsidRDefault="00261291" w:rsidP="00D26C2D">
            <w:pPr>
              <w:ind w:firstLine="127"/>
              <w:jc w:val="both"/>
            </w:pPr>
            <w:r w:rsidRPr="00550FE9">
              <w:t> 3.2. speciālais budžets</w:t>
            </w:r>
          </w:p>
        </w:tc>
        <w:tc>
          <w:tcPr>
            <w:tcW w:w="1649" w:type="dxa"/>
            <w:shd w:val="clear" w:color="auto" w:fill="auto"/>
          </w:tcPr>
          <w:p w14:paraId="483EAE35" w14:textId="77777777" w:rsidR="00261291" w:rsidRPr="00550FE9" w:rsidRDefault="00261291" w:rsidP="00D26C2D">
            <w:pPr>
              <w:ind w:firstLine="720"/>
              <w:jc w:val="both"/>
            </w:pPr>
            <w:r w:rsidRPr="00550FE9">
              <w:t>0</w:t>
            </w:r>
          </w:p>
        </w:tc>
        <w:tc>
          <w:tcPr>
            <w:tcW w:w="1281" w:type="dxa"/>
            <w:shd w:val="clear" w:color="auto" w:fill="auto"/>
          </w:tcPr>
          <w:p w14:paraId="27ADF4F5" w14:textId="77777777" w:rsidR="00261291" w:rsidRPr="00550FE9" w:rsidRDefault="00261291" w:rsidP="00D26C2D">
            <w:pPr>
              <w:ind w:firstLine="720"/>
              <w:jc w:val="both"/>
            </w:pPr>
            <w:r w:rsidRPr="00550FE9">
              <w:t>0</w:t>
            </w:r>
          </w:p>
        </w:tc>
        <w:tc>
          <w:tcPr>
            <w:tcW w:w="1276" w:type="dxa"/>
          </w:tcPr>
          <w:p w14:paraId="579B1C57" w14:textId="77777777" w:rsidR="00261291" w:rsidRPr="00550FE9" w:rsidRDefault="00261291" w:rsidP="00D26C2D">
            <w:pPr>
              <w:ind w:firstLine="720"/>
              <w:jc w:val="both"/>
            </w:pPr>
            <w:r w:rsidRPr="00550FE9">
              <w:t>-</w:t>
            </w:r>
          </w:p>
        </w:tc>
        <w:tc>
          <w:tcPr>
            <w:tcW w:w="1276" w:type="dxa"/>
          </w:tcPr>
          <w:p w14:paraId="749B1E6D" w14:textId="77777777" w:rsidR="00261291" w:rsidRPr="00550FE9" w:rsidRDefault="00261291" w:rsidP="00D26C2D">
            <w:pPr>
              <w:ind w:firstLine="720"/>
              <w:jc w:val="both"/>
            </w:pPr>
            <w:r w:rsidRPr="00550FE9">
              <w:t>-</w:t>
            </w:r>
          </w:p>
        </w:tc>
        <w:tc>
          <w:tcPr>
            <w:tcW w:w="1203" w:type="dxa"/>
          </w:tcPr>
          <w:p w14:paraId="7DEB4038" w14:textId="77777777" w:rsidR="00261291" w:rsidRPr="00550FE9" w:rsidRDefault="00261291" w:rsidP="00D26C2D">
            <w:pPr>
              <w:ind w:firstLine="720"/>
              <w:jc w:val="both"/>
            </w:pPr>
            <w:r w:rsidRPr="00550FE9">
              <w:t>-</w:t>
            </w:r>
          </w:p>
        </w:tc>
      </w:tr>
      <w:tr w:rsidR="00261291" w:rsidRPr="00550FE9" w14:paraId="65526892" w14:textId="77777777" w:rsidTr="0030606F">
        <w:tc>
          <w:tcPr>
            <w:tcW w:w="2955" w:type="dxa"/>
            <w:shd w:val="clear" w:color="auto" w:fill="auto"/>
          </w:tcPr>
          <w:p w14:paraId="67E00132" w14:textId="77777777" w:rsidR="00261291" w:rsidRPr="00550FE9" w:rsidRDefault="00261291" w:rsidP="00D26C2D">
            <w:pPr>
              <w:ind w:firstLine="127"/>
              <w:jc w:val="both"/>
            </w:pPr>
            <w:r w:rsidRPr="00550FE9">
              <w:t> 3.3. pašvaldību budžets</w:t>
            </w:r>
          </w:p>
        </w:tc>
        <w:tc>
          <w:tcPr>
            <w:tcW w:w="1649" w:type="dxa"/>
            <w:shd w:val="clear" w:color="auto" w:fill="auto"/>
          </w:tcPr>
          <w:p w14:paraId="179ABE39" w14:textId="77777777" w:rsidR="00261291" w:rsidRPr="00550FE9" w:rsidRDefault="00261291" w:rsidP="00D26C2D">
            <w:pPr>
              <w:ind w:firstLine="720"/>
              <w:jc w:val="both"/>
            </w:pPr>
            <w:r w:rsidRPr="00550FE9">
              <w:t>0</w:t>
            </w:r>
          </w:p>
        </w:tc>
        <w:tc>
          <w:tcPr>
            <w:tcW w:w="1281" w:type="dxa"/>
            <w:shd w:val="clear" w:color="auto" w:fill="auto"/>
          </w:tcPr>
          <w:p w14:paraId="26804921" w14:textId="77777777" w:rsidR="00261291" w:rsidRPr="00550FE9" w:rsidRDefault="00261291" w:rsidP="00D26C2D">
            <w:pPr>
              <w:ind w:firstLine="720"/>
              <w:jc w:val="both"/>
            </w:pPr>
            <w:r w:rsidRPr="00550FE9">
              <w:t>0</w:t>
            </w:r>
          </w:p>
        </w:tc>
        <w:tc>
          <w:tcPr>
            <w:tcW w:w="1276" w:type="dxa"/>
          </w:tcPr>
          <w:p w14:paraId="22824836" w14:textId="77777777" w:rsidR="00261291" w:rsidRPr="00550FE9" w:rsidRDefault="00261291" w:rsidP="00D26C2D">
            <w:pPr>
              <w:ind w:firstLine="720"/>
              <w:jc w:val="both"/>
            </w:pPr>
            <w:r w:rsidRPr="00550FE9">
              <w:t>-</w:t>
            </w:r>
          </w:p>
        </w:tc>
        <w:tc>
          <w:tcPr>
            <w:tcW w:w="1276" w:type="dxa"/>
          </w:tcPr>
          <w:p w14:paraId="7B19158F" w14:textId="77777777" w:rsidR="00261291" w:rsidRPr="00550FE9" w:rsidRDefault="00261291" w:rsidP="00D26C2D">
            <w:pPr>
              <w:ind w:firstLine="720"/>
              <w:jc w:val="both"/>
            </w:pPr>
            <w:r w:rsidRPr="00550FE9">
              <w:t>-</w:t>
            </w:r>
          </w:p>
        </w:tc>
        <w:tc>
          <w:tcPr>
            <w:tcW w:w="1203" w:type="dxa"/>
          </w:tcPr>
          <w:p w14:paraId="0C5CF5E7" w14:textId="77777777" w:rsidR="00261291" w:rsidRPr="00550FE9" w:rsidRDefault="00261291" w:rsidP="00D26C2D">
            <w:pPr>
              <w:ind w:firstLine="720"/>
              <w:jc w:val="both"/>
            </w:pPr>
            <w:r w:rsidRPr="00550FE9">
              <w:t>-</w:t>
            </w:r>
          </w:p>
        </w:tc>
      </w:tr>
      <w:tr w:rsidR="00261291" w:rsidRPr="00550FE9" w14:paraId="3ABE0C01" w14:textId="77777777" w:rsidTr="00D26C2D">
        <w:tc>
          <w:tcPr>
            <w:tcW w:w="2955" w:type="dxa"/>
            <w:vMerge w:val="restart"/>
          </w:tcPr>
          <w:p w14:paraId="25829816" w14:textId="77777777" w:rsidR="00261291" w:rsidRPr="00550FE9" w:rsidRDefault="00261291" w:rsidP="00C65A2E">
            <w:pPr>
              <w:ind w:firstLine="127"/>
            </w:pPr>
            <w:r w:rsidRPr="00550FE9">
              <w:t xml:space="preserve"> 4. Finanšu līdzekļi </w:t>
            </w:r>
            <w:r w:rsidRPr="00550FE9">
              <w:lastRenderedPageBreak/>
              <w:t>papildu izde</w:t>
            </w:r>
            <w:r w:rsidRPr="00550FE9">
              <w:softHyphen/>
              <w:t>vumu finansēšanai (kompensējošu izdevumu samazinājumu norāda ar "+" zīmi)</w:t>
            </w:r>
          </w:p>
        </w:tc>
        <w:tc>
          <w:tcPr>
            <w:tcW w:w="1649" w:type="dxa"/>
            <w:vMerge w:val="restart"/>
          </w:tcPr>
          <w:p w14:paraId="1E113ED0" w14:textId="77777777" w:rsidR="00261291" w:rsidRPr="00550FE9" w:rsidRDefault="00261291" w:rsidP="00D26C2D">
            <w:pPr>
              <w:ind w:firstLine="720"/>
              <w:jc w:val="both"/>
            </w:pPr>
            <w:r w:rsidRPr="00550FE9">
              <w:lastRenderedPageBreak/>
              <w:t> X</w:t>
            </w:r>
          </w:p>
        </w:tc>
        <w:tc>
          <w:tcPr>
            <w:tcW w:w="1281" w:type="dxa"/>
          </w:tcPr>
          <w:p w14:paraId="16A37B98" w14:textId="77777777" w:rsidR="00261291" w:rsidRPr="00550FE9" w:rsidRDefault="00261291" w:rsidP="00D26C2D">
            <w:pPr>
              <w:ind w:firstLine="720"/>
              <w:jc w:val="both"/>
            </w:pPr>
            <w:r w:rsidRPr="00550FE9">
              <w:t>0</w:t>
            </w:r>
          </w:p>
        </w:tc>
        <w:tc>
          <w:tcPr>
            <w:tcW w:w="1276" w:type="dxa"/>
          </w:tcPr>
          <w:p w14:paraId="18C93B61" w14:textId="77777777" w:rsidR="00261291" w:rsidRPr="00550FE9" w:rsidRDefault="00261291" w:rsidP="00D26C2D">
            <w:pPr>
              <w:ind w:firstLine="720"/>
              <w:jc w:val="both"/>
            </w:pPr>
            <w:r w:rsidRPr="00550FE9">
              <w:t>-</w:t>
            </w:r>
          </w:p>
        </w:tc>
        <w:tc>
          <w:tcPr>
            <w:tcW w:w="1276" w:type="dxa"/>
          </w:tcPr>
          <w:p w14:paraId="7AF7C4D0" w14:textId="77777777" w:rsidR="00261291" w:rsidRPr="00550FE9" w:rsidRDefault="00261291" w:rsidP="00D26C2D">
            <w:pPr>
              <w:ind w:firstLine="720"/>
              <w:jc w:val="both"/>
            </w:pPr>
            <w:r w:rsidRPr="00550FE9">
              <w:t>-</w:t>
            </w:r>
          </w:p>
        </w:tc>
        <w:tc>
          <w:tcPr>
            <w:tcW w:w="1203" w:type="dxa"/>
          </w:tcPr>
          <w:p w14:paraId="0E4651D5" w14:textId="77777777" w:rsidR="00261291" w:rsidRPr="00550FE9" w:rsidRDefault="00261291" w:rsidP="00D26C2D">
            <w:pPr>
              <w:ind w:firstLine="720"/>
              <w:jc w:val="both"/>
            </w:pPr>
            <w:r w:rsidRPr="00550FE9">
              <w:t>-</w:t>
            </w:r>
          </w:p>
        </w:tc>
      </w:tr>
      <w:tr w:rsidR="00261291" w:rsidRPr="00550FE9" w14:paraId="67CF1537" w14:textId="77777777" w:rsidTr="00D26C2D">
        <w:tc>
          <w:tcPr>
            <w:tcW w:w="2955" w:type="dxa"/>
            <w:vMerge/>
          </w:tcPr>
          <w:p w14:paraId="27DF61F9" w14:textId="77777777" w:rsidR="00261291" w:rsidRPr="00550FE9" w:rsidRDefault="00261291" w:rsidP="00D26C2D">
            <w:pPr>
              <w:ind w:firstLine="127"/>
              <w:jc w:val="both"/>
            </w:pPr>
          </w:p>
        </w:tc>
        <w:tc>
          <w:tcPr>
            <w:tcW w:w="1649" w:type="dxa"/>
            <w:vMerge/>
          </w:tcPr>
          <w:p w14:paraId="3FBE5E9B" w14:textId="77777777" w:rsidR="00261291" w:rsidRPr="00550FE9" w:rsidRDefault="00261291" w:rsidP="00D26C2D">
            <w:pPr>
              <w:ind w:firstLine="720"/>
              <w:jc w:val="both"/>
            </w:pPr>
          </w:p>
        </w:tc>
        <w:tc>
          <w:tcPr>
            <w:tcW w:w="1281" w:type="dxa"/>
          </w:tcPr>
          <w:p w14:paraId="05402F49" w14:textId="77777777" w:rsidR="00261291" w:rsidRPr="00550FE9" w:rsidRDefault="00261291" w:rsidP="00D26C2D">
            <w:pPr>
              <w:ind w:firstLine="720"/>
              <w:jc w:val="both"/>
            </w:pPr>
            <w:r w:rsidRPr="00550FE9">
              <w:t>0</w:t>
            </w:r>
          </w:p>
        </w:tc>
        <w:tc>
          <w:tcPr>
            <w:tcW w:w="1276" w:type="dxa"/>
          </w:tcPr>
          <w:p w14:paraId="0A62C83B" w14:textId="77777777" w:rsidR="00261291" w:rsidRPr="00550FE9" w:rsidRDefault="00261291" w:rsidP="00D26C2D">
            <w:pPr>
              <w:ind w:firstLine="720"/>
              <w:jc w:val="both"/>
            </w:pPr>
            <w:r w:rsidRPr="00550FE9">
              <w:t>-</w:t>
            </w:r>
          </w:p>
        </w:tc>
        <w:tc>
          <w:tcPr>
            <w:tcW w:w="1276" w:type="dxa"/>
          </w:tcPr>
          <w:p w14:paraId="0AA84891" w14:textId="77777777" w:rsidR="00261291" w:rsidRPr="00550FE9" w:rsidRDefault="00261291" w:rsidP="00D26C2D">
            <w:pPr>
              <w:ind w:firstLine="720"/>
              <w:jc w:val="both"/>
            </w:pPr>
            <w:r w:rsidRPr="00550FE9">
              <w:t>-</w:t>
            </w:r>
          </w:p>
        </w:tc>
        <w:tc>
          <w:tcPr>
            <w:tcW w:w="1203" w:type="dxa"/>
          </w:tcPr>
          <w:p w14:paraId="74F4A0F0" w14:textId="77777777" w:rsidR="00261291" w:rsidRPr="00550FE9" w:rsidRDefault="00261291" w:rsidP="00D26C2D">
            <w:pPr>
              <w:ind w:firstLine="720"/>
              <w:jc w:val="both"/>
            </w:pPr>
            <w:r w:rsidRPr="00550FE9">
              <w:t>-</w:t>
            </w:r>
          </w:p>
        </w:tc>
      </w:tr>
      <w:tr w:rsidR="00261291" w:rsidRPr="00550FE9" w14:paraId="718ABE04" w14:textId="77777777" w:rsidTr="00D26C2D">
        <w:tc>
          <w:tcPr>
            <w:tcW w:w="2955" w:type="dxa"/>
            <w:vMerge/>
          </w:tcPr>
          <w:p w14:paraId="0E6DCCE7" w14:textId="77777777" w:rsidR="00261291" w:rsidRPr="00550FE9" w:rsidRDefault="00261291" w:rsidP="00D26C2D">
            <w:pPr>
              <w:ind w:firstLine="127"/>
              <w:jc w:val="both"/>
            </w:pPr>
          </w:p>
        </w:tc>
        <w:tc>
          <w:tcPr>
            <w:tcW w:w="1649" w:type="dxa"/>
            <w:vMerge/>
          </w:tcPr>
          <w:p w14:paraId="255A7F4E" w14:textId="77777777" w:rsidR="00261291" w:rsidRPr="00550FE9" w:rsidRDefault="00261291" w:rsidP="00D26C2D">
            <w:pPr>
              <w:ind w:firstLine="720"/>
              <w:jc w:val="both"/>
            </w:pPr>
          </w:p>
        </w:tc>
        <w:tc>
          <w:tcPr>
            <w:tcW w:w="1281" w:type="dxa"/>
          </w:tcPr>
          <w:p w14:paraId="1BD28E75" w14:textId="77777777" w:rsidR="00261291" w:rsidRPr="00550FE9" w:rsidRDefault="00261291" w:rsidP="00D26C2D">
            <w:pPr>
              <w:ind w:firstLine="720"/>
              <w:jc w:val="both"/>
            </w:pPr>
            <w:r w:rsidRPr="00550FE9">
              <w:t>0</w:t>
            </w:r>
          </w:p>
        </w:tc>
        <w:tc>
          <w:tcPr>
            <w:tcW w:w="1276" w:type="dxa"/>
          </w:tcPr>
          <w:p w14:paraId="77AFDE0A" w14:textId="77777777" w:rsidR="00261291" w:rsidRPr="00550FE9" w:rsidRDefault="00261291" w:rsidP="00D26C2D">
            <w:pPr>
              <w:ind w:firstLine="720"/>
              <w:jc w:val="both"/>
            </w:pPr>
            <w:r w:rsidRPr="00550FE9">
              <w:t>-</w:t>
            </w:r>
          </w:p>
        </w:tc>
        <w:tc>
          <w:tcPr>
            <w:tcW w:w="1276" w:type="dxa"/>
          </w:tcPr>
          <w:p w14:paraId="30E62709" w14:textId="77777777" w:rsidR="00261291" w:rsidRPr="00550FE9" w:rsidRDefault="00261291" w:rsidP="00D26C2D">
            <w:pPr>
              <w:ind w:firstLine="720"/>
              <w:jc w:val="both"/>
            </w:pPr>
            <w:r w:rsidRPr="00550FE9">
              <w:t>-</w:t>
            </w:r>
          </w:p>
        </w:tc>
        <w:tc>
          <w:tcPr>
            <w:tcW w:w="1203" w:type="dxa"/>
          </w:tcPr>
          <w:p w14:paraId="0874526C" w14:textId="77777777" w:rsidR="00261291" w:rsidRPr="00550FE9" w:rsidRDefault="00261291" w:rsidP="00D26C2D">
            <w:pPr>
              <w:ind w:firstLine="720"/>
              <w:jc w:val="both"/>
            </w:pPr>
            <w:r w:rsidRPr="00550FE9">
              <w:t>-</w:t>
            </w:r>
          </w:p>
        </w:tc>
      </w:tr>
      <w:tr w:rsidR="00261291" w:rsidRPr="00550FE9" w14:paraId="00C8A5DA" w14:textId="77777777" w:rsidTr="00D26C2D">
        <w:tc>
          <w:tcPr>
            <w:tcW w:w="2955" w:type="dxa"/>
          </w:tcPr>
          <w:p w14:paraId="72A895E9" w14:textId="77777777" w:rsidR="00261291" w:rsidRPr="00550FE9" w:rsidRDefault="00261291" w:rsidP="00D26C2D">
            <w:pPr>
              <w:ind w:firstLine="127"/>
              <w:jc w:val="both"/>
            </w:pPr>
            <w:r w:rsidRPr="00550FE9">
              <w:t> 5. Precizēta finansiālā ietekme:</w:t>
            </w:r>
          </w:p>
        </w:tc>
        <w:tc>
          <w:tcPr>
            <w:tcW w:w="1649" w:type="dxa"/>
            <w:vMerge w:val="restart"/>
          </w:tcPr>
          <w:p w14:paraId="488C1297" w14:textId="77777777" w:rsidR="00261291" w:rsidRPr="00550FE9" w:rsidRDefault="00261291" w:rsidP="00D26C2D">
            <w:pPr>
              <w:ind w:firstLine="720"/>
              <w:jc w:val="both"/>
            </w:pPr>
            <w:r w:rsidRPr="00550FE9">
              <w:t> X</w:t>
            </w:r>
          </w:p>
        </w:tc>
        <w:tc>
          <w:tcPr>
            <w:tcW w:w="1281" w:type="dxa"/>
          </w:tcPr>
          <w:p w14:paraId="40B209F1" w14:textId="77777777" w:rsidR="00261291" w:rsidRPr="00550FE9" w:rsidRDefault="00261291" w:rsidP="00D26C2D">
            <w:pPr>
              <w:ind w:firstLine="720"/>
              <w:jc w:val="both"/>
            </w:pPr>
            <w:r w:rsidRPr="00550FE9">
              <w:t>0</w:t>
            </w:r>
          </w:p>
        </w:tc>
        <w:tc>
          <w:tcPr>
            <w:tcW w:w="1276" w:type="dxa"/>
          </w:tcPr>
          <w:p w14:paraId="09342949" w14:textId="77777777" w:rsidR="00261291" w:rsidRPr="00550FE9" w:rsidRDefault="00261291" w:rsidP="00D26C2D">
            <w:pPr>
              <w:ind w:firstLine="720"/>
              <w:jc w:val="both"/>
            </w:pPr>
            <w:r w:rsidRPr="00550FE9">
              <w:t>-</w:t>
            </w:r>
          </w:p>
        </w:tc>
        <w:tc>
          <w:tcPr>
            <w:tcW w:w="1276" w:type="dxa"/>
          </w:tcPr>
          <w:p w14:paraId="31209AFB" w14:textId="77777777" w:rsidR="00261291" w:rsidRPr="00550FE9" w:rsidRDefault="00261291" w:rsidP="00D26C2D">
            <w:pPr>
              <w:ind w:firstLine="720"/>
              <w:jc w:val="both"/>
            </w:pPr>
            <w:r w:rsidRPr="00550FE9">
              <w:t>-</w:t>
            </w:r>
          </w:p>
        </w:tc>
        <w:tc>
          <w:tcPr>
            <w:tcW w:w="1203" w:type="dxa"/>
          </w:tcPr>
          <w:p w14:paraId="4AE65145" w14:textId="77777777" w:rsidR="00261291" w:rsidRPr="00550FE9" w:rsidRDefault="00261291" w:rsidP="00D26C2D">
            <w:pPr>
              <w:ind w:firstLine="720"/>
              <w:jc w:val="both"/>
            </w:pPr>
            <w:r w:rsidRPr="00550FE9">
              <w:t>-</w:t>
            </w:r>
          </w:p>
        </w:tc>
      </w:tr>
      <w:tr w:rsidR="00261291" w:rsidRPr="00550FE9" w14:paraId="22781544" w14:textId="77777777" w:rsidTr="00D26C2D">
        <w:tc>
          <w:tcPr>
            <w:tcW w:w="2955" w:type="dxa"/>
          </w:tcPr>
          <w:p w14:paraId="2C8F513F" w14:textId="77777777" w:rsidR="00261291" w:rsidRPr="00550FE9" w:rsidRDefault="00261291" w:rsidP="00D26C2D">
            <w:pPr>
              <w:ind w:firstLine="127"/>
              <w:jc w:val="both"/>
            </w:pPr>
            <w:r w:rsidRPr="00550FE9">
              <w:t> 5.1. valsts pamatbudžets</w:t>
            </w:r>
          </w:p>
        </w:tc>
        <w:tc>
          <w:tcPr>
            <w:tcW w:w="1649" w:type="dxa"/>
            <w:vMerge/>
          </w:tcPr>
          <w:p w14:paraId="112CA872" w14:textId="77777777" w:rsidR="00261291" w:rsidRPr="00550FE9" w:rsidRDefault="00261291" w:rsidP="00D26C2D">
            <w:pPr>
              <w:ind w:firstLine="720"/>
              <w:jc w:val="both"/>
            </w:pPr>
          </w:p>
        </w:tc>
        <w:tc>
          <w:tcPr>
            <w:tcW w:w="1281" w:type="dxa"/>
          </w:tcPr>
          <w:p w14:paraId="7946D21F" w14:textId="77777777" w:rsidR="00261291" w:rsidRPr="00550FE9" w:rsidRDefault="00261291" w:rsidP="00D26C2D">
            <w:pPr>
              <w:ind w:firstLine="720"/>
              <w:jc w:val="both"/>
            </w:pPr>
            <w:r w:rsidRPr="00550FE9">
              <w:t>0</w:t>
            </w:r>
          </w:p>
        </w:tc>
        <w:tc>
          <w:tcPr>
            <w:tcW w:w="1276" w:type="dxa"/>
          </w:tcPr>
          <w:p w14:paraId="2CF7FA5E" w14:textId="77777777" w:rsidR="00261291" w:rsidRPr="00550FE9" w:rsidRDefault="00261291" w:rsidP="00D26C2D">
            <w:pPr>
              <w:ind w:firstLine="720"/>
              <w:jc w:val="both"/>
            </w:pPr>
            <w:r w:rsidRPr="00550FE9">
              <w:t>-</w:t>
            </w:r>
          </w:p>
        </w:tc>
        <w:tc>
          <w:tcPr>
            <w:tcW w:w="1276" w:type="dxa"/>
          </w:tcPr>
          <w:p w14:paraId="404CB733" w14:textId="77777777" w:rsidR="00261291" w:rsidRPr="00550FE9" w:rsidRDefault="00261291" w:rsidP="00D26C2D">
            <w:pPr>
              <w:ind w:firstLine="720"/>
              <w:jc w:val="both"/>
            </w:pPr>
            <w:r w:rsidRPr="00550FE9">
              <w:t>-</w:t>
            </w:r>
          </w:p>
        </w:tc>
        <w:tc>
          <w:tcPr>
            <w:tcW w:w="1203" w:type="dxa"/>
          </w:tcPr>
          <w:p w14:paraId="5A1CEB34" w14:textId="77777777" w:rsidR="00261291" w:rsidRPr="00550FE9" w:rsidRDefault="00261291" w:rsidP="00D26C2D">
            <w:pPr>
              <w:ind w:firstLine="720"/>
              <w:jc w:val="both"/>
            </w:pPr>
            <w:r w:rsidRPr="00550FE9">
              <w:t>-</w:t>
            </w:r>
          </w:p>
        </w:tc>
      </w:tr>
      <w:tr w:rsidR="00261291" w:rsidRPr="00550FE9" w14:paraId="2A66F7FE" w14:textId="77777777" w:rsidTr="00D26C2D">
        <w:tc>
          <w:tcPr>
            <w:tcW w:w="2955" w:type="dxa"/>
          </w:tcPr>
          <w:p w14:paraId="73D49057" w14:textId="77777777" w:rsidR="00261291" w:rsidRPr="00550FE9" w:rsidRDefault="00261291" w:rsidP="00D26C2D">
            <w:pPr>
              <w:ind w:firstLine="127"/>
              <w:jc w:val="both"/>
            </w:pPr>
            <w:r w:rsidRPr="00550FE9">
              <w:t> 5.2. speciālais budžets</w:t>
            </w:r>
          </w:p>
        </w:tc>
        <w:tc>
          <w:tcPr>
            <w:tcW w:w="1649" w:type="dxa"/>
            <w:vMerge/>
          </w:tcPr>
          <w:p w14:paraId="3CB2541D" w14:textId="77777777" w:rsidR="00261291" w:rsidRPr="00550FE9" w:rsidRDefault="00261291" w:rsidP="00D26C2D">
            <w:pPr>
              <w:ind w:firstLine="720"/>
              <w:jc w:val="both"/>
            </w:pPr>
          </w:p>
        </w:tc>
        <w:tc>
          <w:tcPr>
            <w:tcW w:w="1281" w:type="dxa"/>
          </w:tcPr>
          <w:p w14:paraId="2051B5C7" w14:textId="77777777" w:rsidR="00261291" w:rsidRPr="00550FE9" w:rsidRDefault="00261291" w:rsidP="00D26C2D">
            <w:pPr>
              <w:ind w:firstLine="720"/>
              <w:jc w:val="both"/>
            </w:pPr>
            <w:r w:rsidRPr="00550FE9">
              <w:t>0</w:t>
            </w:r>
          </w:p>
        </w:tc>
        <w:tc>
          <w:tcPr>
            <w:tcW w:w="1276" w:type="dxa"/>
          </w:tcPr>
          <w:p w14:paraId="79B75394" w14:textId="77777777" w:rsidR="00261291" w:rsidRPr="00550FE9" w:rsidRDefault="00261291" w:rsidP="00D26C2D">
            <w:pPr>
              <w:ind w:firstLine="720"/>
              <w:jc w:val="both"/>
            </w:pPr>
            <w:r w:rsidRPr="00550FE9">
              <w:t>-</w:t>
            </w:r>
          </w:p>
        </w:tc>
        <w:tc>
          <w:tcPr>
            <w:tcW w:w="1276" w:type="dxa"/>
          </w:tcPr>
          <w:p w14:paraId="090E4F21" w14:textId="77777777" w:rsidR="00261291" w:rsidRPr="00550FE9" w:rsidRDefault="00261291" w:rsidP="00D26C2D">
            <w:pPr>
              <w:ind w:firstLine="720"/>
              <w:jc w:val="both"/>
            </w:pPr>
            <w:r w:rsidRPr="00550FE9">
              <w:t>-</w:t>
            </w:r>
          </w:p>
        </w:tc>
        <w:tc>
          <w:tcPr>
            <w:tcW w:w="1203" w:type="dxa"/>
          </w:tcPr>
          <w:p w14:paraId="04FE49EF" w14:textId="77777777" w:rsidR="00261291" w:rsidRPr="00550FE9" w:rsidRDefault="00261291" w:rsidP="00D26C2D">
            <w:pPr>
              <w:ind w:firstLine="720"/>
              <w:jc w:val="both"/>
            </w:pPr>
            <w:r w:rsidRPr="00550FE9">
              <w:t>-</w:t>
            </w:r>
          </w:p>
        </w:tc>
      </w:tr>
      <w:tr w:rsidR="00261291" w:rsidRPr="00550FE9" w14:paraId="609DAA7C" w14:textId="77777777" w:rsidTr="00D26C2D">
        <w:tc>
          <w:tcPr>
            <w:tcW w:w="2955" w:type="dxa"/>
          </w:tcPr>
          <w:p w14:paraId="4B449E85" w14:textId="77777777" w:rsidR="00261291" w:rsidRPr="00550FE9" w:rsidRDefault="00261291" w:rsidP="00D26C2D">
            <w:pPr>
              <w:ind w:firstLine="127"/>
              <w:jc w:val="both"/>
            </w:pPr>
            <w:r w:rsidRPr="00550FE9">
              <w:t> 5.3. pašvaldību budžets</w:t>
            </w:r>
          </w:p>
        </w:tc>
        <w:tc>
          <w:tcPr>
            <w:tcW w:w="1649" w:type="dxa"/>
            <w:vMerge/>
          </w:tcPr>
          <w:p w14:paraId="22822697" w14:textId="77777777" w:rsidR="00261291" w:rsidRPr="00550FE9" w:rsidRDefault="00261291" w:rsidP="00D26C2D">
            <w:pPr>
              <w:ind w:firstLine="720"/>
              <w:jc w:val="both"/>
            </w:pPr>
          </w:p>
        </w:tc>
        <w:tc>
          <w:tcPr>
            <w:tcW w:w="1281" w:type="dxa"/>
          </w:tcPr>
          <w:p w14:paraId="760F3343" w14:textId="77777777" w:rsidR="00261291" w:rsidRPr="00550FE9" w:rsidRDefault="00261291" w:rsidP="00D26C2D">
            <w:pPr>
              <w:ind w:firstLine="720"/>
              <w:jc w:val="both"/>
            </w:pPr>
            <w:r w:rsidRPr="00550FE9">
              <w:t>0</w:t>
            </w:r>
          </w:p>
        </w:tc>
        <w:tc>
          <w:tcPr>
            <w:tcW w:w="1276" w:type="dxa"/>
          </w:tcPr>
          <w:p w14:paraId="402E8B53" w14:textId="77777777" w:rsidR="00261291" w:rsidRPr="00550FE9" w:rsidRDefault="00261291" w:rsidP="00D26C2D">
            <w:pPr>
              <w:ind w:firstLine="720"/>
              <w:jc w:val="both"/>
            </w:pPr>
            <w:r w:rsidRPr="00550FE9">
              <w:t>-</w:t>
            </w:r>
          </w:p>
        </w:tc>
        <w:tc>
          <w:tcPr>
            <w:tcW w:w="1276" w:type="dxa"/>
          </w:tcPr>
          <w:p w14:paraId="54A3BDE7" w14:textId="77777777" w:rsidR="00261291" w:rsidRPr="00550FE9" w:rsidRDefault="00261291" w:rsidP="00D26C2D">
            <w:pPr>
              <w:ind w:firstLine="720"/>
              <w:jc w:val="both"/>
            </w:pPr>
            <w:r w:rsidRPr="00550FE9">
              <w:t>-</w:t>
            </w:r>
          </w:p>
        </w:tc>
        <w:tc>
          <w:tcPr>
            <w:tcW w:w="1203" w:type="dxa"/>
          </w:tcPr>
          <w:p w14:paraId="28B91D16" w14:textId="77777777" w:rsidR="00261291" w:rsidRPr="00550FE9" w:rsidRDefault="00261291" w:rsidP="00D26C2D">
            <w:pPr>
              <w:ind w:firstLine="720"/>
              <w:jc w:val="both"/>
            </w:pPr>
            <w:r w:rsidRPr="00550FE9">
              <w:t>-</w:t>
            </w:r>
          </w:p>
        </w:tc>
      </w:tr>
      <w:tr w:rsidR="00261291" w:rsidRPr="00550FE9" w14:paraId="401CE200" w14:textId="77777777" w:rsidTr="00D26C2D">
        <w:tc>
          <w:tcPr>
            <w:tcW w:w="2955" w:type="dxa"/>
          </w:tcPr>
          <w:p w14:paraId="1BA23A8E" w14:textId="77777777" w:rsidR="00261291" w:rsidRPr="00550FE9" w:rsidRDefault="00261291" w:rsidP="00D26C2D">
            <w:pPr>
              <w:ind w:firstLine="127"/>
              <w:jc w:val="both"/>
            </w:pPr>
            <w:r w:rsidRPr="00550FE9">
              <w:t> 6. Detalizēts ieņēmumu un izdevu</w:t>
            </w:r>
            <w:r w:rsidRPr="00550FE9">
              <w:softHyphen/>
              <w:t>mu aprēķins (ja nepieciešams, detalizētu ieņēmumu un izdevumu aprēķinu var pievienot anotācijas pielikumā):</w:t>
            </w:r>
          </w:p>
        </w:tc>
        <w:tc>
          <w:tcPr>
            <w:tcW w:w="6685" w:type="dxa"/>
            <w:gridSpan w:val="5"/>
            <w:vMerge w:val="restart"/>
          </w:tcPr>
          <w:p w14:paraId="39AD1574" w14:textId="77777777" w:rsidR="00261291" w:rsidRPr="00550FE9" w:rsidRDefault="00261291" w:rsidP="00C65A2E">
            <w:pPr>
              <w:ind w:firstLine="56"/>
              <w:jc w:val="both"/>
            </w:pPr>
            <w:r w:rsidRPr="00550FE9">
              <w:t>  </w:t>
            </w:r>
            <w:r w:rsidR="00C65A2E" w:rsidRPr="00550FE9">
              <w:t>Projekts šo jomu neskar.</w:t>
            </w:r>
          </w:p>
        </w:tc>
      </w:tr>
      <w:tr w:rsidR="00261291" w:rsidRPr="00550FE9" w14:paraId="673BA216" w14:textId="77777777" w:rsidTr="00D26C2D">
        <w:tc>
          <w:tcPr>
            <w:tcW w:w="2955" w:type="dxa"/>
          </w:tcPr>
          <w:p w14:paraId="2F16F231" w14:textId="77777777" w:rsidR="00261291" w:rsidRPr="00550FE9" w:rsidRDefault="00261291" w:rsidP="00D26C2D">
            <w:pPr>
              <w:ind w:firstLine="127"/>
              <w:jc w:val="both"/>
            </w:pPr>
            <w:r w:rsidRPr="00550FE9">
              <w:t> 6.1. detalizēts ieņēmumu aprēķins</w:t>
            </w:r>
          </w:p>
        </w:tc>
        <w:tc>
          <w:tcPr>
            <w:tcW w:w="6685" w:type="dxa"/>
            <w:gridSpan w:val="5"/>
            <w:vMerge/>
          </w:tcPr>
          <w:p w14:paraId="1E5613A0" w14:textId="77777777" w:rsidR="00261291" w:rsidRPr="00550FE9" w:rsidRDefault="00261291" w:rsidP="00C65A2E">
            <w:pPr>
              <w:ind w:firstLine="56"/>
              <w:jc w:val="both"/>
            </w:pPr>
          </w:p>
        </w:tc>
      </w:tr>
      <w:tr w:rsidR="00261291" w:rsidRPr="00550FE9" w14:paraId="6B05D72E" w14:textId="77777777" w:rsidTr="00D26C2D">
        <w:tc>
          <w:tcPr>
            <w:tcW w:w="2955" w:type="dxa"/>
          </w:tcPr>
          <w:p w14:paraId="75C61256" w14:textId="77777777" w:rsidR="00261291" w:rsidRPr="00550FE9" w:rsidRDefault="00261291" w:rsidP="00D26C2D">
            <w:pPr>
              <w:ind w:firstLine="127"/>
              <w:jc w:val="both"/>
            </w:pPr>
            <w:r w:rsidRPr="00550FE9">
              <w:t> 6.2. detalizēts izdevumu aprēķins</w:t>
            </w:r>
          </w:p>
        </w:tc>
        <w:tc>
          <w:tcPr>
            <w:tcW w:w="6685" w:type="dxa"/>
            <w:gridSpan w:val="5"/>
            <w:vMerge/>
          </w:tcPr>
          <w:p w14:paraId="4ABA601B" w14:textId="77777777" w:rsidR="00261291" w:rsidRPr="00550FE9" w:rsidRDefault="00261291" w:rsidP="00C65A2E">
            <w:pPr>
              <w:ind w:firstLine="56"/>
              <w:jc w:val="both"/>
            </w:pPr>
          </w:p>
        </w:tc>
      </w:tr>
      <w:tr w:rsidR="00261291" w:rsidRPr="00550FE9" w14:paraId="2347174B" w14:textId="77777777" w:rsidTr="00D26C2D">
        <w:tc>
          <w:tcPr>
            <w:tcW w:w="2955" w:type="dxa"/>
          </w:tcPr>
          <w:p w14:paraId="5A1CE4B7" w14:textId="77777777" w:rsidR="00261291" w:rsidRPr="00550FE9" w:rsidRDefault="00261291" w:rsidP="00D26C2D">
            <w:pPr>
              <w:ind w:firstLine="127"/>
              <w:jc w:val="both"/>
            </w:pPr>
            <w:r w:rsidRPr="00550FE9">
              <w:t> 7. Cita informācija</w:t>
            </w:r>
          </w:p>
        </w:tc>
        <w:tc>
          <w:tcPr>
            <w:tcW w:w="6685" w:type="dxa"/>
            <w:gridSpan w:val="5"/>
          </w:tcPr>
          <w:p w14:paraId="217F14A1" w14:textId="77777777" w:rsidR="00261291" w:rsidRPr="00550FE9" w:rsidRDefault="00261291" w:rsidP="00C65A2E">
            <w:pPr>
              <w:ind w:firstLine="56"/>
              <w:jc w:val="both"/>
            </w:pPr>
            <w:r w:rsidRPr="00550FE9">
              <w:t> Nav</w:t>
            </w:r>
          </w:p>
        </w:tc>
      </w:tr>
    </w:tbl>
    <w:p w14:paraId="5926FFCA" w14:textId="77777777" w:rsidR="00C65A2E" w:rsidRPr="00550FE9" w:rsidRDefault="00C65A2E" w:rsidP="00261291">
      <w:pPr>
        <w:ind w:firstLine="720"/>
        <w:jc w:val="both"/>
      </w:pPr>
    </w:p>
    <w:tbl>
      <w:tblPr>
        <w:tblW w:w="9640" w:type="dxa"/>
        <w:tblInd w:w="-25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26"/>
        <w:gridCol w:w="3998"/>
        <w:gridCol w:w="5216"/>
      </w:tblGrid>
      <w:tr w:rsidR="00261291" w:rsidRPr="00550FE9" w14:paraId="6EBBAE07" w14:textId="77777777" w:rsidTr="00D26C2D">
        <w:tc>
          <w:tcPr>
            <w:tcW w:w="9640" w:type="dxa"/>
            <w:gridSpan w:val="3"/>
            <w:tcBorders>
              <w:top w:val="outset" w:sz="6" w:space="0" w:color="000000"/>
              <w:left w:val="outset" w:sz="6" w:space="0" w:color="000000"/>
              <w:bottom w:val="outset" w:sz="6" w:space="0" w:color="000000"/>
              <w:right w:val="outset" w:sz="6" w:space="0" w:color="000000"/>
            </w:tcBorders>
          </w:tcPr>
          <w:p w14:paraId="482FD999" w14:textId="77777777" w:rsidR="00261291" w:rsidRPr="00550FE9" w:rsidRDefault="00261291" w:rsidP="00D26C2D">
            <w:pPr>
              <w:jc w:val="center"/>
              <w:rPr>
                <w:b/>
                <w:bCs/>
              </w:rPr>
            </w:pPr>
            <w:r w:rsidRPr="00550FE9">
              <w:rPr>
                <w:b/>
                <w:bCs/>
              </w:rPr>
              <w:t>VII. Tiesību akta projekta izpildes nodrošināšana un tās ietekme uz institūcijām</w:t>
            </w:r>
          </w:p>
        </w:tc>
      </w:tr>
      <w:tr w:rsidR="00261291" w:rsidRPr="00550FE9" w14:paraId="6ADA9479" w14:textId="77777777" w:rsidTr="00D26C2D">
        <w:tc>
          <w:tcPr>
            <w:tcW w:w="426" w:type="dxa"/>
            <w:tcBorders>
              <w:top w:val="outset" w:sz="6" w:space="0" w:color="000000"/>
              <w:left w:val="outset" w:sz="6" w:space="0" w:color="000000"/>
              <w:bottom w:val="outset" w:sz="6" w:space="0" w:color="000000"/>
              <w:right w:val="outset" w:sz="6" w:space="0" w:color="000000"/>
            </w:tcBorders>
          </w:tcPr>
          <w:p w14:paraId="31102E84" w14:textId="77777777" w:rsidR="00261291" w:rsidRPr="00550FE9" w:rsidRDefault="00261291" w:rsidP="00D26C2D">
            <w:r w:rsidRPr="00550FE9">
              <w:t>1.</w:t>
            </w:r>
          </w:p>
        </w:tc>
        <w:tc>
          <w:tcPr>
            <w:tcW w:w="3998" w:type="dxa"/>
            <w:tcBorders>
              <w:top w:val="outset" w:sz="6" w:space="0" w:color="000000"/>
              <w:left w:val="outset" w:sz="6" w:space="0" w:color="000000"/>
              <w:bottom w:val="outset" w:sz="6" w:space="0" w:color="000000"/>
              <w:right w:val="outset" w:sz="6" w:space="0" w:color="000000"/>
            </w:tcBorders>
          </w:tcPr>
          <w:p w14:paraId="54D54E0D" w14:textId="77777777" w:rsidR="00261291" w:rsidRPr="00550FE9" w:rsidRDefault="00261291" w:rsidP="00D26C2D">
            <w:r w:rsidRPr="00550FE9">
              <w:t>Projekta izpildē iesaistītās institūcijas</w:t>
            </w:r>
          </w:p>
        </w:tc>
        <w:tc>
          <w:tcPr>
            <w:tcW w:w="5216" w:type="dxa"/>
            <w:tcBorders>
              <w:top w:val="outset" w:sz="6" w:space="0" w:color="000000"/>
              <w:left w:val="outset" w:sz="6" w:space="0" w:color="000000"/>
              <w:bottom w:val="outset" w:sz="6" w:space="0" w:color="000000"/>
              <w:right w:val="outset" w:sz="6" w:space="0" w:color="000000"/>
            </w:tcBorders>
          </w:tcPr>
          <w:p w14:paraId="1620293C" w14:textId="77777777" w:rsidR="00261291" w:rsidRPr="00550FE9" w:rsidRDefault="00261291" w:rsidP="00D26C2D">
            <w:pPr>
              <w:ind w:right="-109"/>
            </w:pPr>
            <w:r w:rsidRPr="00550FE9">
              <w:t>Projekta izpildi nodrošinās Satiksmes ministrija un valsts akciju sabiedrība „Latvijas gaisa satiksme”.</w:t>
            </w:r>
          </w:p>
        </w:tc>
      </w:tr>
      <w:tr w:rsidR="00261291" w:rsidRPr="00550FE9" w14:paraId="76AAD675" w14:textId="77777777" w:rsidTr="00D26C2D">
        <w:tc>
          <w:tcPr>
            <w:tcW w:w="426" w:type="dxa"/>
            <w:tcBorders>
              <w:top w:val="outset" w:sz="6" w:space="0" w:color="000000"/>
              <w:left w:val="outset" w:sz="6" w:space="0" w:color="000000"/>
              <w:bottom w:val="outset" w:sz="6" w:space="0" w:color="000000"/>
              <w:right w:val="outset" w:sz="6" w:space="0" w:color="000000"/>
            </w:tcBorders>
          </w:tcPr>
          <w:p w14:paraId="5E7ED034" w14:textId="77777777" w:rsidR="00261291" w:rsidRPr="00550FE9" w:rsidRDefault="00261291" w:rsidP="00D26C2D">
            <w:r w:rsidRPr="00550FE9">
              <w:t>2.</w:t>
            </w:r>
          </w:p>
        </w:tc>
        <w:tc>
          <w:tcPr>
            <w:tcW w:w="3998" w:type="dxa"/>
            <w:tcBorders>
              <w:top w:val="outset" w:sz="6" w:space="0" w:color="000000"/>
              <w:left w:val="outset" w:sz="6" w:space="0" w:color="000000"/>
              <w:bottom w:val="outset" w:sz="6" w:space="0" w:color="000000"/>
              <w:right w:val="outset" w:sz="6" w:space="0" w:color="000000"/>
            </w:tcBorders>
          </w:tcPr>
          <w:p w14:paraId="42064A9C" w14:textId="77777777" w:rsidR="00261291" w:rsidRPr="00550FE9" w:rsidRDefault="00261291" w:rsidP="00D26C2D">
            <w:r w:rsidRPr="00550FE9">
              <w:t xml:space="preserve">Projekta izpildes ietekme uz pārvaldes funkcijām un institucionālo struktūru. </w:t>
            </w:r>
          </w:p>
          <w:p w14:paraId="066915D9" w14:textId="77777777" w:rsidR="00261291" w:rsidRPr="00550FE9" w:rsidRDefault="00261291" w:rsidP="00D26C2D">
            <w:r w:rsidRPr="00550FE9">
              <w:t>Jaunu institūciju izveide, esošu institūciju likvidācija vai reorganizācija, to ietekme uz institūcijas cilvēkresursiem</w:t>
            </w:r>
          </w:p>
        </w:tc>
        <w:tc>
          <w:tcPr>
            <w:tcW w:w="5216" w:type="dxa"/>
            <w:tcBorders>
              <w:top w:val="outset" w:sz="6" w:space="0" w:color="000000"/>
              <w:left w:val="outset" w:sz="6" w:space="0" w:color="000000"/>
              <w:bottom w:val="outset" w:sz="6" w:space="0" w:color="000000"/>
              <w:right w:val="outset" w:sz="6" w:space="0" w:color="000000"/>
            </w:tcBorders>
          </w:tcPr>
          <w:p w14:paraId="0877CAC7" w14:textId="77777777" w:rsidR="00261291" w:rsidRPr="00550FE9" w:rsidRDefault="00261291" w:rsidP="00D26C2D">
            <w:r w:rsidRPr="00550FE9">
              <w:t>Projekts šo jomu neskar</w:t>
            </w:r>
          </w:p>
        </w:tc>
      </w:tr>
      <w:tr w:rsidR="00261291" w:rsidRPr="00550FE9" w14:paraId="0B5FDD56" w14:textId="77777777" w:rsidTr="00D26C2D">
        <w:tc>
          <w:tcPr>
            <w:tcW w:w="426" w:type="dxa"/>
            <w:tcBorders>
              <w:top w:val="outset" w:sz="6" w:space="0" w:color="000000"/>
              <w:left w:val="outset" w:sz="6" w:space="0" w:color="000000"/>
              <w:bottom w:val="outset" w:sz="6" w:space="0" w:color="000000"/>
              <w:right w:val="outset" w:sz="6" w:space="0" w:color="000000"/>
            </w:tcBorders>
          </w:tcPr>
          <w:p w14:paraId="12F2401E" w14:textId="77777777" w:rsidR="00261291" w:rsidRPr="00550FE9" w:rsidRDefault="00261291" w:rsidP="00D26C2D">
            <w:r w:rsidRPr="00550FE9">
              <w:t>3.</w:t>
            </w:r>
          </w:p>
        </w:tc>
        <w:tc>
          <w:tcPr>
            <w:tcW w:w="3998" w:type="dxa"/>
            <w:tcBorders>
              <w:top w:val="outset" w:sz="6" w:space="0" w:color="000000"/>
              <w:left w:val="outset" w:sz="6" w:space="0" w:color="000000"/>
              <w:bottom w:val="outset" w:sz="6" w:space="0" w:color="000000"/>
              <w:right w:val="outset" w:sz="6" w:space="0" w:color="000000"/>
            </w:tcBorders>
          </w:tcPr>
          <w:p w14:paraId="72926AE1" w14:textId="77777777" w:rsidR="00261291" w:rsidRPr="00550FE9" w:rsidRDefault="00261291" w:rsidP="00D26C2D">
            <w:r w:rsidRPr="00550FE9">
              <w:t>Cita informācija</w:t>
            </w:r>
          </w:p>
        </w:tc>
        <w:tc>
          <w:tcPr>
            <w:tcW w:w="5216" w:type="dxa"/>
            <w:tcBorders>
              <w:top w:val="outset" w:sz="6" w:space="0" w:color="000000"/>
              <w:left w:val="outset" w:sz="6" w:space="0" w:color="000000"/>
              <w:bottom w:val="outset" w:sz="6" w:space="0" w:color="000000"/>
              <w:right w:val="outset" w:sz="6" w:space="0" w:color="000000"/>
            </w:tcBorders>
          </w:tcPr>
          <w:p w14:paraId="761B2B7A" w14:textId="77777777" w:rsidR="00261291" w:rsidRPr="00550FE9" w:rsidRDefault="00261291" w:rsidP="00D26C2D">
            <w:r w:rsidRPr="00550FE9">
              <w:t>Nav</w:t>
            </w:r>
          </w:p>
        </w:tc>
      </w:tr>
    </w:tbl>
    <w:p w14:paraId="77BAE303" w14:textId="77777777" w:rsidR="00261291" w:rsidRPr="00550FE9" w:rsidRDefault="00261291" w:rsidP="00261291">
      <w:pPr>
        <w:pStyle w:val="naisf"/>
        <w:tabs>
          <w:tab w:val="left" w:pos="5760"/>
        </w:tabs>
        <w:spacing w:before="0" w:after="0"/>
        <w:ind w:firstLine="720"/>
      </w:pPr>
    </w:p>
    <w:p w14:paraId="57A3E1D3" w14:textId="77777777" w:rsidR="00261291" w:rsidRPr="00550FE9" w:rsidRDefault="00261291" w:rsidP="004A4076">
      <w:pPr>
        <w:pStyle w:val="naisf"/>
        <w:tabs>
          <w:tab w:val="left" w:pos="5760"/>
        </w:tabs>
        <w:spacing w:before="0" w:after="0"/>
        <w:ind w:firstLine="709"/>
      </w:pPr>
      <w:r w:rsidRPr="00550FE9">
        <w:t>Anotācijas II., IV., V. un VI. sadaļa – projekts šīs jomas neskar.</w:t>
      </w:r>
    </w:p>
    <w:p w14:paraId="451B3FAE" w14:textId="77777777" w:rsidR="00261291" w:rsidRPr="00550FE9" w:rsidRDefault="00261291" w:rsidP="00261291">
      <w:pPr>
        <w:pStyle w:val="naisf"/>
        <w:tabs>
          <w:tab w:val="left" w:pos="5760"/>
        </w:tabs>
        <w:spacing w:before="0" w:after="0"/>
        <w:ind w:firstLine="720"/>
        <w:rPr>
          <w:i/>
        </w:rPr>
      </w:pPr>
    </w:p>
    <w:p w14:paraId="4166E2DB" w14:textId="77777777" w:rsidR="00261291" w:rsidRPr="00550FE9" w:rsidRDefault="00261291" w:rsidP="00261291">
      <w:pPr>
        <w:pStyle w:val="naisf"/>
        <w:ind w:firstLine="426"/>
      </w:pPr>
      <w:r w:rsidRPr="00550FE9">
        <w:t>Sat</w:t>
      </w:r>
      <w:r w:rsidR="00F061D3" w:rsidRPr="00550FE9">
        <w:t xml:space="preserve">iksmes ministrs </w:t>
      </w:r>
      <w:r w:rsidR="00F061D3" w:rsidRPr="00550FE9">
        <w:tab/>
      </w:r>
      <w:r w:rsidR="00F061D3" w:rsidRPr="00550FE9">
        <w:tab/>
      </w:r>
      <w:r w:rsidR="00F061D3" w:rsidRPr="00550FE9">
        <w:tab/>
      </w:r>
      <w:r w:rsidR="00F061D3" w:rsidRPr="00550FE9">
        <w:tab/>
      </w:r>
      <w:r w:rsidR="00F061D3" w:rsidRPr="00550FE9">
        <w:tab/>
      </w:r>
      <w:r w:rsidR="00F061D3" w:rsidRPr="00550FE9">
        <w:tab/>
      </w:r>
      <w:r w:rsidR="00F061D3" w:rsidRPr="00550FE9">
        <w:tab/>
        <w:t>U.</w:t>
      </w:r>
      <w:r w:rsidR="004A4076" w:rsidRPr="00550FE9">
        <w:t xml:space="preserve"> </w:t>
      </w:r>
      <w:r w:rsidR="00F061D3" w:rsidRPr="00550FE9">
        <w:t>Augulis</w:t>
      </w:r>
    </w:p>
    <w:p w14:paraId="2C5EDF91" w14:textId="77777777" w:rsidR="0055671E" w:rsidRDefault="0055671E" w:rsidP="00261291">
      <w:pPr>
        <w:pStyle w:val="naisf"/>
        <w:spacing w:before="0" w:after="0"/>
        <w:ind w:firstLine="426"/>
      </w:pPr>
    </w:p>
    <w:p w14:paraId="4EB38502" w14:textId="77777777" w:rsidR="0055671E" w:rsidRDefault="0055671E" w:rsidP="00261291">
      <w:pPr>
        <w:pStyle w:val="naisf"/>
        <w:spacing w:before="0" w:after="0"/>
        <w:ind w:firstLine="426"/>
      </w:pPr>
    </w:p>
    <w:p w14:paraId="30E452A3" w14:textId="77777777" w:rsidR="00261291" w:rsidRPr="00550FE9" w:rsidRDefault="00261291" w:rsidP="00261291">
      <w:pPr>
        <w:pStyle w:val="naisf"/>
        <w:spacing w:before="0" w:after="0"/>
        <w:ind w:firstLine="426"/>
        <w:rPr>
          <w:color w:val="000000"/>
        </w:rPr>
      </w:pPr>
      <w:r w:rsidRPr="00550FE9">
        <w:t>Vīza: Valsts sekretārs</w:t>
      </w:r>
      <w:r w:rsidRPr="00550FE9">
        <w:tab/>
      </w:r>
      <w:r w:rsidRPr="00550FE9">
        <w:tab/>
      </w:r>
      <w:r w:rsidRPr="00550FE9">
        <w:tab/>
      </w:r>
      <w:r w:rsidRPr="00550FE9">
        <w:tab/>
      </w:r>
      <w:r w:rsidRPr="00550FE9">
        <w:tab/>
      </w:r>
      <w:r w:rsidRPr="00550FE9">
        <w:tab/>
      </w:r>
      <w:r w:rsidRPr="00550FE9">
        <w:tab/>
        <w:t>K. Ozoliņš</w:t>
      </w:r>
    </w:p>
    <w:p w14:paraId="424316C0" w14:textId="77777777" w:rsidR="00261291" w:rsidRPr="00550FE9" w:rsidRDefault="00261291" w:rsidP="00261291">
      <w:pPr>
        <w:jc w:val="both"/>
        <w:rPr>
          <w:color w:val="000000"/>
        </w:rPr>
      </w:pPr>
    </w:p>
    <w:p w14:paraId="01F20C6B" w14:textId="503F05E1" w:rsidR="00871AA7" w:rsidRPr="00871AA7" w:rsidRDefault="00490BE5" w:rsidP="00871AA7">
      <w:pPr>
        <w:spacing w:line="276" w:lineRule="auto"/>
        <w:ind w:right="-341"/>
        <w:rPr>
          <w:sz w:val="20"/>
          <w:szCs w:val="20"/>
        </w:rPr>
      </w:pPr>
      <w:r>
        <w:rPr>
          <w:sz w:val="20"/>
          <w:szCs w:val="20"/>
        </w:rPr>
        <w:t>23</w:t>
      </w:r>
      <w:r w:rsidR="00871AA7" w:rsidRPr="00871AA7">
        <w:rPr>
          <w:sz w:val="20"/>
          <w:szCs w:val="20"/>
        </w:rPr>
        <w:t>.0</w:t>
      </w:r>
      <w:r w:rsidR="005755FE">
        <w:rPr>
          <w:sz w:val="20"/>
          <w:szCs w:val="20"/>
        </w:rPr>
        <w:t>8</w:t>
      </w:r>
      <w:r w:rsidR="00871AA7" w:rsidRPr="00871AA7">
        <w:rPr>
          <w:sz w:val="20"/>
          <w:szCs w:val="20"/>
        </w:rPr>
        <w:t>.2017. 1</w:t>
      </w:r>
      <w:r>
        <w:rPr>
          <w:sz w:val="20"/>
          <w:szCs w:val="20"/>
        </w:rPr>
        <w:t>1</w:t>
      </w:r>
      <w:bookmarkStart w:id="0" w:name="_GoBack"/>
      <w:bookmarkEnd w:id="0"/>
      <w:r w:rsidR="00871AA7" w:rsidRPr="00871AA7">
        <w:rPr>
          <w:sz w:val="20"/>
          <w:szCs w:val="20"/>
        </w:rPr>
        <w:t>:</w:t>
      </w:r>
      <w:r w:rsidR="00871AA7">
        <w:rPr>
          <w:sz w:val="20"/>
          <w:szCs w:val="20"/>
        </w:rPr>
        <w:t>3</w:t>
      </w:r>
      <w:r w:rsidR="00871AA7" w:rsidRPr="00871AA7">
        <w:rPr>
          <w:sz w:val="20"/>
          <w:szCs w:val="20"/>
        </w:rPr>
        <w:t>0</w:t>
      </w:r>
    </w:p>
    <w:p w14:paraId="3DD307DD" w14:textId="09CF5E54" w:rsidR="00871AA7" w:rsidRPr="00871AA7" w:rsidRDefault="00871AA7" w:rsidP="00871AA7">
      <w:pPr>
        <w:spacing w:line="276" w:lineRule="auto"/>
        <w:ind w:right="-341"/>
        <w:rPr>
          <w:sz w:val="20"/>
          <w:szCs w:val="20"/>
        </w:rPr>
      </w:pPr>
      <w:r>
        <w:rPr>
          <w:sz w:val="20"/>
          <w:szCs w:val="20"/>
        </w:rPr>
        <w:t>22</w:t>
      </w:r>
      <w:r w:rsidR="00B2449D">
        <w:rPr>
          <w:sz w:val="20"/>
          <w:szCs w:val="20"/>
        </w:rPr>
        <w:t>95</w:t>
      </w:r>
    </w:p>
    <w:p w14:paraId="63E17C75" w14:textId="7483672F" w:rsidR="00871AA7" w:rsidRPr="00871AA7" w:rsidRDefault="00B2449D" w:rsidP="00871AA7">
      <w:pPr>
        <w:spacing w:line="276" w:lineRule="auto"/>
        <w:rPr>
          <w:sz w:val="20"/>
          <w:szCs w:val="20"/>
        </w:rPr>
      </w:pPr>
      <w:r>
        <w:rPr>
          <w:sz w:val="20"/>
          <w:szCs w:val="20"/>
        </w:rPr>
        <w:t>Strautmane 67028231</w:t>
      </w:r>
    </w:p>
    <w:p w14:paraId="22CC8DEE" w14:textId="3F80B2D6" w:rsidR="00261291" w:rsidRPr="00550FE9" w:rsidRDefault="00B2449D" w:rsidP="00B2449D">
      <w:pPr>
        <w:spacing w:line="276" w:lineRule="auto"/>
        <w:rPr>
          <w:color w:val="000000"/>
        </w:rPr>
      </w:pPr>
      <w:r>
        <w:rPr>
          <w:sz w:val="20"/>
          <w:szCs w:val="20"/>
        </w:rPr>
        <w:t>Inguna.Strautmane</w:t>
      </w:r>
      <w:r w:rsidR="00871AA7" w:rsidRPr="00871AA7">
        <w:rPr>
          <w:sz w:val="20"/>
          <w:szCs w:val="20"/>
        </w:rPr>
        <w:t>@sam.gov.lv</w:t>
      </w:r>
    </w:p>
    <w:sectPr w:rsidR="00261291" w:rsidRPr="00550FE9" w:rsidSect="00D26C2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06C00" w14:textId="77777777" w:rsidR="002D4BAC" w:rsidRDefault="002D4BAC" w:rsidP="00F663C8">
      <w:r>
        <w:separator/>
      </w:r>
    </w:p>
  </w:endnote>
  <w:endnote w:type="continuationSeparator" w:id="0">
    <w:p w14:paraId="0A6350A8" w14:textId="77777777" w:rsidR="002D4BAC" w:rsidRDefault="002D4BAC" w:rsidP="00F6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160D" w14:textId="43746680" w:rsidR="009A7619" w:rsidRPr="002A345A" w:rsidRDefault="009A7619" w:rsidP="00F35B4C">
    <w:pPr>
      <w:pStyle w:val="Footer"/>
      <w:jc w:val="both"/>
      <w:rPr>
        <w:sz w:val="20"/>
        <w:szCs w:val="20"/>
      </w:rPr>
    </w:pPr>
    <w:r w:rsidRPr="002A345A">
      <w:rPr>
        <w:sz w:val="20"/>
        <w:szCs w:val="20"/>
      </w:rPr>
      <w:t>SAMAnot_</w:t>
    </w:r>
    <w:r w:rsidR="00490BE5">
      <w:rPr>
        <w:sz w:val="20"/>
        <w:szCs w:val="20"/>
      </w:rPr>
      <w:t>23</w:t>
    </w:r>
    <w:r w:rsidR="005755FE">
      <w:rPr>
        <w:sz w:val="20"/>
        <w:szCs w:val="20"/>
      </w:rPr>
      <w:t>08</w:t>
    </w:r>
    <w:r w:rsidRPr="002A345A">
      <w:rPr>
        <w:sz w:val="20"/>
        <w:szCs w:val="20"/>
      </w:rPr>
      <w:t xml:space="preserve">17_LGSdivid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AC56" w14:textId="315E8407" w:rsidR="009A7619" w:rsidRPr="001D3CBE" w:rsidRDefault="009A7619" w:rsidP="009A7619">
    <w:pPr>
      <w:ind w:right="-765"/>
      <w:rPr>
        <w:bCs/>
        <w:sz w:val="20"/>
        <w:szCs w:val="20"/>
      </w:rPr>
    </w:pPr>
    <w:r w:rsidRPr="001D3CBE">
      <w:rPr>
        <w:sz w:val="20"/>
        <w:szCs w:val="20"/>
      </w:rPr>
      <w:t>SAM</w:t>
    </w:r>
    <w:r>
      <w:rPr>
        <w:sz w:val="20"/>
        <w:szCs w:val="20"/>
      </w:rPr>
      <w:t>A</w:t>
    </w:r>
    <w:r w:rsidRPr="001D3CBE">
      <w:rPr>
        <w:sz w:val="20"/>
        <w:szCs w:val="20"/>
      </w:rPr>
      <w:t>not_</w:t>
    </w:r>
    <w:r w:rsidR="00490BE5">
      <w:rPr>
        <w:sz w:val="20"/>
        <w:szCs w:val="20"/>
      </w:rPr>
      <w:t>23</w:t>
    </w:r>
    <w:r w:rsidR="005755FE">
      <w:rPr>
        <w:sz w:val="20"/>
        <w:szCs w:val="20"/>
      </w:rPr>
      <w:t>08</w:t>
    </w:r>
    <w:r>
      <w:rPr>
        <w:sz w:val="20"/>
        <w:szCs w:val="20"/>
      </w:rPr>
      <w:t>17</w:t>
    </w:r>
    <w:r w:rsidRPr="001D3CBE">
      <w:rPr>
        <w:sz w:val="20"/>
        <w:szCs w:val="20"/>
      </w:rPr>
      <w:t>_</w:t>
    </w:r>
    <w:r>
      <w:rPr>
        <w:sz w:val="20"/>
        <w:szCs w:val="20"/>
      </w:rPr>
      <w:t>LGS</w:t>
    </w:r>
    <w:r w:rsidRPr="001D3CBE">
      <w:rPr>
        <w:sz w:val="20"/>
        <w:szCs w:val="20"/>
      </w:rPr>
      <w:t>div</w:t>
    </w:r>
    <w:r>
      <w:rPr>
        <w:sz w:val="20"/>
        <w:szCs w:val="20"/>
      </w:rPr>
      <w:t>id</w:t>
    </w:r>
    <w:r w:rsidRPr="001D3CBE">
      <w:rPr>
        <w:sz w:val="20"/>
        <w:szCs w:val="20"/>
      </w:rPr>
      <w:t xml:space="preserve"> </w:t>
    </w:r>
  </w:p>
  <w:p w14:paraId="707B1DE3" w14:textId="77777777" w:rsidR="009A7619" w:rsidRDefault="009A7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1FA9B" w14:textId="77777777" w:rsidR="002D4BAC" w:rsidRDefault="002D4BAC" w:rsidP="00F663C8">
      <w:r>
        <w:separator/>
      </w:r>
    </w:p>
  </w:footnote>
  <w:footnote w:type="continuationSeparator" w:id="0">
    <w:p w14:paraId="29823C03" w14:textId="77777777" w:rsidR="002D4BAC" w:rsidRDefault="002D4BAC" w:rsidP="00F6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E9C2" w14:textId="77777777" w:rsidR="008D21CC" w:rsidRDefault="008D21CC" w:rsidP="00D26C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594C4" w14:textId="77777777" w:rsidR="008D21CC" w:rsidRDefault="008D2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27971" w14:textId="77777777" w:rsidR="008D21CC" w:rsidRDefault="008D21CC" w:rsidP="00D26C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BE5">
      <w:rPr>
        <w:rStyle w:val="PageNumber"/>
        <w:noProof/>
      </w:rPr>
      <w:t>7</w:t>
    </w:r>
    <w:r>
      <w:rPr>
        <w:rStyle w:val="PageNumber"/>
      </w:rPr>
      <w:fldChar w:fldCharType="end"/>
    </w:r>
  </w:p>
  <w:p w14:paraId="0A79C397" w14:textId="77777777" w:rsidR="008D21CC" w:rsidRDefault="008D2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610"/>
    <w:multiLevelType w:val="hybridMultilevel"/>
    <w:tmpl w:val="234C8F9E"/>
    <w:lvl w:ilvl="0" w:tplc="9AFAF0D8">
      <w:start w:val="1"/>
      <w:numFmt w:val="decimal"/>
      <w:lvlText w:val="%1)"/>
      <w:lvlJc w:val="left"/>
      <w:pPr>
        <w:ind w:left="907" w:hanging="360"/>
      </w:pPr>
      <w:rPr>
        <w:rFonts w:eastAsia="Times New Roman" w:hint="default"/>
        <w:color w:val="auto"/>
      </w:rPr>
    </w:lvl>
    <w:lvl w:ilvl="1" w:tplc="04260019" w:tentative="1">
      <w:start w:val="1"/>
      <w:numFmt w:val="lowerLetter"/>
      <w:lvlText w:val="%2."/>
      <w:lvlJc w:val="left"/>
      <w:pPr>
        <w:ind w:left="1627" w:hanging="360"/>
      </w:pPr>
    </w:lvl>
    <w:lvl w:ilvl="2" w:tplc="0426001B" w:tentative="1">
      <w:start w:val="1"/>
      <w:numFmt w:val="lowerRoman"/>
      <w:lvlText w:val="%3."/>
      <w:lvlJc w:val="right"/>
      <w:pPr>
        <w:ind w:left="2347" w:hanging="180"/>
      </w:pPr>
    </w:lvl>
    <w:lvl w:ilvl="3" w:tplc="0426000F" w:tentative="1">
      <w:start w:val="1"/>
      <w:numFmt w:val="decimal"/>
      <w:lvlText w:val="%4."/>
      <w:lvlJc w:val="left"/>
      <w:pPr>
        <w:ind w:left="3067" w:hanging="360"/>
      </w:pPr>
    </w:lvl>
    <w:lvl w:ilvl="4" w:tplc="04260019" w:tentative="1">
      <w:start w:val="1"/>
      <w:numFmt w:val="lowerLetter"/>
      <w:lvlText w:val="%5."/>
      <w:lvlJc w:val="left"/>
      <w:pPr>
        <w:ind w:left="3787" w:hanging="360"/>
      </w:pPr>
    </w:lvl>
    <w:lvl w:ilvl="5" w:tplc="0426001B" w:tentative="1">
      <w:start w:val="1"/>
      <w:numFmt w:val="lowerRoman"/>
      <w:lvlText w:val="%6."/>
      <w:lvlJc w:val="right"/>
      <w:pPr>
        <w:ind w:left="4507" w:hanging="180"/>
      </w:pPr>
    </w:lvl>
    <w:lvl w:ilvl="6" w:tplc="0426000F" w:tentative="1">
      <w:start w:val="1"/>
      <w:numFmt w:val="decimal"/>
      <w:lvlText w:val="%7."/>
      <w:lvlJc w:val="left"/>
      <w:pPr>
        <w:ind w:left="5227" w:hanging="360"/>
      </w:pPr>
    </w:lvl>
    <w:lvl w:ilvl="7" w:tplc="04260019" w:tentative="1">
      <w:start w:val="1"/>
      <w:numFmt w:val="lowerLetter"/>
      <w:lvlText w:val="%8."/>
      <w:lvlJc w:val="left"/>
      <w:pPr>
        <w:ind w:left="5947" w:hanging="360"/>
      </w:pPr>
    </w:lvl>
    <w:lvl w:ilvl="8" w:tplc="0426001B" w:tentative="1">
      <w:start w:val="1"/>
      <w:numFmt w:val="lowerRoman"/>
      <w:lvlText w:val="%9."/>
      <w:lvlJc w:val="right"/>
      <w:pPr>
        <w:ind w:left="6667" w:hanging="180"/>
      </w:pPr>
    </w:lvl>
  </w:abstractNum>
  <w:abstractNum w:abstractNumId="1">
    <w:nsid w:val="42992BFA"/>
    <w:multiLevelType w:val="hybridMultilevel"/>
    <w:tmpl w:val="4BD0EA46"/>
    <w:lvl w:ilvl="0" w:tplc="1E286626">
      <w:start w:val="1"/>
      <w:numFmt w:val="bullet"/>
      <w:lvlText w:val=""/>
      <w:lvlJc w:val="left"/>
      <w:pPr>
        <w:ind w:left="1267" w:hanging="360"/>
      </w:pPr>
      <w:rPr>
        <w:rFonts w:ascii="Symbol" w:eastAsia="Times New Roman" w:hAnsi="Symbol" w:cs="Times New Roman" w:hint="default"/>
        <w:color w:val="auto"/>
      </w:rPr>
    </w:lvl>
    <w:lvl w:ilvl="1" w:tplc="04260003" w:tentative="1">
      <w:start w:val="1"/>
      <w:numFmt w:val="bullet"/>
      <w:lvlText w:val="o"/>
      <w:lvlJc w:val="left"/>
      <w:pPr>
        <w:ind w:left="1987" w:hanging="360"/>
      </w:pPr>
      <w:rPr>
        <w:rFonts w:ascii="Courier New" w:hAnsi="Courier New" w:cs="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cs="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cs="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2">
    <w:nsid w:val="536C14B8"/>
    <w:multiLevelType w:val="hybridMultilevel"/>
    <w:tmpl w:val="6284F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A385BB5"/>
    <w:multiLevelType w:val="hybridMultilevel"/>
    <w:tmpl w:val="1242E628"/>
    <w:lvl w:ilvl="0" w:tplc="54C43DD2">
      <w:start w:val="1"/>
      <w:numFmt w:val="decimal"/>
      <w:lvlText w:val="%1)"/>
      <w:lvlJc w:val="left"/>
      <w:pPr>
        <w:ind w:left="967" w:hanging="360"/>
      </w:pPr>
      <w:rPr>
        <w:rFonts w:hint="default"/>
      </w:rPr>
    </w:lvl>
    <w:lvl w:ilvl="1" w:tplc="04260019" w:tentative="1">
      <w:start w:val="1"/>
      <w:numFmt w:val="lowerLetter"/>
      <w:lvlText w:val="%2."/>
      <w:lvlJc w:val="left"/>
      <w:pPr>
        <w:ind w:left="1687" w:hanging="360"/>
      </w:pPr>
    </w:lvl>
    <w:lvl w:ilvl="2" w:tplc="0426001B" w:tentative="1">
      <w:start w:val="1"/>
      <w:numFmt w:val="lowerRoman"/>
      <w:lvlText w:val="%3."/>
      <w:lvlJc w:val="right"/>
      <w:pPr>
        <w:ind w:left="2407" w:hanging="180"/>
      </w:pPr>
    </w:lvl>
    <w:lvl w:ilvl="3" w:tplc="0426000F" w:tentative="1">
      <w:start w:val="1"/>
      <w:numFmt w:val="decimal"/>
      <w:lvlText w:val="%4."/>
      <w:lvlJc w:val="left"/>
      <w:pPr>
        <w:ind w:left="3127" w:hanging="360"/>
      </w:pPr>
    </w:lvl>
    <w:lvl w:ilvl="4" w:tplc="04260019" w:tentative="1">
      <w:start w:val="1"/>
      <w:numFmt w:val="lowerLetter"/>
      <w:lvlText w:val="%5."/>
      <w:lvlJc w:val="left"/>
      <w:pPr>
        <w:ind w:left="3847" w:hanging="360"/>
      </w:pPr>
    </w:lvl>
    <w:lvl w:ilvl="5" w:tplc="0426001B" w:tentative="1">
      <w:start w:val="1"/>
      <w:numFmt w:val="lowerRoman"/>
      <w:lvlText w:val="%6."/>
      <w:lvlJc w:val="right"/>
      <w:pPr>
        <w:ind w:left="4567" w:hanging="180"/>
      </w:pPr>
    </w:lvl>
    <w:lvl w:ilvl="6" w:tplc="0426000F" w:tentative="1">
      <w:start w:val="1"/>
      <w:numFmt w:val="decimal"/>
      <w:lvlText w:val="%7."/>
      <w:lvlJc w:val="left"/>
      <w:pPr>
        <w:ind w:left="5287" w:hanging="360"/>
      </w:pPr>
    </w:lvl>
    <w:lvl w:ilvl="7" w:tplc="04260019" w:tentative="1">
      <w:start w:val="1"/>
      <w:numFmt w:val="lowerLetter"/>
      <w:lvlText w:val="%8."/>
      <w:lvlJc w:val="left"/>
      <w:pPr>
        <w:ind w:left="6007" w:hanging="360"/>
      </w:pPr>
    </w:lvl>
    <w:lvl w:ilvl="8" w:tplc="0426001B" w:tentative="1">
      <w:start w:val="1"/>
      <w:numFmt w:val="lowerRoman"/>
      <w:lvlText w:val="%9."/>
      <w:lvlJc w:val="right"/>
      <w:pPr>
        <w:ind w:left="6727" w:hanging="180"/>
      </w:pPr>
    </w:lvl>
  </w:abstractNum>
  <w:abstractNum w:abstractNumId="4">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nsid w:val="6E6F705A"/>
    <w:multiLevelType w:val="hybridMultilevel"/>
    <w:tmpl w:val="43021A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C04743A"/>
    <w:multiLevelType w:val="hybridMultilevel"/>
    <w:tmpl w:val="98F69AB6"/>
    <w:lvl w:ilvl="0" w:tplc="842E36EE">
      <w:numFmt w:val="bullet"/>
      <w:lvlText w:val="-"/>
      <w:lvlJc w:val="left"/>
      <w:pPr>
        <w:ind w:left="907" w:hanging="360"/>
      </w:pPr>
      <w:rPr>
        <w:rFonts w:ascii="Times New Roman" w:eastAsiaTheme="minorHAnsi" w:hAnsi="Times New Roman" w:cs="Times New Roman" w:hint="default"/>
      </w:rPr>
    </w:lvl>
    <w:lvl w:ilvl="1" w:tplc="04260003" w:tentative="1">
      <w:start w:val="1"/>
      <w:numFmt w:val="bullet"/>
      <w:lvlText w:val="o"/>
      <w:lvlJc w:val="left"/>
      <w:pPr>
        <w:ind w:left="1627" w:hanging="360"/>
      </w:pPr>
      <w:rPr>
        <w:rFonts w:ascii="Courier New" w:hAnsi="Courier New" w:cs="Courier New" w:hint="default"/>
      </w:rPr>
    </w:lvl>
    <w:lvl w:ilvl="2" w:tplc="04260005" w:tentative="1">
      <w:start w:val="1"/>
      <w:numFmt w:val="bullet"/>
      <w:lvlText w:val=""/>
      <w:lvlJc w:val="left"/>
      <w:pPr>
        <w:ind w:left="2347" w:hanging="360"/>
      </w:pPr>
      <w:rPr>
        <w:rFonts w:ascii="Wingdings" w:hAnsi="Wingdings" w:hint="default"/>
      </w:rPr>
    </w:lvl>
    <w:lvl w:ilvl="3" w:tplc="04260001" w:tentative="1">
      <w:start w:val="1"/>
      <w:numFmt w:val="bullet"/>
      <w:lvlText w:val=""/>
      <w:lvlJc w:val="left"/>
      <w:pPr>
        <w:ind w:left="3067" w:hanging="360"/>
      </w:pPr>
      <w:rPr>
        <w:rFonts w:ascii="Symbol" w:hAnsi="Symbol" w:hint="default"/>
      </w:rPr>
    </w:lvl>
    <w:lvl w:ilvl="4" w:tplc="04260003" w:tentative="1">
      <w:start w:val="1"/>
      <w:numFmt w:val="bullet"/>
      <w:lvlText w:val="o"/>
      <w:lvlJc w:val="left"/>
      <w:pPr>
        <w:ind w:left="3787" w:hanging="360"/>
      </w:pPr>
      <w:rPr>
        <w:rFonts w:ascii="Courier New" w:hAnsi="Courier New" w:cs="Courier New" w:hint="default"/>
      </w:rPr>
    </w:lvl>
    <w:lvl w:ilvl="5" w:tplc="04260005" w:tentative="1">
      <w:start w:val="1"/>
      <w:numFmt w:val="bullet"/>
      <w:lvlText w:val=""/>
      <w:lvlJc w:val="left"/>
      <w:pPr>
        <w:ind w:left="4507" w:hanging="360"/>
      </w:pPr>
      <w:rPr>
        <w:rFonts w:ascii="Wingdings" w:hAnsi="Wingdings" w:hint="default"/>
      </w:rPr>
    </w:lvl>
    <w:lvl w:ilvl="6" w:tplc="04260001" w:tentative="1">
      <w:start w:val="1"/>
      <w:numFmt w:val="bullet"/>
      <w:lvlText w:val=""/>
      <w:lvlJc w:val="left"/>
      <w:pPr>
        <w:ind w:left="5227" w:hanging="360"/>
      </w:pPr>
      <w:rPr>
        <w:rFonts w:ascii="Symbol" w:hAnsi="Symbol" w:hint="default"/>
      </w:rPr>
    </w:lvl>
    <w:lvl w:ilvl="7" w:tplc="04260003" w:tentative="1">
      <w:start w:val="1"/>
      <w:numFmt w:val="bullet"/>
      <w:lvlText w:val="o"/>
      <w:lvlJc w:val="left"/>
      <w:pPr>
        <w:ind w:left="5947" w:hanging="360"/>
      </w:pPr>
      <w:rPr>
        <w:rFonts w:ascii="Courier New" w:hAnsi="Courier New" w:cs="Courier New" w:hint="default"/>
      </w:rPr>
    </w:lvl>
    <w:lvl w:ilvl="8" w:tplc="04260005" w:tentative="1">
      <w:start w:val="1"/>
      <w:numFmt w:val="bullet"/>
      <w:lvlText w:val=""/>
      <w:lvlJc w:val="left"/>
      <w:pPr>
        <w:ind w:left="6667"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Ķurzēna">
    <w15:presenceInfo w15:providerId="AD" w15:userId="S-1-5-21-2027996383-186782933-306951249-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91"/>
    <w:rsid w:val="0006511C"/>
    <w:rsid w:val="00091A9D"/>
    <w:rsid w:val="000D5CC6"/>
    <w:rsid w:val="000F51B8"/>
    <w:rsid w:val="00152218"/>
    <w:rsid w:val="00156E36"/>
    <w:rsid w:val="00184FCC"/>
    <w:rsid w:val="001A18C6"/>
    <w:rsid w:val="00224584"/>
    <w:rsid w:val="00224CE5"/>
    <w:rsid w:val="00261291"/>
    <w:rsid w:val="00271F2C"/>
    <w:rsid w:val="00291230"/>
    <w:rsid w:val="002A2091"/>
    <w:rsid w:val="002A345A"/>
    <w:rsid w:val="002A370F"/>
    <w:rsid w:val="002C59AA"/>
    <w:rsid w:val="002D393C"/>
    <w:rsid w:val="002D4BAC"/>
    <w:rsid w:val="002E0F1C"/>
    <w:rsid w:val="0030606F"/>
    <w:rsid w:val="0030726F"/>
    <w:rsid w:val="00322E2F"/>
    <w:rsid w:val="0034708B"/>
    <w:rsid w:val="00355465"/>
    <w:rsid w:val="003921EC"/>
    <w:rsid w:val="00396990"/>
    <w:rsid w:val="003E4E1A"/>
    <w:rsid w:val="00414C3F"/>
    <w:rsid w:val="004164D1"/>
    <w:rsid w:val="004308FC"/>
    <w:rsid w:val="00436391"/>
    <w:rsid w:val="004363DD"/>
    <w:rsid w:val="004375E6"/>
    <w:rsid w:val="00490BE5"/>
    <w:rsid w:val="004A4076"/>
    <w:rsid w:val="004A46A4"/>
    <w:rsid w:val="004F18A6"/>
    <w:rsid w:val="0052798F"/>
    <w:rsid w:val="00544ED5"/>
    <w:rsid w:val="00550FE9"/>
    <w:rsid w:val="0055671E"/>
    <w:rsid w:val="00571C28"/>
    <w:rsid w:val="005755FE"/>
    <w:rsid w:val="005814E0"/>
    <w:rsid w:val="005E1E69"/>
    <w:rsid w:val="005F6B3C"/>
    <w:rsid w:val="00640144"/>
    <w:rsid w:val="00683063"/>
    <w:rsid w:val="00696CAF"/>
    <w:rsid w:val="006F6DB3"/>
    <w:rsid w:val="0072055D"/>
    <w:rsid w:val="00734135"/>
    <w:rsid w:val="007401B3"/>
    <w:rsid w:val="00746658"/>
    <w:rsid w:val="0078154C"/>
    <w:rsid w:val="007950C5"/>
    <w:rsid w:val="007D04AC"/>
    <w:rsid w:val="007E3EC0"/>
    <w:rsid w:val="00834BAC"/>
    <w:rsid w:val="00836182"/>
    <w:rsid w:val="00836981"/>
    <w:rsid w:val="00864D3A"/>
    <w:rsid w:val="00871AA7"/>
    <w:rsid w:val="008A4F7E"/>
    <w:rsid w:val="008D21CC"/>
    <w:rsid w:val="009109E5"/>
    <w:rsid w:val="009A33AD"/>
    <w:rsid w:val="009A7619"/>
    <w:rsid w:val="00A13FB1"/>
    <w:rsid w:val="00A62462"/>
    <w:rsid w:val="00A9236F"/>
    <w:rsid w:val="00B01EE1"/>
    <w:rsid w:val="00B2449D"/>
    <w:rsid w:val="00B244A7"/>
    <w:rsid w:val="00B45C0C"/>
    <w:rsid w:val="00B937B0"/>
    <w:rsid w:val="00BB764D"/>
    <w:rsid w:val="00C24AFE"/>
    <w:rsid w:val="00C40295"/>
    <w:rsid w:val="00C610CA"/>
    <w:rsid w:val="00C65A2E"/>
    <w:rsid w:val="00CA058C"/>
    <w:rsid w:val="00CB3FDC"/>
    <w:rsid w:val="00CD0CA7"/>
    <w:rsid w:val="00CE650A"/>
    <w:rsid w:val="00D26C2D"/>
    <w:rsid w:val="00D6297A"/>
    <w:rsid w:val="00D858BE"/>
    <w:rsid w:val="00DA37CD"/>
    <w:rsid w:val="00DD53A1"/>
    <w:rsid w:val="00DE11F5"/>
    <w:rsid w:val="00E211C7"/>
    <w:rsid w:val="00E22CC3"/>
    <w:rsid w:val="00E367F4"/>
    <w:rsid w:val="00E47BD4"/>
    <w:rsid w:val="00E7380D"/>
    <w:rsid w:val="00E74349"/>
    <w:rsid w:val="00E8276E"/>
    <w:rsid w:val="00EB20B7"/>
    <w:rsid w:val="00EE19F1"/>
    <w:rsid w:val="00F061D3"/>
    <w:rsid w:val="00F11842"/>
    <w:rsid w:val="00F256BD"/>
    <w:rsid w:val="00F35B4C"/>
    <w:rsid w:val="00F47CA9"/>
    <w:rsid w:val="00F66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1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9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1291"/>
    <w:pPr>
      <w:tabs>
        <w:tab w:val="center" w:pos="4153"/>
        <w:tab w:val="right" w:pos="8306"/>
      </w:tabs>
    </w:pPr>
  </w:style>
  <w:style w:type="character" w:customStyle="1" w:styleId="HeaderChar">
    <w:name w:val="Header Char"/>
    <w:basedOn w:val="DefaultParagraphFont"/>
    <w:link w:val="Header"/>
    <w:rsid w:val="00261291"/>
    <w:rPr>
      <w:rFonts w:ascii="Times New Roman" w:eastAsia="Times New Roman" w:hAnsi="Times New Roman" w:cs="Times New Roman"/>
      <w:sz w:val="24"/>
      <w:szCs w:val="24"/>
      <w:lang w:eastAsia="lv-LV"/>
    </w:rPr>
  </w:style>
  <w:style w:type="character" w:styleId="PageNumber">
    <w:name w:val="page number"/>
    <w:basedOn w:val="DefaultParagraphFont"/>
    <w:rsid w:val="00261291"/>
  </w:style>
  <w:style w:type="paragraph" w:customStyle="1" w:styleId="naisf">
    <w:name w:val="naisf"/>
    <w:basedOn w:val="Normal"/>
    <w:rsid w:val="00261291"/>
    <w:pPr>
      <w:spacing w:before="75" w:after="75"/>
      <w:ind w:firstLine="375"/>
      <w:jc w:val="both"/>
    </w:pPr>
  </w:style>
  <w:style w:type="paragraph" w:customStyle="1" w:styleId="naisnod">
    <w:name w:val="naisnod"/>
    <w:basedOn w:val="Normal"/>
    <w:rsid w:val="00261291"/>
    <w:pPr>
      <w:spacing w:before="150" w:after="150"/>
      <w:jc w:val="center"/>
    </w:pPr>
    <w:rPr>
      <w:b/>
      <w:bCs/>
    </w:rPr>
  </w:style>
  <w:style w:type="paragraph" w:customStyle="1" w:styleId="naislab">
    <w:name w:val="naislab"/>
    <w:basedOn w:val="Normal"/>
    <w:rsid w:val="00261291"/>
    <w:pPr>
      <w:spacing w:before="75" w:after="75"/>
      <w:jc w:val="right"/>
    </w:pPr>
  </w:style>
  <w:style w:type="paragraph" w:customStyle="1" w:styleId="naiskr">
    <w:name w:val="naiskr"/>
    <w:basedOn w:val="Normal"/>
    <w:rsid w:val="00261291"/>
    <w:pPr>
      <w:spacing w:before="75" w:after="75"/>
    </w:pPr>
  </w:style>
  <w:style w:type="table" w:styleId="TableGrid">
    <w:name w:val="Table Grid"/>
    <w:basedOn w:val="TableNormal"/>
    <w:rsid w:val="0026129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61291"/>
    <w:pPr>
      <w:tabs>
        <w:tab w:val="center" w:pos="4153"/>
        <w:tab w:val="right" w:pos="8306"/>
      </w:tabs>
    </w:pPr>
  </w:style>
  <w:style w:type="character" w:customStyle="1" w:styleId="FooterChar">
    <w:name w:val="Footer Char"/>
    <w:basedOn w:val="DefaultParagraphFont"/>
    <w:link w:val="Footer"/>
    <w:uiPriority w:val="99"/>
    <w:rsid w:val="00261291"/>
    <w:rPr>
      <w:rFonts w:ascii="Times New Roman" w:eastAsia="Times New Roman" w:hAnsi="Times New Roman" w:cs="Times New Roman"/>
      <w:sz w:val="24"/>
      <w:szCs w:val="24"/>
      <w:lang w:eastAsia="lv-LV"/>
    </w:rPr>
  </w:style>
  <w:style w:type="paragraph" w:styleId="BodyText">
    <w:name w:val="Body Text"/>
    <w:basedOn w:val="Normal"/>
    <w:link w:val="BodyTextChar"/>
    <w:rsid w:val="00261291"/>
    <w:pPr>
      <w:jc w:val="center"/>
    </w:pPr>
    <w:rPr>
      <w:b/>
      <w:sz w:val="28"/>
      <w:szCs w:val="20"/>
      <w:lang w:eastAsia="en-US"/>
    </w:rPr>
  </w:style>
  <w:style w:type="character" w:customStyle="1" w:styleId="BodyTextChar">
    <w:name w:val="Body Text Char"/>
    <w:basedOn w:val="DefaultParagraphFont"/>
    <w:link w:val="BodyText"/>
    <w:rsid w:val="00261291"/>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5F6B3C"/>
    <w:rPr>
      <w:color w:val="0563C1" w:themeColor="hyperlink"/>
      <w:u w:val="single"/>
    </w:rPr>
  </w:style>
  <w:style w:type="paragraph" w:styleId="BalloonText">
    <w:name w:val="Balloon Text"/>
    <w:basedOn w:val="Normal"/>
    <w:link w:val="BalloonTextChar"/>
    <w:uiPriority w:val="99"/>
    <w:semiHidden/>
    <w:unhideWhenUsed/>
    <w:rsid w:val="004375E6"/>
    <w:rPr>
      <w:rFonts w:ascii="Tahoma" w:hAnsi="Tahoma" w:cs="Tahoma"/>
      <w:sz w:val="16"/>
      <w:szCs w:val="16"/>
    </w:rPr>
  </w:style>
  <w:style w:type="character" w:customStyle="1" w:styleId="BalloonTextChar">
    <w:name w:val="Balloon Text Char"/>
    <w:basedOn w:val="DefaultParagraphFont"/>
    <w:link w:val="BalloonText"/>
    <w:uiPriority w:val="99"/>
    <w:semiHidden/>
    <w:rsid w:val="004375E6"/>
    <w:rPr>
      <w:rFonts w:ascii="Tahoma" w:eastAsia="Times New Roman" w:hAnsi="Tahoma" w:cs="Tahoma"/>
      <w:sz w:val="16"/>
      <w:szCs w:val="16"/>
      <w:lang w:eastAsia="lv-LV"/>
    </w:rPr>
  </w:style>
  <w:style w:type="paragraph" w:styleId="ListParagraph">
    <w:name w:val="List Paragraph"/>
    <w:basedOn w:val="Normal"/>
    <w:uiPriority w:val="34"/>
    <w:qFormat/>
    <w:rsid w:val="00CE650A"/>
    <w:pPr>
      <w:ind w:left="720"/>
      <w:contextualSpacing/>
    </w:pPr>
  </w:style>
  <w:style w:type="character" w:styleId="CommentReference">
    <w:name w:val="annotation reference"/>
    <w:basedOn w:val="DefaultParagraphFont"/>
    <w:uiPriority w:val="99"/>
    <w:semiHidden/>
    <w:unhideWhenUsed/>
    <w:rsid w:val="00D6297A"/>
    <w:rPr>
      <w:sz w:val="16"/>
      <w:szCs w:val="16"/>
    </w:rPr>
  </w:style>
  <w:style w:type="paragraph" w:styleId="CommentText">
    <w:name w:val="annotation text"/>
    <w:basedOn w:val="Normal"/>
    <w:link w:val="CommentTextChar"/>
    <w:uiPriority w:val="99"/>
    <w:semiHidden/>
    <w:unhideWhenUsed/>
    <w:rsid w:val="00D6297A"/>
    <w:rPr>
      <w:sz w:val="20"/>
      <w:szCs w:val="20"/>
    </w:rPr>
  </w:style>
  <w:style w:type="character" w:customStyle="1" w:styleId="CommentTextChar">
    <w:name w:val="Comment Text Char"/>
    <w:basedOn w:val="DefaultParagraphFont"/>
    <w:link w:val="CommentText"/>
    <w:uiPriority w:val="99"/>
    <w:semiHidden/>
    <w:rsid w:val="00D6297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6297A"/>
    <w:rPr>
      <w:b/>
      <w:bCs/>
    </w:rPr>
  </w:style>
  <w:style w:type="character" w:customStyle="1" w:styleId="CommentSubjectChar">
    <w:name w:val="Comment Subject Char"/>
    <w:basedOn w:val="CommentTextChar"/>
    <w:link w:val="CommentSubject"/>
    <w:uiPriority w:val="99"/>
    <w:semiHidden/>
    <w:rsid w:val="00D6297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9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1291"/>
    <w:pPr>
      <w:tabs>
        <w:tab w:val="center" w:pos="4153"/>
        <w:tab w:val="right" w:pos="8306"/>
      </w:tabs>
    </w:pPr>
  </w:style>
  <w:style w:type="character" w:customStyle="1" w:styleId="HeaderChar">
    <w:name w:val="Header Char"/>
    <w:basedOn w:val="DefaultParagraphFont"/>
    <w:link w:val="Header"/>
    <w:rsid w:val="00261291"/>
    <w:rPr>
      <w:rFonts w:ascii="Times New Roman" w:eastAsia="Times New Roman" w:hAnsi="Times New Roman" w:cs="Times New Roman"/>
      <w:sz w:val="24"/>
      <w:szCs w:val="24"/>
      <w:lang w:eastAsia="lv-LV"/>
    </w:rPr>
  </w:style>
  <w:style w:type="character" w:styleId="PageNumber">
    <w:name w:val="page number"/>
    <w:basedOn w:val="DefaultParagraphFont"/>
    <w:rsid w:val="00261291"/>
  </w:style>
  <w:style w:type="paragraph" w:customStyle="1" w:styleId="naisf">
    <w:name w:val="naisf"/>
    <w:basedOn w:val="Normal"/>
    <w:rsid w:val="00261291"/>
    <w:pPr>
      <w:spacing w:before="75" w:after="75"/>
      <w:ind w:firstLine="375"/>
      <w:jc w:val="both"/>
    </w:pPr>
  </w:style>
  <w:style w:type="paragraph" w:customStyle="1" w:styleId="naisnod">
    <w:name w:val="naisnod"/>
    <w:basedOn w:val="Normal"/>
    <w:rsid w:val="00261291"/>
    <w:pPr>
      <w:spacing w:before="150" w:after="150"/>
      <w:jc w:val="center"/>
    </w:pPr>
    <w:rPr>
      <w:b/>
      <w:bCs/>
    </w:rPr>
  </w:style>
  <w:style w:type="paragraph" w:customStyle="1" w:styleId="naislab">
    <w:name w:val="naislab"/>
    <w:basedOn w:val="Normal"/>
    <w:rsid w:val="00261291"/>
    <w:pPr>
      <w:spacing w:before="75" w:after="75"/>
      <w:jc w:val="right"/>
    </w:pPr>
  </w:style>
  <w:style w:type="paragraph" w:customStyle="1" w:styleId="naiskr">
    <w:name w:val="naiskr"/>
    <w:basedOn w:val="Normal"/>
    <w:rsid w:val="00261291"/>
    <w:pPr>
      <w:spacing w:before="75" w:after="75"/>
    </w:pPr>
  </w:style>
  <w:style w:type="table" w:styleId="TableGrid">
    <w:name w:val="Table Grid"/>
    <w:basedOn w:val="TableNormal"/>
    <w:rsid w:val="0026129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61291"/>
    <w:pPr>
      <w:tabs>
        <w:tab w:val="center" w:pos="4153"/>
        <w:tab w:val="right" w:pos="8306"/>
      </w:tabs>
    </w:pPr>
  </w:style>
  <w:style w:type="character" w:customStyle="1" w:styleId="FooterChar">
    <w:name w:val="Footer Char"/>
    <w:basedOn w:val="DefaultParagraphFont"/>
    <w:link w:val="Footer"/>
    <w:uiPriority w:val="99"/>
    <w:rsid w:val="00261291"/>
    <w:rPr>
      <w:rFonts w:ascii="Times New Roman" w:eastAsia="Times New Roman" w:hAnsi="Times New Roman" w:cs="Times New Roman"/>
      <w:sz w:val="24"/>
      <w:szCs w:val="24"/>
      <w:lang w:eastAsia="lv-LV"/>
    </w:rPr>
  </w:style>
  <w:style w:type="paragraph" w:styleId="BodyText">
    <w:name w:val="Body Text"/>
    <w:basedOn w:val="Normal"/>
    <w:link w:val="BodyTextChar"/>
    <w:rsid w:val="00261291"/>
    <w:pPr>
      <w:jc w:val="center"/>
    </w:pPr>
    <w:rPr>
      <w:b/>
      <w:sz w:val="28"/>
      <w:szCs w:val="20"/>
      <w:lang w:eastAsia="en-US"/>
    </w:rPr>
  </w:style>
  <w:style w:type="character" w:customStyle="1" w:styleId="BodyTextChar">
    <w:name w:val="Body Text Char"/>
    <w:basedOn w:val="DefaultParagraphFont"/>
    <w:link w:val="BodyText"/>
    <w:rsid w:val="00261291"/>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5F6B3C"/>
    <w:rPr>
      <w:color w:val="0563C1" w:themeColor="hyperlink"/>
      <w:u w:val="single"/>
    </w:rPr>
  </w:style>
  <w:style w:type="paragraph" w:styleId="BalloonText">
    <w:name w:val="Balloon Text"/>
    <w:basedOn w:val="Normal"/>
    <w:link w:val="BalloonTextChar"/>
    <w:uiPriority w:val="99"/>
    <w:semiHidden/>
    <w:unhideWhenUsed/>
    <w:rsid w:val="004375E6"/>
    <w:rPr>
      <w:rFonts w:ascii="Tahoma" w:hAnsi="Tahoma" w:cs="Tahoma"/>
      <w:sz w:val="16"/>
      <w:szCs w:val="16"/>
    </w:rPr>
  </w:style>
  <w:style w:type="character" w:customStyle="1" w:styleId="BalloonTextChar">
    <w:name w:val="Balloon Text Char"/>
    <w:basedOn w:val="DefaultParagraphFont"/>
    <w:link w:val="BalloonText"/>
    <w:uiPriority w:val="99"/>
    <w:semiHidden/>
    <w:rsid w:val="004375E6"/>
    <w:rPr>
      <w:rFonts w:ascii="Tahoma" w:eastAsia="Times New Roman" w:hAnsi="Tahoma" w:cs="Tahoma"/>
      <w:sz w:val="16"/>
      <w:szCs w:val="16"/>
      <w:lang w:eastAsia="lv-LV"/>
    </w:rPr>
  </w:style>
  <w:style w:type="paragraph" w:styleId="ListParagraph">
    <w:name w:val="List Paragraph"/>
    <w:basedOn w:val="Normal"/>
    <w:uiPriority w:val="34"/>
    <w:qFormat/>
    <w:rsid w:val="00CE650A"/>
    <w:pPr>
      <w:ind w:left="720"/>
      <w:contextualSpacing/>
    </w:pPr>
  </w:style>
  <w:style w:type="character" w:styleId="CommentReference">
    <w:name w:val="annotation reference"/>
    <w:basedOn w:val="DefaultParagraphFont"/>
    <w:uiPriority w:val="99"/>
    <w:semiHidden/>
    <w:unhideWhenUsed/>
    <w:rsid w:val="00D6297A"/>
    <w:rPr>
      <w:sz w:val="16"/>
      <w:szCs w:val="16"/>
    </w:rPr>
  </w:style>
  <w:style w:type="paragraph" w:styleId="CommentText">
    <w:name w:val="annotation text"/>
    <w:basedOn w:val="Normal"/>
    <w:link w:val="CommentTextChar"/>
    <w:uiPriority w:val="99"/>
    <w:semiHidden/>
    <w:unhideWhenUsed/>
    <w:rsid w:val="00D6297A"/>
    <w:rPr>
      <w:sz w:val="20"/>
      <w:szCs w:val="20"/>
    </w:rPr>
  </w:style>
  <w:style w:type="character" w:customStyle="1" w:styleId="CommentTextChar">
    <w:name w:val="Comment Text Char"/>
    <w:basedOn w:val="DefaultParagraphFont"/>
    <w:link w:val="CommentText"/>
    <w:uiPriority w:val="99"/>
    <w:semiHidden/>
    <w:rsid w:val="00D6297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6297A"/>
    <w:rPr>
      <w:b/>
      <w:bCs/>
    </w:rPr>
  </w:style>
  <w:style w:type="character" w:customStyle="1" w:styleId="CommentSubjectChar">
    <w:name w:val="Comment Subject Char"/>
    <w:basedOn w:val="CommentTextChar"/>
    <w:link w:val="CommentSubject"/>
    <w:uiPriority w:val="99"/>
    <w:semiHidden/>
    <w:rsid w:val="00D6297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2188</Words>
  <Characters>16045</Characters>
  <Application>Microsoft Office Word</Application>
  <DocSecurity>0</DocSecurity>
  <Lines>764</Lines>
  <Paragraphs>396</Paragraphs>
  <ScaleCrop>false</ScaleCrop>
  <HeadingPairs>
    <vt:vector size="2" baseType="variant">
      <vt:variant>
        <vt:lpstr>Title</vt:lpstr>
      </vt:variant>
      <vt:variant>
        <vt:i4>1</vt:i4>
      </vt:variant>
    </vt:vector>
  </HeadingPairs>
  <TitlesOfParts>
    <vt:vector size="1" baseType="lpstr">
      <vt:lpstr>Par valstij dividendēs izmaksājamo valsts akciju sabiedrības “Latvijas gaisa satiksme” peļņas daļu par 2016.gadu</vt:lpstr>
    </vt:vector>
  </TitlesOfParts>
  <Company>Satiksmes ministrija</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“Latvijas gaisa satiksme” peļņas daļu par 2016.gadu</dc:title>
  <dc:subject>Anotācija</dc:subject>
  <dc:creator>Inguna Strautmane</dc:creator>
  <dc:description>Strautmane 67028231_x000d_
Inguna.Strautmane@sam.gov.lv</dc:description>
  <cp:lastModifiedBy>Inguna Strautmane</cp:lastModifiedBy>
  <cp:revision>9</cp:revision>
  <cp:lastPrinted>2017-07-17T12:42:00Z</cp:lastPrinted>
  <dcterms:created xsi:type="dcterms:W3CDTF">2017-07-31T14:44:00Z</dcterms:created>
  <dcterms:modified xsi:type="dcterms:W3CDTF">2017-08-23T08:21:00Z</dcterms:modified>
</cp:coreProperties>
</file>