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61E7" w14:textId="77777777" w:rsidR="007F6B1C" w:rsidRPr="00EF3612" w:rsidRDefault="002A699E" w:rsidP="00686565">
      <w:pPr>
        <w:pStyle w:val="naisf"/>
        <w:spacing w:before="0" w:beforeAutospacing="0" w:after="0" w:afterAutospacing="0"/>
        <w:jc w:val="center"/>
        <w:rPr>
          <w:b/>
          <w:bCs/>
        </w:rPr>
      </w:pPr>
      <w:r w:rsidRPr="00EF3612">
        <w:rPr>
          <w:b/>
          <w:bCs/>
        </w:rPr>
        <w:t xml:space="preserve">Ministru kabineta noteikumu projekta </w:t>
      </w:r>
      <w:r w:rsidR="00CB7FDA" w:rsidRPr="00CB7FDA">
        <w:rPr>
          <w:b/>
          <w:bCs/>
        </w:rPr>
        <w:t>"</w:t>
      </w:r>
      <w:r w:rsidR="008D7950" w:rsidRPr="00EF3612">
        <w:rPr>
          <w:b/>
          <w:bCs/>
        </w:rPr>
        <w:t>Valsts tiesu ekspertīžu biroja maksas pakalpojumu cenrādis</w:t>
      </w:r>
      <w:r w:rsidR="00CB7FDA" w:rsidRPr="00CB7FDA">
        <w:rPr>
          <w:b/>
          <w:bCs/>
        </w:rPr>
        <w:t>"</w:t>
      </w:r>
      <w:r w:rsidR="00CB7FDA">
        <w:rPr>
          <w:b/>
          <w:bCs/>
        </w:rPr>
        <w:t xml:space="preserve"> </w:t>
      </w:r>
      <w:r w:rsidRPr="00EF3612">
        <w:rPr>
          <w:b/>
          <w:bCs/>
        </w:rPr>
        <w:t>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423"/>
        <w:gridCol w:w="6246"/>
      </w:tblGrid>
      <w:tr w:rsidR="007F6B1C" w:rsidRPr="00064053" w14:paraId="1562494D" w14:textId="77777777" w:rsidTr="00B6077A">
        <w:trPr>
          <w:trHeight w:val="419"/>
        </w:trPr>
        <w:tc>
          <w:tcPr>
            <w:tcW w:w="5000" w:type="pct"/>
            <w:gridSpan w:val="3"/>
            <w:vAlign w:val="center"/>
          </w:tcPr>
          <w:p w14:paraId="5052D92C" w14:textId="77777777" w:rsidR="007F6B1C" w:rsidRPr="00064053" w:rsidRDefault="007F6B1C" w:rsidP="00064053">
            <w:pPr>
              <w:pStyle w:val="naisnod"/>
              <w:spacing w:before="0" w:beforeAutospacing="0" w:after="0" w:afterAutospacing="0"/>
              <w:ind w:left="57" w:right="57"/>
              <w:jc w:val="center"/>
              <w:rPr>
                <w:b/>
              </w:rPr>
            </w:pPr>
            <w:r w:rsidRPr="00064053">
              <w:rPr>
                <w:b/>
              </w:rPr>
              <w:t>I. Tiesību akta projekta izstrādes nepieciešamība</w:t>
            </w:r>
          </w:p>
        </w:tc>
      </w:tr>
      <w:tr w:rsidR="007F6B1C" w:rsidRPr="00064053" w14:paraId="2DBC7C57" w14:textId="77777777" w:rsidTr="0057474F">
        <w:trPr>
          <w:trHeight w:val="415"/>
        </w:trPr>
        <w:tc>
          <w:tcPr>
            <w:tcW w:w="227" w:type="pct"/>
          </w:tcPr>
          <w:p w14:paraId="76A2BA0E" w14:textId="77777777" w:rsidR="007F6B1C" w:rsidRPr="00064053" w:rsidRDefault="007F6B1C" w:rsidP="00064053">
            <w:pPr>
              <w:pStyle w:val="naiskr"/>
              <w:spacing w:before="0" w:beforeAutospacing="0" w:after="0" w:afterAutospacing="0"/>
              <w:ind w:left="57" w:right="57"/>
              <w:jc w:val="center"/>
            </w:pPr>
            <w:r w:rsidRPr="00064053">
              <w:t>1.</w:t>
            </w:r>
          </w:p>
        </w:tc>
        <w:tc>
          <w:tcPr>
            <w:tcW w:w="1334" w:type="pct"/>
          </w:tcPr>
          <w:p w14:paraId="5BC895EF" w14:textId="77777777" w:rsidR="009F60E1" w:rsidRPr="00064053" w:rsidRDefault="007F6B1C" w:rsidP="00064053">
            <w:pPr>
              <w:pStyle w:val="naiskr"/>
              <w:spacing w:before="0" w:beforeAutospacing="0" w:after="0" w:afterAutospacing="0"/>
              <w:ind w:left="57" w:right="57"/>
            </w:pPr>
            <w:r w:rsidRPr="00064053">
              <w:t>Pamatojums</w:t>
            </w:r>
          </w:p>
          <w:p w14:paraId="392CCC90" w14:textId="77777777" w:rsidR="009F60E1" w:rsidRPr="00064053" w:rsidRDefault="009F60E1" w:rsidP="00064053">
            <w:pPr>
              <w:spacing w:after="0" w:line="240" w:lineRule="auto"/>
              <w:rPr>
                <w:rFonts w:ascii="Times New Roman" w:hAnsi="Times New Roman" w:cs="Times New Roman"/>
                <w:lang w:eastAsia="lv-LV"/>
              </w:rPr>
            </w:pPr>
          </w:p>
          <w:p w14:paraId="06B088E2" w14:textId="77777777" w:rsidR="009F60E1" w:rsidRPr="00064053" w:rsidRDefault="009F60E1" w:rsidP="00064053">
            <w:pPr>
              <w:spacing w:after="0" w:line="240" w:lineRule="auto"/>
              <w:rPr>
                <w:rFonts w:ascii="Times New Roman" w:hAnsi="Times New Roman" w:cs="Times New Roman"/>
                <w:lang w:eastAsia="lv-LV"/>
              </w:rPr>
            </w:pPr>
          </w:p>
          <w:p w14:paraId="3D7FEE0A" w14:textId="77777777" w:rsidR="009F60E1" w:rsidRPr="00064053" w:rsidRDefault="009F60E1" w:rsidP="00064053">
            <w:pPr>
              <w:spacing w:after="0" w:line="240" w:lineRule="auto"/>
              <w:rPr>
                <w:rFonts w:ascii="Times New Roman" w:hAnsi="Times New Roman" w:cs="Times New Roman"/>
                <w:lang w:eastAsia="lv-LV"/>
              </w:rPr>
            </w:pPr>
          </w:p>
          <w:p w14:paraId="6FDBC85A" w14:textId="77777777" w:rsidR="007F6B1C" w:rsidRPr="00064053" w:rsidRDefault="007F6B1C" w:rsidP="00064053">
            <w:pPr>
              <w:spacing w:after="0" w:line="240" w:lineRule="auto"/>
              <w:rPr>
                <w:rFonts w:ascii="Times New Roman" w:hAnsi="Times New Roman" w:cs="Times New Roman"/>
                <w:lang w:eastAsia="lv-LV"/>
              </w:rPr>
            </w:pPr>
          </w:p>
        </w:tc>
        <w:tc>
          <w:tcPr>
            <w:tcW w:w="3438" w:type="pct"/>
          </w:tcPr>
          <w:p w14:paraId="5DA212EA" w14:textId="597B9CE2" w:rsidR="007F6B1C" w:rsidRPr="00686565" w:rsidRDefault="00400610" w:rsidP="00785AA5">
            <w:pPr>
              <w:snapToGrid w:val="0"/>
              <w:spacing w:after="0" w:line="240" w:lineRule="auto"/>
              <w:ind w:firstLine="530"/>
              <w:jc w:val="both"/>
              <w:rPr>
                <w:rFonts w:ascii="Times New Roman" w:hAnsi="Times New Roman" w:cs="Times New Roman"/>
                <w:sz w:val="24"/>
                <w:szCs w:val="24"/>
              </w:rPr>
            </w:pPr>
            <w:r>
              <w:rPr>
                <w:rFonts w:ascii="Times New Roman" w:hAnsi="Times New Roman" w:cs="Times New Roman"/>
                <w:sz w:val="24"/>
                <w:szCs w:val="24"/>
              </w:rPr>
              <w:t>Valsts tiesu ekspertī</w:t>
            </w:r>
            <w:r w:rsidR="00002F69">
              <w:rPr>
                <w:rFonts w:ascii="Times New Roman" w:hAnsi="Times New Roman" w:cs="Times New Roman"/>
                <w:sz w:val="24"/>
                <w:szCs w:val="24"/>
              </w:rPr>
              <w:t>žu biroja</w:t>
            </w:r>
            <w:r w:rsidR="00785AA5">
              <w:rPr>
                <w:rFonts w:ascii="Times New Roman" w:hAnsi="Times New Roman" w:cs="Times New Roman"/>
                <w:sz w:val="24"/>
                <w:szCs w:val="24"/>
              </w:rPr>
              <w:t xml:space="preserve"> (turpmāk – Birojs)</w:t>
            </w:r>
            <w:r w:rsidR="00002F69">
              <w:rPr>
                <w:rFonts w:ascii="Times New Roman" w:hAnsi="Times New Roman" w:cs="Times New Roman"/>
                <w:sz w:val="24"/>
                <w:szCs w:val="24"/>
              </w:rPr>
              <w:t xml:space="preserve"> maksas pakalpojumu cenrādis ir izstrādāts, pamatojoties uz </w:t>
            </w:r>
            <w:r w:rsidR="00002F69" w:rsidRPr="00002F69">
              <w:rPr>
                <w:rFonts w:ascii="Times New Roman" w:hAnsi="Times New Roman" w:cs="Times New Roman"/>
                <w:sz w:val="24"/>
                <w:szCs w:val="24"/>
              </w:rPr>
              <w:t>Likuma par budžetu un finanšu vadību 5.</w:t>
            </w:r>
            <w:r w:rsidR="00B6077A">
              <w:rPr>
                <w:rFonts w:ascii="Times New Roman" w:hAnsi="Times New Roman" w:cs="Times New Roman"/>
                <w:sz w:val="24"/>
                <w:szCs w:val="24"/>
              </w:rPr>
              <w:t xml:space="preserve"> </w:t>
            </w:r>
            <w:r w:rsidR="00002F69" w:rsidRPr="00002F69">
              <w:rPr>
                <w:rFonts w:ascii="Times New Roman" w:hAnsi="Times New Roman" w:cs="Times New Roman"/>
                <w:sz w:val="24"/>
                <w:szCs w:val="24"/>
              </w:rPr>
              <w:t>panta devīto daļu, kas nosaka, ka Ministru kabinets izdod noteikumus par valsts tiešās pārvaldes iestāžu sniegto maksas pak</w:t>
            </w:r>
            <w:r w:rsidR="00002F69">
              <w:rPr>
                <w:rFonts w:ascii="Times New Roman" w:hAnsi="Times New Roman" w:cs="Times New Roman"/>
                <w:sz w:val="24"/>
                <w:szCs w:val="24"/>
              </w:rPr>
              <w:t>alpojumu cenrāžu apstiprināšanu</w:t>
            </w:r>
            <w:r w:rsidR="00002F69" w:rsidRPr="00002F69">
              <w:rPr>
                <w:rFonts w:ascii="Times New Roman" w:hAnsi="Times New Roman" w:cs="Times New Roman"/>
                <w:sz w:val="24"/>
                <w:szCs w:val="24"/>
              </w:rPr>
              <w:t>.</w:t>
            </w:r>
            <w:r w:rsidR="00002F69">
              <w:rPr>
                <w:rFonts w:ascii="Times New Roman" w:hAnsi="Times New Roman" w:cs="Times New Roman"/>
                <w:sz w:val="24"/>
                <w:szCs w:val="24"/>
              </w:rPr>
              <w:t xml:space="preserve"> </w:t>
            </w:r>
            <w:r w:rsidR="009C1E56" w:rsidRPr="009C1E56">
              <w:rPr>
                <w:rFonts w:ascii="Times New Roman" w:hAnsi="Times New Roman" w:cs="Times New Roman"/>
                <w:sz w:val="24"/>
                <w:szCs w:val="24"/>
              </w:rPr>
              <w:t>Saeima 2016.</w:t>
            </w:r>
            <w:r w:rsidR="00CB7FDA">
              <w:rPr>
                <w:rFonts w:ascii="Times New Roman" w:hAnsi="Times New Roman" w:cs="Times New Roman"/>
                <w:sz w:val="24"/>
                <w:szCs w:val="24"/>
              </w:rPr>
              <w:t> </w:t>
            </w:r>
            <w:r w:rsidR="009C1E56" w:rsidRPr="009C1E56">
              <w:rPr>
                <w:rFonts w:ascii="Times New Roman" w:hAnsi="Times New Roman" w:cs="Times New Roman"/>
                <w:sz w:val="24"/>
                <w:szCs w:val="24"/>
              </w:rPr>
              <w:t>gada 11.</w:t>
            </w:r>
            <w:r w:rsidR="00CB7FDA">
              <w:rPr>
                <w:rFonts w:ascii="Times New Roman" w:hAnsi="Times New Roman" w:cs="Times New Roman"/>
                <w:sz w:val="24"/>
                <w:szCs w:val="24"/>
              </w:rPr>
              <w:t> </w:t>
            </w:r>
            <w:r w:rsidR="009C1E56" w:rsidRPr="009C1E56">
              <w:rPr>
                <w:rFonts w:ascii="Times New Roman" w:hAnsi="Times New Roman" w:cs="Times New Roman"/>
                <w:sz w:val="24"/>
                <w:szCs w:val="24"/>
              </w:rPr>
              <w:t>februārī pieņēma</w:t>
            </w:r>
            <w:r w:rsidR="00002F69">
              <w:rPr>
                <w:rFonts w:ascii="Times New Roman" w:hAnsi="Times New Roman" w:cs="Times New Roman"/>
                <w:sz w:val="24"/>
                <w:szCs w:val="24"/>
              </w:rPr>
              <w:t>,</w:t>
            </w:r>
            <w:r w:rsidR="009C1E56" w:rsidRPr="009C1E56">
              <w:rPr>
                <w:rFonts w:ascii="Times New Roman" w:hAnsi="Times New Roman" w:cs="Times New Roman"/>
                <w:sz w:val="24"/>
                <w:szCs w:val="24"/>
              </w:rPr>
              <w:t xml:space="preserve"> un </w:t>
            </w:r>
            <w:r w:rsidR="00727A8A">
              <w:rPr>
                <w:rFonts w:ascii="Times New Roman" w:hAnsi="Times New Roman" w:cs="Times New Roman"/>
                <w:sz w:val="24"/>
                <w:szCs w:val="24"/>
              </w:rPr>
              <w:t>2016</w:t>
            </w:r>
            <w:r w:rsidR="00452C92">
              <w:rPr>
                <w:rFonts w:ascii="Times New Roman" w:hAnsi="Times New Roman" w:cs="Times New Roman"/>
                <w:sz w:val="24"/>
                <w:szCs w:val="24"/>
              </w:rPr>
              <w:t>.</w:t>
            </w:r>
            <w:r w:rsidR="00CB7FDA">
              <w:rPr>
                <w:rFonts w:ascii="Times New Roman" w:hAnsi="Times New Roman" w:cs="Times New Roman"/>
                <w:sz w:val="24"/>
                <w:szCs w:val="24"/>
              </w:rPr>
              <w:t> </w:t>
            </w:r>
            <w:r w:rsidR="00727A8A">
              <w:rPr>
                <w:rFonts w:ascii="Times New Roman" w:hAnsi="Times New Roman" w:cs="Times New Roman"/>
                <w:sz w:val="24"/>
                <w:szCs w:val="24"/>
              </w:rPr>
              <w:t>gada 15.</w:t>
            </w:r>
            <w:r w:rsidR="00CB7FDA">
              <w:rPr>
                <w:rFonts w:ascii="Times New Roman" w:hAnsi="Times New Roman" w:cs="Times New Roman"/>
                <w:sz w:val="24"/>
                <w:szCs w:val="24"/>
              </w:rPr>
              <w:t> </w:t>
            </w:r>
            <w:r w:rsidR="00727A8A">
              <w:rPr>
                <w:rFonts w:ascii="Times New Roman" w:hAnsi="Times New Roman" w:cs="Times New Roman"/>
                <w:sz w:val="24"/>
                <w:szCs w:val="24"/>
              </w:rPr>
              <w:t>martā stāj</w:t>
            </w:r>
            <w:r w:rsidR="00452C92">
              <w:rPr>
                <w:rFonts w:ascii="Times New Roman" w:hAnsi="Times New Roman" w:cs="Times New Roman"/>
                <w:sz w:val="24"/>
                <w:szCs w:val="24"/>
              </w:rPr>
              <w:t>ās spēkā</w:t>
            </w:r>
            <w:r w:rsidR="009C1E56" w:rsidRPr="009C1E56">
              <w:rPr>
                <w:rFonts w:ascii="Times New Roman" w:hAnsi="Times New Roman" w:cs="Times New Roman"/>
                <w:sz w:val="24"/>
                <w:szCs w:val="24"/>
              </w:rPr>
              <w:t xml:space="preserve"> Tiesu ekspertu likum</w:t>
            </w:r>
            <w:r w:rsidR="00452C92">
              <w:rPr>
                <w:rFonts w:ascii="Times New Roman" w:hAnsi="Times New Roman" w:cs="Times New Roman"/>
                <w:sz w:val="24"/>
                <w:szCs w:val="24"/>
              </w:rPr>
              <w:t>s</w:t>
            </w:r>
            <w:r w:rsidR="009C1E56" w:rsidRPr="009C1E56">
              <w:rPr>
                <w:rFonts w:ascii="Times New Roman" w:hAnsi="Times New Roman" w:cs="Times New Roman"/>
                <w:sz w:val="24"/>
                <w:szCs w:val="24"/>
              </w:rPr>
              <w:t>, kura 11.</w:t>
            </w:r>
            <w:r w:rsidR="00CB7FDA">
              <w:rPr>
                <w:rFonts w:ascii="Times New Roman" w:hAnsi="Times New Roman" w:cs="Times New Roman"/>
                <w:sz w:val="24"/>
                <w:szCs w:val="24"/>
              </w:rPr>
              <w:t> </w:t>
            </w:r>
            <w:r w:rsidR="009C1E56" w:rsidRPr="009C1E56">
              <w:rPr>
                <w:rFonts w:ascii="Times New Roman" w:hAnsi="Times New Roman" w:cs="Times New Roman"/>
                <w:sz w:val="24"/>
                <w:szCs w:val="24"/>
              </w:rPr>
              <w:t>panta trešajā daļ</w:t>
            </w:r>
            <w:r w:rsidR="00EF5B1A">
              <w:rPr>
                <w:rFonts w:ascii="Times New Roman" w:hAnsi="Times New Roman" w:cs="Times New Roman"/>
                <w:sz w:val="24"/>
                <w:szCs w:val="24"/>
              </w:rPr>
              <w:t>ā</w:t>
            </w:r>
            <w:r w:rsidR="009C1E56" w:rsidRPr="009C1E56">
              <w:rPr>
                <w:rFonts w:ascii="Times New Roman" w:hAnsi="Times New Roman" w:cs="Times New Roman"/>
                <w:sz w:val="24"/>
                <w:szCs w:val="24"/>
              </w:rPr>
              <w:t xml:space="preserve"> no</w:t>
            </w:r>
            <w:r w:rsidR="00A063D2">
              <w:rPr>
                <w:rFonts w:ascii="Times New Roman" w:hAnsi="Times New Roman" w:cs="Times New Roman"/>
                <w:sz w:val="24"/>
                <w:szCs w:val="24"/>
              </w:rPr>
              <w:t>teikts</w:t>
            </w:r>
            <w:r w:rsidR="009C1E56" w:rsidRPr="009C1E56">
              <w:rPr>
                <w:rFonts w:ascii="Times New Roman" w:hAnsi="Times New Roman" w:cs="Times New Roman"/>
                <w:sz w:val="24"/>
                <w:szCs w:val="24"/>
              </w:rPr>
              <w:t xml:space="preserve">, ka tiesu ekspertīžu iestādes un valsts tiešās pārvaldes iestādes, kurā tiesu eksperta pienākumus pilda valsts tiesu eksperts, kompetencē esošo tiesu ekspertīžu maksas pakalpojumu cenrādi apstiprina Likumā par budžetu un finanšu vadību noteiktajā kārtībā. </w:t>
            </w:r>
            <w:r w:rsidR="00785AA5">
              <w:rPr>
                <w:rFonts w:ascii="Times New Roman" w:hAnsi="Times New Roman" w:cs="Times New Roman"/>
                <w:sz w:val="24"/>
                <w:szCs w:val="24"/>
              </w:rPr>
              <w:t>B</w:t>
            </w:r>
            <w:r w:rsidR="009C1E56" w:rsidRPr="009C1E56">
              <w:rPr>
                <w:rFonts w:ascii="Times New Roman" w:hAnsi="Times New Roman" w:cs="Times New Roman"/>
                <w:sz w:val="24"/>
                <w:szCs w:val="24"/>
              </w:rPr>
              <w:t>irojs ir tiešās pārvaldes iestāde, kuras pamatdarbība ir ekspertīžu veikšana un kurā tiesu eksperta pienāku</w:t>
            </w:r>
            <w:r w:rsidR="008D7950">
              <w:rPr>
                <w:rFonts w:ascii="Times New Roman" w:hAnsi="Times New Roman" w:cs="Times New Roman"/>
                <w:sz w:val="24"/>
                <w:szCs w:val="24"/>
              </w:rPr>
              <w:t>mus veic valsts tiesu eksperti.</w:t>
            </w:r>
          </w:p>
        </w:tc>
      </w:tr>
      <w:tr w:rsidR="007F6B1C" w:rsidRPr="00064053" w14:paraId="1EE21CAF" w14:textId="77777777" w:rsidTr="0057474F">
        <w:trPr>
          <w:trHeight w:val="472"/>
        </w:trPr>
        <w:tc>
          <w:tcPr>
            <w:tcW w:w="227" w:type="pct"/>
          </w:tcPr>
          <w:p w14:paraId="32FAED93" w14:textId="77777777" w:rsidR="007F6B1C" w:rsidRPr="00064053" w:rsidRDefault="007F6B1C" w:rsidP="00064053">
            <w:pPr>
              <w:pStyle w:val="naiskr"/>
              <w:spacing w:before="0" w:beforeAutospacing="0" w:after="0" w:afterAutospacing="0"/>
              <w:ind w:left="57" w:right="57"/>
              <w:jc w:val="center"/>
            </w:pPr>
            <w:r w:rsidRPr="00064053">
              <w:t>2.</w:t>
            </w:r>
          </w:p>
        </w:tc>
        <w:tc>
          <w:tcPr>
            <w:tcW w:w="1334" w:type="pct"/>
          </w:tcPr>
          <w:p w14:paraId="5F78DD51" w14:textId="77777777" w:rsidR="007F6B1C" w:rsidRPr="00064053" w:rsidRDefault="007F6B1C" w:rsidP="00064053">
            <w:pPr>
              <w:pStyle w:val="naiskr"/>
              <w:tabs>
                <w:tab w:val="left" w:pos="170"/>
              </w:tabs>
              <w:spacing w:before="0" w:beforeAutospacing="0" w:after="0" w:afterAutospacing="0"/>
              <w:ind w:left="57" w:right="57"/>
            </w:pPr>
            <w:r w:rsidRPr="00064053">
              <w:t>Pašreizējā situācija un problēmas, kuru risināšanai tiesību akta projekts izstrādāts, tiesiskā regulējuma mērķis un būtība</w:t>
            </w:r>
          </w:p>
        </w:tc>
        <w:tc>
          <w:tcPr>
            <w:tcW w:w="3438" w:type="pct"/>
          </w:tcPr>
          <w:p w14:paraId="3ACF601E" w14:textId="00779A6D" w:rsidR="009C1E56" w:rsidRPr="009C1E56" w:rsidRDefault="009C1E56" w:rsidP="009C1E56">
            <w:pPr>
              <w:snapToGrid w:val="0"/>
              <w:spacing w:after="0" w:line="240" w:lineRule="auto"/>
              <w:ind w:firstLine="530"/>
              <w:jc w:val="both"/>
              <w:rPr>
                <w:rFonts w:ascii="Times New Roman" w:hAnsi="Times New Roman" w:cs="Times New Roman"/>
                <w:sz w:val="24"/>
                <w:szCs w:val="24"/>
              </w:rPr>
            </w:pPr>
            <w:r>
              <w:rPr>
                <w:rFonts w:ascii="Times New Roman" w:hAnsi="Times New Roman" w:cs="Times New Roman"/>
                <w:sz w:val="24"/>
                <w:szCs w:val="24"/>
              </w:rPr>
              <w:t>B</w:t>
            </w:r>
            <w:r w:rsidRPr="009C1E56">
              <w:rPr>
                <w:rFonts w:ascii="Times New Roman" w:hAnsi="Times New Roman" w:cs="Times New Roman"/>
                <w:sz w:val="24"/>
                <w:szCs w:val="24"/>
              </w:rPr>
              <w:t xml:space="preserve">iroja sniegto publisko maksas pakalpojumu cenrādi </w:t>
            </w:r>
            <w:r>
              <w:rPr>
                <w:rFonts w:ascii="Times New Roman" w:hAnsi="Times New Roman" w:cs="Times New Roman"/>
                <w:sz w:val="24"/>
                <w:szCs w:val="24"/>
              </w:rPr>
              <w:t xml:space="preserve">šobrīd </w:t>
            </w:r>
            <w:r w:rsidRPr="009C1E56">
              <w:rPr>
                <w:rFonts w:ascii="Times New Roman" w:hAnsi="Times New Roman" w:cs="Times New Roman"/>
                <w:sz w:val="24"/>
                <w:szCs w:val="24"/>
              </w:rPr>
              <w:t>nosaka Ministru kabineta 2013.</w:t>
            </w:r>
            <w:r w:rsidR="00CB7FDA">
              <w:rPr>
                <w:rFonts w:ascii="Times New Roman" w:hAnsi="Times New Roman" w:cs="Times New Roman"/>
                <w:sz w:val="24"/>
                <w:szCs w:val="24"/>
              </w:rPr>
              <w:t> </w:t>
            </w:r>
            <w:r w:rsidRPr="009C1E56">
              <w:rPr>
                <w:rFonts w:ascii="Times New Roman" w:hAnsi="Times New Roman" w:cs="Times New Roman"/>
                <w:sz w:val="24"/>
                <w:szCs w:val="24"/>
              </w:rPr>
              <w:t>gada 17.</w:t>
            </w:r>
            <w:r w:rsidR="00CB7FDA">
              <w:rPr>
                <w:rFonts w:ascii="Times New Roman" w:hAnsi="Times New Roman" w:cs="Times New Roman"/>
                <w:sz w:val="24"/>
                <w:szCs w:val="24"/>
              </w:rPr>
              <w:t> </w:t>
            </w:r>
            <w:r w:rsidRPr="009C1E56">
              <w:rPr>
                <w:rFonts w:ascii="Times New Roman" w:hAnsi="Times New Roman" w:cs="Times New Roman"/>
                <w:sz w:val="24"/>
                <w:szCs w:val="24"/>
              </w:rPr>
              <w:t>septembra noteikumi Nr.</w:t>
            </w:r>
            <w:r w:rsidR="00CB7FDA">
              <w:rPr>
                <w:rFonts w:ascii="Times New Roman" w:hAnsi="Times New Roman" w:cs="Times New Roman"/>
                <w:sz w:val="24"/>
                <w:szCs w:val="24"/>
              </w:rPr>
              <w:t> </w:t>
            </w:r>
            <w:r w:rsidRPr="009C1E56">
              <w:rPr>
                <w:rFonts w:ascii="Times New Roman" w:hAnsi="Times New Roman" w:cs="Times New Roman"/>
                <w:sz w:val="24"/>
                <w:szCs w:val="24"/>
              </w:rPr>
              <w:t xml:space="preserve">889 </w:t>
            </w:r>
            <w:r w:rsidR="00CB7FDA" w:rsidRPr="00CB7FDA">
              <w:rPr>
                <w:rFonts w:ascii="Times New Roman" w:hAnsi="Times New Roman" w:cs="Times New Roman"/>
                <w:sz w:val="24"/>
                <w:szCs w:val="24"/>
              </w:rPr>
              <w:t>"</w:t>
            </w:r>
            <w:r w:rsidRPr="009C1E56">
              <w:rPr>
                <w:rFonts w:ascii="Times New Roman" w:hAnsi="Times New Roman" w:cs="Times New Roman"/>
                <w:sz w:val="24"/>
                <w:szCs w:val="24"/>
              </w:rPr>
              <w:t>Valsts tiesu ekspertīžu biroja maksas pakalpojumu cenrādis</w:t>
            </w:r>
            <w:r w:rsidR="00CB7FDA" w:rsidRPr="00CB7FDA">
              <w:rPr>
                <w:rFonts w:ascii="Times New Roman" w:hAnsi="Times New Roman" w:cs="Times New Roman"/>
                <w:sz w:val="24"/>
                <w:szCs w:val="24"/>
              </w:rPr>
              <w:t>"</w:t>
            </w:r>
            <w:r w:rsidRPr="009C1E56">
              <w:rPr>
                <w:rFonts w:ascii="Times New Roman" w:hAnsi="Times New Roman" w:cs="Times New Roman"/>
                <w:sz w:val="24"/>
                <w:szCs w:val="24"/>
              </w:rPr>
              <w:t>.</w:t>
            </w:r>
          </w:p>
          <w:p w14:paraId="40A723C2" w14:textId="79B1A263" w:rsidR="009C1E56" w:rsidRPr="009C1E56" w:rsidRDefault="009C1E56" w:rsidP="007A7AF6">
            <w:pPr>
              <w:pStyle w:val="CommentText"/>
              <w:ind w:left="56" w:firstLine="530"/>
              <w:jc w:val="both"/>
              <w:rPr>
                <w:sz w:val="24"/>
                <w:szCs w:val="24"/>
              </w:rPr>
            </w:pPr>
            <w:r w:rsidRPr="009C1E56">
              <w:rPr>
                <w:sz w:val="24"/>
                <w:szCs w:val="24"/>
              </w:rPr>
              <w:t>Spēkā esošais cenrādis ir jāpārskata, lai nodrošinātu Valsts kontroles Otrā revīzijas departamenta revīzijas</w:t>
            </w:r>
            <w:r w:rsidR="00AF109A">
              <w:rPr>
                <w:sz w:val="24"/>
                <w:szCs w:val="24"/>
              </w:rPr>
              <w:t xml:space="preserve"> </w:t>
            </w:r>
            <w:r w:rsidRPr="009C1E56">
              <w:rPr>
                <w:sz w:val="24"/>
                <w:szCs w:val="24"/>
              </w:rPr>
              <w:t>Nr.</w:t>
            </w:r>
            <w:r w:rsidR="00CB7FDA">
              <w:rPr>
                <w:sz w:val="24"/>
                <w:szCs w:val="24"/>
              </w:rPr>
              <w:t> </w:t>
            </w:r>
            <w:r w:rsidRPr="009C1E56">
              <w:rPr>
                <w:sz w:val="24"/>
                <w:szCs w:val="24"/>
              </w:rPr>
              <w:t>2.4.1-31/2015 2016.</w:t>
            </w:r>
            <w:r w:rsidR="00CB7FDA">
              <w:rPr>
                <w:sz w:val="24"/>
                <w:szCs w:val="24"/>
              </w:rPr>
              <w:t> </w:t>
            </w:r>
            <w:r w:rsidRPr="009C1E56">
              <w:rPr>
                <w:sz w:val="24"/>
                <w:szCs w:val="24"/>
              </w:rPr>
              <w:t>gada 29.</w:t>
            </w:r>
            <w:r w:rsidR="00CB7FDA">
              <w:rPr>
                <w:sz w:val="24"/>
                <w:szCs w:val="24"/>
              </w:rPr>
              <w:t> </w:t>
            </w:r>
            <w:r w:rsidRPr="009C1E56">
              <w:rPr>
                <w:sz w:val="24"/>
                <w:szCs w:val="24"/>
              </w:rPr>
              <w:t xml:space="preserve">aprīļa ziņojumā </w:t>
            </w:r>
            <w:r w:rsidR="00CB7FDA" w:rsidRPr="00CB7FDA">
              <w:rPr>
                <w:sz w:val="24"/>
                <w:szCs w:val="24"/>
              </w:rPr>
              <w:t>"</w:t>
            </w:r>
            <w:r w:rsidRPr="009C1E56">
              <w:rPr>
                <w:sz w:val="24"/>
                <w:szCs w:val="24"/>
              </w:rPr>
              <w:t>Par Tieslietu ministrijas 2015.</w:t>
            </w:r>
            <w:r w:rsidR="00CB7FDA">
              <w:rPr>
                <w:sz w:val="24"/>
                <w:szCs w:val="24"/>
              </w:rPr>
              <w:t> </w:t>
            </w:r>
            <w:r w:rsidRPr="009C1E56">
              <w:rPr>
                <w:sz w:val="24"/>
                <w:szCs w:val="24"/>
              </w:rPr>
              <w:t xml:space="preserve">gada </w:t>
            </w:r>
            <w:r w:rsidR="00EF3612">
              <w:rPr>
                <w:sz w:val="24"/>
                <w:szCs w:val="24"/>
              </w:rPr>
              <w:t xml:space="preserve">pārskatu </w:t>
            </w:r>
            <w:r w:rsidRPr="009C1E56">
              <w:rPr>
                <w:sz w:val="24"/>
                <w:szCs w:val="24"/>
              </w:rPr>
              <w:t>sagatavošanas pareizību</w:t>
            </w:r>
            <w:r w:rsidR="00A063D2" w:rsidRPr="00CB7FDA">
              <w:rPr>
                <w:sz w:val="24"/>
                <w:szCs w:val="24"/>
              </w:rPr>
              <w:t>"</w:t>
            </w:r>
            <w:r w:rsidRPr="009C1E56">
              <w:rPr>
                <w:sz w:val="24"/>
                <w:szCs w:val="24"/>
              </w:rPr>
              <w:t xml:space="preserve"> norādīto ieteikuma ieviešanu, pārskatot maksas pakalpojumu reglamentējošo normatīvo aktu. Projekta mērķis</w:t>
            </w:r>
            <w:r>
              <w:rPr>
                <w:sz w:val="24"/>
                <w:szCs w:val="24"/>
              </w:rPr>
              <w:t xml:space="preserve"> ir</w:t>
            </w:r>
            <w:r w:rsidRPr="009C1E56">
              <w:rPr>
                <w:sz w:val="24"/>
                <w:szCs w:val="24"/>
              </w:rPr>
              <w:t xml:space="preserve"> </w:t>
            </w:r>
            <w:r>
              <w:rPr>
                <w:sz w:val="24"/>
                <w:szCs w:val="24"/>
              </w:rPr>
              <w:t>š</w:t>
            </w:r>
            <w:r w:rsidRPr="009C1E56">
              <w:rPr>
                <w:sz w:val="24"/>
                <w:szCs w:val="24"/>
              </w:rPr>
              <w:t>obrīd spēkā e</w:t>
            </w:r>
            <w:r>
              <w:rPr>
                <w:sz w:val="24"/>
                <w:szCs w:val="24"/>
              </w:rPr>
              <w:t>sošajos noteikumos apstiprināto</w:t>
            </w:r>
            <w:r w:rsidRPr="009C1E56">
              <w:rPr>
                <w:sz w:val="24"/>
                <w:szCs w:val="24"/>
              </w:rPr>
              <w:t xml:space="preserve"> p</w:t>
            </w:r>
            <w:r>
              <w:rPr>
                <w:sz w:val="24"/>
                <w:szCs w:val="24"/>
              </w:rPr>
              <w:t>ublisko maksas pakalpojumu cenu aktualizēšana</w:t>
            </w:r>
            <w:r w:rsidRPr="009C1E56">
              <w:rPr>
                <w:sz w:val="24"/>
                <w:szCs w:val="24"/>
              </w:rPr>
              <w:t>,</w:t>
            </w:r>
            <w:r w:rsidR="00AF109A">
              <w:rPr>
                <w:sz w:val="24"/>
                <w:szCs w:val="24"/>
              </w:rPr>
              <w:t xml:space="preserve"> precizējot pakalpojuma cenas aprēķina kārtību atbilstoši Valsts kontroles norādījumam</w:t>
            </w:r>
            <w:r w:rsidR="00A87AB5">
              <w:rPr>
                <w:sz w:val="24"/>
                <w:szCs w:val="24"/>
              </w:rPr>
              <w:t xml:space="preserve">. Pārskatot šobrīd spēkā esošās cenas, ņemts vērā tas, ka </w:t>
            </w:r>
            <w:r w:rsidRPr="009C1E56">
              <w:rPr>
                <w:sz w:val="24"/>
                <w:szCs w:val="24"/>
              </w:rPr>
              <w:t xml:space="preserve">palielinājušās tiešās izmaksas pakalpojuma sniegšanā iesaistītam personālam /atalgojums/, samaksa par pakalpojumiem, materiāliem, energoresursiem, apkuri, ūdeni u.c. izdevumiem, lai nodrošinātu attiecīgā pakalpojuma sniegšanu, kā arī ekspertīžu veikšanai ir iegādātas jaunas </w:t>
            </w:r>
            <w:r>
              <w:rPr>
                <w:sz w:val="24"/>
                <w:szCs w:val="24"/>
              </w:rPr>
              <w:t>iekārtas un tehniskie līdzekļi</w:t>
            </w:r>
            <w:r w:rsidR="00A87AB5">
              <w:rPr>
                <w:sz w:val="24"/>
                <w:szCs w:val="24"/>
              </w:rPr>
              <w:t>. Tā kā pēdējos gados</w:t>
            </w:r>
            <w:r w:rsidR="00AF109A">
              <w:rPr>
                <w:sz w:val="24"/>
                <w:szCs w:val="24"/>
              </w:rPr>
              <w:t xml:space="preserve"> </w:t>
            </w:r>
            <w:r w:rsidR="00EF4750">
              <w:rPr>
                <w:sz w:val="24"/>
                <w:szCs w:val="24"/>
              </w:rPr>
              <w:t>ir pieaudzis personu pieprasījums tādām ekspertīzēm, kas pirms tam cenrādī nebija iekļautas</w:t>
            </w:r>
            <w:r w:rsidR="00A87AB5">
              <w:rPr>
                <w:sz w:val="24"/>
                <w:szCs w:val="24"/>
              </w:rPr>
              <w:t xml:space="preserve">, </w:t>
            </w:r>
            <w:r w:rsidR="00A87AB5">
              <w:rPr>
                <w:sz w:val="24"/>
                <w:szCs w:val="24"/>
              </w:rPr>
              <w:t>cenas noteiktas visām Biroja kompetencēs esošajām ekspertīzēm un ar to veikšanu saistītām darbībām, tādā veidā ieviešot jaunus maksas pakalpojumus – d</w:t>
            </w:r>
            <w:r w:rsidR="00A87AB5" w:rsidRPr="009C1E56">
              <w:rPr>
                <w:sz w:val="24"/>
                <w:szCs w:val="24"/>
              </w:rPr>
              <w:t>aktiloskopiskās kartes izgatavošana;</w:t>
            </w:r>
            <w:r w:rsidR="00A87AB5">
              <w:rPr>
                <w:sz w:val="24"/>
                <w:szCs w:val="24"/>
              </w:rPr>
              <w:t xml:space="preserve"> i</w:t>
            </w:r>
            <w:r w:rsidR="00A87AB5" w:rsidRPr="009C1E56">
              <w:rPr>
                <w:sz w:val="24"/>
                <w:szCs w:val="24"/>
              </w:rPr>
              <w:t xml:space="preserve">nformācijas tehnoloģiju </w:t>
            </w:r>
            <w:r w:rsidR="00A87AB5">
              <w:rPr>
                <w:sz w:val="24"/>
                <w:szCs w:val="24"/>
              </w:rPr>
              <w:t>izpēte, pasta sūtījuma noformēšana, r</w:t>
            </w:r>
            <w:r w:rsidR="00A87AB5" w:rsidRPr="009C1E56">
              <w:rPr>
                <w:sz w:val="24"/>
                <w:szCs w:val="24"/>
              </w:rPr>
              <w:t xml:space="preserve">akstītā teksta lingvistiskā </w:t>
            </w:r>
            <w:r w:rsidR="00A87AB5">
              <w:rPr>
                <w:sz w:val="24"/>
                <w:szCs w:val="24"/>
              </w:rPr>
              <w:t>izpēte, r</w:t>
            </w:r>
            <w:r w:rsidR="00A87AB5" w:rsidRPr="009C1E56">
              <w:rPr>
                <w:sz w:val="24"/>
                <w:szCs w:val="24"/>
              </w:rPr>
              <w:t xml:space="preserve">eljefo numuru zīmju </w:t>
            </w:r>
            <w:r w:rsidR="00A87AB5">
              <w:rPr>
                <w:sz w:val="24"/>
                <w:szCs w:val="24"/>
              </w:rPr>
              <w:t>izpēte, š</w:t>
            </w:r>
            <w:r w:rsidR="00A87AB5" w:rsidRPr="009C1E56">
              <w:rPr>
                <w:sz w:val="24"/>
                <w:szCs w:val="24"/>
              </w:rPr>
              <w:t xml:space="preserve">āviena pēdu </w:t>
            </w:r>
            <w:r w:rsidR="00A87AB5">
              <w:rPr>
                <w:sz w:val="24"/>
                <w:szCs w:val="24"/>
              </w:rPr>
              <w:t>izpēte, t</w:t>
            </w:r>
            <w:r w:rsidR="00A87AB5" w:rsidRPr="009C1E56">
              <w:rPr>
                <w:sz w:val="24"/>
                <w:szCs w:val="24"/>
              </w:rPr>
              <w:t xml:space="preserve">rasoloģiskā </w:t>
            </w:r>
            <w:r w:rsidR="00A87AB5">
              <w:rPr>
                <w:sz w:val="24"/>
                <w:szCs w:val="24"/>
              </w:rPr>
              <w:t>izpēte, B</w:t>
            </w:r>
            <w:r w:rsidR="00A87AB5" w:rsidRPr="009C1E56">
              <w:rPr>
                <w:sz w:val="24"/>
                <w:szCs w:val="24"/>
              </w:rPr>
              <w:t>iroja transporta izmantošana</w:t>
            </w:r>
            <w:r w:rsidR="00A87AB5">
              <w:rPr>
                <w:sz w:val="24"/>
                <w:szCs w:val="24"/>
              </w:rPr>
              <w:t xml:space="preserve"> u.c. </w:t>
            </w:r>
            <w:r w:rsidR="00EF4750">
              <w:rPr>
                <w:sz w:val="24"/>
                <w:szCs w:val="24"/>
              </w:rPr>
              <w:t>Cenas noteikšana visiem ekspertīžu vei</w:t>
            </w:r>
            <w:bookmarkStart w:id="0" w:name="_GoBack"/>
            <w:bookmarkEnd w:id="0"/>
            <w:r w:rsidR="00EF4750">
              <w:rPr>
                <w:sz w:val="24"/>
                <w:szCs w:val="24"/>
              </w:rPr>
              <w:t>diem ļaus arī precīzi aprēķināt procesuālos izdevumus.</w:t>
            </w:r>
          </w:p>
          <w:p w14:paraId="6713A08B" w14:textId="5906B534" w:rsidR="00002F69" w:rsidRDefault="00002F69" w:rsidP="009C1E56">
            <w:pPr>
              <w:pStyle w:val="CommentText"/>
              <w:ind w:left="56" w:firstLine="530"/>
              <w:jc w:val="both"/>
              <w:rPr>
                <w:sz w:val="24"/>
                <w:szCs w:val="24"/>
              </w:rPr>
            </w:pPr>
            <w:r>
              <w:rPr>
                <w:sz w:val="24"/>
                <w:szCs w:val="24"/>
              </w:rPr>
              <w:t>Projektā ir saglabāts šobrīd spēkā esošais regulējums, ka normatīvais akts nav attiecināms uz tiesu ekspertīzēm, kas tiek veiktas kriminālprocesa un administratīvā procesa ietvaros.</w:t>
            </w:r>
          </w:p>
          <w:p w14:paraId="76B8F2B0" w14:textId="11227A8F" w:rsidR="00C858D3" w:rsidRDefault="00C63FBF" w:rsidP="009C1E56">
            <w:pPr>
              <w:pStyle w:val="CommentText"/>
              <w:ind w:left="56" w:firstLine="530"/>
              <w:jc w:val="both"/>
              <w:rPr>
                <w:rFonts w:ascii="Arial" w:hAnsi="Arial" w:cs="Arial"/>
              </w:rPr>
            </w:pPr>
            <w:r>
              <w:rPr>
                <w:sz w:val="24"/>
                <w:szCs w:val="24"/>
              </w:rPr>
              <w:t>P</w:t>
            </w:r>
            <w:r w:rsidR="00D16FC9">
              <w:rPr>
                <w:sz w:val="24"/>
                <w:szCs w:val="24"/>
              </w:rPr>
              <w:t>rojekts paredz</w:t>
            </w:r>
            <w:r w:rsidR="009C1E56" w:rsidRPr="009C1E56">
              <w:rPr>
                <w:sz w:val="24"/>
                <w:szCs w:val="24"/>
              </w:rPr>
              <w:t xml:space="preserve"> maksas pakalpojuma cenas </w:t>
            </w:r>
            <w:r w:rsidR="009C1E56" w:rsidRPr="00D16FC9">
              <w:rPr>
                <w:sz w:val="24"/>
                <w:szCs w:val="24"/>
              </w:rPr>
              <w:t>noteikšanas</w:t>
            </w:r>
            <w:r w:rsidR="009C1E56" w:rsidRPr="009C1E56">
              <w:rPr>
                <w:sz w:val="24"/>
                <w:szCs w:val="24"/>
              </w:rPr>
              <w:t xml:space="preserve"> </w:t>
            </w:r>
            <w:r w:rsidR="009C1E56" w:rsidRPr="009C1E56">
              <w:rPr>
                <w:sz w:val="24"/>
                <w:szCs w:val="24"/>
              </w:rPr>
              <w:lastRenderedPageBreak/>
              <w:t>kārtīb</w:t>
            </w:r>
            <w:r w:rsidR="00D16FC9">
              <w:rPr>
                <w:sz w:val="24"/>
                <w:szCs w:val="24"/>
              </w:rPr>
              <w:t>u</w:t>
            </w:r>
            <w:r w:rsidR="009C1E56" w:rsidRPr="009C1E56">
              <w:rPr>
                <w:sz w:val="24"/>
                <w:szCs w:val="24"/>
              </w:rPr>
              <w:t>, ja ekspertam ir nepiecieš</w:t>
            </w:r>
            <w:r w:rsidR="00785AA5">
              <w:rPr>
                <w:sz w:val="24"/>
                <w:szCs w:val="24"/>
              </w:rPr>
              <w:t>ams veikt objekta izpēti ārpus B</w:t>
            </w:r>
            <w:r w:rsidR="009C1E56" w:rsidRPr="009C1E56">
              <w:rPr>
                <w:sz w:val="24"/>
                <w:szCs w:val="24"/>
              </w:rPr>
              <w:t>iroja telpām (dokumenti zemesgrāmatas nodaļās, automobiļa izpēte u.c.)</w:t>
            </w:r>
            <w:r>
              <w:rPr>
                <w:sz w:val="24"/>
                <w:szCs w:val="24"/>
              </w:rPr>
              <w:t>.</w:t>
            </w:r>
          </w:p>
          <w:p w14:paraId="48858598" w14:textId="58B7F5CE" w:rsidR="002C13CB" w:rsidRPr="00266197" w:rsidRDefault="00DA4D8D" w:rsidP="00B225D2">
            <w:pPr>
              <w:pStyle w:val="CommentText"/>
              <w:ind w:left="56" w:firstLine="530"/>
              <w:jc w:val="both"/>
              <w:rPr>
                <w:sz w:val="24"/>
                <w:szCs w:val="24"/>
              </w:rPr>
            </w:pPr>
            <w:r w:rsidRPr="00F1314D">
              <w:rPr>
                <w:sz w:val="24"/>
                <w:szCs w:val="24"/>
              </w:rPr>
              <w:t>Nosakot ekspertīzes cenu,</w:t>
            </w:r>
            <w:r w:rsidR="000E799A">
              <w:rPr>
                <w:sz w:val="24"/>
                <w:szCs w:val="24"/>
              </w:rPr>
              <w:t xml:space="preserve"> ir aprēķināta ekspertīzes pašizmaksa, lai nodrošinātu, ka ekspertīzes izmaksas kriminālprocesā un administratīvajā procesā būtu tād</w:t>
            </w:r>
            <w:r w:rsidR="002A0ED5">
              <w:rPr>
                <w:sz w:val="24"/>
                <w:szCs w:val="24"/>
              </w:rPr>
              <w:t>as</w:t>
            </w:r>
            <w:r w:rsidR="000E799A">
              <w:rPr>
                <w:sz w:val="24"/>
                <w:szCs w:val="24"/>
              </w:rPr>
              <w:t xml:space="preserve"> pa</w:t>
            </w:r>
            <w:r w:rsidR="002A0ED5">
              <w:rPr>
                <w:sz w:val="24"/>
                <w:szCs w:val="24"/>
              </w:rPr>
              <w:t>šas</w:t>
            </w:r>
            <w:r w:rsidR="000E799A">
              <w:rPr>
                <w:sz w:val="24"/>
                <w:szCs w:val="24"/>
              </w:rPr>
              <w:t xml:space="preserve"> kā civilprocesā un pēc fiziskas vai juridiskas personas pieprasījuma, kas ir maksas pakalpojums. Tādā veidā </w:t>
            </w:r>
            <w:r w:rsidR="002F1F2E">
              <w:rPr>
                <w:sz w:val="24"/>
                <w:szCs w:val="24"/>
              </w:rPr>
              <w:t>tiesas izdevumi par ekspertīzi būs vienādi visos procesos.</w:t>
            </w:r>
            <w:r w:rsidR="000E799A">
              <w:rPr>
                <w:sz w:val="24"/>
                <w:szCs w:val="24"/>
              </w:rPr>
              <w:t xml:space="preserve"> </w:t>
            </w:r>
            <w:r w:rsidR="002F1F2E">
              <w:rPr>
                <w:sz w:val="24"/>
                <w:szCs w:val="24"/>
              </w:rPr>
              <w:t>P</w:t>
            </w:r>
            <w:r w:rsidR="00D16FC9" w:rsidRPr="00F1314D">
              <w:rPr>
                <w:sz w:val="24"/>
                <w:szCs w:val="24"/>
              </w:rPr>
              <w:t xml:space="preserve">rojekta pielikumā </w:t>
            </w:r>
            <w:r w:rsidRPr="00F1314D">
              <w:rPr>
                <w:sz w:val="24"/>
                <w:szCs w:val="24"/>
              </w:rPr>
              <w:t xml:space="preserve">ir noteikts </w:t>
            </w:r>
            <w:r w:rsidR="00D16FC9" w:rsidRPr="00F1314D">
              <w:rPr>
                <w:sz w:val="24"/>
                <w:szCs w:val="24"/>
              </w:rPr>
              <w:t xml:space="preserve">katra pakalpojuma </w:t>
            </w:r>
            <w:r w:rsidRPr="00F1314D">
              <w:rPr>
                <w:sz w:val="24"/>
                <w:szCs w:val="24"/>
              </w:rPr>
              <w:t xml:space="preserve">maksimālais izpētes objektu skaits </w:t>
            </w:r>
            <w:r w:rsidR="00D16FC9" w:rsidRPr="00F1314D">
              <w:rPr>
                <w:sz w:val="24"/>
                <w:szCs w:val="24"/>
              </w:rPr>
              <w:t xml:space="preserve">vienā </w:t>
            </w:r>
            <w:r w:rsidRPr="00F1314D">
              <w:rPr>
                <w:sz w:val="24"/>
                <w:szCs w:val="24"/>
              </w:rPr>
              <w:t xml:space="preserve">ekspertīzē. Ja objektu skaits ekspertīzē pārsniedz maksimāli noteikto, tad attiecīgajai cenai piemēro koeficentu 0,6 par katru maksimāli noteikto objektu skaitu, kas </w:t>
            </w:r>
            <w:r w:rsidRPr="00266197">
              <w:rPr>
                <w:sz w:val="24"/>
                <w:szCs w:val="24"/>
              </w:rPr>
              <w:t>pārsniedz projekt</w:t>
            </w:r>
            <w:r w:rsidR="00C63FBF" w:rsidRPr="00266197">
              <w:rPr>
                <w:sz w:val="24"/>
                <w:szCs w:val="24"/>
              </w:rPr>
              <w:t>a pielikumā</w:t>
            </w:r>
            <w:r w:rsidRPr="00266197">
              <w:rPr>
                <w:sz w:val="24"/>
                <w:szCs w:val="24"/>
              </w:rPr>
              <w:t xml:space="preserve"> noteikto.</w:t>
            </w:r>
            <w:r w:rsidR="00EF4750" w:rsidRPr="00266197">
              <w:rPr>
                <w:sz w:val="24"/>
                <w:szCs w:val="24"/>
              </w:rPr>
              <w:t xml:space="preserve"> Lai nodrošinātu efektīvu resursu izmantošanu, e</w:t>
            </w:r>
            <w:r w:rsidR="003E7B5A" w:rsidRPr="00266197">
              <w:rPr>
                <w:sz w:val="24"/>
                <w:szCs w:val="24"/>
              </w:rPr>
              <w:t>kspertīze tiek uzsākta un eksperta atzinumus tiek nosūtīts vai izdots ekspertīzes noteicējam pēc maksas saņemšanas.</w:t>
            </w:r>
            <w:r w:rsidR="00C858D3" w:rsidRPr="00266197">
              <w:rPr>
                <w:sz w:val="24"/>
                <w:szCs w:val="24"/>
              </w:rPr>
              <w:t xml:space="preserve"> </w:t>
            </w:r>
            <w:r w:rsidR="002C13CB" w:rsidRPr="00266197">
              <w:rPr>
                <w:sz w:val="24"/>
                <w:szCs w:val="24"/>
              </w:rPr>
              <w:t xml:space="preserve">Projektā minētos pakalpojumus iestāde veic kā valsts pārvaldes uzdevumus. Savukārt, sniegto maksas pakalpojumu </w:t>
            </w:r>
            <w:r w:rsidR="00266197" w:rsidRPr="00266197">
              <w:rPr>
                <w:sz w:val="24"/>
                <w:szCs w:val="24"/>
              </w:rPr>
              <w:t>"</w:t>
            </w:r>
            <w:r w:rsidR="00C858D3" w:rsidRPr="00266197">
              <w:rPr>
                <w:sz w:val="24"/>
                <w:szCs w:val="24"/>
              </w:rPr>
              <w:t>Eksperta konsultācija</w:t>
            </w:r>
            <w:r w:rsidR="00266197" w:rsidRPr="00266197">
              <w:rPr>
                <w:sz w:val="24"/>
                <w:szCs w:val="24"/>
              </w:rPr>
              <w:t>"</w:t>
            </w:r>
            <w:r w:rsidR="002C13CB" w:rsidRPr="00266197">
              <w:rPr>
                <w:sz w:val="24"/>
                <w:szCs w:val="24"/>
              </w:rPr>
              <w:t>,</w:t>
            </w:r>
            <w:r w:rsidR="00C858D3" w:rsidRPr="00A87AB5">
              <w:rPr>
                <w:sz w:val="24"/>
                <w:szCs w:val="24"/>
              </w:rPr>
              <w:t xml:space="preserve"> </w:t>
            </w:r>
            <w:r w:rsidR="00266197" w:rsidRPr="00A87AB5">
              <w:rPr>
                <w:sz w:val="24"/>
                <w:szCs w:val="24"/>
              </w:rPr>
              <w:t>"</w:t>
            </w:r>
            <w:r w:rsidR="00C858D3" w:rsidRPr="00266197">
              <w:rPr>
                <w:sz w:val="24"/>
                <w:szCs w:val="24"/>
              </w:rPr>
              <w:t>Semināru zāles noma</w:t>
            </w:r>
            <w:r w:rsidR="00266197" w:rsidRPr="00266197">
              <w:rPr>
                <w:sz w:val="24"/>
                <w:szCs w:val="24"/>
              </w:rPr>
              <w:t>"</w:t>
            </w:r>
            <w:r w:rsidR="00266197">
              <w:rPr>
                <w:sz w:val="24"/>
                <w:szCs w:val="24"/>
              </w:rPr>
              <w:t xml:space="preserve"> un</w:t>
            </w:r>
            <w:r w:rsidR="00C858D3" w:rsidRPr="00A87AB5">
              <w:rPr>
                <w:sz w:val="24"/>
                <w:szCs w:val="24"/>
              </w:rPr>
              <w:t xml:space="preserve"> </w:t>
            </w:r>
            <w:r w:rsidR="00266197" w:rsidRPr="00A87AB5">
              <w:rPr>
                <w:sz w:val="24"/>
                <w:szCs w:val="24"/>
              </w:rPr>
              <w:t>"</w:t>
            </w:r>
            <w:r w:rsidR="002C13CB" w:rsidRPr="00266197">
              <w:rPr>
                <w:sz w:val="24"/>
                <w:szCs w:val="24"/>
              </w:rPr>
              <w:t>Eksperta amata kandidāta apmācība</w:t>
            </w:r>
            <w:r w:rsidR="00266197" w:rsidRPr="00266197">
              <w:rPr>
                <w:sz w:val="24"/>
                <w:szCs w:val="24"/>
              </w:rPr>
              <w:t>"</w:t>
            </w:r>
            <w:r w:rsidR="002C13CB" w:rsidRPr="00266197">
              <w:rPr>
                <w:sz w:val="24"/>
                <w:szCs w:val="24"/>
              </w:rPr>
              <w:t xml:space="preserve"> kopējā vērtība nav pārsniegusi un nepārsniegs 12 mēnešu laikā 50 000 EUR. Tāpēc maksas pakalpojumiem nav piemērojams pievienotās vērtības nodoklis.</w:t>
            </w:r>
          </w:p>
          <w:p w14:paraId="54E7423E" w14:textId="46E3D6C8" w:rsidR="00DA4D8D" w:rsidRDefault="002C13CB" w:rsidP="00B225D2">
            <w:pPr>
              <w:pStyle w:val="CommentText"/>
              <w:ind w:left="56" w:firstLine="530"/>
              <w:jc w:val="both"/>
              <w:rPr>
                <w:sz w:val="24"/>
                <w:szCs w:val="24"/>
              </w:rPr>
            </w:pPr>
            <w:r>
              <w:rPr>
                <w:sz w:val="24"/>
                <w:szCs w:val="24"/>
              </w:rPr>
              <w:t xml:space="preserve">Maksas pakalpojuma </w:t>
            </w:r>
            <w:r w:rsidR="00266197">
              <w:rPr>
                <w:sz w:val="24"/>
                <w:szCs w:val="24"/>
              </w:rPr>
              <w:t>"</w:t>
            </w:r>
            <w:r w:rsidR="00C858D3" w:rsidRPr="00C858D3">
              <w:rPr>
                <w:sz w:val="24"/>
                <w:szCs w:val="24"/>
              </w:rPr>
              <w:t>Valsts tiesu ekspertīžu biroja transporta izmantošana</w:t>
            </w:r>
            <w:r w:rsidR="00266197">
              <w:rPr>
                <w:sz w:val="24"/>
                <w:szCs w:val="24"/>
              </w:rPr>
              <w:t>"</w:t>
            </w:r>
            <w:r>
              <w:rPr>
                <w:sz w:val="24"/>
                <w:szCs w:val="24"/>
              </w:rPr>
              <w:t xml:space="preserve"> ieviešana ir saistīta ar to, ka reizēm ekspertīzes veikšanai tiek izmantota iestādes automašīna.</w:t>
            </w:r>
          </w:p>
          <w:p w14:paraId="42144684" w14:textId="5A2327AE" w:rsidR="00C858D3" w:rsidRPr="005F1B39" w:rsidRDefault="0092507D" w:rsidP="00A87AB5">
            <w:pPr>
              <w:pStyle w:val="CommentText"/>
              <w:ind w:left="56" w:firstLine="530"/>
              <w:jc w:val="both"/>
              <w:rPr>
                <w:sz w:val="24"/>
                <w:szCs w:val="24"/>
              </w:rPr>
            </w:pPr>
            <w:r>
              <w:rPr>
                <w:sz w:val="24"/>
                <w:szCs w:val="24"/>
              </w:rPr>
              <w:t>Semināru zāli ir plānots nomāt mācību, starptautisko projektu sanāksmju un citu ar iestādes darbību saistītu pasākumu nodrošināšanai.</w:t>
            </w:r>
          </w:p>
        </w:tc>
      </w:tr>
      <w:tr w:rsidR="007F6B1C" w:rsidRPr="00064053" w14:paraId="262E93E6" w14:textId="77777777" w:rsidTr="0057474F">
        <w:trPr>
          <w:trHeight w:val="476"/>
        </w:trPr>
        <w:tc>
          <w:tcPr>
            <w:tcW w:w="227" w:type="pct"/>
          </w:tcPr>
          <w:p w14:paraId="63731A2C" w14:textId="77777777" w:rsidR="007F6B1C" w:rsidRPr="00064053" w:rsidRDefault="007F6B1C" w:rsidP="00064053">
            <w:pPr>
              <w:pStyle w:val="naiskr"/>
              <w:spacing w:before="0" w:beforeAutospacing="0" w:after="0" w:afterAutospacing="0"/>
              <w:ind w:left="57" w:right="57"/>
              <w:jc w:val="center"/>
            </w:pPr>
            <w:r w:rsidRPr="00064053">
              <w:lastRenderedPageBreak/>
              <w:t>3.</w:t>
            </w:r>
          </w:p>
        </w:tc>
        <w:tc>
          <w:tcPr>
            <w:tcW w:w="1334" w:type="pct"/>
          </w:tcPr>
          <w:p w14:paraId="51BFF774" w14:textId="77777777" w:rsidR="007F6B1C" w:rsidRPr="00064053" w:rsidRDefault="007F6B1C" w:rsidP="00064053">
            <w:pPr>
              <w:pStyle w:val="naiskr"/>
              <w:spacing w:before="0" w:beforeAutospacing="0" w:after="0" w:afterAutospacing="0"/>
              <w:ind w:left="57" w:right="57"/>
            </w:pPr>
            <w:r w:rsidRPr="00064053">
              <w:t>Projekta izstrādē iesaistītās institūcijas</w:t>
            </w:r>
          </w:p>
        </w:tc>
        <w:tc>
          <w:tcPr>
            <w:tcW w:w="3438" w:type="pct"/>
          </w:tcPr>
          <w:p w14:paraId="4C850571" w14:textId="2C8DDE11" w:rsidR="007F6B1C" w:rsidRPr="00064053" w:rsidRDefault="002A0ED5" w:rsidP="006476B9">
            <w:pPr>
              <w:spacing w:after="0" w:line="240" w:lineRule="auto"/>
              <w:ind w:right="57"/>
              <w:jc w:val="both"/>
              <w:rPr>
                <w:rFonts w:ascii="Times New Roman" w:hAnsi="Times New Roman" w:cs="Times New Roman"/>
                <w:b/>
                <w:sz w:val="24"/>
                <w:szCs w:val="24"/>
              </w:rPr>
            </w:pPr>
            <w:r>
              <w:rPr>
                <w:rFonts w:ascii="Times New Roman" w:eastAsia="EUAlbertina_Bold" w:hAnsi="Times New Roman" w:cs="Times New Roman"/>
                <w:sz w:val="24"/>
                <w:szCs w:val="24"/>
              </w:rPr>
              <w:t>(</w:t>
            </w:r>
            <w:r w:rsidR="00785AA5">
              <w:rPr>
                <w:rFonts w:ascii="Times New Roman" w:eastAsia="EUAlbertina_Bold" w:hAnsi="Times New Roman" w:cs="Times New Roman"/>
                <w:sz w:val="24"/>
                <w:szCs w:val="24"/>
              </w:rPr>
              <w:t>Valsts tiesu ekspertīžu birojs</w:t>
            </w:r>
            <w:r>
              <w:rPr>
                <w:rFonts w:ascii="Times New Roman" w:eastAsia="EUAlbertina_Bold" w:hAnsi="Times New Roman" w:cs="Times New Roman"/>
                <w:sz w:val="24"/>
                <w:szCs w:val="24"/>
              </w:rPr>
              <w:t>) Tieslietu ministrija.</w:t>
            </w:r>
          </w:p>
        </w:tc>
      </w:tr>
      <w:tr w:rsidR="007F6B1C" w:rsidRPr="00064053" w14:paraId="08876053" w14:textId="77777777" w:rsidTr="0057474F">
        <w:tc>
          <w:tcPr>
            <w:tcW w:w="227" w:type="pct"/>
          </w:tcPr>
          <w:p w14:paraId="63EC9BD8" w14:textId="77777777" w:rsidR="007F6B1C" w:rsidRPr="00064053" w:rsidRDefault="007F6B1C" w:rsidP="00064053">
            <w:pPr>
              <w:pStyle w:val="naiskr"/>
              <w:spacing w:before="0" w:beforeAutospacing="0" w:after="0" w:afterAutospacing="0"/>
              <w:ind w:left="57" w:right="57"/>
              <w:jc w:val="center"/>
            </w:pPr>
            <w:r w:rsidRPr="00064053">
              <w:t>4.</w:t>
            </w:r>
          </w:p>
        </w:tc>
        <w:tc>
          <w:tcPr>
            <w:tcW w:w="1334" w:type="pct"/>
          </w:tcPr>
          <w:p w14:paraId="07239DA4" w14:textId="77777777" w:rsidR="007F6B1C" w:rsidRPr="00064053" w:rsidRDefault="007F6B1C" w:rsidP="00064053">
            <w:pPr>
              <w:pStyle w:val="naiskr"/>
              <w:spacing w:before="0" w:beforeAutospacing="0" w:after="0" w:afterAutospacing="0"/>
              <w:ind w:left="57" w:right="57"/>
            </w:pPr>
            <w:r w:rsidRPr="00064053">
              <w:t>Cita informācija</w:t>
            </w:r>
          </w:p>
        </w:tc>
        <w:tc>
          <w:tcPr>
            <w:tcW w:w="3438" w:type="pct"/>
          </w:tcPr>
          <w:p w14:paraId="7C634CD4" w14:textId="77777777" w:rsidR="007F6B1C" w:rsidRPr="00064053" w:rsidRDefault="00315F17" w:rsidP="00EF3612">
            <w:pPr>
              <w:pStyle w:val="naiskr"/>
              <w:spacing w:before="0" w:beforeAutospacing="0" w:after="0" w:afterAutospacing="0"/>
              <w:ind w:right="57"/>
              <w:jc w:val="both"/>
            </w:pPr>
            <w:r>
              <w:t>Nav</w:t>
            </w:r>
            <w:r w:rsidR="00561AEC">
              <w:t>.</w:t>
            </w:r>
          </w:p>
        </w:tc>
      </w:tr>
    </w:tbl>
    <w:p w14:paraId="4C86F4A4" w14:textId="77777777" w:rsidR="00616AE9" w:rsidRPr="00064053" w:rsidRDefault="00616AE9" w:rsidP="00064053">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31"/>
        <w:gridCol w:w="5725"/>
      </w:tblGrid>
      <w:tr w:rsidR="007F6B1C" w:rsidRPr="00064053" w14:paraId="45BA6D44" w14:textId="77777777" w:rsidTr="00B6077A">
        <w:trPr>
          <w:trHeight w:val="556"/>
        </w:trPr>
        <w:tc>
          <w:tcPr>
            <w:tcW w:w="5000" w:type="pct"/>
            <w:gridSpan w:val="3"/>
            <w:vAlign w:val="center"/>
          </w:tcPr>
          <w:p w14:paraId="70642306" w14:textId="77777777" w:rsidR="007F6B1C" w:rsidRPr="002A0ED5" w:rsidRDefault="007F6B1C" w:rsidP="00064053">
            <w:pPr>
              <w:pStyle w:val="naisnod"/>
              <w:spacing w:before="0" w:beforeAutospacing="0" w:after="0" w:afterAutospacing="0"/>
              <w:ind w:left="57" w:right="57"/>
              <w:jc w:val="center"/>
              <w:rPr>
                <w:b/>
              </w:rPr>
            </w:pPr>
            <w:r w:rsidRPr="002A0ED5">
              <w:rPr>
                <w:b/>
              </w:rPr>
              <w:t>II. Tiesību akta projekta ietekme uz sabiedrību, tautsaimniecības attīstību</w:t>
            </w:r>
          </w:p>
          <w:p w14:paraId="4CA08927" w14:textId="77777777" w:rsidR="007F6B1C" w:rsidRPr="002A0ED5" w:rsidRDefault="007F6B1C" w:rsidP="00064053">
            <w:pPr>
              <w:pStyle w:val="naisnod"/>
              <w:spacing w:before="0" w:beforeAutospacing="0" w:after="0" w:afterAutospacing="0"/>
              <w:ind w:left="57" w:right="57"/>
              <w:jc w:val="center"/>
              <w:rPr>
                <w:b/>
              </w:rPr>
            </w:pPr>
            <w:r w:rsidRPr="002A0ED5">
              <w:rPr>
                <w:b/>
              </w:rPr>
              <w:t>un administratīvo slogu</w:t>
            </w:r>
          </w:p>
        </w:tc>
      </w:tr>
      <w:tr w:rsidR="007F6B1C" w:rsidRPr="00064053" w14:paraId="4703E75C" w14:textId="77777777" w:rsidTr="00B6077A">
        <w:trPr>
          <w:trHeight w:val="467"/>
        </w:trPr>
        <w:tc>
          <w:tcPr>
            <w:tcW w:w="234" w:type="pct"/>
          </w:tcPr>
          <w:p w14:paraId="1BFEAA37" w14:textId="77777777" w:rsidR="007F6B1C" w:rsidRPr="002A0ED5" w:rsidRDefault="007F6B1C" w:rsidP="00064053">
            <w:pPr>
              <w:pStyle w:val="naiskr"/>
              <w:spacing w:before="0" w:beforeAutospacing="0" w:after="0" w:afterAutospacing="0"/>
              <w:ind w:left="57" w:right="57"/>
              <w:jc w:val="both"/>
            </w:pPr>
            <w:r w:rsidRPr="002A0ED5">
              <w:t>1.</w:t>
            </w:r>
          </w:p>
        </w:tc>
        <w:tc>
          <w:tcPr>
            <w:tcW w:w="1614" w:type="pct"/>
          </w:tcPr>
          <w:p w14:paraId="13D4B1A9" w14:textId="77777777" w:rsidR="007F6B1C" w:rsidRPr="002A0ED5" w:rsidRDefault="007F6B1C" w:rsidP="00064053">
            <w:pPr>
              <w:pStyle w:val="naiskr"/>
              <w:spacing w:before="0" w:beforeAutospacing="0" w:after="0" w:afterAutospacing="0"/>
              <w:ind w:left="57" w:right="57"/>
            </w:pPr>
            <w:r w:rsidRPr="002A0ED5">
              <w:t>Sabiedrības mērķgrupas, kuras tiesiskais regulējums ietekmē vai varētu ietekmēt</w:t>
            </w:r>
          </w:p>
        </w:tc>
        <w:tc>
          <w:tcPr>
            <w:tcW w:w="3152" w:type="pct"/>
          </w:tcPr>
          <w:p w14:paraId="61B06447" w14:textId="6FF5D044" w:rsidR="0090424A" w:rsidRPr="002A0ED5" w:rsidRDefault="00C63FBF" w:rsidP="00B225D2">
            <w:pPr>
              <w:pStyle w:val="naiskr"/>
              <w:spacing w:before="0" w:after="0"/>
              <w:ind w:firstLine="240"/>
              <w:jc w:val="both"/>
            </w:pPr>
            <w:bookmarkStart w:id="1" w:name="p21"/>
            <w:bookmarkEnd w:id="1"/>
            <w:r w:rsidRPr="002A0ED5">
              <w:rPr>
                <w:iCs/>
              </w:rPr>
              <w:t>P</w:t>
            </w:r>
            <w:r w:rsidR="00C56E9E" w:rsidRPr="002A0ED5">
              <w:rPr>
                <w:iCs/>
              </w:rPr>
              <w:t>rojektā definētie maksas pakalpojum</w:t>
            </w:r>
            <w:r w:rsidR="00832D1D" w:rsidRPr="002A0ED5">
              <w:rPr>
                <w:iCs/>
              </w:rPr>
              <w:t>i provizoriski</w:t>
            </w:r>
            <w:r w:rsidR="00C56E9E" w:rsidRPr="002A0ED5">
              <w:rPr>
                <w:iCs/>
              </w:rPr>
              <w:t xml:space="preserve"> </w:t>
            </w:r>
            <w:r w:rsidR="00A451CA" w:rsidRPr="002A0ED5">
              <w:rPr>
                <w:iCs/>
              </w:rPr>
              <w:t xml:space="preserve">gadā </w:t>
            </w:r>
            <w:r w:rsidR="00C56E9E" w:rsidRPr="002A0ED5">
              <w:rPr>
                <w:iCs/>
              </w:rPr>
              <w:t>var tikt sniegti:</w:t>
            </w:r>
            <w:r w:rsidR="00C56E9E" w:rsidRPr="002A0ED5">
              <w:t xml:space="preserve"> </w:t>
            </w:r>
            <w:r w:rsidR="006476B9" w:rsidRPr="002A0ED5">
              <w:t>privātpersonām civilprocesā</w:t>
            </w:r>
            <w:r w:rsidR="00C56E9E" w:rsidRPr="002A0ED5">
              <w:t xml:space="preserve"> </w:t>
            </w:r>
            <w:r w:rsidR="00EF5B1A" w:rsidRPr="002A0ED5">
              <w:t xml:space="preserve">– </w:t>
            </w:r>
            <w:r w:rsidR="00785AA5" w:rsidRPr="002A0ED5">
              <w:t>6</w:t>
            </w:r>
            <w:r w:rsidR="00C56E9E" w:rsidRPr="002A0ED5">
              <w:t>0</w:t>
            </w:r>
            <w:r w:rsidR="006476B9" w:rsidRPr="002A0ED5">
              <w:t xml:space="preserve">, </w:t>
            </w:r>
            <w:r w:rsidR="00785AA5" w:rsidRPr="002A0ED5">
              <w:t xml:space="preserve">pamatojoties uz </w:t>
            </w:r>
            <w:r w:rsidR="003113BA" w:rsidRPr="002A0ED5">
              <w:t>iesniegumu</w:t>
            </w:r>
            <w:r w:rsidR="00373DA4" w:rsidRPr="002A0ED5">
              <w:t> </w:t>
            </w:r>
            <w:r w:rsidR="00C56E9E" w:rsidRPr="002A0ED5">
              <w:t xml:space="preserve">– </w:t>
            </w:r>
            <w:r w:rsidR="00D731CE" w:rsidRPr="002A0ED5">
              <w:t>40</w:t>
            </w:r>
            <w:r w:rsidR="002A0ED5">
              <w:t>.</w:t>
            </w:r>
          </w:p>
        </w:tc>
      </w:tr>
      <w:tr w:rsidR="002A699E" w:rsidRPr="00064053" w14:paraId="5B417AD5" w14:textId="77777777" w:rsidTr="00B6077A">
        <w:trPr>
          <w:trHeight w:val="523"/>
        </w:trPr>
        <w:tc>
          <w:tcPr>
            <w:tcW w:w="234" w:type="pct"/>
          </w:tcPr>
          <w:p w14:paraId="7BCFA004" w14:textId="77777777" w:rsidR="002A699E" w:rsidRPr="002A0ED5" w:rsidRDefault="002A699E" w:rsidP="00064053">
            <w:pPr>
              <w:pStyle w:val="naiskr"/>
              <w:spacing w:before="0" w:beforeAutospacing="0" w:after="0" w:afterAutospacing="0"/>
              <w:ind w:left="57" w:right="57"/>
              <w:jc w:val="both"/>
            </w:pPr>
            <w:r w:rsidRPr="002A0ED5">
              <w:t>2.</w:t>
            </w:r>
          </w:p>
        </w:tc>
        <w:tc>
          <w:tcPr>
            <w:tcW w:w="1614" w:type="pct"/>
          </w:tcPr>
          <w:p w14:paraId="673AB35C" w14:textId="77777777" w:rsidR="002A699E" w:rsidRPr="002A0ED5" w:rsidRDefault="002A699E" w:rsidP="00064053">
            <w:pPr>
              <w:pStyle w:val="naiskr"/>
              <w:spacing w:before="0" w:beforeAutospacing="0" w:after="0" w:afterAutospacing="0"/>
              <w:ind w:left="57" w:right="57"/>
            </w:pPr>
            <w:r w:rsidRPr="002A0ED5">
              <w:t>Tiesiskā regulējuma ietekme uz tautsaimniecību un administratīvo slogu</w:t>
            </w:r>
          </w:p>
        </w:tc>
        <w:tc>
          <w:tcPr>
            <w:tcW w:w="3152" w:type="pct"/>
          </w:tcPr>
          <w:p w14:paraId="51FFBEA4" w14:textId="77777777" w:rsidR="002A699E" w:rsidRPr="002A0ED5" w:rsidRDefault="00321382" w:rsidP="00064053">
            <w:pPr>
              <w:snapToGrid w:val="0"/>
              <w:spacing w:after="0" w:line="240" w:lineRule="auto"/>
              <w:ind w:firstLine="369"/>
              <w:jc w:val="both"/>
              <w:rPr>
                <w:rFonts w:ascii="Times New Roman" w:eastAsia="EUAlbertina_Bold" w:hAnsi="Times New Roman" w:cs="Times New Roman"/>
                <w:sz w:val="24"/>
                <w:szCs w:val="24"/>
              </w:rPr>
            </w:pPr>
            <w:r w:rsidRPr="002A0ED5">
              <w:rPr>
                <w:rFonts w:ascii="Times New Roman" w:eastAsia="EUAlbertina_Bold" w:hAnsi="Times New Roman" w:cs="Times New Roman"/>
                <w:sz w:val="24"/>
                <w:szCs w:val="24"/>
              </w:rPr>
              <w:t>Sabiedrības grupām un institūcijām projekta tiesiskais regulējums nemaina tiesības un pienākumus, kā arī veicamās darbības.</w:t>
            </w:r>
          </w:p>
        </w:tc>
      </w:tr>
      <w:tr w:rsidR="002A699E" w:rsidRPr="00064053" w14:paraId="3146DF96" w14:textId="77777777" w:rsidTr="00B6077A">
        <w:trPr>
          <w:trHeight w:val="523"/>
        </w:trPr>
        <w:tc>
          <w:tcPr>
            <w:tcW w:w="234" w:type="pct"/>
          </w:tcPr>
          <w:p w14:paraId="7A1234BD" w14:textId="77777777" w:rsidR="002A699E" w:rsidRPr="002A0ED5" w:rsidRDefault="002A699E" w:rsidP="00064053">
            <w:pPr>
              <w:pStyle w:val="naiskr"/>
              <w:spacing w:before="0" w:beforeAutospacing="0" w:after="0" w:afterAutospacing="0"/>
              <w:ind w:left="57" w:right="57"/>
              <w:jc w:val="both"/>
            </w:pPr>
            <w:r w:rsidRPr="002A0ED5">
              <w:t>3.</w:t>
            </w:r>
          </w:p>
        </w:tc>
        <w:tc>
          <w:tcPr>
            <w:tcW w:w="1614" w:type="pct"/>
          </w:tcPr>
          <w:p w14:paraId="277E1E10" w14:textId="77777777" w:rsidR="002A699E" w:rsidRPr="002A0ED5" w:rsidRDefault="002A699E" w:rsidP="00064053">
            <w:pPr>
              <w:pStyle w:val="naiskr"/>
              <w:spacing w:before="0" w:beforeAutospacing="0" w:after="0" w:afterAutospacing="0"/>
              <w:ind w:left="57" w:right="57"/>
            </w:pPr>
            <w:r w:rsidRPr="002A0ED5">
              <w:t>Administratīvo izmaksu monetārs novērtējums</w:t>
            </w:r>
          </w:p>
        </w:tc>
        <w:tc>
          <w:tcPr>
            <w:tcW w:w="3152" w:type="pct"/>
          </w:tcPr>
          <w:p w14:paraId="2C5418C4" w14:textId="77777777" w:rsidR="002A699E" w:rsidRPr="002A0ED5" w:rsidRDefault="00315F17" w:rsidP="00064053">
            <w:pPr>
              <w:snapToGrid w:val="0"/>
              <w:spacing w:after="0" w:line="240" w:lineRule="auto"/>
              <w:ind w:firstLine="369"/>
              <w:jc w:val="both"/>
              <w:rPr>
                <w:rFonts w:ascii="Times New Roman" w:eastAsia="EUAlbertina_Bold" w:hAnsi="Times New Roman" w:cs="Times New Roman"/>
                <w:sz w:val="24"/>
                <w:szCs w:val="24"/>
                <w:u w:val="single"/>
              </w:rPr>
            </w:pPr>
            <w:r w:rsidRPr="002A0ED5">
              <w:rPr>
                <w:rFonts w:ascii="Times New Roman" w:eastAsia="EUAlbertina_Bold" w:hAnsi="Times New Roman" w:cs="Times New Roman"/>
                <w:sz w:val="24"/>
                <w:szCs w:val="24"/>
              </w:rPr>
              <w:t>Projekts šo jomu neskar</w:t>
            </w:r>
            <w:r w:rsidR="00561AEC" w:rsidRPr="002A0ED5">
              <w:rPr>
                <w:rFonts w:ascii="Times New Roman" w:eastAsia="EUAlbertina_Bold" w:hAnsi="Times New Roman" w:cs="Times New Roman"/>
                <w:sz w:val="24"/>
                <w:szCs w:val="24"/>
              </w:rPr>
              <w:t>.</w:t>
            </w:r>
          </w:p>
        </w:tc>
      </w:tr>
      <w:tr w:rsidR="002A699E" w:rsidRPr="00064053" w14:paraId="0CB680B5" w14:textId="77777777" w:rsidTr="00B6077A">
        <w:trPr>
          <w:trHeight w:val="357"/>
        </w:trPr>
        <w:tc>
          <w:tcPr>
            <w:tcW w:w="234" w:type="pct"/>
          </w:tcPr>
          <w:p w14:paraId="06FC42CE" w14:textId="77777777" w:rsidR="002A699E" w:rsidRPr="002A0ED5" w:rsidRDefault="002A699E" w:rsidP="00064053">
            <w:pPr>
              <w:pStyle w:val="naiskr"/>
              <w:spacing w:before="0" w:beforeAutospacing="0" w:after="0" w:afterAutospacing="0"/>
              <w:ind w:left="57" w:right="57"/>
              <w:jc w:val="both"/>
            </w:pPr>
            <w:r w:rsidRPr="002A0ED5">
              <w:t>4.</w:t>
            </w:r>
          </w:p>
        </w:tc>
        <w:tc>
          <w:tcPr>
            <w:tcW w:w="1614" w:type="pct"/>
          </w:tcPr>
          <w:p w14:paraId="169B8CFD" w14:textId="77777777" w:rsidR="002A699E" w:rsidRPr="002A0ED5" w:rsidRDefault="002A699E" w:rsidP="00064053">
            <w:pPr>
              <w:pStyle w:val="naiskr"/>
              <w:spacing w:before="0" w:beforeAutospacing="0" w:after="0" w:afterAutospacing="0"/>
              <w:ind w:left="57" w:right="57"/>
            </w:pPr>
            <w:r w:rsidRPr="002A0ED5">
              <w:t>Cita informācija</w:t>
            </w:r>
          </w:p>
        </w:tc>
        <w:tc>
          <w:tcPr>
            <w:tcW w:w="3152" w:type="pct"/>
          </w:tcPr>
          <w:p w14:paraId="687C8991" w14:textId="77777777" w:rsidR="002A699E" w:rsidRPr="002A0ED5" w:rsidRDefault="00315F17" w:rsidP="00064053">
            <w:pPr>
              <w:spacing w:after="0" w:line="240" w:lineRule="auto"/>
              <w:ind w:firstLine="369"/>
              <w:jc w:val="both"/>
              <w:rPr>
                <w:rFonts w:ascii="Times New Roman" w:hAnsi="Times New Roman" w:cs="Times New Roman"/>
                <w:sz w:val="24"/>
                <w:szCs w:val="24"/>
              </w:rPr>
            </w:pPr>
            <w:r w:rsidRPr="002A0ED5">
              <w:rPr>
                <w:rFonts w:ascii="Times New Roman" w:hAnsi="Times New Roman" w:cs="Times New Roman"/>
                <w:sz w:val="24"/>
                <w:szCs w:val="24"/>
              </w:rPr>
              <w:t>Nav</w:t>
            </w:r>
            <w:r w:rsidR="00561AEC" w:rsidRPr="002A0ED5">
              <w:rPr>
                <w:rFonts w:ascii="Times New Roman" w:hAnsi="Times New Roman" w:cs="Times New Roman"/>
                <w:sz w:val="24"/>
                <w:szCs w:val="24"/>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056"/>
        <w:gridCol w:w="1478"/>
        <w:gridCol w:w="1483"/>
        <w:gridCol w:w="1483"/>
        <w:gridCol w:w="1479"/>
      </w:tblGrid>
      <w:tr w:rsidR="007A7AF6" w:rsidRPr="00064053" w14:paraId="186D9E56" w14:textId="77777777" w:rsidTr="00B6077A">
        <w:trPr>
          <w:trHeight w:val="361"/>
          <w:jc w:val="center"/>
        </w:trPr>
        <w:tc>
          <w:tcPr>
            <w:tcW w:w="5000" w:type="pct"/>
            <w:gridSpan w:val="6"/>
            <w:vAlign w:val="center"/>
          </w:tcPr>
          <w:p w14:paraId="50744AFD" w14:textId="3855425F" w:rsidR="007A7AF6" w:rsidRPr="00A87AB5" w:rsidRDefault="007A7AF6" w:rsidP="00FE423B">
            <w:pPr>
              <w:pStyle w:val="naisnod"/>
              <w:spacing w:before="0" w:beforeAutospacing="0" w:after="0" w:afterAutospacing="0"/>
              <w:jc w:val="center"/>
            </w:pPr>
            <w:r w:rsidRPr="00064053">
              <w:br w:type="page"/>
            </w:r>
            <w:r w:rsidRPr="00064053">
              <w:rPr>
                <w:b/>
              </w:rPr>
              <w:t>III. Tiesību akta projekta ietekme uz valsts budžetu un pašvaldību budžetiem</w:t>
            </w:r>
          </w:p>
        </w:tc>
      </w:tr>
      <w:tr w:rsidR="007A7AF6" w:rsidRPr="00064053" w14:paraId="375596EB" w14:textId="77777777" w:rsidTr="0057474F">
        <w:trPr>
          <w:jc w:val="center"/>
        </w:trPr>
        <w:tc>
          <w:tcPr>
            <w:tcW w:w="1249" w:type="pct"/>
            <w:vMerge w:val="restart"/>
            <w:vAlign w:val="center"/>
          </w:tcPr>
          <w:p w14:paraId="405FF53A" w14:textId="77777777" w:rsidR="007A7AF6" w:rsidRPr="00064053" w:rsidRDefault="007A7AF6" w:rsidP="00FE423B">
            <w:pPr>
              <w:pStyle w:val="naisf"/>
              <w:spacing w:before="0" w:beforeAutospacing="0" w:after="0" w:afterAutospacing="0"/>
              <w:jc w:val="center"/>
              <w:rPr>
                <w:b/>
              </w:rPr>
            </w:pPr>
            <w:r w:rsidRPr="00064053">
              <w:rPr>
                <w:b/>
              </w:rPr>
              <w:t>Rādītāji</w:t>
            </w:r>
          </w:p>
        </w:tc>
        <w:tc>
          <w:tcPr>
            <w:tcW w:w="1338" w:type="pct"/>
            <w:gridSpan w:val="2"/>
            <w:vMerge w:val="restart"/>
            <w:vAlign w:val="center"/>
          </w:tcPr>
          <w:p w14:paraId="3C4F7D73" w14:textId="77777777" w:rsidR="007A7AF6" w:rsidRPr="00064053" w:rsidRDefault="007A7AF6" w:rsidP="00FE423B">
            <w:pPr>
              <w:pStyle w:val="naisf"/>
              <w:spacing w:before="0" w:beforeAutospacing="0" w:after="0" w:afterAutospacing="0"/>
              <w:jc w:val="center"/>
              <w:rPr>
                <w:b/>
              </w:rPr>
            </w:pPr>
            <w:r w:rsidRPr="00064053">
              <w:rPr>
                <w:b/>
              </w:rPr>
              <w:t>201</w:t>
            </w:r>
            <w:r w:rsidR="00CA5126">
              <w:rPr>
                <w:b/>
              </w:rPr>
              <w:t>7</w:t>
            </w:r>
          </w:p>
        </w:tc>
        <w:tc>
          <w:tcPr>
            <w:tcW w:w="2413" w:type="pct"/>
            <w:gridSpan w:val="3"/>
            <w:vAlign w:val="center"/>
          </w:tcPr>
          <w:p w14:paraId="508C7447" w14:textId="77777777" w:rsidR="007A7AF6" w:rsidRPr="00064053" w:rsidRDefault="007A7AF6" w:rsidP="00FE423B">
            <w:pPr>
              <w:pStyle w:val="naisf"/>
              <w:spacing w:before="0" w:beforeAutospacing="0" w:after="0" w:afterAutospacing="0"/>
              <w:jc w:val="center"/>
              <w:rPr>
                <w:b/>
                <w:i/>
              </w:rPr>
            </w:pPr>
            <w:r w:rsidRPr="00064053">
              <w:t>Turpmākie trīs gadi (</w:t>
            </w:r>
            <w:proofErr w:type="spellStart"/>
            <w:r w:rsidRPr="00064053">
              <w:rPr>
                <w:i/>
              </w:rPr>
              <w:t>euro</w:t>
            </w:r>
            <w:proofErr w:type="spellEnd"/>
            <w:r w:rsidRPr="00064053">
              <w:t>)</w:t>
            </w:r>
          </w:p>
        </w:tc>
      </w:tr>
      <w:tr w:rsidR="007A7AF6" w:rsidRPr="00064053" w14:paraId="77161AFA" w14:textId="77777777" w:rsidTr="0057474F">
        <w:trPr>
          <w:jc w:val="center"/>
        </w:trPr>
        <w:tc>
          <w:tcPr>
            <w:tcW w:w="1249" w:type="pct"/>
            <w:vMerge/>
            <w:vAlign w:val="center"/>
          </w:tcPr>
          <w:p w14:paraId="698B8804" w14:textId="77777777" w:rsidR="007A7AF6" w:rsidRPr="00064053" w:rsidRDefault="007A7AF6" w:rsidP="00FE423B">
            <w:pPr>
              <w:pStyle w:val="naisf"/>
              <w:spacing w:before="0" w:beforeAutospacing="0" w:after="0" w:afterAutospacing="0"/>
              <w:jc w:val="center"/>
              <w:rPr>
                <w:b/>
                <w:i/>
              </w:rPr>
            </w:pPr>
          </w:p>
        </w:tc>
        <w:tc>
          <w:tcPr>
            <w:tcW w:w="1338" w:type="pct"/>
            <w:gridSpan w:val="2"/>
            <w:vMerge/>
            <w:vAlign w:val="center"/>
          </w:tcPr>
          <w:p w14:paraId="28EDE8B5" w14:textId="77777777" w:rsidR="007A7AF6" w:rsidRPr="00064053" w:rsidRDefault="007A7AF6" w:rsidP="00FE423B">
            <w:pPr>
              <w:pStyle w:val="naisf"/>
              <w:spacing w:before="0" w:beforeAutospacing="0" w:after="0" w:afterAutospacing="0"/>
              <w:jc w:val="center"/>
              <w:rPr>
                <w:b/>
                <w:i/>
              </w:rPr>
            </w:pPr>
          </w:p>
        </w:tc>
        <w:tc>
          <w:tcPr>
            <w:tcW w:w="805" w:type="pct"/>
            <w:vAlign w:val="center"/>
          </w:tcPr>
          <w:p w14:paraId="4A0526C5" w14:textId="77777777" w:rsidR="007A7AF6" w:rsidRPr="00064053" w:rsidRDefault="007A7AF6" w:rsidP="00FE423B">
            <w:pPr>
              <w:pStyle w:val="naisf"/>
              <w:spacing w:before="0" w:beforeAutospacing="0" w:after="0" w:afterAutospacing="0"/>
              <w:jc w:val="center"/>
              <w:rPr>
                <w:b/>
                <w:i/>
              </w:rPr>
            </w:pPr>
            <w:r w:rsidRPr="00064053">
              <w:rPr>
                <w:b/>
                <w:bCs/>
              </w:rPr>
              <w:t>201</w:t>
            </w:r>
            <w:r w:rsidR="00CA5126">
              <w:rPr>
                <w:b/>
                <w:bCs/>
              </w:rPr>
              <w:t>8</w:t>
            </w:r>
          </w:p>
        </w:tc>
        <w:tc>
          <w:tcPr>
            <w:tcW w:w="805" w:type="pct"/>
            <w:vAlign w:val="center"/>
          </w:tcPr>
          <w:p w14:paraId="42AD2430" w14:textId="77777777" w:rsidR="007A7AF6" w:rsidRPr="00064053" w:rsidRDefault="007A7AF6" w:rsidP="00FE423B">
            <w:pPr>
              <w:pStyle w:val="naisf"/>
              <w:spacing w:before="0" w:beforeAutospacing="0" w:after="0" w:afterAutospacing="0"/>
              <w:jc w:val="center"/>
              <w:rPr>
                <w:b/>
                <w:i/>
              </w:rPr>
            </w:pPr>
            <w:r w:rsidRPr="00064053">
              <w:rPr>
                <w:b/>
                <w:bCs/>
              </w:rPr>
              <w:t>201</w:t>
            </w:r>
            <w:r w:rsidR="00CA5126">
              <w:rPr>
                <w:b/>
                <w:bCs/>
              </w:rPr>
              <w:t>9</w:t>
            </w:r>
          </w:p>
        </w:tc>
        <w:tc>
          <w:tcPr>
            <w:tcW w:w="804" w:type="pct"/>
            <w:vAlign w:val="center"/>
          </w:tcPr>
          <w:p w14:paraId="0752305D" w14:textId="77777777" w:rsidR="007A7AF6" w:rsidRPr="00064053" w:rsidRDefault="00CA5126" w:rsidP="00CA5126">
            <w:pPr>
              <w:pStyle w:val="naisf"/>
              <w:spacing w:before="0" w:beforeAutospacing="0" w:after="0" w:afterAutospacing="0"/>
              <w:jc w:val="center"/>
              <w:rPr>
                <w:b/>
                <w:i/>
              </w:rPr>
            </w:pPr>
            <w:r w:rsidRPr="00064053">
              <w:rPr>
                <w:b/>
                <w:bCs/>
              </w:rPr>
              <w:t>20</w:t>
            </w:r>
            <w:r>
              <w:rPr>
                <w:b/>
                <w:bCs/>
              </w:rPr>
              <w:t>20</w:t>
            </w:r>
          </w:p>
        </w:tc>
      </w:tr>
      <w:tr w:rsidR="007A7AF6" w:rsidRPr="00064053" w14:paraId="46E644E3" w14:textId="77777777" w:rsidTr="0057474F">
        <w:trPr>
          <w:jc w:val="center"/>
        </w:trPr>
        <w:tc>
          <w:tcPr>
            <w:tcW w:w="1249" w:type="pct"/>
            <w:vMerge/>
            <w:vAlign w:val="center"/>
          </w:tcPr>
          <w:p w14:paraId="2615D5B1" w14:textId="77777777" w:rsidR="007A7AF6" w:rsidRPr="00064053" w:rsidRDefault="007A7AF6" w:rsidP="00FE423B">
            <w:pPr>
              <w:pStyle w:val="naisf"/>
              <w:spacing w:before="0" w:beforeAutospacing="0" w:after="0" w:afterAutospacing="0"/>
              <w:jc w:val="center"/>
              <w:rPr>
                <w:b/>
                <w:i/>
              </w:rPr>
            </w:pPr>
          </w:p>
        </w:tc>
        <w:tc>
          <w:tcPr>
            <w:tcW w:w="536" w:type="pct"/>
            <w:vAlign w:val="center"/>
          </w:tcPr>
          <w:p w14:paraId="2EB3BE4B" w14:textId="77777777" w:rsidR="007A7AF6" w:rsidRPr="0057474F" w:rsidRDefault="007A7AF6" w:rsidP="00FE423B">
            <w:pPr>
              <w:pStyle w:val="naisf"/>
              <w:spacing w:before="0" w:beforeAutospacing="0" w:after="0" w:afterAutospacing="0"/>
              <w:jc w:val="center"/>
              <w:rPr>
                <w:b/>
                <w:i/>
                <w:szCs w:val="20"/>
              </w:rPr>
            </w:pPr>
            <w:r w:rsidRPr="0057474F">
              <w:rPr>
                <w:szCs w:val="20"/>
              </w:rPr>
              <w:t xml:space="preserve">saskaņā ar valsts budžetu </w:t>
            </w:r>
            <w:r w:rsidRPr="0057474F">
              <w:rPr>
                <w:szCs w:val="20"/>
              </w:rPr>
              <w:lastRenderedPageBreak/>
              <w:t>kārtējam gadam</w:t>
            </w:r>
          </w:p>
        </w:tc>
        <w:tc>
          <w:tcPr>
            <w:tcW w:w="802" w:type="pct"/>
            <w:vAlign w:val="center"/>
          </w:tcPr>
          <w:p w14:paraId="409818AA" w14:textId="77777777" w:rsidR="007A7AF6" w:rsidRPr="0057474F" w:rsidRDefault="007A7AF6" w:rsidP="00FE423B">
            <w:pPr>
              <w:pStyle w:val="naisf"/>
              <w:spacing w:before="0" w:beforeAutospacing="0" w:after="0" w:afterAutospacing="0"/>
              <w:jc w:val="center"/>
              <w:rPr>
                <w:b/>
                <w:i/>
                <w:szCs w:val="20"/>
              </w:rPr>
            </w:pPr>
            <w:r w:rsidRPr="0057474F">
              <w:rPr>
                <w:szCs w:val="20"/>
              </w:rPr>
              <w:lastRenderedPageBreak/>
              <w:t xml:space="preserve">izmaiņas kārtējā gadā, salīdzinot ar </w:t>
            </w:r>
            <w:r w:rsidRPr="0057474F">
              <w:rPr>
                <w:szCs w:val="20"/>
              </w:rPr>
              <w:lastRenderedPageBreak/>
              <w:t>budžetu kārtējam gadam</w:t>
            </w:r>
          </w:p>
        </w:tc>
        <w:tc>
          <w:tcPr>
            <w:tcW w:w="805" w:type="pct"/>
            <w:vAlign w:val="center"/>
          </w:tcPr>
          <w:p w14:paraId="25F70E4C" w14:textId="77777777" w:rsidR="007A7AF6" w:rsidRPr="0057474F" w:rsidRDefault="007A7AF6" w:rsidP="00FE423B">
            <w:pPr>
              <w:pStyle w:val="naisf"/>
              <w:spacing w:before="0" w:beforeAutospacing="0" w:after="0" w:afterAutospacing="0"/>
              <w:jc w:val="center"/>
              <w:rPr>
                <w:b/>
                <w:i/>
                <w:szCs w:val="20"/>
              </w:rPr>
            </w:pPr>
            <w:r w:rsidRPr="0057474F">
              <w:rPr>
                <w:szCs w:val="20"/>
              </w:rPr>
              <w:lastRenderedPageBreak/>
              <w:t>izmaiņas, salīdzinot ar 201</w:t>
            </w:r>
            <w:r w:rsidR="00CA5126" w:rsidRPr="0057474F">
              <w:rPr>
                <w:szCs w:val="20"/>
              </w:rPr>
              <w:t>7</w:t>
            </w:r>
            <w:r w:rsidRPr="0057474F">
              <w:rPr>
                <w:szCs w:val="20"/>
              </w:rPr>
              <w:t>.</w:t>
            </w:r>
            <w:r w:rsidR="00A063D2" w:rsidRPr="0057474F">
              <w:rPr>
                <w:szCs w:val="20"/>
              </w:rPr>
              <w:t> </w:t>
            </w:r>
            <w:r w:rsidRPr="0057474F">
              <w:rPr>
                <w:szCs w:val="20"/>
              </w:rPr>
              <w:t>gadu</w:t>
            </w:r>
          </w:p>
        </w:tc>
        <w:tc>
          <w:tcPr>
            <w:tcW w:w="805" w:type="pct"/>
            <w:vAlign w:val="center"/>
          </w:tcPr>
          <w:p w14:paraId="11EC399A" w14:textId="77777777" w:rsidR="007A7AF6" w:rsidRPr="0057474F" w:rsidRDefault="007A7AF6" w:rsidP="00FE423B">
            <w:pPr>
              <w:pStyle w:val="naisf"/>
              <w:spacing w:before="0" w:beforeAutospacing="0" w:after="0" w:afterAutospacing="0"/>
              <w:jc w:val="center"/>
              <w:rPr>
                <w:b/>
                <w:i/>
                <w:szCs w:val="20"/>
              </w:rPr>
            </w:pPr>
            <w:r w:rsidRPr="0057474F">
              <w:rPr>
                <w:szCs w:val="20"/>
              </w:rPr>
              <w:t>izmaiņas, salīdzinot ar 201</w:t>
            </w:r>
            <w:r w:rsidR="00CA5126" w:rsidRPr="0057474F">
              <w:rPr>
                <w:szCs w:val="20"/>
              </w:rPr>
              <w:t>7</w:t>
            </w:r>
            <w:r w:rsidRPr="0057474F">
              <w:rPr>
                <w:szCs w:val="20"/>
              </w:rPr>
              <w:t>.</w:t>
            </w:r>
            <w:r w:rsidR="00A063D2" w:rsidRPr="0057474F">
              <w:rPr>
                <w:szCs w:val="20"/>
              </w:rPr>
              <w:t> </w:t>
            </w:r>
            <w:r w:rsidRPr="0057474F">
              <w:rPr>
                <w:szCs w:val="20"/>
              </w:rPr>
              <w:t>gadu</w:t>
            </w:r>
          </w:p>
        </w:tc>
        <w:tc>
          <w:tcPr>
            <w:tcW w:w="804" w:type="pct"/>
            <w:vAlign w:val="center"/>
          </w:tcPr>
          <w:p w14:paraId="2E6A8111" w14:textId="77777777" w:rsidR="007A7AF6" w:rsidRPr="0057474F" w:rsidRDefault="007A7AF6" w:rsidP="00FE423B">
            <w:pPr>
              <w:pStyle w:val="naisf"/>
              <w:spacing w:before="0" w:beforeAutospacing="0" w:after="0" w:afterAutospacing="0"/>
              <w:jc w:val="center"/>
              <w:rPr>
                <w:b/>
                <w:i/>
                <w:szCs w:val="20"/>
              </w:rPr>
            </w:pPr>
            <w:r w:rsidRPr="0057474F">
              <w:rPr>
                <w:szCs w:val="20"/>
              </w:rPr>
              <w:t>izmaiņas, salīdzinot ar 201</w:t>
            </w:r>
            <w:r w:rsidR="00CA5126" w:rsidRPr="0057474F">
              <w:rPr>
                <w:szCs w:val="20"/>
              </w:rPr>
              <w:t>7</w:t>
            </w:r>
            <w:r w:rsidRPr="0057474F">
              <w:rPr>
                <w:szCs w:val="20"/>
              </w:rPr>
              <w:t>.</w:t>
            </w:r>
            <w:r w:rsidR="00A063D2" w:rsidRPr="0057474F">
              <w:rPr>
                <w:szCs w:val="20"/>
              </w:rPr>
              <w:t> </w:t>
            </w:r>
            <w:r w:rsidRPr="0057474F">
              <w:rPr>
                <w:szCs w:val="20"/>
              </w:rPr>
              <w:t>gadu</w:t>
            </w:r>
          </w:p>
        </w:tc>
      </w:tr>
      <w:tr w:rsidR="007A7AF6" w:rsidRPr="00064053" w14:paraId="3409CBD0" w14:textId="77777777" w:rsidTr="0057474F">
        <w:trPr>
          <w:jc w:val="center"/>
        </w:trPr>
        <w:tc>
          <w:tcPr>
            <w:tcW w:w="1249" w:type="pct"/>
            <w:vAlign w:val="center"/>
          </w:tcPr>
          <w:p w14:paraId="0AED9EE5" w14:textId="77777777" w:rsidR="007A7AF6" w:rsidRPr="00064053" w:rsidRDefault="007A7AF6" w:rsidP="00FE423B">
            <w:pPr>
              <w:pStyle w:val="naisf"/>
              <w:spacing w:before="0" w:beforeAutospacing="0" w:after="0" w:afterAutospacing="0"/>
              <w:jc w:val="center"/>
              <w:rPr>
                <w:bCs/>
              </w:rPr>
            </w:pPr>
            <w:r w:rsidRPr="00064053">
              <w:rPr>
                <w:bCs/>
              </w:rPr>
              <w:lastRenderedPageBreak/>
              <w:t>1</w:t>
            </w:r>
          </w:p>
        </w:tc>
        <w:tc>
          <w:tcPr>
            <w:tcW w:w="536" w:type="pct"/>
            <w:vAlign w:val="center"/>
          </w:tcPr>
          <w:p w14:paraId="58F57648" w14:textId="77777777" w:rsidR="007A7AF6" w:rsidRPr="00064053" w:rsidRDefault="007A7AF6" w:rsidP="00FE423B">
            <w:pPr>
              <w:pStyle w:val="naisf"/>
              <w:spacing w:before="0" w:beforeAutospacing="0" w:after="0" w:afterAutospacing="0"/>
              <w:jc w:val="center"/>
              <w:rPr>
                <w:bCs/>
              </w:rPr>
            </w:pPr>
            <w:r w:rsidRPr="00064053">
              <w:rPr>
                <w:bCs/>
              </w:rPr>
              <w:t>2</w:t>
            </w:r>
          </w:p>
        </w:tc>
        <w:tc>
          <w:tcPr>
            <w:tcW w:w="802" w:type="pct"/>
            <w:vAlign w:val="center"/>
          </w:tcPr>
          <w:p w14:paraId="5BC77FBF" w14:textId="77777777" w:rsidR="007A7AF6" w:rsidRPr="00064053" w:rsidRDefault="007A7AF6" w:rsidP="00FE423B">
            <w:pPr>
              <w:pStyle w:val="naisf"/>
              <w:spacing w:before="0" w:beforeAutospacing="0" w:after="0" w:afterAutospacing="0"/>
              <w:jc w:val="center"/>
              <w:rPr>
                <w:bCs/>
              </w:rPr>
            </w:pPr>
            <w:r w:rsidRPr="00064053">
              <w:rPr>
                <w:bCs/>
              </w:rPr>
              <w:t>3</w:t>
            </w:r>
          </w:p>
        </w:tc>
        <w:tc>
          <w:tcPr>
            <w:tcW w:w="805" w:type="pct"/>
            <w:vAlign w:val="center"/>
          </w:tcPr>
          <w:p w14:paraId="0F7CA931" w14:textId="77777777" w:rsidR="007A7AF6" w:rsidRPr="00064053" w:rsidRDefault="007A7AF6" w:rsidP="00FE423B">
            <w:pPr>
              <w:pStyle w:val="naisf"/>
              <w:spacing w:before="0" w:beforeAutospacing="0" w:after="0" w:afterAutospacing="0"/>
              <w:jc w:val="center"/>
              <w:rPr>
                <w:bCs/>
              </w:rPr>
            </w:pPr>
            <w:r w:rsidRPr="00064053">
              <w:rPr>
                <w:bCs/>
              </w:rPr>
              <w:t>4</w:t>
            </w:r>
          </w:p>
        </w:tc>
        <w:tc>
          <w:tcPr>
            <w:tcW w:w="805" w:type="pct"/>
            <w:vAlign w:val="center"/>
          </w:tcPr>
          <w:p w14:paraId="3C73785F" w14:textId="77777777" w:rsidR="007A7AF6" w:rsidRPr="00064053" w:rsidRDefault="007A7AF6" w:rsidP="00FE423B">
            <w:pPr>
              <w:pStyle w:val="naisf"/>
              <w:spacing w:before="0" w:beforeAutospacing="0" w:after="0" w:afterAutospacing="0"/>
              <w:jc w:val="center"/>
              <w:rPr>
                <w:bCs/>
              </w:rPr>
            </w:pPr>
            <w:r w:rsidRPr="00064053">
              <w:rPr>
                <w:bCs/>
              </w:rPr>
              <w:t>5</w:t>
            </w:r>
          </w:p>
        </w:tc>
        <w:tc>
          <w:tcPr>
            <w:tcW w:w="804" w:type="pct"/>
            <w:vAlign w:val="center"/>
          </w:tcPr>
          <w:p w14:paraId="34DD9780" w14:textId="77777777" w:rsidR="007A7AF6" w:rsidRPr="00064053" w:rsidRDefault="007A7AF6" w:rsidP="00FE423B">
            <w:pPr>
              <w:pStyle w:val="naisf"/>
              <w:spacing w:before="0" w:beforeAutospacing="0" w:after="0" w:afterAutospacing="0"/>
              <w:jc w:val="center"/>
              <w:rPr>
                <w:bCs/>
              </w:rPr>
            </w:pPr>
            <w:r w:rsidRPr="00064053">
              <w:rPr>
                <w:bCs/>
              </w:rPr>
              <w:t>6</w:t>
            </w:r>
          </w:p>
        </w:tc>
      </w:tr>
      <w:tr w:rsidR="00993B37" w:rsidRPr="00064053" w14:paraId="7F602CEE" w14:textId="77777777" w:rsidTr="0057474F">
        <w:trPr>
          <w:trHeight w:val="989"/>
          <w:jc w:val="center"/>
        </w:trPr>
        <w:tc>
          <w:tcPr>
            <w:tcW w:w="1249" w:type="pct"/>
          </w:tcPr>
          <w:p w14:paraId="76DCBAE2" w14:textId="77777777" w:rsidR="00993B37" w:rsidRPr="00064053" w:rsidRDefault="00993B37" w:rsidP="00993B37">
            <w:pPr>
              <w:pStyle w:val="naisf"/>
              <w:spacing w:before="0" w:beforeAutospacing="0" w:after="0" w:afterAutospacing="0"/>
            </w:pPr>
            <w:r w:rsidRPr="00064053">
              <w:t>1. Budžeta ieņēmumi:</w:t>
            </w:r>
          </w:p>
          <w:p w14:paraId="0CFA6585" w14:textId="77777777" w:rsidR="00993B37" w:rsidRPr="00064053" w:rsidRDefault="00993B37" w:rsidP="00993B37">
            <w:pPr>
              <w:pStyle w:val="naisf"/>
              <w:spacing w:before="0" w:beforeAutospacing="0" w:after="0" w:afterAutospacing="0"/>
            </w:pPr>
          </w:p>
        </w:tc>
        <w:tc>
          <w:tcPr>
            <w:tcW w:w="536" w:type="pct"/>
          </w:tcPr>
          <w:p w14:paraId="7D1544B4" w14:textId="2C0326D9" w:rsidR="00993B37" w:rsidRPr="00064053" w:rsidRDefault="00993B37" w:rsidP="00993B37">
            <w:pPr>
              <w:pStyle w:val="naisf"/>
              <w:spacing w:before="0" w:beforeAutospacing="0" w:after="0" w:afterAutospacing="0"/>
              <w:jc w:val="center"/>
            </w:pPr>
            <w:r>
              <w:t>14</w:t>
            </w:r>
            <w:r w:rsidR="001635D3">
              <w:t> </w:t>
            </w:r>
            <w:r>
              <w:t>229</w:t>
            </w:r>
          </w:p>
        </w:tc>
        <w:tc>
          <w:tcPr>
            <w:tcW w:w="802" w:type="pct"/>
          </w:tcPr>
          <w:p w14:paraId="33F99FBB" w14:textId="70812BBA" w:rsidR="00993B37" w:rsidRPr="00064053" w:rsidRDefault="00D815FD" w:rsidP="00911E85">
            <w:pPr>
              <w:pStyle w:val="naisf"/>
              <w:spacing w:before="0" w:beforeAutospacing="0" w:after="0" w:afterAutospacing="0"/>
              <w:jc w:val="center"/>
            </w:pPr>
            <w:r>
              <w:t>52</w:t>
            </w:r>
            <w:r w:rsidR="00911E85">
              <w:t>18</w:t>
            </w:r>
          </w:p>
        </w:tc>
        <w:tc>
          <w:tcPr>
            <w:tcW w:w="805" w:type="pct"/>
          </w:tcPr>
          <w:p w14:paraId="0A71A9F8" w14:textId="2884E62E"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5" w:type="pct"/>
          </w:tcPr>
          <w:p w14:paraId="45924B30" w14:textId="25959D98"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4" w:type="pct"/>
          </w:tcPr>
          <w:p w14:paraId="185B3DD7" w14:textId="08DBF863" w:rsidR="00993B37" w:rsidRPr="00064053" w:rsidRDefault="00993B37" w:rsidP="00911E85">
            <w:pPr>
              <w:pStyle w:val="naisf"/>
              <w:spacing w:before="0" w:beforeAutospacing="0" w:after="0" w:afterAutospacing="0"/>
              <w:jc w:val="center"/>
            </w:pPr>
            <w:r>
              <w:t>10</w:t>
            </w:r>
            <w:r w:rsidR="001635D3">
              <w:t> </w:t>
            </w:r>
            <w:r w:rsidR="00D815FD">
              <w:t>4</w:t>
            </w:r>
            <w:r w:rsidR="00911E85">
              <w:t>22</w:t>
            </w:r>
          </w:p>
        </w:tc>
      </w:tr>
      <w:tr w:rsidR="00993B37" w:rsidRPr="00064053" w14:paraId="2DF8A38C" w14:textId="77777777" w:rsidTr="0057474F">
        <w:trPr>
          <w:jc w:val="center"/>
        </w:trPr>
        <w:tc>
          <w:tcPr>
            <w:tcW w:w="1249" w:type="pct"/>
          </w:tcPr>
          <w:p w14:paraId="27A89FC6" w14:textId="77777777" w:rsidR="00993B37" w:rsidRPr="00BB323A" w:rsidRDefault="00993B37" w:rsidP="00993B37">
            <w:pPr>
              <w:pStyle w:val="naisf"/>
              <w:spacing w:before="0" w:beforeAutospacing="0" w:after="0" w:afterAutospacing="0"/>
            </w:pPr>
            <w:r w:rsidRPr="00064053">
              <w:t>1.1. valsts pamatbudžets, tai skaitā ieņēmumi no maksas pakalpojumiem un citi pašu ieņēmumi</w:t>
            </w:r>
          </w:p>
        </w:tc>
        <w:tc>
          <w:tcPr>
            <w:tcW w:w="536" w:type="pct"/>
          </w:tcPr>
          <w:p w14:paraId="0B062568" w14:textId="070C1919" w:rsidR="00993B37" w:rsidRPr="00064053" w:rsidRDefault="00993B37" w:rsidP="00993B37">
            <w:pPr>
              <w:pStyle w:val="naisf"/>
              <w:spacing w:before="0" w:beforeAutospacing="0" w:after="0" w:afterAutospacing="0"/>
              <w:jc w:val="center"/>
            </w:pPr>
            <w:r>
              <w:t>14</w:t>
            </w:r>
            <w:r w:rsidR="001635D3">
              <w:t> </w:t>
            </w:r>
            <w:r>
              <w:t>229</w:t>
            </w:r>
          </w:p>
        </w:tc>
        <w:tc>
          <w:tcPr>
            <w:tcW w:w="802" w:type="pct"/>
          </w:tcPr>
          <w:p w14:paraId="05D5BC49" w14:textId="31B5FB39" w:rsidR="00993B37" w:rsidRPr="00064053" w:rsidRDefault="00D815FD" w:rsidP="00911E85">
            <w:pPr>
              <w:pStyle w:val="naisf"/>
              <w:spacing w:before="0" w:beforeAutospacing="0" w:after="0" w:afterAutospacing="0"/>
              <w:jc w:val="center"/>
            </w:pPr>
            <w:r>
              <w:t>52</w:t>
            </w:r>
            <w:r w:rsidR="00911E85">
              <w:t>18</w:t>
            </w:r>
          </w:p>
        </w:tc>
        <w:tc>
          <w:tcPr>
            <w:tcW w:w="805" w:type="pct"/>
          </w:tcPr>
          <w:p w14:paraId="73A4E427" w14:textId="10DE284B"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5" w:type="pct"/>
          </w:tcPr>
          <w:p w14:paraId="17D1AFBF" w14:textId="5FEA2AD7"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4" w:type="pct"/>
          </w:tcPr>
          <w:p w14:paraId="624FE45D" w14:textId="15E82713" w:rsidR="00993B37" w:rsidRPr="00064053" w:rsidRDefault="00D815FD" w:rsidP="00911E85">
            <w:pPr>
              <w:pStyle w:val="naisf"/>
              <w:spacing w:before="0" w:beforeAutospacing="0" w:after="0" w:afterAutospacing="0"/>
              <w:jc w:val="center"/>
            </w:pPr>
            <w:r>
              <w:t>10</w:t>
            </w:r>
            <w:r w:rsidR="001635D3">
              <w:t> </w:t>
            </w:r>
            <w:r>
              <w:t>4</w:t>
            </w:r>
            <w:r w:rsidR="00911E85">
              <w:t>22</w:t>
            </w:r>
          </w:p>
        </w:tc>
      </w:tr>
      <w:tr w:rsidR="00993B37" w:rsidRPr="00064053" w14:paraId="71CFD874" w14:textId="77777777" w:rsidTr="0057474F">
        <w:trPr>
          <w:jc w:val="center"/>
        </w:trPr>
        <w:tc>
          <w:tcPr>
            <w:tcW w:w="1249" w:type="pct"/>
          </w:tcPr>
          <w:p w14:paraId="36A6EA95" w14:textId="77777777" w:rsidR="00993B37" w:rsidRPr="00064053" w:rsidRDefault="00993B37" w:rsidP="00993B37">
            <w:pPr>
              <w:pStyle w:val="naisf"/>
              <w:spacing w:before="0" w:beforeAutospacing="0" w:after="0" w:afterAutospacing="0"/>
              <w:rPr>
                <w:i/>
              </w:rPr>
            </w:pPr>
            <w:r w:rsidRPr="00064053">
              <w:t>1.2. valsts speciālais budžets</w:t>
            </w:r>
          </w:p>
        </w:tc>
        <w:tc>
          <w:tcPr>
            <w:tcW w:w="536" w:type="pct"/>
          </w:tcPr>
          <w:p w14:paraId="3C821CDD" w14:textId="77777777" w:rsidR="00993B37" w:rsidRPr="00064053" w:rsidRDefault="00993B37" w:rsidP="00993B37">
            <w:pPr>
              <w:pStyle w:val="naisf"/>
              <w:spacing w:before="0" w:beforeAutospacing="0" w:after="0" w:afterAutospacing="0"/>
              <w:jc w:val="center"/>
            </w:pPr>
            <w:r>
              <w:t>0</w:t>
            </w:r>
          </w:p>
        </w:tc>
        <w:tc>
          <w:tcPr>
            <w:tcW w:w="802" w:type="pct"/>
          </w:tcPr>
          <w:p w14:paraId="669A0FBE" w14:textId="77777777" w:rsidR="00993B37" w:rsidRPr="00064053" w:rsidRDefault="00993B37" w:rsidP="00993B37">
            <w:pPr>
              <w:pStyle w:val="naisf"/>
              <w:spacing w:before="0" w:beforeAutospacing="0" w:after="0" w:afterAutospacing="0"/>
              <w:jc w:val="center"/>
            </w:pPr>
            <w:r>
              <w:t>0</w:t>
            </w:r>
          </w:p>
        </w:tc>
        <w:tc>
          <w:tcPr>
            <w:tcW w:w="805" w:type="pct"/>
          </w:tcPr>
          <w:p w14:paraId="3F5AD479" w14:textId="77777777" w:rsidR="00993B37" w:rsidRPr="00064053" w:rsidRDefault="00993B37" w:rsidP="00993B37">
            <w:pPr>
              <w:pStyle w:val="naisf"/>
              <w:spacing w:before="0" w:beforeAutospacing="0" w:after="0" w:afterAutospacing="0"/>
              <w:jc w:val="center"/>
            </w:pPr>
            <w:r>
              <w:t>0</w:t>
            </w:r>
          </w:p>
        </w:tc>
        <w:tc>
          <w:tcPr>
            <w:tcW w:w="805" w:type="pct"/>
          </w:tcPr>
          <w:p w14:paraId="1A9607BE" w14:textId="77777777" w:rsidR="00993B37" w:rsidRPr="00064053" w:rsidRDefault="00993B37" w:rsidP="00993B37">
            <w:pPr>
              <w:pStyle w:val="naisf"/>
              <w:spacing w:before="0" w:beforeAutospacing="0" w:after="0" w:afterAutospacing="0"/>
              <w:jc w:val="center"/>
            </w:pPr>
            <w:r>
              <w:t>0</w:t>
            </w:r>
          </w:p>
        </w:tc>
        <w:tc>
          <w:tcPr>
            <w:tcW w:w="804" w:type="pct"/>
          </w:tcPr>
          <w:p w14:paraId="08B3B914" w14:textId="77777777" w:rsidR="00993B37" w:rsidRPr="00064053" w:rsidRDefault="00993B37" w:rsidP="00993B37">
            <w:pPr>
              <w:pStyle w:val="naisf"/>
              <w:spacing w:before="0" w:beforeAutospacing="0" w:after="0" w:afterAutospacing="0"/>
              <w:jc w:val="center"/>
            </w:pPr>
            <w:r>
              <w:t>0</w:t>
            </w:r>
          </w:p>
        </w:tc>
      </w:tr>
      <w:tr w:rsidR="00993B37" w:rsidRPr="00064053" w14:paraId="6C6EEBB6" w14:textId="77777777" w:rsidTr="0057474F">
        <w:trPr>
          <w:jc w:val="center"/>
        </w:trPr>
        <w:tc>
          <w:tcPr>
            <w:tcW w:w="1249" w:type="pct"/>
          </w:tcPr>
          <w:p w14:paraId="4DAFD014" w14:textId="77777777" w:rsidR="00993B37" w:rsidRPr="00064053" w:rsidRDefault="00993B37" w:rsidP="00993B37">
            <w:pPr>
              <w:pStyle w:val="naisf"/>
              <w:spacing w:before="0" w:beforeAutospacing="0" w:after="0" w:afterAutospacing="0"/>
              <w:rPr>
                <w:i/>
              </w:rPr>
            </w:pPr>
            <w:r w:rsidRPr="00064053">
              <w:t>1.3. pašvaldību budžets</w:t>
            </w:r>
          </w:p>
        </w:tc>
        <w:tc>
          <w:tcPr>
            <w:tcW w:w="536" w:type="pct"/>
          </w:tcPr>
          <w:p w14:paraId="6CCE6581" w14:textId="77777777" w:rsidR="00993B37" w:rsidRPr="00064053" w:rsidRDefault="00993B37" w:rsidP="00993B37">
            <w:pPr>
              <w:pStyle w:val="naisf"/>
              <w:spacing w:before="0" w:beforeAutospacing="0" w:after="0" w:afterAutospacing="0"/>
              <w:jc w:val="center"/>
            </w:pPr>
            <w:r>
              <w:t>0</w:t>
            </w:r>
          </w:p>
        </w:tc>
        <w:tc>
          <w:tcPr>
            <w:tcW w:w="802" w:type="pct"/>
          </w:tcPr>
          <w:p w14:paraId="451908B0" w14:textId="77777777" w:rsidR="00993B37" w:rsidRPr="00064053" w:rsidRDefault="00993B37" w:rsidP="00993B37">
            <w:pPr>
              <w:pStyle w:val="naisf"/>
              <w:spacing w:before="0" w:beforeAutospacing="0" w:after="0" w:afterAutospacing="0"/>
              <w:jc w:val="center"/>
            </w:pPr>
            <w:r>
              <w:t>0</w:t>
            </w:r>
          </w:p>
        </w:tc>
        <w:tc>
          <w:tcPr>
            <w:tcW w:w="805" w:type="pct"/>
          </w:tcPr>
          <w:p w14:paraId="6C6F2778" w14:textId="77777777" w:rsidR="00993B37" w:rsidRPr="00064053" w:rsidRDefault="00993B37" w:rsidP="00993B37">
            <w:pPr>
              <w:pStyle w:val="naisf"/>
              <w:spacing w:before="0" w:beforeAutospacing="0" w:after="0" w:afterAutospacing="0"/>
              <w:jc w:val="center"/>
            </w:pPr>
            <w:r>
              <w:t>0</w:t>
            </w:r>
          </w:p>
        </w:tc>
        <w:tc>
          <w:tcPr>
            <w:tcW w:w="805" w:type="pct"/>
          </w:tcPr>
          <w:p w14:paraId="7F4A1722" w14:textId="77777777" w:rsidR="00993B37" w:rsidRPr="00064053" w:rsidRDefault="00993B37" w:rsidP="00993B37">
            <w:pPr>
              <w:pStyle w:val="naisf"/>
              <w:spacing w:before="0" w:beforeAutospacing="0" w:after="0" w:afterAutospacing="0"/>
              <w:jc w:val="center"/>
            </w:pPr>
            <w:r>
              <w:t>0</w:t>
            </w:r>
          </w:p>
        </w:tc>
        <w:tc>
          <w:tcPr>
            <w:tcW w:w="804" w:type="pct"/>
          </w:tcPr>
          <w:p w14:paraId="58666CF6" w14:textId="77777777" w:rsidR="00993B37" w:rsidRPr="00064053" w:rsidRDefault="00993B37" w:rsidP="00993B37">
            <w:pPr>
              <w:pStyle w:val="naisf"/>
              <w:spacing w:before="0" w:beforeAutospacing="0" w:after="0" w:afterAutospacing="0"/>
              <w:jc w:val="center"/>
            </w:pPr>
            <w:r>
              <w:t>0</w:t>
            </w:r>
          </w:p>
        </w:tc>
      </w:tr>
      <w:tr w:rsidR="00993B37" w:rsidRPr="00064053" w14:paraId="58E54CA0" w14:textId="77777777" w:rsidTr="0057474F">
        <w:trPr>
          <w:jc w:val="center"/>
        </w:trPr>
        <w:tc>
          <w:tcPr>
            <w:tcW w:w="1249" w:type="pct"/>
          </w:tcPr>
          <w:p w14:paraId="765596DB"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 Budžeta izdevumi:</w:t>
            </w:r>
          </w:p>
        </w:tc>
        <w:tc>
          <w:tcPr>
            <w:tcW w:w="536" w:type="pct"/>
          </w:tcPr>
          <w:p w14:paraId="4C894592" w14:textId="49A60DE7" w:rsidR="00993B37" w:rsidRPr="00064053" w:rsidRDefault="00993B37" w:rsidP="00993B37">
            <w:pPr>
              <w:pStyle w:val="naisf"/>
              <w:spacing w:before="0" w:beforeAutospacing="0" w:after="0" w:afterAutospacing="0"/>
              <w:jc w:val="center"/>
            </w:pPr>
            <w:r>
              <w:t>14</w:t>
            </w:r>
            <w:r w:rsidR="001635D3">
              <w:t> </w:t>
            </w:r>
            <w:r>
              <w:t>229</w:t>
            </w:r>
          </w:p>
        </w:tc>
        <w:tc>
          <w:tcPr>
            <w:tcW w:w="802" w:type="pct"/>
          </w:tcPr>
          <w:p w14:paraId="493ECF2D" w14:textId="3581FEEA" w:rsidR="00993B37" w:rsidRPr="00064053" w:rsidRDefault="00D815FD" w:rsidP="00911E85">
            <w:pPr>
              <w:pStyle w:val="naisf"/>
              <w:spacing w:before="0" w:beforeAutospacing="0" w:after="0" w:afterAutospacing="0"/>
              <w:jc w:val="center"/>
            </w:pPr>
            <w:r>
              <w:t>52</w:t>
            </w:r>
            <w:r w:rsidR="00911E85">
              <w:t>18</w:t>
            </w:r>
          </w:p>
        </w:tc>
        <w:tc>
          <w:tcPr>
            <w:tcW w:w="805" w:type="pct"/>
          </w:tcPr>
          <w:p w14:paraId="099EC2B9" w14:textId="4DF650C2"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5" w:type="pct"/>
          </w:tcPr>
          <w:p w14:paraId="2AA0F0BA" w14:textId="4ECEDEF8"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4" w:type="pct"/>
          </w:tcPr>
          <w:p w14:paraId="7B3FC7EA" w14:textId="0577B286" w:rsidR="00993B37" w:rsidRPr="00064053" w:rsidRDefault="00D815FD" w:rsidP="00911E85">
            <w:pPr>
              <w:pStyle w:val="naisf"/>
              <w:spacing w:before="0" w:beforeAutospacing="0" w:after="0" w:afterAutospacing="0"/>
              <w:jc w:val="center"/>
            </w:pPr>
            <w:r>
              <w:t>10</w:t>
            </w:r>
            <w:r w:rsidR="001635D3">
              <w:t> </w:t>
            </w:r>
            <w:r>
              <w:t>4</w:t>
            </w:r>
            <w:r w:rsidR="00911E85">
              <w:t>22</w:t>
            </w:r>
          </w:p>
        </w:tc>
      </w:tr>
      <w:tr w:rsidR="00993B37" w:rsidRPr="00064053" w14:paraId="38CF56B9" w14:textId="77777777" w:rsidTr="0057474F">
        <w:trPr>
          <w:jc w:val="center"/>
        </w:trPr>
        <w:tc>
          <w:tcPr>
            <w:tcW w:w="1249" w:type="pct"/>
          </w:tcPr>
          <w:p w14:paraId="6FB97043"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2.1. valsts pamatbudžets</w:t>
            </w:r>
          </w:p>
        </w:tc>
        <w:tc>
          <w:tcPr>
            <w:tcW w:w="536" w:type="pct"/>
          </w:tcPr>
          <w:p w14:paraId="3814A7E3" w14:textId="5EAAD144" w:rsidR="00993B37" w:rsidRPr="00064053" w:rsidRDefault="00993B37" w:rsidP="00993B37">
            <w:pPr>
              <w:pStyle w:val="naisf"/>
              <w:spacing w:before="0" w:beforeAutospacing="0" w:after="0" w:afterAutospacing="0"/>
              <w:jc w:val="center"/>
            </w:pPr>
            <w:r>
              <w:t>14</w:t>
            </w:r>
            <w:r w:rsidR="001635D3">
              <w:t> </w:t>
            </w:r>
            <w:r>
              <w:t>229</w:t>
            </w:r>
          </w:p>
        </w:tc>
        <w:tc>
          <w:tcPr>
            <w:tcW w:w="802" w:type="pct"/>
          </w:tcPr>
          <w:p w14:paraId="0B797886" w14:textId="2D44788C" w:rsidR="00993B37" w:rsidRPr="00064053" w:rsidRDefault="00D815FD" w:rsidP="00911E85">
            <w:pPr>
              <w:pStyle w:val="naisf"/>
              <w:spacing w:before="0" w:beforeAutospacing="0" w:after="0" w:afterAutospacing="0"/>
              <w:jc w:val="center"/>
            </w:pPr>
            <w:r>
              <w:t>52</w:t>
            </w:r>
            <w:r w:rsidR="00911E85">
              <w:t>18</w:t>
            </w:r>
          </w:p>
        </w:tc>
        <w:tc>
          <w:tcPr>
            <w:tcW w:w="805" w:type="pct"/>
          </w:tcPr>
          <w:p w14:paraId="4E1163FA" w14:textId="79962CBB"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5" w:type="pct"/>
          </w:tcPr>
          <w:p w14:paraId="0C35499C" w14:textId="18C7D04E" w:rsidR="00993B37" w:rsidRPr="00064053" w:rsidRDefault="00D815FD" w:rsidP="00911E85">
            <w:pPr>
              <w:pStyle w:val="naisf"/>
              <w:spacing w:before="0" w:beforeAutospacing="0" w:after="0" w:afterAutospacing="0"/>
              <w:jc w:val="center"/>
            </w:pPr>
            <w:r>
              <w:t>10</w:t>
            </w:r>
            <w:r w:rsidR="001635D3">
              <w:t> </w:t>
            </w:r>
            <w:r>
              <w:t>4</w:t>
            </w:r>
            <w:r w:rsidR="00911E85">
              <w:t>22</w:t>
            </w:r>
          </w:p>
        </w:tc>
        <w:tc>
          <w:tcPr>
            <w:tcW w:w="804" w:type="pct"/>
          </w:tcPr>
          <w:p w14:paraId="7355ACB3" w14:textId="4441A52E" w:rsidR="00993B37" w:rsidRPr="00064053" w:rsidRDefault="00D815FD" w:rsidP="00911E85">
            <w:pPr>
              <w:pStyle w:val="naisf"/>
              <w:spacing w:before="0" w:beforeAutospacing="0" w:after="0" w:afterAutospacing="0"/>
              <w:jc w:val="center"/>
            </w:pPr>
            <w:r>
              <w:t>10</w:t>
            </w:r>
            <w:r w:rsidR="001635D3">
              <w:t> </w:t>
            </w:r>
            <w:r>
              <w:t>4</w:t>
            </w:r>
            <w:r w:rsidR="00911E85">
              <w:t>22</w:t>
            </w:r>
          </w:p>
        </w:tc>
      </w:tr>
      <w:tr w:rsidR="00993B37" w:rsidRPr="00064053" w14:paraId="5A192EB6" w14:textId="77777777" w:rsidTr="0057474F">
        <w:trPr>
          <w:jc w:val="center"/>
        </w:trPr>
        <w:tc>
          <w:tcPr>
            <w:tcW w:w="1249" w:type="pct"/>
          </w:tcPr>
          <w:p w14:paraId="053ECF40"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2.2. valsts speciālais budžets</w:t>
            </w:r>
          </w:p>
        </w:tc>
        <w:tc>
          <w:tcPr>
            <w:tcW w:w="536" w:type="pct"/>
          </w:tcPr>
          <w:p w14:paraId="55A18E22" w14:textId="77777777" w:rsidR="00993B37" w:rsidRPr="00064053" w:rsidRDefault="00993B37" w:rsidP="00993B37">
            <w:pPr>
              <w:pStyle w:val="naisf"/>
              <w:spacing w:before="0" w:beforeAutospacing="0" w:after="0" w:afterAutospacing="0"/>
              <w:jc w:val="center"/>
            </w:pPr>
            <w:r>
              <w:t>0</w:t>
            </w:r>
          </w:p>
        </w:tc>
        <w:tc>
          <w:tcPr>
            <w:tcW w:w="802" w:type="pct"/>
          </w:tcPr>
          <w:p w14:paraId="31D69DEC" w14:textId="77777777" w:rsidR="00993B37" w:rsidRPr="00064053" w:rsidRDefault="00993B37" w:rsidP="00993B37">
            <w:pPr>
              <w:pStyle w:val="naisf"/>
              <w:spacing w:before="0" w:beforeAutospacing="0" w:after="0" w:afterAutospacing="0"/>
              <w:jc w:val="center"/>
            </w:pPr>
            <w:r>
              <w:t>0</w:t>
            </w:r>
          </w:p>
        </w:tc>
        <w:tc>
          <w:tcPr>
            <w:tcW w:w="805" w:type="pct"/>
          </w:tcPr>
          <w:p w14:paraId="11752BF9" w14:textId="77777777" w:rsidR="00993B37" w:rsidRPr="00064053" w:rsidRDefault="00993B37" w:rsidP="00993B37">
            <w:pPr>
              <w:pStyle w:val="naisf"/>
              <w:spacing w:before="0" w:beforeAutospacing="0" w:after="0" w:afterAutospacing="0"/>
              <w:jc w:val="center"/>
            </w:pPr>
            <w:r>
              <w:t>0</w:t>
            </w:r>
          </w:p>
        </w:tc>
        <w:tc>
          <w:tcPr>
            <w:tcW w:w="805" w:type="pct"/>
          </w:tcPr>
          <w:p w14:paraId="57249CA3" w14:textId="77777777" w:rsidR="00993B37" w:rsidRPr="00064053" w:rsidRDefault="00993B37" w:rsidP="00993B37">
            <w:pPr>
              <w:pStyle w:val="naisf"/>
              <w:spacing w:before="0" w:beforeAutospacing="0" w:after="0" w:afterAutospacing="0"/>
              <w:jc w:val="center"/>
            </w:pPr>
            <w:r>
              <w:t>0</w:t>
            </w:r>
          </w:p>
        </w:tc>
        <w:tc>
          <w:tcPr>
            <w:tcW w:w="804" w:type="pct"/>
          </w:tcPr>
          <w:p w14:paraId="329A075C" w14:textId="77777777" w:rsidR="00993B37" w:rsidRPr="00064053" w:rsidRDefault="00993B37" w:rsidP="00993B37">
            <w:pPr>
              <w:pStyle w:val="naisf"/>
              <w:spacing w:before="0" w:beforeAutospacing="0" w:after="0" w:afterAutospacing="0"/>
              <w:jc w:val="center"/>
            </w:pPr>
            <w:r>
              <w:t>0</w:t>
            </w:r>
          </w:p>
        </w:tc>
      </w:tr>
      <w:tr w:rsidR="00993B37" w:rsidRPr="00064053" w14:paraId="2225B385" w14:textId="77777777" w:rsidTr="0057474F">
        <w:trPr>
          <w:jc w:val="center"/>
        </w:trPr>
        <w:tc>
          <w:tcPr>
            <w:tcW w:w="1249" w:type="pct"/>
          </w:tcPr>
          <w:p w14:paraId="1321D13D"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2.3. pašvaldību budžets </w:t>
            </w:r>
          </w:p>
        </w:tc>
        <w:tc>
          <w:tcPr>
            <w:tcW w:w="536" w:type="pct"/>
          </w:tcPr>
          <w:p w14:paraId="1364D1D4" w14:textId="77777777" w:rsidR="00993B37" w:rsidRPr="00064053" w:rsidRDefault="00993B37" w:rsidP="00993B37">
            <w:pPr>
              <w:pStyle w:val="naisf"/>
              <w:spacing w:before="0" w:beforeAutospacing="0" w:after="0" w:afterAutospacing="0"/>
              <w:jc w:val="center"/>
            </w:pPr>
            <w:r>
              <w:t>0</w:t>
            </w:r>
          </w:p>
        </w:tc>
        <w:tc>
          <w:tcPr>
            <w:tcW w:w="802" w:type="pct"/>
          </w:tcPr>
          <w:p w14:paraId="1DD25C21" w14:textId="77777777" w:rsidR="00993B37" w:rsidRPr="00064053" w:rsidRDefault="00993B37" w:rsidP="00993B37">
            <w:pPr>
              <w:pStyle w:val="naisf"/>
              <w:spacing w:before="0" w:beforeAutospacing="0" w:after="0" w:afterAutospacing="0"/>
              <w:jc w:val="center"/>
            </w:pPr>
            <w:r>
              <w:t>0</w:t>
            </w:r>
          </w:p>
        </w:tc>
        <w:tc>
          <w:tcPr>
            <w:tcW w:w="805" w:type="pct"/>
          </w:tcPr>
          <w:p w14:paraId="2A25149D" w14:textId="77777777" w:rsidR="00993B37" w:rsidRPr="00064053" w:rsidRDefault="00993B37" w:rsidP="00993B37">
            <w:pPr>
              <w:pStyle w:val="naisf"/>
              <w:spacing w:before="0" w:beforeAutospacing="0" w:after="0" w:afterAutospacing="0"/>
              <w:jc w:val="center"/>
            </w:pPr>
            <w:r>
              <w:t>0</w:t>
            </w:r>
          </w:p>
        </w:tc>
        <w:tc>
          <w:tcPr>
            <w:tcW w:w="805" w:type="pct"/>
          </w:tcPr>
          <w:p w14:paraId="6B948E78" w14:textId="77777777" w:rsidR="00993B37" w:rsidRPr="00064053" w:rsidRDefault="00993B37" w:rsidP="00993B37">
            <w:pPr>
              <w:pStyle w:val="naisf"/>
              <w:spacing w:before="0" w:beforeAutospacing="0" w:after="0" w:afterAutospacing="0"/>
              <w:jc w:val="center"/>
            </w:pPr>
            <w:r>
              <w:t>0</w:t>
            </w:r>
          </w:p>
        </w:tc>
        <w:tc>
          <w:tcPr>
            <w:tcW w:w="804" w:type="pct"/>
          </w:tcPr>
          <w:p w14:paraId="3D2A7DB7" w14:textId="77777777" w:rsidR="00993B37" w:rsidRPr="00064053" w:rsidRDefault="00993B37" w:rsidP="00993B37">
            <w:pPr>
              <w:pStyle w:val="naisf"/>
              <w:spacing w:before="0" w:beforeAutospacing="0" w:after="0" w:afterAutospacing="0"/>
              <w:jc w:val="center"/>
            </w:pPr>
            <w:r>
              <w:t>0</w:t>
            </w:r>
          </w:p>
        </w:tc>
      </w:tr>
      <w:tr w:rsidR="00993B37" w:rsidRPr="00064053" w14:paraId="02022921" w14:textId="77777777" w:rsidTr="0057474F">
        <w:trPr>
          <w:jc w:val="center"/>
        </w:trPr>
        <w:tc>
          <w:tcPr>
            <w:tcW w:w="1249" w:type="pct"/>
          </w:tcPr>
          <w:p w14:paraId="1B64A739"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 Finansiālā ietekme:</w:t>
            </w:r>
          </w:p>
        </w:tc>
        <w:tc>
          <w:tcPr>
            <w:tcW w:w="536" w:type="pct"/>
            <w:shd w:val="clear" w:color="auto" w:fill="auto"/>
            <w:vAlign w:val="center"/>
          </w:tcPr>
          <w:p w14:paraId="7F6FE821" w14:textId="77777777" w:rsidR="00993B37" w:rsidRPr="00064053" w:rsidRDefault="00993B37" w:rsidP="00993B37">
            <w:pPr>
              <w:pStyle w:val="naisf"/>
              <w:spacing w:before="0" w:beforeAutospacing="0" w:after="0" w:afterAutospacing="0"/>
              <w:jc w:val="center"/>
            </w:pPr>
            <w:r>
              <w:t>0</w:t>
            </w:r>
          </w:p>
        </w:tc>
        <w:tc>
          <w:tcPr>
            <w:tcW w:w="802" w:type="pct"/>
          </w:tcPr>
          <w:p w14:paraId="03294390" w14:textId="77777777" w:rsidR="00993B37" w:rsidRPr="00064053" w:rsidRDefault="00993B37" w:rsidP="00993B37">
            <w:pPr>
              <w:pStyle w:val="naisf"/>
              <w:spacing w:before="0" w:beforeAutospacing="0" w:after="0" w:afterAutospacing="0"/>
              <w:jc w:val="center"/>
            </w:pPr>
            <w:r>
              <w:t>0</w:t>
            </w:r>
          </w:p>
        </w:tc>
        <w:tc>
          <w:tcPr>
            <w:tcW w:w="805" w:type="pct"/>
          </w:tcPr>
          <w:p w14:paraId="61118B4E" w14:textId="77777777" w:rsidR="00993B37" w:rsidRPr="00064053" w:rsidRDefault="00993B37" w:rsidP="00993B37">
            <w:pPr>
              <w:pStyle w:val="naisf"/>
              <w:spacing w:before="0" w:beforeAutospacing="0" w:after="0" w:afterAutospacing="0"/>
              <w:jc w:val="center"/>
            </w:pPr>
            <w:r>
              <w:t>0</w:t>
            </w:r>
          </w:p>
        </w:tc>
        <w:tc>
          <w:tcPr>
            <w:tcW w:w="805" w:type="pct"/>
          </w:tcPr>
          <w:p w14:paraId="791A1EAE" w14:textId="77777777" w:rsidR="00993B37" w:rsidRPr="00064053" w:rsidRDefault="00993B37" w:rsidP="00993B37">
            <w:pPr>
              <w:pStyle w:val="naisf"/>
              <w:spacing w:before="0" w:beforeAutospacing="0" w:after="0" w:afterAutospacing="0"/>
              <w:jc w:val="center"/>
            </w:pPr>
            <w:r>
              <w:t>0</w:t>
            </w:r>
          </w:p>
        </w:tc>
        <w:tc>
          <w:tcPr>
            <w:tcW w:w="804" w:type="pct"/>
          </w:tcPr>
          <w:p w14:paraId="7A17E6E7" w14:textId="77777777" w:rsidR="00993B37" w:rsidRPr="00064053" w:rsidRDefault="00993B37" w:rsidP="00993B37">
            <w:pPr>
              <w:pStyle w:val="naisf"/>
              <w:spacing w:before="0" w:beforeAutospacing="0" w:after="0" w:afterAutospacing="0"/>
              <w:jc w:val="center"/>
            </w:pPr>
            <w:r>
              <w:t>0</w:t>
            </w:r>
          </w:p>
        </w:tc>
      </w:tr>
      <w:tr w:rsidR="00993B37" w:rsidRPr="00064053" w14:paraId="69BF5E75" w14:textId="77777777" w:rsidTr="0057474F">
        <w:trPr>
          <w:jc w:val="center"/>
        </w:trPr>
        <w:tc>
          <w:tcPr>
            <w:tcW w:w="1249" w:type="pct"/>
          </w:tcPr>
          <w:p w14:paraId="27F0782F"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3.1. valsts pamatbudžets</w:t>
            </w:r>
          </w:p>
        </w:tc>
        <w:tc>
          <w:tcPr>
            <w:tcW w:w="536" w:type="pct"/>
            <w:shd w:val="clear" w:color="auto" w:fill="auto"/>
          </w:tcPr>
          <w:p w14:paraId="4F3F6876" w14:textId="77777777" w:rsidR="00993B37" w:rsidRPr="00064053" w:rsidRDefault="00993B37" w:rsidP="00993B37">
            <w:pPr>
              <w:pStyle w:val="naisf"/>
              <w:spacing w:before="0" w:beforeAutospacing="0" w:after="0" w:afterAutospacing="0"/>
              <w:jc w:val="center"/>
            </w:pPr>
            <w:r>
              <w:t>0</w:t>
            </w:r>
          </w:p>
        </w:tc>
        <w:tc>
          <w:tcPr>
            <w:tcW w:w="802" w:type="pct"/>
          </w:tcPr>
          <w:p w14:paraId="4E9748FD" w14:textId="77777777" w:rsidR="00993B37" w:rsidRPr="00064053" w:rsidRDefault="00993B37" w:rsidP="00993B37">
            <w:pPr>
              <w:pStyle w:val="naisf"/>
              <w:spacing w:before="0" w:beforeAutospacing="0" w:after="0" w:afterAutospacing="0"/>
              <w:jc w:val="center"/>
            </w:pPr>
            <w:r>
              <w:t>0</w:t>
            </w:r>
          </w:p>
        </w:tc>
        <w:tc>
          <w:tcPr>
            <w:tcW w:w="805" w:type="pct"/>
          </w:tcPr>
          <w:p w14:paraId="1CD7EEC0" w14:textId="77777777" w:rsidR="00993B37" w:rsidRPr="00064053" w:rsidRDefault="00993B37" w:rsidP="00993B37">
            <w:pPr>
              <w:pStyle w:val="naisf"/>
              <w:spacing w:before="0" w:beforeAutospacing="0" w:after="0" w:afterAutospacing="0"/>
              <w:jc w:val="center"/>
            </w:pPr>
            <w:r>
              <w:t>0</w:t>
            </w:r>
          </w:p>
        </w:tc>
        <w:tc>
          <w:tcPr>
            <w:tcW w:w="805" w:type="pct"/>
          </w:tcPr>
          <w:p w14:paraId="22EEF140" w14:textId="77777777" w:rsidR="00993B37" w:rsidRPr="00064053" w:rsidRDefault="00993B37" w:rsidP="00993B37">
            <w:pPr>
              <w:pStyle w:val="naisf"/>
              <w:spacing w:before="0" w:beforeAutospacing="0" w:after="0" w:afterAutospacing="0"/>
              <w:jc w:val="center"/>
            </w:pPr>
            <w:r>
              <w:t>0</w:t>
            </w:r>
          </w:p>
        </w:tc>
        <w:tc>
          <w:tcPr>
            <w:tcW w:w="804" w:type="pct"/>
          </w:tcPr>
          <w:p w14:paraId="43A9F240" w14:textId="77777777" w:rsidR="00993B37" w:rsidRPr="00064053" w:rsidRDefault="00993B37" w:rsidP="00993B37">
            <w:pPr>
              <w:pStyle w:val="naisf"/>
              <w:spacing w:before="0" w:beforeAutospacing="0" w:after="0" w:afterAutospacing="0"/>
              <w:jc w:val="center"/>
            </w:pPr>
            <w:r>
              <w:t>0</w:t>
            </w:r>
          </w:p>
        </w:tc>
      </w:tr>
      <w:tr w:rsidR="00993B37" w:rsidRPr="00064053" w14:paraId="108E23C7" w14:textId="77777777" w:rsidTr="0057474F">
        <w:trPr>
          <w:jc w:val="center"/>
        </w:trPr>
        <w:tc>
          <w:tcPr>
            <w:tcW w:w="1249" w:type="pct"/>
          </w:tcPr>
          <w:p w14:paraId="6D97AD35"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3.2. speciālais budžets</w:t>
            </w:r>
          </w:p>
        </w:tc>
        <w:tc>
          <w:tcPr>
            <w:tcW w:w="536" w:type="pct"/>
            <w:shd w:val="clear" w:color="auto" w:fill="auto"/>
          </w:tcPr>
          <w:p w14:paraId="6EDCAA02" w14:textId="77777777" w:rsidR="00993B37" w:rsidRPr="00064053" w:rsidRDefault="00993B37" w:rsidP="00993B37">
            <w:pPr>
              <w:pStyle w:val="naisf"/>
              <w:spacing w:before="0" w:beforeAutospacing="0" w:after="0" w:afterAutospacing="0"/>
              <w:jc w:val="center"/>
            </w:pPr>
            <w:r>
              <w:t>0</w:t>
            </w:r>
          </w:p>
        </w:tc>
        <w:tc>
          <w:tcPr>
            <w:tcW w:w="802" w:type="pct"/>
          </w:tcPr>
          <w:p w14:paraId="22731453" w14:textId="77777777" w:rsidR="00993B37" w:rsidRPr="00064053" w:rsidRDefault="00993B37" w:rsidP="00993B37">
            <w:pPr>
              <w:pStyle w:val="naisf"/>
              <w:spacing w:before="0" w:beforeAutospacing="0" w:after="0" w:afterAutospacing="0"/>
              <w:jc w:val="center"/>
            </w:pPr>
            <w:r>
              <w:t>0</w:t>
            </w:r>
          </w:p>
        </w:tc>
        <w:tc>
          <w:tcPr>
            <w:tcW w:w="805" w:type="pct"/>
          </w:tcPr>
          <w:p w14:paraId="33DF88E6" w14:textId="77777777" w:rsidR="00993B37" w:rsidRPr="00064053" w:rsidRDefault="00993B37" w:rsidP="00993B37">
            <w:pPr>
              <w:pStyle w:val="naisf"/>
              <w:spacing w:before="0" w:beforeAutospacing="0" w:after="0" w:afterAutospacing="0"/>
              <w:jc w:val="center"/>
            </w:pPr>
            <w:r>
              <w:t>0</w:t>
            </w:r>
          </w:p>
        </w:tc>
        <w:tc>
          <w:tcPr>
            <w:tcW w:w="805" w:type="pct"/>
          </w:tcPr>
          <w:p w14:paraId="2193A3BE" w14:textId="77777777" w:rsidR="00993B37" w:rsidRPr="00064053" w:rsidRDefault="00993B37" w:rsidP="00993B37">
            <w:pPr>
              <w:pStyle w:val="naisf"/>
              <w:spacing w:before="0" w:beforeAutospacing="0" w:after="0" w:afterAutospacing="0"/>
              <w:jc w:val="center"/>
            </w:pPr>
            <w:r>
              <w:t>0</w:t>
            </w:r>
          </w:p>
        </w:tc>
        <w:tc>
          <w:tcPr>
            <w:tcW w:w="804" w:type="pct"/>
          </w:tcPr>
          <w:p w14:paraId="37FD6EBD" w14:textId="77777777" w:rsidR="00993B37" w:rsidRPr="00064053" w:rsidRDefault="00993B37" w:rsidP="00993B37">
            <w:pPr>
              <w:pStyle w:val="naisf"/>
              <w:spacing w:before="0" w:beforeAutospacing="0" w:after="0" w:afterAutospacing="0"/>
              <w:jc w:val="center"/>
            </w:pPr>
            <w:r>
              <w:t>0</w:t>
            </w:r>
          </w:p>
        </w:tc>
      </w:tr>
      <w:tr w:rsidR="00993B37" w:rsidRPr="00064053" w14:paraId="4E48FD99" w14:textId="77777777" w:rsidTr="0057474F">
        <w:trPr>
          <w:jc w:val="center"/>
        </w:trPr>
        <w:tc>
          <w:tcPr>
            <w:tcW w:w="1249" w:type="pct"/>
          </w:tcPr>
          <w:p w14:paraId="37FF37F9"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3.3. pašvaldību budžets </w:t>
            </w:r>
          </w:p>
        </w:tc>
        <w:tc>
          <w:tcPr>
            <w:tcW w:w="536" w:type="pct"/>
            <w:shd w:val="clear" w:color="auto" w:fill="auto"/>
          </w:tcPr>
          <w:p w14:paraId="55132B84" w14:textId="77777777" w:rsidR="00993B37" w:rsidRPr="00064053" w:rsidRDefault="00993B37" w:rsidP="00993B37">
            <w:pPr>
              <w:pStyle w:val="naisf"/>
              <w:spacing w:before="0" w:beforeAutospacing="0" w:after="0" w:afterAutospacing="0"/>
              <w:jc w:val="center"/>
            </w:pPr>
            <w:r>
              <w:t>0</w:t>
            </w:r>
          </w:p>
        </w:tc>
        <w:tc>
          <w:tcPr>
            <w:tcW w:w="802" w:type="pct"/>
          </w:tcPr>
          <w:p w14:paraId="5B793B8C" w14:textId="77777777" w:rsidR="00993B37" w:rsidRPr="00064053" w:rsidRDefault="00993B37" w:rsidP="00993B37">
            <w:pPr>
              <w:pStyle w:val="naisf"/>
              <w:spacing w:before="0" w:beforeAutospacing="0" w:after="0" w:afterAutospacing="0"/>
              <w:jc w:val="center"/>
            </w:pPr>
            <w:r>
              <w:t>0</w:t>
            </w:r>
          </w:p>
        </w:tc>
        <w:tc>
          <w:tcPr>
            <w:tcW w:w="805" w:type="pct"/>
          </w:tcPr>
          <w:p w14:paraId="54EE4678" w14:textId="77777777" w:rsidR="00993B37" w:rsidRPr="00064053" w:rsidRDefault="00993B37" w:rsidP="00993B37">
            <w:pPr>
              <w:pStyle w:val="naisf"/>
              <w:spacing w:before="0" w:beforeAutospacing="0" w:after="0" w:afterAutospacing="0"/>
              <w:jc w:val="center"/>
            </w:pPr>
            <w:r>
              <w:t>0</w:t>
            </w:r>
          </w:p>
        </w:tc>
        <w:tc>
          <w:tcPr>
            <w:tcW w:w="805" w:type="pct"/>
          </w:tcPr>
          <w:p w14:paraId="541256EA" w14:textId="77777777" w:rsidR="00993B37" w:rsidRPr="00064053" w:rsidRDefault="00993B37" w:rsidP="00993B37">
            <w:pPr>
              <w:pStyle w:val="naisf"/>
              <w:spacing w:before="0" w:beforeAutospacing="0" w:after="0" w:afterAutospacing="0"/>
              <w:jc w:val="center"/>
            </w:pPr>
            <w:r>
              <w:t>0</w:t>
            </w:r>
          </w:p>
        </w:tc>
        <w:tc>
          <w:tcPr>
            <w:tcW w:w="804" w:type="pct"/>
          </w:tcPr>
          <w:p w14:paraId="5E9D295F" w14:textId="77777777" w:rsidR="00993B37" w:rsidRPr="00064053" w:rsidRDefault="00993B37" w:rsidP="00993B37">
            <w:pPr>
              <w:pStyle w:val="naisf"/>
              <w:spacing w:before="0" w:beforeAutospacing="0" w:after="0" w:afterAutospacing="0"/>
              <w:jc w:val="center"/>
            </w:pPr>
            <w:r>
              <w:t>0</w:t>
            </w:r>
          </w:p>
        </w:tc>
      </w:tr>
      <w:tr w:rsidR="00993B37" w:rsidRPr="00064053" w14:paraId="2E53D57C" w14:textId="77777777" w:rsidTr="0057474F">
        <w:trPr>
          <w:trHeight w:val="1400"/>
          <w:jc w:val="center"/>
        </w:trPr>
        <w:tc>
          <w:tcPr>
            <w:tcW w:w="1249" w:type="pct"/>
          </w:tcPr>
          <w:p w14:paraId="6135B97C"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4. Finanšu līdzekļi papildu izdevumu finansēšanai (kompensējošu izdevumu samazinājumu norāda ar "+" zīmi)</w:t>
            </w:r>
          </w:p>
        </w:tc>
        <w:tc>
          <w:tcPr>
            <w:tcW w:w="536" w:type="pct"/>
          </w:tcPr>
          <w:p w14:paraId="6519C141" w14:textId="77777777" w:rsidR="00993B37" w:rsidRPr="00064053" w:rsidRDefault="00993B37" w:rsidP="00993B37">
            <w:pPr>
              <w:pStyle w:val="naisf"/>
              <w:spacing w:before="0" w:beforeAutospacing="0" w:after="0" w:afterAutospacing="0"/>
              <w:jc w:val="center"/>
              <w:rPr>
                <w:i/>
              </w:rPr>
            </w:pPr>
            <w:r>
              <w:rPr>
                <w:i/>
              </w:rPr>
              <w:t>X</w:t>
            </w:r>
          </w:p>
        </w:tc>
        <w:tc>
          <w:tcPr>
            <w:tcW w:w="802" w:type="pct"/>
          </w:tcPr>
          <w:p w14:paraId="2817DA71" w14:textId="3D260C40" w:rsidR="00993B37" w:rsidRPr="00064053" w:rsidRDefault="002F6C7E" w:rsidP="00993B37">
            <w:pPr>
              <w:pStyle w:val="naisf"/>
              <w:spacing w:before="0" w:after="0"/>
              <w:jc w:val="center"/>
            </w:pPr>
            <w:r>
              <w:t>0</w:t>
            </w:r>
          </w:p>
        </w:tc>
        <w:tc>
          <w:tcPr>
            <w:tcW w:w="805" w:type="pct"/>
          </w:tcPr>
          <w:p w14:paraId="3623F63F" w14:textId="77B0D6D4" w:rsidR="00993B37" w:rsidRPr="00064053" w:rsidRDefault="002F6C7E" w:rsidP="00993B37">
            <w:pPr>
              <w:pStyle w:val="naisf"/>
              <w:spacing w:before="0" w:after="0"/>
              <w:jc w:val="center"/>
            </w:pPr>
            <w:r>
              <w:t>0</w:t>
            </w:r>
          </w:p>
        </w:tc>
        <w:tc>
          <w:tcPr>
            <w:tcW w:w="805" w:type="pct"/>
          </w:tcPr>
          <w:p w14:paraId="1CAA9685" w14:textId="562E6C37" w:rsidR="00993B37" w:rsidRPr="00064053" w:rsidRDefault="002F6C7E" w:rsidP="00993B37">
            <w:pPr>
              <w:pStyle w:val="naisf"/>
              <w:spacing w:before="0" w:after="0"/>
              <w:jc w:val="center"/>
            </w:pPr>
            <w:r>
              <w:t>0</w:t>
            </w:r>
          </w:p>
        </w:tc>
        <w:tc>
          <w:tcPr>
            <w:tcW w:w="804" w:type="pct"/>
          </w:tcPr>
          <w:p w14:paraId="575D38AB" w14:textId="4DFA54B8" w:rsidR="00993B37" w:rsidRPr="00064053" w:rsidRDefault="002F6C7E" w:rsidP="000644AA">
            <w:pPr>
              <w:pStyle w:val="naisf"/>
              <w:jc w:val="center"/>
            </w:pPr>
            <w:r>
              <w:t>0</w:t>
            </w:r>
          </w:p>
        </w:tc>
      </w:tr>
      <w:tr w:rsidR="00993B37" w:rsidRPr="00064053" w14:paraId="2D7C0FF9" w14:textId="77777777" w:rsidTr="0057474F">
        <w:trPr>
          <w:jc w:val="center"/>
        </w:trPr>
        <w:tc>
          <w:tcPr>
            <w:tcW w:w="1249" w:type="pct"/>
          </w:tcPr>
          <w:p w14:paraId="6131B5F6"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 Precizēta finansiālā ietekme:</w:t>
            </w:r>
          </w:p>
        </w:tc>
        <w:tc>
          <w:tcPr>
            <w:tcW w:w="536" w:type="pct"/>
            <w:vMerge w:val="restart"/>
          </w:tcPr>
          <w:p w14:paraId="4B1E75E2" w14:textId="77777777" w:rsidR="00993B37" w:rsidRPr="00EF3612" w:rsidRDefault="00993B37" w:rsidP="00993B37">
            <w:pPr>
              <w:pStyle w:val="naisf"/>
              <w:spacing w:before="0" w:beforeAutospacing="0" w:after="0" w:afterAutospacing="0"/>
              <w:jc w:val="center"/>
            </w:pPr>
            <w:r w:rsidRPr="00EF3612">
              <w:t>X</w:t>
            </w:r>
          </w:p>
        </w:tc>
        <w:tc>
          <w:tcPr>
            <w:tcW w:w="802" w:type="pct"/>
          </w:tcPr>
          <w:p w14:paraId="6A9D3EEF" w14:textId="77777777" w:rsidR="00993B37" w:rsidRPr="00064053" w:rsidRDefault="00993B37" w:rsidP="00993B37">
            <w:pPr>
              <w:pStyle w:val="naisf"/>
              <w:spacing w:before="0" w:beforeAutospacing="0" w:after="0" w:afterAutospacing="0"/>
              <w:jc w:val="center"/>
            </w:pPr>
            <w:r>
              <w:t>0</w:t>
            </w:r>
          </w:p>
        </w:tc>
        <w:tc>
          <w:tcPr>
            <w:tcW w:w="805" w:type="pct"/>
          </w:tcPr>
          <w:p w14:paraId="2D843CE1" w14:textId="77777777" w:rsidR="00993B37" w:rsidRPr="00064053" w:rsidRDefault="00993B37" w:rsidP="00993B37">
            <w:pPr>
              <w:pStyle w:val="naisf"/>
              <w:spacing w:before="0" w:beforeAutospacing="0" w:after="0" w:afterAutospacing="0"/>
              <w:jc w:val="center"/>
            </w:pPr>
            <w:r>
              <w:t>0</w:t>
            </w:r>
          </w:p>
        </w:tc>
        <w:tc>
          <w:tcPr>
            <w:tcW w:w="805" w:type="pct"/>
          </w:tcPr>
          <w:p w14:paraId="45204659" w14:textId="77777777" w:rsidR="00993B37" w:rsidRPr="00064053" w:rsidRDefault="00993B37" w:rsidP="00993B37">
            <w:pPr>
              <w:pStyle w:val="naisf"/>
              <w:spacing w:before="0" w:beforeAutospacing="0" w:after="0" w:afterAutospacing="0"/>
              <w:jc w:val="center"/>
            </w:pPr>
            <w:r>
              <w:t>0</w:t>
            </w:r>
          </w:p>
        </w:tc>
        <w:tc>
          <w:tcPr>
            <w:tcW w:w="804" w:type="pct"/>
          </w:tcPr>
          <w:p w14:paraId="0237B088" w14:textId="77777777" w:rsidR="00993B37" w:rsidRPr="00064053" w:rsidRDefault="00993B37" w:rsidP="00993B37">
            <w:pPr>
              <w:pStyle w:val="naisf"/>
              <w:spacing w:before="0" w:beforeAutospacing="0" w:after="0" w:afterAutospacing="0"/>
              <w:jc w:val="center"/>
            </w:pPr>
            <w:r>
              <w:t>0</w:t>
            </w:r>
          </w:p>
        </w:tc>
      </w:tr>
      <w:tr w:rsidR="00993B37" w:rsidRPr="00064053" w14:paraId="38A296C9" w14:textId="77777777" w:rsidTr="0057474F">
        <w:trPr>
          <w:jc w:val="center"/>
        </w:trPr>
        <w:tc>
          <w:tcPr>
            <w:tcW w:w="1249" w:type="pct"/>
          </w:tcPr>
          <w:p w14:paraId="0B7D90A4"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5.1. valsts pamatbudžets</w:t>
            </w:r>
          </w:p>
        </w:tc>
        <w:tc>
          <w:tcPr>
            <w:tcW w:w="536" w:type="pct"/>
            <w:vMerge/>
            <w:vAlign w:val="center"/>
          </w:tcPr>
          <w:p w14:paraId="6B228B23" w14:textId="77777777" w:rsidR="00993B37" w:rsidRPr="00064053" w:rsidRDefault="00993B37" w:rsidP="00993B37">
            <w:pPr>
              <w:pStyle w:val="naisf"/>
              <w:spacing w:before="0" w:beforeAutospacing="0" w:after="0" w:afterAutospacing="0"/>
              <w:jc w:val="center"/>
              <w:rPr>
                <w:i/>
              </w:rPr>
            </w:pPr>
          </w:p>
        </w:tc>
        <w:tc>
          <w:tcPr>
            <w:tcW w:w="802" w:type="pct"/>
          </w:tcPr>
          <w:p w14:paraId="2740BA53" w14:textId="77777777" w:rsidR="00993B37" w:rsidRPr="00064053" w:rsidRDefault="00993B37" w:rsidP="00993B37">
            <w:pPr>
              <w:pStyle w:val="naisf"/>
              <w:spacing w:before="0" w:beforeAutospacing="0" w:after="0" w:afterAutospacing="0"/>
              <w:jc w:val="center"/>
            </w:pPr>
            <w:r>
              <w:t>0</w:t>
            </w:r>
          </w:p>
        </w:tc>
        <w:tc>
          <w:tcPr>
            <w:tcW w:w="805" w:type="pct"/>
          </w:tcPr>
          <w:p w14:paraId="7938B853" w14:textId="77777777" w:rsidR="00993B37" w:rsidRPr="00064053" w:rsidRDefault="00993B37" w:rsidP="00993B37">
            <w:pPr>
              <w:pStyle w:val="naisf"/>
              <w:spacing w:before="0" w:beforeAutospacing="0" w:after="0" w:afterAutospacing="0"/>
              <w:jc w:val="center"/>
            </w:pPr>
            <w:r>
              <w:t>0</w:t>
            </w:r>
          </w:p>
        </w:tc>
        <w:tc>
          <w:tcPr>
            <w:tcW w:w="805" w:type="pct"/>
          </w:tcPr>
          <w:p w14:paraId="10042E82" w14:textId="77777777" w:rsidR="00993B37" w:rsidRPr="00064053" w:rsidRDefault="00993B37" w:rsidP="00993B37">
            <w:pPr>
              <w:pStyle w:val="naisf"/>
              <w:spacing w:before="0" w:beforeAutospacing="0" w:after="0" w:afterAutospacing="0"/>
              <w:jc w:val="center"/>
            </w:pPr>
            <w:r>
              <w:t>0</w:t>
            </w:r>
          </w:p>
        </w:tc>
        <w:tc>
          <w:tcPr>
            <w:tcW w:w="804" w:type="pct"/>
          </w:tcPr>
          <w:p w14:paraId="0B78E980" w14:textId="77777777" w:rsidR="00993B37" w:rsidRPr="00064053" w:rsidRDefault="00993B37" w:rsidP="00993B37">
            <w:pPr>
              <w:pStyle w:val="naisf"/>
              <w:spacing w:before="0" w:beforeAutospacing="0" w:after="0" w:afterAutospacing="0"/>
              <w:jc w:val="center"/>
            </w:pPr>
            <w:r>
              <w:t>0</w:t>
            </w:r>
          </w:p>
        </w:tc>
      </w:tr>
      <w:tr w:rsidR="00993B37" w:rsidRPr="00064053" w14:paraId="0BD7ECB1" w14:textId="77777777" w:rsidTr="0057474F">
        <w:trPr>
          <w:jc w:val="center"/>
        </w:trPr>
        <w:tc>
          <w:tcPr>
            <w:tcW w:w="1249" w:type="pct"/>
          </w:tcPr>
          <w:p w14:paraId="507F7B34"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5.2. speciālais budžets</w:t>
            </w:r>
          </w:p>
        </w:tc>
        <w:tc>
          <w:tcPr>
            <w:tcW w:w="536" w:type="pct"/>
            <w:vMerge/>
            <w:vAlign w:val="center"/>
          </w:tcPr>
          <w:p w14:paraId="45A66018" w14:textId="77777777" w:rsidR="00993B37" w:rsidRPr="00064053" w:rsidRDefault="00993B37" w:rsidP="00993B37">
            <w:pPr>
              <w:pStyle w:val="naisf"/>
              <w:spacing w:before="0" w:beforeAutospacing="0" w:after="0" w:afterAutospacing="0"/>
              <w:jc w:val="center"/>
              <w:rPr>
                <w:i/>
              </w:rPr>
            </w:pPr>
          </w:p>
        </w:tc>
        <w:tc>
          <w:tcPr>
            <w:tcW w:w="802" w:type="pct"/>
          </w:tcPr>
          <w:p w14:paraId="1AC14945" w14:textId="77777777" w:rsidR="00993B37" w:rsidRPr="00064053" w:rsidRDefault="00993B37" w:rsidP="00993B37">
            <w:pPr>
              <w:pStyle w:val="naisf"/>
              <w:spacing w:before="0" w:beforeAutospacing="0" w:after="0" w:afterAutospacing="0"/>
              <w:jc w:val="center"/>
            </w:pPr>
            <w:r>
              <w:t>0</w:t>
            </w:r>
          </w:p>
        </w:tc>
        <w:tc>
          <w:tcPr>
            <w:tcW w:w="805" w:type="pct"/>
          </w:tcPr>
          <w:p w14:paraId="042499A9" w14:textId="77777777" w:rsidR="00993B37" w:rsidRPr="00064053" w:rsidRDefault="00993B37" w:rsidP="00993B37">
            <w:pPr>
              <w:pStyle w:val="naisf"/>
              <w:spacing w:before="0" w:beforeAutospacing="0" w:after="0" w:afterAutospacing="0"/>
              <w:jc w:val="center"/>
            </w:pPr>
            <w:r>
              <w:t>0</w:t>
            </w:r>
          </w:p>
        </w:tc>
        <w:tc>
          <w:tcPr>
            <w:tcW w:w="805" w:type="pct"/>
          </w:tcPr>
          <w:p w14:paraId="0B27A7B6" w14:textId="77777777" w:rsidR="00993B37" w:rsidRPr="00064053" w:rsidRDefault="00993B37" w:rsidP="00993B37">
            <w:pPr>
              <w:pStyle w:val="naisf"/>
              <w:spacing w:before="0" w:beforeAutospacing="0" w:after="0" w:afterAutospacing="0"/>
              <w:jc w:val="center"/>
            </w:pPr>
            <w:r>
              <w:t>0</w:t>
            </w:r>
          </w:p>
        </w:tc>
        <w:tc>
          <w:tcPr>
            <w:tcW w:w="804" w:type="pct"/>
          </w:tcPr>
          <w:p w14:paraId="0B59B741" w14:textId="77777777" w:rsidR="00993B37" w:rsidRPr="00064053" w:rsidRDefault="00993B37" w:rsidP="00993B37">
            <w:pPr>
              <w:pStyle w:val="naisf"/>
              <w:spacing w:before="0" w:beforeAutospacing="0" w:after="0" w:afterAutospacing="0"/>
              <w:jc w:val="center"/>
            </w:pPr>
            <w:r>
              <w:t>0</w:t>
            </w:r>
          </w:p>
        </w:tc>
      </w:tr>
      <w:tr w:rsidR="00993B37" w:rsidRPr="00064053" w14:paraId="0E1FE30D" w14:textId="77777777" w:rsidTr="0057474F">
        <w:trPr>
          <w:jc w:val="center"/>
        </w:trPr>
        <w:tc>
          <w:tcPr>
            <w:tcW w:w="1249" w:type="pct"/>
          </w:tcPr>
          <w:p w14:paraId="759FFEFD"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5.3. pašvaldību budžets </w:t>
            </w:r>
          </w:p>
        </w:tc>
        <w:tc>
          <w:tcPr>
            <w:tcW w:w="536" w:type="pct"/>
            <w:vMerge/>
            <w:vAlign w:val="center"/>
          </w:tcPr>
          <w:p w14:paraId="16063510" w14:textId="77777777" w:rsidR="00993B37" w:rsidRPr="00064053" w:rsidRDefault="00993B37" w:rsidP="00993B37">
            <w:pPr>
              <w:pStyle w:val="naisf"/>
              <w:spacing w:before="0" w:beforeAutospacing="0" w:after="0" w:afterAutospacing="0"/>
              <w:jc w:val="center"/>
              <w:rPr>
                <w:i/>
              </w:rPr>
            </w:pPr>
          </w:p>
        </w:tc>
        <w:tc>
          <w:tcPr>
            <w:tcW w:w="802" w:type="pct"/>
          </w:tcPr>
          <w:p w14:paraId="072E51C0" w14:textId="77777777" w:rsidR="00993B37" w:rsidRPr="00064053" w:rsidRDefault="00993B37" w:rsidP="00993B37">
            <w:pPr>
              <w:pStyle w:val="naisf"/>
              <w:spacing w:before="0" w:beforeAutospacing="0" w:after="0" w:afterAutospacing="0"/>
              <w:jc w:val="center"/>
            </w:pPr>
            <w:r>
              <w:t>0</w:t>
            </w:r>
          </w:p>
        </w:tc>
        <w:tc>
          <w:tcPr>
            <w:tcW w:w="805" w:type="pct"/>
          </w:tcPr>
          <w:p w14:paraId="1702E94D" w14:textId="77777777" w:rsidR="00993B37" w:rsidRPr="00064053" w:rsidRDefault="00993B37" w:rsidP="00993B37">
            <w:pPr>
              <w:pStyle w:val="naisf"/>
              <w:spacing w:before="0" w:beforeAutospacing="0" w:after="0" w:afterAutospacing="0"/>
              <w:jc w:val="center"/>
            </w:pPr>
            <w:r>
              <w:t>0</w:t>
            </w:r>
          </w:p>
        </w:tc>
        <w:tc>
          <w:tcPr>
            <w:tcW w:w="805" w:type="pct"/>
          </w:tcPr>
          <w:p w14:paraId="65BCEB70" w14:textId="77777777" w:rsidR="00993B37" w:rsidRPr="00064053" w:rsidRDefault="00993B37" w:rsidP="00993B37">
            <w:pPr>
              <w:pStyle w:val="naisf"/>
              <w:spacing w:before="0" w:beforeAutospacing="0" w:after="0" w:afterAutospacing="0"/>
              <w:jc w:val="center"/>
            </w:pPr>
            <w:r>
              <w:t>0</w:t>
            </w:r>
          </w:p>
        </w:tc>
        <w:tc>
          <w:tcPr>
            <w:tcW w:w="804" w:type="pct"/>
          </w:tcPr>
          <w:p w14:paraId="1BA117EF" w14:textId="77777777" w:rsidR="00993B37" w:rsidRPr="00064053" w:rsidRDefault="00993B37" w:rsidP="00993B37">
            <w:pPr>
              <w:pStyle w:val="naisf"/>
              <w:spacing w:before="0" w:beforeAutospacing="0" w:after="0" w:afterAutospacing="0"/>
              <w:jc w:val="center"/>
            </w:pPr>
            <w:r>
              <w:t>0</w:t>
            </w:r>
          </w:p>
        </w:tc>
      </w:tr>
      <w:tr w:rsidR="00993B37" w:rsidRPr="001675E3" w14:paraId="0EBE87E3" w14:textId="77777777" w:rsidTr="0057474F">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444"/>
          <w:jc w:val="center"/>
        </w:trPr>
        <w:tc>
          <w:tcPr>
            <w:tcW w:w="1249" w:type="pct"/>
            <w:tcBorders>
              <w:top w:val="outset" w:sz="6" w:space="0" w:color="414142"/>
              <w:left w:val="outset" w:sz="6" w:space="0" w:color="414142"/>
              <w:bottom w:val="outset" w:sz="6" w:space="0" w:color="414142"/>
              <w:right w:val="outset" w:sz="6" w:space="0" w:color="414142"/>
            </w:tcBorders>
            <w:hideMark/>
          </w:tcPr>
          <w:p w14:paraId="7856182D" w14:textId="77777777" w:rsidR="00993B37" w:rsidRDefault="00993B37" w:rsidP="00993B37">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6. Detalizēts ieņēmumu un izdevumu aprēķins (ja </w:t>
            </w:r>
            <w:r>
              <w:rPr>
                <w:rFonts w:ascii="Times New Roman" w:hAnsi="Times New Roman" w:cs="Times New Roman"/>
                <w:sz w:val="24"/>
                <w:szCs w:val="24"/>
              </w:rPr>
              <w:lastRenderedPageBreak/>
              <w:t>nepieciešams, detalizētu ieņēmumu un izdevumu aprēķinu var pievienot anotācijas pielikumā):</w:t>
            </w:r>
          </w:p>
        </w:tc>
        <w:tc>
          <w:tcPr>
            <w:tcW w:w="3751" w:type="pct"/>
            <w:gridSpan w:val="5"/>
            <w:tcBorders>
              <w:top w:val="outset" w:sz="6" w:space="0" w:color="414142"/>
              <w:left w:val="outset" w:sz="6" w:space="0" w:color="414142"/>
              <w:bottom w:val="outset" w:sz="6" w:space="0" w:color="414142"/>
              <w:right w:val="outset" w:sz="6" w:space="0" w:color="414142"/>
            </w:tcBorders>
            <w:hideMark/>
          </w:tcPr>
          <w:p w14:paraId="19EA67DE" w14:textId="2ADB0E6E" w:rsidR="00993B37" w:rsidRDefault="00993B37" w:rsidP="000A4F67">
            <w:pPr>
              <w:pStyle w:val="naisf"/>
              <w:spacing w:before="0" w:after="0" w:line="256" w:lineRule="auto"/>
              <w:jc w:val="both"/>
            </w:pPr>
            <w:r>
              <w:lastRenderedPageBreak/>
              <w:t xml:space="preserve">Saskaņā ar likumu </w:t>
            </w:r>
            <w:r>
              <w:rPr>
                <w:bCs/>
              </w:rPr>
              <w:t>"</w:t>
            </w:r>
            <w:r>
              <w:t xml:space="preserve">Par valsts budžetu 2017. gadam" Tieslietu ministrijas budžeta apakšprogrammā 03.04.00 </w:t>
            </w:r>
            <w:r>
              <w:rPr>
                <w:bCs/>
              </w:rPr>
              <w:t>"</w:t>
            </w:r>
            <w:r w:rsidRPr="00B22102">
              <w:rPr>
                <w:rFonts w:eastAsiaTheme="minorHAnsi"/>
                <w:lang w:eastAsia="en-US"/>
              </w:rPr>
              <w:t xml:space="preserve">Tiesu ekspertīžu </w:t>
            </w:r>
            <w:r w:rsidRPr="00B22102">
              <w:rPr>
                <w:rFonts w:eastAsiaTheme="minorHAnsi"/>
                <w:lang w:eastAsia="en-US"/>
              </w:rPr>
              <w:lastRenderedPageBreak/>
              <w:t>veikšana</w:t>
            </w:r>
            <w:r w:rsidRPr="00C63FBF">
              <w:rPr>
                <w:rFonts w:eastAsiaTheme="minorHAnsi"/>
                <w:lang w:eastAsia="en-US"/>
              </w:rPr>
              <w:t>"</w:t>
            </w:r>
            <w:r w:rsidRPr="002A79F8">
              <w:rPr>
                <w:rFonts w:eastAsiaTheme="minorHAnsi"/>
                <w:lang w:eastAsia="en-US"/>
              </w:rPr>
              <w:t xml:space="preserve"> </w:t>
            </w:r>
            <w:r>
              <w:t>ieņēmumi no maksas pakalpojumiem un citiem pašu ieņēmumiem plānoti 14</w:t>
            </w:r>
            <w:r w:rsidR="001635D3">
              <w:t> </w:t>
            </w:r>
            <w:r>
              <w:t>229 </w:t>
            </w:r>
            <w:proofErr w:type="spellStart"/>
            <w:r>
              <w:rPr>
                <w:i/>
              </w:rPr>
              <w:t>euro</w:t>
            </w:r>
            <w:proofErr w:type="spellEnd"/>
            <w:r>
              <w:t>.</w:t>
            </w:r>
          </w:p>
          <w:p w14:paraId="509F6A51" w14:textId="7310EDC5" w:rsidR="00993B37" w:rsidRDefault="002A0ED5" w:rsidP="00911E85">
            <w:pPr>
              <w:pStyle w:val="naisf"/>
              <w:spacing w:before="0" w:after="0" w:line="256" w:lineRule="auto"/>
              <w:jc w:val="both"/>
              <w:rPr>
                <w:color w:val="414142"/>
              </w:rPr>
            </w:pPr>
            <w:r>
              <w:t>P</w:t>
            </w:r>
            <w:r w:rsidR="00993B37">
              <w:t>rojekts paredz, ka, pārskatot spēkā esošo pakalpojumu cenas</w:t>
            </w:r>
            <w:r w:rsidR="000644AA">
              <w:t xml:space="preserve"> un ieviešot jaunus maksas pakalpojumus</w:t>
            </w:r>
            <w:r w:rsidR="00993B37">
              <w:t>, 2017. gadā par 5</w:t>
            </w:r>
            <w:r w:rsidR="00D815FD">
              <w:t>2</w:t>
            </w:r>
            <w:r w:rsidR="00911E85">
              <w:t>18</w:t>
            </w:r>
            <w:r w:rsidR="00993B37">
              <w:t> </w:t>
            </w:r>
            <w:proofErr w:type="spellStart"/>
            <w:r w:rsidR="00993B37">
              <w:rPr>
                <w:i/>
              </w:rPr>
              <w:t>euro</w:t>
            </w:r>
            <w:proofErr w:type="spellEnd"/>
            <w:r w:rsidR="00993B37">
              <w:rPr>
                <w:i/>
              </w:rPr>
              <w:t xml:space="preserve">, </w:t>
            </w:r>
            <w:r w:rsidR="00993B37">
              <w:t xml:space="preserve">2018. gadā </w:t>
            </w:r>
            <w:r w:rsidR="000644AA">
              <w:t>un</w:t>
            </w:r>
            <w:r w:rsidR="00993B37">
              <w:t xml:space="preserve"> turpmākajos gados par 10</w:t>
            </w:r>
            <w:r w:rsidR="001635D3">
              <w:t> </w:t>
            </w:r>
            <w:r w:rsidR="00D815FD">
              <w:t>4</w:t>
            </w:r>
            <w:r w:rsidR="00911E85">
              <w:t>22</w:t>
            </w:r>
            <w:r w:rsidR="00993B37">
              <w:t> </w:t>
            </w:r>
            <w:proofErr w:type="spellStart"/>
            <w:r w:rsidR="00993B37">
              <w:rPr>
                <w:i/>
              </w:rPr>
              <w:t>euro</w:t>
            </w:r>
            <w:proofErr w:type="spellEnd"/>
            <w:r w:rsidR="00993B37">
              <w:t xml:space="preserve"> palielināsies ieņēm</w:t>
            </w:r>
            <w:r w:rsidR="00785AA5">
              <w:t>umi no B</w:t>
            </w:r>
            <w:r w:rsidR="00993B37">
              <w:t>iroja sniegtajiem maksas pakalpojumiem.</w:t>
            </w:r>
          </w:p>
        </w:tc>
      </w:tr>
      <w:tr w:rsidR="00993B37" w:rsidRPr="001675E3" w14:paraId="33CF50A6" w14:textId="77777777" w:rsidTr="0057474F">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444"/>
          <w:jc w:val="center"/>
        </w:trPr>
        <w:tc>
          <w:tcPr>
            <w:tcW w:w="1249" w:type="pct"/>
            <w:tcBorders>
              <w:top w:val="outset" w:sz="6" w:space="0" w:color="414142"/>
              <w:left w:val="outset" w:sz="6" w:space="0" w:color="414142"/>
              <w:bottom w:val="outset" w:sz="6" w:space="0" w:color="414142"/>
              <w:right w:val="outset" w:sz="6" w:space="0" w:color="414142"/>
            </w:tcBorders>
            <w:hideMark/>
          </w:tcPr>
          <w:p w14:paraId="3E6FB681" w14:textId="77777777" w:rsidR="00993B37" w:rsidRDefault="00993B37" w:rsidP="00993B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 detalizēts ieņēmumu aprēķins</w:t>
            </w:r>
          </w:p>
        </w:tc>
        <w:tc>
          <w:tcPr>
            <w:tcW w:w="3751" w:type="pct"/>
            <w:gridSpan w:val="5"/>
            <w:tcBorders>
              <w:top w:val="outset" w:sz="6" w:space="0" w:color="414142"/>
              <w:left w:val="outset" w:sz="6" w:space="0" w:color="414142"/>
              <w:bottom w:val="outset" w:sz="6" w:space="0" w:color="414142"/>
              <w:right w:val="outset" w:sz="6" w:space="0" w:color="414142"/>
            </w:tcBorders>
            <w:vAlign w:val="center"/>
            <w:hideMark/>
          </w:tcPr>
          <w:p w14:paraId="5EB93EB0" w14:textId="2FF62316" w:rsidR="00993B37" w:rsidRDefault="00993B37" w:rsidP="000A4F6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Kopā ar izmaiņām ieņēmumi no </w:t>
            </w:r>
            <w:r w:rsidR="00785AA5">
              <w:rPr>
                <w:rFonts w:ascii="Times New Roman" w:hAnsi="Times New Roman" w:cs="Times New Roman"/>
                <w:sz w:val="24"/>
                <w:szCs w:val="24"/>
              </w:rPr>
              <w:t>B</w:t>
            </w:r>
            <w:r w:rsidRPr="001675E3">
              <w:rPr>
                <w:rFonts w:ascii="Times New Roman" w:hAnsi="Times New Roman" w:cs="Times New Roman"/>
                <w:sz w:val="24"/>
                <w:szCs w:val="24"/>
              </w:rPr>
              <w:t>iroja</w:t>
            </w:r>
            <w:r>
              <w:rPr>
                <w:rFonts w:ascii="Times New Roman" w:hAnsi="Times New Roman" w:cs="Times New Roman"/>
                <w:sz w:val="24"/>
                <w:szCs w:val="24"/>
              </w:rPr>
              <w:t xml:space="preserve"> sniegtajiem maksas pakalpojumiem 2017. gadā plānoti 19</w:t>
            </w:r>
            <w:r w:rsidR="001635D3">
              <w:rPr>
                <w:rFonts w:ascii="Times New Roman" w:hAnsi="Times New Roman" w:cs="Times New Roman"/>
                <w:sz w:val="24"/>
                <w:szCs w:val="24"/>
              </w:rPr>
              <w:t> </w:t>
            </w:r>
            <w:r w:rsidR="00D815FD">
              <w:rPr>
                <w:rFonts w:ascii="Times New Roman" w:hAnsi="Times New Roman" w:cs="Times New Roman"/>
                <w:sz w:val="24"/>
                <w:szCs w:val="24"/>
              </w:rPr>
              <w:t>4</w:t>
            </w:r>
            <w:r w:rsidR="00911E85">
              <w:rPr>
                <w:rFonts w:ascii="Times New Roman" w:hAnsi="Times New Roman" w:cs="Times New Roman"/>
                <w:sz w:val="24"/>
                <w:szCs w:val="24"/>
              </w:rPr>
              <w:t>47</w:t>
            </w:r>
            <w:r w:rsidR="001635D3">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sidR="00AB3EA1">
              <w:rPr>
                <w:rFonts w:ascii="Times New Roman" w:hAnsi="Times New Roman" w:cs="Times New Roman"/>
                <w:sz w:val="24"/>
                <w:szCs w:val="24"/>
              </w:rPr>
              <w:t xml:space="preserve"> </w:t>
            </w:r>
            <w:r>
              <w:rPr>
                <w:rFonts w:ascii="Times New Roman" w:hAnsi="Times New Roman" w:cs="Times New Roman"/>
                <w:sz w:val="24"/>
                <w:szCs w:val="24"/>
              </w:rPr>
              <w:t xml:space="preserve">2018. gadā </w:t>
            </w:r>
            <w:r w:rsidR="00AB3EA1">
              <w:rPr>
                <w:rFonts w:ascii="Times New Roman" w:hAnsi="Times New Roman" w:cs="Times New Roman"/>
                <w:sz w:val="24"/>
                <w:szCs w:val="24"/>
              </w:rPr>
              <w:t>un</w:t>
            </w:r>
            <w:r>
              <w:rPr>
                <w:rFonts w:ascii="Times New Roman" w:hAnsi="Times New Roman" w:cs="Times New Roman"/>
                <w:i/>
                <w:sz w:val="24"/>
                <w:szCs w:val="24"/>
              </w:rPr>
              <w:t xml:space="preserve"> </w:t>
            </w:r>
            <w:r>
              <w:rPr>
                <w:rFonts w:ascii="Times New Roman" w:hAnsi="Times New Roman" w:cs="Times New Roman"/>
                <w:sz w:val="24"/>
                <w:szCs w:val="24"/>
              </w:rPr>
              <w:t>turpmākajos gados 24</w:t>
            </w:r>
            <w:r w:rsidR="001635D3">
              <w:rPr>
                <w:rFonts w:ascii="Times New Roman" w:hAnsi="Times New Roman" w:cs="Times New Roman"/>
                <w:sz w:val="24"/>
                <w:szCs w:val="24"/>
              </w:rPr>
              <w:t> </w:t>
            </w:r>
            <w:r w:rsidR="00D815FD">
              <w:rPr>
                <w:rFonts w:ascii="Times New Roman" w:hAnsi="Times New Roman" w:cs="Times New Roman"/>
                <w:sz w:val="24"/>
                <w:szCs w:val="24"/>
              </w:rPr>
              <w:t>6</w:t>
            </w:r>
            <w:r w:rsidR="00911E85">
              <w:rPr>
                <w:rFonts w:ascii="Times New Roman" w:hAnsi="Times New Roman" w:cs="Times New Roman"/>
                <w:sz w:val="24"/>
                <w:szCs w:val="24"/>
              </w:rPr>
              <w:t>51</w:t>
            </w:r>
            <w:r>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03A6DF40" w14:textId="232B3DF8" w:rsidR="00993B37" w:rsidRDefault="00993B37" w:rsidP="000A4F6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Detalizēts ieņēmumu </w:t>
            </w:r>
            <w:r w:rsidR="000A4F67">
              <w:rPr>
                <w:rFonts w:ascii="Times New Roman" w:hAnsi="Times New Roman" w:cs="Times New Roman"/>
                <w:sz w:val="24"/>
                <w:szCs w:val="24"/>
              </w:rPr>
              <w:t xml:space="preserve">aprēķins </w:t>
            </w:r>
            <w:r>
              <w:rPr>
                <w:rFonts w:ascii="Times New Roman" w:hAnsi="Times New Roman" w:cs="Times New Roman"/>
                <w:sz w:val="24"/>
                <w:szCs w:val="24"/>
              </w:rPr>
              <w:t xml:space="preserve">no </w:t>
            </w:r>
            <w:r w:rsidR="00785AA5">
              <w:rPr>
                <w:rFonts w:ascii="Times New Roman" w:hAnsi="Times New Roman" w:cs="Times New Roman"/>
                <w:sz w:val="24"/>
                <w:szCs w:val="24"/>
              </w:rPr>
              <w:t>B</w:t>
            </w:r>
            <w:r w:rsidR="000A4F67">
              <w:rPr>
                <w:rFonts w:ascii="Times New Roman" w:hAnsi="Times New Roman" w:cs="Times New Roman"/>
                <w:sz w:val="24"/>
                <w:szCs w:val="24"/>
              </w:rPr>
              <w:t>iroja</w:t>
            </w:r>
            <w:r>
              <w:rPr>
                <w:rFonts w:ascii="Times New Roman" w:hAnsi="Times New Roman" w:cs="Times New Roman"/>
                <w:sz w:val="24"/>
                <w:szCs w:val="24"/>
              </w:rPr>
              <w:t xml:space="preserve"> sniegtajiem maksas pakalpojumiem norādīts </w:t>
            </w:r>
            <w:r w:rsidR="002A0ED5">
              <w:rPr>
                <w:rFonts w:ascii="Times New Roman" w:hAnsi="Times New Roman" w:cs="Times New Roman"/>
                <w:sz w:val="24"/>
                <w:szCs w:val="24"/>
              </w:rPr>
              <w:t>p</w:t>
            </w:r>
            <w:r>
              <w:rPr>
                <w:rFonts w:ascii="Times New Roman" w:hAnsi="Times New Roman" w:cs="Times New Roman"/>
                <w:sz w:val="24"/>
                <w:szCs w:val="24"/>
              </w:rPr>
              <w:t>rojekta sākotnējās ietekmes novērtējuma ziņojuma (anotācijas) 2. pielikumā.</w:t>
            </w:r>
          </w:p>
        </w:tc>
      </w:tr>
      <w:tr w:rsidR="00993B37" w:rsidRPr="001675E3" w14:paraId="5B996904" w14:textId="77777777" w:rsidTr="0057474F">
        <w:tblPrEx>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444"/>
          <w:jc w:val="center"/>
        </w:trPr>
        <w:tc>
          <w:tcPr>
            <w:tcW w:w="1249" w:type="pct"/>
            <w:tcBorders>
              <w:top w:val="outset" w:sz="6" w:space="0" w:color="414142"/>
              <w:left w:val="outset" w:sz="6" w:space="0" w:color="414142"/>
              <w:bottom w:val="outset" w:sz="6" w:space="0" w:color="414142"/>
              <w:right w:val="outset" w:sz="6" w:space="0" w:color="414142"/>
            </w:tcBorders>
            <w:hideMark/>
          </w:tcPr>
          <w:p w14:paraId="3355C533" w14:textId="77777777" w:rsidR="00993B37" w:rsidRDefault="00993B37" w:rsidP="00993B37">
            <w:pPr>
              <w:spacing w:after="0" w:line="240" w:lineRule="auto"/>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3751" w:type="pct"/>
            <w:gridSpan w:val="5"/>
            <w:tcBorders>
              <w:top w:val="outset" w:sz="6" w:space="0" w:color="414142"/>
              <w:left w:val="outset" w:sz="6" w:space="0" w:color="414142"/>
              <w:bottom w:val="outset" w:sz="6" w:space="0" w:color="414142"/>
              <w:right w:val="outset" w:sz="6" w:space="0" w:color="414142"/>
            </w:tcBorders>
            <w:hideMark/>
          </w:tcPr>
          <w:p w14:paraId="7C7B07A5" w14:textId="50EEC4F0" w:rsidR="00993B37" w:rsidRDefault="00993B37" w:rsidP="00B6077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Izdevumi projektā iekļauto maksas pakalpojumu sniegšanai 2017. gadā plānoti 19</w:t>
            </w:r>
            <w:r w:rsidR="001635D3">
              <w:rPr>
                <w:rFonts w:ascii="Times New Roman" w:hAnsi="Times New Roman" w:cs="Times New Roman"/>
                <w:sz w:val="24"/>
                <w:szCs w:val="24"/>
              </w:rPr>
              <w:t> </w:t>
            </w:r>
            <w:r w:rsidR="00D815FD">
              <w:rPr>
                <w:rFonts w:ascii="Times New Roman" w:hAnsi="Times New Roman" w:cs="Times New Roman"/>
                <w:sz w:val="24"/>
                <w:szCs w:val="24"/>
              </w:rPr>
              <w:t>4</w:t>
            </w:r>
            <w:r w:rsidR="00911E85">
              <w:rPr>
                <w:rFonts w:ascii="Times New Roman" w:hAnsi="Times New Roman" w:cs="Times New Roman"/>
                <w:sz w:val="24"/>
                <w:szCs w:val="24"/>
              </w:rPr>
              <w:t>47</w:t>
            </w:r>
            <w:r>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2018. gadā </w:t>
            </w:r>
            <w:r w:rsidR="00AB3EA1">
              <w:rPr>
                <w:rFonts w:ascii="Times New Roman" w:hAnsi="Times New Roman" w:cs="Times New Roman"/>
                <w:sz w:val="24"/>
                <w:szCs w:val="24"/>
              </w:rPr>
              <w:t>un</w:t>
            </w:r>
            <w:r>
              <w:rPr>
                <w:rFonts w:ascii="Times New Roman" w:hAnsi="Times New Roman" w:cs="Times New Roman"/>
                <w:i/>
                <w:sz w:val="24"/>
                <w:szCs w:val="24"/>
              </w:rPr>
              <w:t xml:space="preserve"> </w:t>
            </w:r>
            <w:r>
              <w:rPr>
                <w:rFonts w:ascii="Times New Roman" w:hAnsi="Times New Roman" w:cs="Times New Roman"/>
                <w:sz w:val="24"/>
                <w:szCs w:val="24"/>
              </w:rPr>
              <w:t>turpmākajos gados 24</w:t>
            </w:r>
            <w:r w:rsidR="001635D3">
              <w:rPr>
                <w:rFonts w:ascii="Times New Roman" w:hAnsi="Times New Roman" w:cs="Times New Roman"/>
                <w:sz w:val="24"/>
                <w:szCs w:val="24"/>
              </w:rPr>
              <w:t> </w:t>
            </w:r>
            <w:r w:rsidR="00D815FD">
              <w:rPr>
                <w:rFonts w:ascii="Times New Roman" w:hAnsi="Times New Roman" w:cs="Times New Roman"/>
                <w:sz w:val="24"/>
                <w:szCs w:val="24"/>
              </w:rPr>
              <w:t>6</w:t>
            </w:r>
            <w:r w:rsidR="00911E85">
              <w:rPr>
                <w:rFonts w:ascii="Times New Roman" w:hAnsi="Times New Roman" w:cs="Times New Roman"/>
                <w:sz w:val="24"/>
                <w:szCs w:val="24"/>
              </w:rPr>
              <w:t>51</w:t>
            </w:r>
            <w:r>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788A8FBD" w14:textId="6762B53F" w:rsidR="00B6077A" w:rsidRDefault="00993B37" w:rsidP="00B6077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Detalizēts izdevumu aprēķins norādīts projekta sākotnējās ietekmes novērtējuma ziņojuma (anotācijas) 3. pielikumā.</w:t>
            </w:r>
          </w:p>
          <w:p w14:paraId="16E14825" w14:textId="1CC24939" w:rsidR="00EA2763" w:rsidRDefault="00EA2763" w:rsidP="00B6077A">
            <w:pPr>
              <w:spacing w:after="120" w:line="240" w:lineRule="auto"/>
              <w:jc w:val="both"/>
              <w:rPr>
                <w:rFonts w:ascii="Times New Roman" w:hAnsi="Times New Roman" w:cs="Times New Roman"/>
                <w:sz w:val="24"/>
                <w:szCs w:val="24"/>
              </w:rPr>
            </w:pPr>
            <w:r w:rsidRPr="00943783">
              <w:rPr>
                <w:rFonts w:ascii="Times New Roman" w:hAnsi="Times New Roman"/>
                <w:sz w:val="24"/>
                <w:szCs w:val="24"/>
              </w:rPr>
              <w:t>Maksas pakalpojumu izcenojuma aprēķins norādīts projekta sākotnējās ietekmes novērtējuma ziņojuma (anotācijas) 1. pielikumā.</w:t>
            </w:r>
          </w:p>
        </w:tc>
      </w:tr>
      <w:tr w:rsidR="00993B37" w:rsidRPr="00064053" w14:paraId="2C9D9BDE" w14:textId="77777777" w:rsidTr="0057474F">
        <w:trPr>
          <w:trHeight w:val="556"/>
          <w:jc w:val="center"/>
        </w:trPr>
        <w:tc>
          <w:tcPr>
            <w:tcW w:w="1249" w:type="pct"/>
          </w:tcPr>
          <w:p w14:paraId="275E936C" w14:textId="77777777" w:rsidR="00993B37" w:rsidRPr="00064053" w:rsidRDefault="00993B37" w:rsidP="00993B37">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7. Cita informācija</w:t>
            </w:r>
          </w:p>
        </w:tc>
        <w:tc>
          <w:tcPr>
            <w:tcW w:w="3751" w:type="pct"/>
            <w:gridSpan w:val="5"/>
          </w:tcPr>
          <w:p w14:paraId="724A6F52" w14:textId="543246E8" w:rsidR="00993B37" w:rsidRPr="00064053" w:rsidRDefault="00993B37" w:rsidP="00AB3EA1">
            <w:pPr>
              <w:pStyle w:val="naisf"/>
              <w:tabs>
                <w:tab w:val="left" w:pos="4644"/>
              </w:tabs>
              <w:spacing w:before="0" w:beforeAutospacing="0" w:after="0" w:afterAutospacing="0"/>
              <w:jc w:val="both"/>
              <w:rPr>
                <w:b/>
                <w:i/>
              </w:rPr>
            </w:pPr>
            <w:r>
              <w:t>Pēc projekta stāšanās spēkā Tieslietu ministrija normatīvajos aktos noteiktajā kārtībā sagatavos un iesniegs Finanšu ministrijā priekšlikumu par apropriācijas palielinājumu Tieslietu ministrijas budžeta apakšprogrammā 03.04.00 "</w:t>
            </w:r>
            <w:r w:rsidRPr="00B22102">
              <w:rPr>
                <w:rFonts w:eastAsiaTheme="minorHAnsi"/>
                <w:lang w:eastAsia="en-US"/>
              </w:rPr>
              <w:t>Tiesu ekspertīžu veikšana</w:t>
            </w:r>
            <w:r w:rsidRPr="00C63FBF">
              <w:rPr>
                <w:rFonts w:eastAsiaTheme="minorHAnsi"/>
                <w:lang w:eastAsia="en-US"/>
              </w:rPr>
              <w:t>"</w:t>
            </w:r>
            <w:r w:rsidRPr="002A79F8">
              <w:rPr>
                <w:rFonts w:eastAsiaTheme="minorHAnsi"/>
                <w:lang w:eastAsia="en-US"/>
              </w:rPr>
              <w:t xml:space="preserve"> </w:t>
            </w:r>
            <w:r>
              <w:t>2017. gadā 5</w:t>
            </w:r>
            <w:r w:rsidR="00D815FD">
              <w:t>2</w:t>
            </w:r>
            <w:r w:rsidR="00911E85">
              <w:t>18</w:t>
            </w:r>
            <w:r>
              <w:t> </w:t>
            </w:r>
            <w:proofErr w:type="spellStart"/>
            <w:r>
              <w:rPr>
                <w:i/>
              </w:rPr>
              <w:t>euro</w:t>
            </w:r>
            <w:proofErr w:type="spellEnd"/>
            <w:r w:rsidRPr="0057474F">
              <w:t>,</w:t>
            </w:r>
            <w:r>
              <w:rPr>
                <w:i/>
              </w:rPr>
              <w:t xml:space="preserve"> </w:t>
            </w:r>
            <w:r>
              <w:t>2018. gadā un turpmākajos gados 10</w:t>
            </w:r>
            <w:r w:rsidR="001635D3">
              <w:t> </w:t>
            </w:r>
            <w:r w:rsidR="00D815FD">
              <w:t>4</w:t>
            </w:r>
            <w:r w:rsidR="00911E85">
              <w:t>22</w:t>
            </w:r>
            <w:r>
              <w:t> </w:t>
            </w:r>
            <w:proofErr w:type="spellStart"/>
            <w:r>
              <w:rPr>
                <w:i/>
              </w:rPr>
              <w:t>euro</w:t>
            </w:r>
            <w:proofErr w:type="spellEnd"/>
            <w:r>
              <w:t xml:space="preserve"> apmērā ieņēmumiem no maksas pakalpojumiem un citiem pašu ieņēmumiem un attiecīgi izdevumu palielinājumu maksas pakalpojumu nodrošināšanai.</w:t>
            </w:r>
          </w:p>
        </w:tc>
      </w:tr>
    </w:tbl>
    <w:p w14:paraId="35716FE3" w14:textId="5E1B76BF" w:rsidR="007233C3" w:rsidRDefault="007233C3" w:rsidP="00064053">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E352B" w:rsidRPr="00BC2633" w14:paraId="11C7F150" w14:textId="77777777" w:rsidTr="00003B8C">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064B02F" w14:textId="77777777" w:rsidR="005E352B" w:rsidRPr="00BC2633" w:rsidRDefault="005E352B" w:rsidP="00003B8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5E352B" w:rsidRPr="00BC2633" w14:paraId="5D822096" w14:textId="77777777" w:rsidTr="005E352B">
        <w:tc>
          <w:tcPr>
            <w:tcW w:w="5000" w:type="pct"/>
            <w:tcBorders>
              <w:top w:val="outset" w:sz="6" w:space="0" w:color="414142"/>
              <w:left w:val="outset" w:sz="6" w:space="0" w:color="414142"/>
              <w:bottom w:val="outset" w:sz="6" w:space="0" w:color="414142"/>
              <w:right w:val="outset" w:sz="6" w:space="0" w:color="414142"/>
            </w:tcBorders>
          </w:tcPr>
          <w:p w14:paraId="2443F105" w14:textId="5E57E23B" w:rsidR="005E352B" w:rsidRPr="00BC2633" w:rsidRDefault="005E352B" w:rsidP="00A87AB5">
            <w:pPr>
              <w:spacing w:after="0" w:line="240" w:lineRule="auto"/>
              <w:jc w:val="center"/>
              <w:rPr>
                <w:rFonts w:ascii="Times New Roman" w:eastAsia="Times New Roman" w:hAnsi="Times New Roman" w:cs="Times New Roman"/>
                <w:sz w:val="24"/>
                <w:szCs w:val="24"/>
                <w:lang w:eastAsia="lv-LV"/>
              </w:rPr>
            </w:pPr>
            <w:bookmarkStart w:id="2" w:name="OLE_LINK1"/>
            <w:r>
              <w:rPr>
                <w:rFonts w:ascii="Times New Roman" w:eastAsia="Times New Roman" w:hAnsi="Times New Roman" w:cs="Times New Roman"/>
                <w:sz w:val="24"/>
                <w:szCs w:val="24"/>
                <w:lang w:eastAsia="lv-LV"/>
              </w:rPr>
              <w:t>Projekts šo jomu neskar.</w:t>
            </w:r>
            <w:bookmarkEnd w:id="2"/>
          </w:p>
        </w:tc>
      </w:tr>
    </w:tbl>
    <w:p w14:paraId="5EA776FE" w14:textId="7FC6F93F" w:rsidR="005E352B" w:rsidRDefault="005E352B" w:rsidP="00064053">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E352B" w:rsidRPr="00BC2633" w14:paraId="559AE102" w14:textId="77777777" w:rsidTr="00003B8C">
        <w:tc>
          <w:tcPr>
            <w:tcW w:w="5000" w:type="pct"/>
            <w:tcBorders>
              <w:top w:val="outset" w:sz="6" w:space="0" w:color="414142"/>
              <w:left w:val="outset" w:sz="6" w:space="0" w:color="414142"/>
              <w:bottom w:val="outset" w:sz="6" w:space="0" w:color="414142"/>
              <w:right w:val="outset" w:sz="6" w:space="0" w:color="414142"/>
            </w:tcBorders>
            <w:vAlign w:val="center"/>
            <w:hideMark/>
          </w:tcPr>
          <w:p w14:paraId="4BDC183E" w14:textId="77777777" w:rsidR="005E352B" w:rsidRPr="00BC2633" w:rsidRDefault="005E352B" w:rsidP="00003B8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5E352B" w:rsidRPr="00BC2633" w14:paraId="5F7FCA80" w14:textId="77777777" w:rsidTr="005E352B">
        <w:tc>
          <w:tcPr>
            <w:tcW w:w="5000" w:type="pct"/>
            <w:tcBorders>
              <w:top w:val="outset" w:sz="6" w:space="0" w:color="414142"/>
              <w:left w:val="outset" w:sz="6" w:space="0" w:color="414142"/>
              <w:bottom w:val="outset" w:sz="6" w:space="0" w:color="414142"/>
              <w:right w:val="outset" w:sz="6" w:space="0" w:color="414142"/>
            </w:tcBorders>
          </w:tcPr>
          <w:p w14:paraId="477E9DFD" w14:textId="672CB7F5" w:rsidR="005E352B" w:rsidRPr="00BC2633" w:rsidRDefault="005E352B" w:rsidP="00A87AB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F54F0CF" w14:textId="77777777" w:rsidR="005E352B" w:rsidRDefault="005E352B" w:rsidP="00064053">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
        <w:gridCol w:w="2628"/>
        <w:gridCol w:w="5961"/>
      </w:tblGrid>
      <w:tr w:rsidR="007233C3" w:rsidRPr="00474E45" w14:paraId="73C90984" w14:textId="77777777" w:rsidTr="00B6077A">
        <w:trPr>
          <w:trHeight w:val="48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BDE21F1" w14:textId="77777777" w:rsidR="007233C3" w:rsidRPr="00474E45" w:rsidRDefault="007233C3" w:rsidP="00FE423B">
            <w:pPr>
              <w:spacing w:after="0" w:line="240" w:lineRule="auto"/>
              <w:ind w:left="57" w:right="57"/>
              <w:jc w:val="center"/>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VI. Sabiedrības līdzdalība un komunikācijas aktivitātes</w:t>
            </w:r>
          </w:p>
        </w:tc>
      </w:tr>
      <w:tr w:rsidR="007233C3" w:rsidRPr="00474E45" w14:paraId="6D656565" w14:textId="77777777" w:rsidTr="0057474F">
        <w:trPr>
          <w:trHeight w:val="553"/>
          <w:jc w:val="center"/>
        </w:trPr>
        <w:tc>
          <w:tcPr>
            <w:tcW w:w="271" w:type="pct"/>
          </w:tcPr>
          <w:p w14:paraId="027F0D89" w14:textId="77777777" w:rsidR="007233C3" w:rsidRPr="00D15DBD" w:rsidRDefault="007233C3" w:rsidP="00FE423B">
            <w:pPr>
              <w:spacing w:after="0" w:line="240" w:lineRule="auto"/>
              <w:ind w:left="57" w:right="57"/>
              <w:rPr>
                <w:rFonts w:ascii="Times New Roman" w:eastAsia="Times New Roman" w:hAnsi="Times New Roman" w:cs="Times New Roman"/>
                <w:bCs/>
                <w:sz w:val="24"/>
                <w:szCs w:val="24"/>
                <w:lang w:eastAsia="lv-LV"/>
              </w:rPr>
            </w:pPr>
            <w:r w:rsidRPr="00D15DBD">
              <w:rPr>
                <w:rFonts w:ascii="Times New Roman" w:eastAsia="Times New Roman" w:hAnsi="Times New Roman" w:cs="Times New Roman"/>
                <w:bCs/>
                <w:sz w:val="24"/>
                <w:szCs w:val="24"/>
                <w:lang w:eastAsia="lv-LV"/>
              </w:rPr>
              <w:t>1.</w:t>
            </w:r>
          </w:p>
        </w:tc>
        <w:tc>
          <w:tcPr>
            <w:tcW w:w="1447" w:type="pct"/>
            <w:tcBorders>
              <w:right w:val="single" w:sz="4" w:space="0" w:color="auto"/>
            </w:tcBorders>
          </w:tcPr>
          <w:p w14:paraId="5F36E88E" w14:textId="77777777" w:rsidR="007233C3" w:rsidRPr="00D15DBD" w:rsidRDefault="007233C3" w:rsidP="00FE423B">
            <w:pPr>
              <w:tabs>
                <w:tab w:val="left" w:pos="170"/>
              </w:tabs>
              <w:spacing w:after="0" w:line="240" w:lineRule="auto"/>
              <w:ind w:left="57" w:right="57"/>
              <w:rPr>
                <w:rFonts w:ascii="Times New Roman" w:eastAsia="Times New Roman" w:hAnsi="Times New Roman" w:cs="Times New Roman"/>
                <w:sz w:val="24"/>
                <w:szCs w:val="24"/>
                <w:lang w:eastAsia="lv-LV"/>
              </w:rPr>
            </w:pPr>
            <w:r w:rsidRPr="00D15DBD">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82" w:type="pct"/>
            <w:tcBorders>
              <w:left w:val="single" w:sz="4" w:space="0" w:color="auto"/>
            </w:tcBorders>
          </w:tcPr>
          <w:p w14:paraId="58847ABC" w14:textId="782A9035" w:rsidR="007233C3" w:rsidRPr="00474E45" w:rsidRDefault="0033297F" w:rsidP="006147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E423B">
              <w:rPr>
                <w:rFonts w:ascii="Times New Roman" w:eastAsia="Times New Roman" w:hAnsi="Times New Roman" w:cs="Times New Roman"/>
                <w:sz w:val="24"/>
                <w:szCs w:val="24"/>
                <w:lang w:eastAsia="lv-LV"/>
              </w:rPr>
              <w:t>rojekt</w:t>
            </w:r>
            <w:r w:rsidR="00614764">
              <w:rPr>
                <w:rFonts w:ascii="Times New Roman" w:eastAsia="Times New Roman" w:hAnsi="Times New Roman" w:cs="Times New Roman"/>
                <w:sz w:val="24"/>
                <w:szCs w:val="24"/>
                <w:lang w:eastAsia="lv-LV"/>
              </w:rPr>
              <w:t>s</w:t>
            </w:r>
            <w:r w:rsidR="00FE423B">
              <w:rPr>
                <w:rFonts w:ascii="Times New Roman" w:eastAsia="Times New Roman" w:hAnsi="Times New Roman" w:cs="Times New Roman"/>
                <w:sz w:val="24"/>
                <w:szCs w:val="24"/>
                <w:lang w:eastAsia="lv-LV"/>
              </w:rPr>
              <w:t xml:space="preserve"> ievieto</w:t>
            </w:r>
            <w:r>
              <w:rPr>
                <w:rFonts w:ascii="Times New Roman" w:eastAsia="Times New Roman" w:hAnsi="Times New Roman" w:cs="Times New Roman"/>
                <w:sz w:val="24"/>
                <w:szCs w:val="24"/>
                <w:lang w:eastAsia="lv-LV"/>
              </w:rPr>
              <w:t>t</w:t>
            </w:r>
            <w:r w:rsidR="00614764">
              <w:rPr>
                <w:rFonts w:ascii="Times New Roman" w:eastAsia="Times New Roman" w:hAnsi="Times New Roman" w:cs="Times New Roman"/>
                <w:sz w:val="24"/>
                <w:szCs w:val="24"/>
                <w:lang w:eastAsia="lv-LV"/>
              </w:rPr>
              <w:t>s</w:t>
            </w:r>
            <w:r w:rsidR="00FE423B">
              <w:rPr>
                <w:rFonts w:ascii="Times New Roman" w:eastAsia="Times New Roman" w:hAnsi="Times New Roman" w:cs="Times New Roman"/>
                <w:sz w:val="24"/>
                <w:szCs w:val="24"/>
                <w:lang w:eastAsia="lv-LV"/>
              </w:rPr>
              <w:t xml:space="preserve"> </w:t>
            </w:r>
            <w:r w:rsidR="00614764">
              <w:rPr>
                <w:rFonts w:ascii="Times New Roman" w:eastAsia="Times New Roman" w:hAnsi="Times New Roman" w:cs="Times New Roman"/>
                <w:sz w:val="24"/>
                <w:szCs w:val="24"/>
                <w:lang w:eastAsia="lv-LV"/>
              </w:rPr>
              <w:t>Biroja</w:t>
            </w:r>
            <w:r w:rsidR="00FE423B">
              <w:rPr>
                <w:rFonts w:ascii="Times New Roman" w:eastAsia="Times New Roman" w:hAnsi="Times New Roman" w:cs="Times New Roman"/>
                <w:sz w:val="24"/>
                <w:szCs w:val="24"/>
                <w:lang w:eastAsia="lv-LV"/>
              </w:rPr>
              <w:t xml:space="preserve"> mājaslapā sadaļā</w:t>
            </w:r>
            <w:r w:rsidR="006E7E51">
              <w:rPr>
                <w:rFonts w:ascii="Times New Roman" w:eastAsia="Times New Roman" w:hAnsi="Times New Roman" w:cs="Times New Roman"/>
                <w:sz w:val="24"/>
                <w:szCs w:val="24"/>
                <w:lang w:eastAsia="lv-LV"/>
              </w:rPr>
              <w:t xml:space="preserve"> </w:t>
            </w:r>
            <w:r w:rsidR="006E7E51" w:rsidRPr="00474E45">
              <w:rPr>
                <w:rFonts w:ascii="Times New Roman" w:eastAsia="Calibri" w:hAnsi="Times New Roman" w:cs="Times New Roman"/>
                <w:sz w:val="24"/>
                <w:szCs w:val="24"/>
              </w:rPr>
              <w:t>"</w:t>
            </w:r>
            <w:r w:rsidR="006E7E51">
              <w:rPr>
                <w:rFonts w:ascii="Times New Roman" w:eastAsia="Times New Roman" w:hAnsi="Times New Roman" w:cs="Times New Roman"/>
                <w:sz w:val="24"/>
                <w:szCs w:val="24"/>
                <w:lang w:eastAsia="lv-LV"/>
              </w:rPr>
              <w:t>Sabiedrības līdzdalība</w:t>
            </w:r>
            <w:r w:rsidR="006E7E51" w:rsidRPr="00474E45">
              <w:rPr>
                <w:rFonts w:ascii="Times New Roman" w:eastAsia="Calibri" w:hAnsi="Times New Roman" w:cs="Times New Roman"/>
                <w:sz w:val="24"/>
                <w:szCs w:val="24"/>
              </w:rPr>
              <w:t>"</w:t>
            </w:r>
            <w:r w:rsidR="006E7E51">
              <w:rPr>
                <w:rFonts w:ascii="Times New Roman" w:eastAsia="Calibri" w:hAnsi="Times New Roman" w:cs="Times New Roman"/>
                <w:sz w:val="24"/>
                <w:szCs w:val="24"/>
              </w:rPr>
              <w:t>.</w:t>
            </w:r>
          </w:p>
        </w:tc>
      </w:tr>
      <w:tr w:rsidR="007233C3" w:rsidRPr="00474E45" w14:paraId="17E2AA7A" w14:textId="77777777" w:rsidTr="0057474F">
        <w:trPr>
          <w:trHeight w:val="339"/>
          <w:jc w:val="center"/>
        </w:trPr>
        <w:tc>
          <w:tcPr>
            <w:tcW w:w="271" w:type="pct"/>
          </w:tcPr>
          <w:p w14:paraId="65EFD17E" w14:textId="77777777" w:rsidR="007233C3" w:rsidRPr="00D15DBD" w:rsidRDefault="007233C3" w:rsidP="00FE423B">
            <w:pPr>
              <w:spacing w:after="0" w:line="240" w:lineRule="auto"/>
              <w:ind w:left="57" w:right="57"/>
              <w:rPr>
                <w:rFonts w:ascii="Times New Roman" w:eastAsia="Times New Roman" w:hAnsi="Times New Roman" w:cs="Times New Roman"/>
                <w:bCs/>
                <w:sz w:val="24"/>
                <w:szCs w:val="24"/>
                <w:lang w:eastAsia="lv-LV"/>
              </w:rPr>
            </w:pPr>
            <w:r w:rsidRPr="00D15DBD">
              <w:rPr>
                <w:rFonts w:ascii="Times New Roman" w:eastAsia="Times New Roman" w:hAnsi="Times New Roman" w:cs="Times New Roman"/>
                <w:bCs/>
                <w:sz w:val="24"/>
                <w:szCs w:val="24"/>
                <w:lang w:eastAsia="lv-LV"/>
              </w:rPr>
              <w:t>2.</w:t>
            </w:r>
          </w:p>
        </w:tc>
        <w:tc>
          <w:tcPr>
            <w:tcW w:w="1447" w:type="pct"/>
          </w:tcPr>
          <w:p w14:paraId="3C44CE14" w14:textId="77777777" w:rsidR="007233C3" w:rsidRPr="00D15DBD" w:rsidRDefault="007233C3" w:rsidP="00FE423B">
            <w:pPr>
              <w:spacing w:after="0" w:line="240" w:lineRule="auto"/>
              <w:ind w:left="57" w:right="57"/>
              <w:rPr>
                <w:rFonts w:ascii="Times New Roman" w:eastAsia="Times New Roman" w:hAnsi="Times New Roman" w:cs="Times New Roman"/>
                <w:sz w:val="24"/>
                <w:szCs w:val="24"/>
                <w:lang w:eastAsia="lv-LV"/>
              </w:rPr>
            </w:pPr>
            <w:r w:rsidRPr="00D15DBD">
              <w:rPr>
                <w:rFonts w:ascii="Times New Roman" w:eastAsia="Times New Roman" w:hAnsi="Times New Roman" w:cs="Times New Roman"/>
                <w:sz w:val="24"/>
                <w:szCs w:val="24"/>
                <w:lang w:eastAsia="lv-LV"/>
              </w:rPr>
              <w:t xml:space="preserve">Sabiedrības līdzdalība projekta izstrādē </w:t>
            </w:r>
          </w:p>
        </w:tc>
        <w:tc>
          <w:tcPr>
            <w:tcW w:w="3282" w:type="pct"/>
          </w:tcPr>
          <w:p w14:paraId="36A2A00C" w14:textId="4AF760A9" w:rsidR="007233C3" w:rsidRPr="00474E45" w:rsidRDefault="007233C3" w:rsidP="00C96648">
            <w:pPr>
              <w:spacing w:after="0" w:line="240" w:lineRule="auto"/>
              <w:jc w:val="both"/>
              <w:rPr>
                <w:rFonts w:ascii="Times New Roman" w:eastAsia="Calibri" w:hAnsi="Times New Roman" w:cs="Times New Roman"/>
                <w:sz w:val="24"/>
                <w:szCs w:val="24"/>
              </w:rPr>
            </w:pPr>
            <w:r w:rsidRPr="00474E45">
              <w:rPr>
                <w:rFonts w:ascii="Times New Roman" w:eastAsia="Calibri" w:hAnsi="Times New Roman" w:cs="Times New Roman"/>
                <w:sz w:val="24"/>
                <w:szCs w:val="24"/>
              </w:rPr>
              <w:t xml:space="preserve">Lai dotu iespēju </w:t>
            </w:r>
            <w:r w:rsidR="00FE423B">
              <w:rPr>
                <w:rFonts w:ascii="Times New Roman" w:eastAsia="Calibri" w:hAnsi="Times New Roman" w:cs="Times New Roman"/>
                <w:sz w:val="24"/>
                <w:szCs w:val="24"/>
              </w:rPr>
              <w:t xml:space="preserve">sabiedrībai </w:t>
            </w:r>
            <w:r w:rsidRPr="00474E45">
              <w:rPr>
                <w:rFonts w:ascii="Times New Roman" w:eastAsia="Calibri" w:hAnsi="Times New Roman" w:cs="Times New Roman"/>
                <w:sz w:val="24"/>
                <w:szCs w:val="24"/>
              </w:rPr>
              <w:t>izteikt viedokli</w:t>
            </w:r>
            <w:r w:rsidR="002A0ED5">
              <w:rPr>
                <w:rFonts w:ascii="Times New Roman" w:eastAsia="Calibri" w:hAnsi="Times New Roman" w:cs="Times New Roman"/>
                <w:sz w:val="24"/>
                <w:szCs w:val="24"/>
              </w:rPr>
              <w:t xml:space="preserve"> par </w:t>
            </w:r>
            <w:r w:rsidR="00FE423B">
              <w:rPr>
                <w:rFonts w:ascii="Times New Roman" w:eastAsia="Calibri" w:hAnsi="Times New Roman" w:cs="Times New Roman"/>
                <w:sz w:val="24"/>
                <w:szCs w:val="24"/>
              </w:rPr>
              <w:t>projektu</w:t>
            </w:r>
            <w:r w:rsidRPr="00474E45">
              <w:rPr>
                <w:rFonts w:ascii="Times New Roman" w:eastAsia="Calibri" w:hAnsi="Times New Roman" w:cs="Times New Roman"/>
                <w:sz w:val="24"/>
                <w:szCs w:val="24"/>
              </w:rPr>
              <w:t>, projekts saskaņā ar Ministru kabineta 2009.</w:t>
            </w:r>
            <w:r w:rsidR="00FE423B">
              <w:rPr>
                <w:rFonts w:ascii="Times New Roman" w:eastAsia="Calibri" w:hAnsi="Times New Roman" w:cs="Times New Roman"/>
                <w:sz w:val="24"/>
                <w:szCs w:val="24"/>
              </w:rPr>
              <w:t> </w:t>
            </w:r>
            <w:r w:rsidRPr="00474E45">
              <w:rPr>
                <w:rFonts w:ascii="Times New Roman" w:eastAsia="Calibri" w:hAnsi="Times New Roman" w:cs="Times New Roman"/>
                <w:sz w:val="24"/>
                <w:szCs w:val="24"/>
              </w:rPr>
              <w:t>gada 25.</w:t>
            </w:r>
            <w:r w:rsidR="00FE423B">
              <w:rPr>
                <w:rFonts w:ascii="Times New Roman" w:eastAsia="Calibri" w:hAnsi="Times New Roman" w:cs="Times New Roman"/>
                <w:sz w:val="24"/>
                <w:szCs w:val="24"/>
              </w:rPr>
              <w:t> </w:t>
            </w:r>
            <w:r w:rsidRPr="00474E45">
              <w:rPr>
                <w:rFonts w:ascii="Times New Roman" w:eastAsia="Calibri" w:hAnsi="Times New Roman" w:cs="Times New Roman"/>
                <w:sz w:val="24"/>
                <w:szCs w:val="24"/>
              </w:rPr>
              <w:t>augusta noteikumiem Nr.</w:t>
            </w:r>
            <w:r w:rsidR="00FE423B">
              <w:rPr>
                <w:rFonts w:ascii="Times New Roman" w:eastAsia="Calibri" w:hAnsi="Times New Roman" w:cs="Times New Roman"/>
                <w:sz w:val="24"/>
                <w:szCs w:val="24"/>
              </w:rPr>
              <w:t> </w:t>
            </w:r>
            <w:r w:rsidRPr="00474E45">
              <w:rPr>
                <w:rFonts w:ascii="Times New Roman" w:eastAsia="Calibri" w:hAnsi="Times New Roman" w:cs="Times New Roman"/>
                <w:sz w:val="24"/>
                <w:szCs w:val="24"/>
              </w:rPr>
              <w:t>970 "Sabiedrības līdzdalības kārtība attīstība</w:t>
            </w:r>
            <w:r w:rsidR="00C96648">
              <w:rPr>
                <w:rFonts w:ascii="Times New Roman" w:eastAsia="Calibri" w:hAnsi="Times New Roman" w:cs="Times New Roman"/>
                <w:sz w:val="24"/>
                <w:szCs w:val="24"/>
              </w:rPr>
              <w:t xml:space="preserve">s plānošanas procesā" </w:t>
            </w:r>
            <w:r w:rsidR="00C96648" w:rsidRPr="00C96648">
              <w:rPr>
                <w:rFonts w:ascii="Times New Roman" w:eastAsia="Calibri" w:hAnsi="Times New Roman" w:cs="Times New Roman"/>
                <w:sz w:val="24"/>
                <w:szCs w:val="24"/>
              </w:rPr>
              <w:t>2017.</w:t>
            </w:r>
            <w:r w:rsidR="004B1364">
              <w:rPr>
                <w:rFonts w:ascii="Times New Roman" w:eastAsia="Calibri" w:hAnsi="Times New Roman" w:cs="Times New Roman"/>
                <w:sz w:val="24"/>
                <w:szCs w:val="24"/>
              </w:rPr>
              <w:t> </w:t>
            </w:r>
            <w:r w:rsidR="00C96648" w:rsidRPr="00C96648">
              <w:rPr>
                <w:rFonts w:ascii="Times New Roman" w:eastAsia="Calibri" w:hAnsi="Times New Roman" w:cs="Times New Roman"/>
                <w:sz w:val="24"/>
                <w:szCs w:val="24"/>
              </w:rPr>
              <w:t>gada 21.</w:t>
            </w:r>
            <w:r w:rsidR="004B1364">
              <w:rPr>
                <w:rFonts w:ascii="Times New Roman" w:eastAsia="Calibri" w:hAnsi="Times New Roman" w:cs="Times New Roman"/>
                <w:sz w:val="24"/>
                <w:szCs w:val="24"/>
              </w:rPr>
              <w:t> </w:t>
            </w:r>
            <w:r w:rsidR="00C96648" w:rsidRPr="00C96648">
              <w:rPr>
                <w:rFonts w:ascii="Times New Roman" w:eastAsia="Calibri" w:hAnsi="Times New Roman" w:cs="Times New Roman"/>
                <w:sz w:val="24"/>
                <w:szCs w:val="24"/>
              </w:rPr>
              <w:t>m</w:t>
            </w:r>
            <w:r w:rsidR="00C96648">
              <w:rPr>
                <w:rFonts w:ascii="Times New Roman" w:eastAsia="Calibri" w:hAnsi="Times New Roman" w:cs="Times New Roman"/>
                <w:sz w:val="24"/>
                <w:szCs w:val="24"/>
              </w:rPr>
              <w:t>artā ievietots Biroja mājaslapā, nosakot termiņu viedokļu un iebildumu sniegšanai līdz 2017.</w:t>
            </w:r>
            <w:r w:rsidR="004B1364">
              <w:rPr>
                <w:rFonts w:ascii="Times New Roman" w:eastAsia="Calibri" w:hAnsi="Times New Roman" w:cs="Times New Roman"/>
                <w:sz w:val="24"/>
                <w:szCs w:val="24"/>
              </w:rPr>
              <w:t> </w:t>
            </w:r>
            <w:r w:rsidR="00C96648">
              <w:rPr>
                <w:rFonts w:ascii="Times New Roman" w:eastAsia="Calibri" w:hAnsi="Times New Roman" w:cs="Times New Roman"/>
                <w:sz w:val="24"/>
                <w:szCs w:val="24"/>
              </w:rPr>
              <w:t>gada 1.</w:t>
            </w:r>
            <w:r w:rsidR="004B1364">
              <w:rPr>
                <w:rFonts w:ascii="Times New Roman" w:eastAsia="Calibri" w:hAnsi="Times New Roman" w:cs="Times New Roman"/>
                <w:sz w:val="24"/>
                <w:szCs w:val="24"/>
              </w:rPr>
              <w:t> </w:t>
            </w:r>
            <w:r w:rsidR="00C96648">
              <w:rPr>
                <w:rFonts w:ascii="Times New Roman" w:eastAsia="Calibri" w:hAnsi="Times New Roman" w:cs="Times New Roman"/>
                <w:sz w:val="24"/>
                <w:szCs w:val="24"/>
              </w:rPr>
              <w:t>maijam</w:t>
            </w:r>
            <w:r w:rsidRPr="00474E45">
              <w:rPr>
                <w:rFonts w:ascii="Times New Roman" w:eastAsia="Calibri" w:hAnsi="Times New Roman" w:cs="Times New Roman"/>
                <w:sz w:val="24"/>
                <w:szCs w:val="24"/>
              </w:rPr>
              <w:t>.</w:t>
            </w:r>
          </w:p>
        </w:tc>
      </w:tr>
      <w:tr w:rsidR="007233C3" w:rsidRPr="00474E45" w14:paraId="71A23CAD" w14:textId="77777777" w:rsidTr="0057474F">
        <w:trPr>
          <w:trHeight w:val="375"/>
          <w:jc w:val="center"/>
        </w:trPr>
        <w:tc>
          <w:tcPr>
            <w:tcW w:w="271" w:type="pct"/>
          </w:tcPr>
          <w:p w14:paraId="6DB2D40C" w14:textId="77777777" w:rsidR="007233C3" w:rsidRPr="00D15DBD" w:rsidRDefault="007233C3" w:rsidP="00FE423B">
            <w:pPr>
              <w:spacing w:after="0" w:line="240" w:lineRule="auto"/>
              <w:ind w:left="57" w:right="57"/>
              <w:rPr>
                <w:rFonts w:ascii="Times New Roman" w:eastAsia="Times New Roman" w:hAnsi="Times New Roman" w:cs="Times New Roman"/>
                <w:bCs/>
                <w:sz w:val="24"/>
                <w:szCs w:val="24"/>
                <w:lang w:eastAsia="lv-LV"/>
              </w:rPr>
            </w:pPr>
            <w:r w:rsidRPr="00D15DBD">
              <w:rPr>
                <w:rFonts w:ascii="Times New Roman" w:eastAsia="Times New Roman" w:hAnsi="Times New Roman" w:cs="Times New Roman"/>
                <w:bCs/>
                <w:sz w:val="24"/>
                <w:szCs w:val="24"/>
                <w:lang w:eastAsia="lv-LV"/>
              </w:rPr>
              <w:lastRenderedPageBreak/>
              <w:t>3.</w:t>
            </w:r>
          </w:p>
        </w:tc>
        <w:tc>
          <w:tcPr>
            <w:tcW w:w="1447" w:type="pct"/>
          </w:tcPr>
          <w:p w14:paraId="007DC660" w14:textId="77777777" w:rsidR="007233C3" w:rsidRPr="00D15DBD" w:rsidRDefault="007233C3" w:rsidP="00FE423B">
            <w:pPr>
              <w:spacing w:after="0" w:line="240" w:lineRule="auto"/>
              <w:ind w:left="57" w:right="57"/>
              <w:rPr>
                <w:rFonts w:ascii="Times New Roman" w:eastAsia="Times New Roman" w:hAnsi="Times New Roman" w:cs="Times New Roman"/>
                <w:sz w:val="24"/>
                <w:szCs w:val="24"/>
                <w:lang w:eastAsia="lv-LV"/>
              </w:rPr>
            </w:pPr>
            <w:r w:rsidRPr="00D15DBD">
              <w:rPr>
                <w:rFonts w:ascii="Times New Roman" w:eastAsia="Times New Roman" w:hAnsi="Times New Roman" w:cs="Times New Roman"/>
                <w:sz w:val="24"/>
                <w:szCs w:val="24"/>
                <w:lang w:eastAsia="lv-LV"/>
              </w:rPr>
              <w:t xml:space="preserve">Sabiedrības līdzdalības rezultāti </w:t>
            </w:r>
          </w:p>
        </w:tc>
        <w:tc>
          <w:tcPr>
            <w:tcW w:w="3282" w:type="pct"/>
          </w:tcPr>
          <w:p w14:paraId="743007A5" w14:textId="5BE717DF" w:rsidR="007233C3" w:rsidRPr="00474E45" w:rsidRDefault="007233C3" w:rsidP="007233C3">
            <w:pPr>
              <w:spacing w:after="0" w:line="240" w:lineRule="auto"/>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Organizētās sabiedrības </w:t>
            </w:r>
            <w:r w:rsidR="00FE423B">
              <w:rPr>
                <w:rFonts w:ascii="Times New Roman" w:eastAsia="Times New Roman" w:hAnsi="Times New Roman" w:cs="Times New Roman"/>
                <w:sz w:val="24"/>
                <w:szCs w:val="24"/>
                <w:lang w:eastAsia="lv-LV"/>
              </w:rPr>
              <w:t xml:space="preserve">līdzdalības </w:t>
            </w:r>
            <w:r w:rsidRPr="00474E45">
              <w:rPr>
                <w:rFonts w:ascii="Times New Roman" w:eastAsia="Times New Roman" w:hAnsi="Times New Roman" w:cs="Times New Roman"/>
                <w:sz w:val="24"/>
                <w:szCs w:val="24"/>
                <w:lang w:eastAsia="lv-LV"/>
              </w:rPr>
              <w:t>ietvaros viedokļi par projektu nav saņemti.</w:t>
            </w:r>
          </w:p>
        </w:tc>
      </w:tr>
      <w:tr w:rsidR="007233C3" w:rsidRPr="00474E45" w14:paraId="18B6C4B3" w14:textId="77777777" w:rsidTr="0057474F">
        <w:trPr>
          <w:trHeight w:val="476"/>
          <w:jc w:val="center"/>
        </w:trPr>
        <w:tc>
          <w:tcPr>
            <w:tcW w:w="271" w:type="pct"/>
          </w:tcPr>
          <w:p w14:paraId="77FEA843" w14:textId="77777777" w:rsidR="007233C3" w:rsidRPr="00D15DBD" w:rsidRDefault="007233C3" w:rsidP="00FE423B">
            <w:pPr>
              <w:spacing w:after="0" w:line="240" w:lineRule="auto"/>
              <w:ind w:left="57" w:right="57"/>
              <w:rPr>
                <w:rFonts w:ascii="Times New Roman" w:eastAsia="Times New Roman" w:hAnsi="Times New Roman" w:cs="Times New Roman"/>
                <w:bCs/>
                <w:sz w:val="24"/>
                <w:szCs w:val="24"/>
                <w:lang w:eastAsia="lv-LV"/>
              </w:rPr>
            </w:pPr>
            <w:r w:rsidRPr="00D15DBD">
              <w:rPr>
                <w:rFonts w:ascii="Times New Roman" w:eastAsia="Times New Roman" w:hAnsi="Times New Roman" w:cs="Times New Roman"/>
                <w:bCs/>
                <w:sz w:val="24"/>
                <w:szCs w:val="24"/>
                <w:lang w:eastAsia="lv-LV"/>
              </w:rPr>
              <w:t>4.</w:t>
            </w:r>
          </w:p>
        </w:tc>
        <w:tc>
          <w:tcPr>
            <w:tcW w:w="1447" w:type="pct"/>
          </w:tcPr>
          <w:p w14:paraId="6F8BA984" w14:textId="29703615" w:rsidR="007233C3" w:rsidRPr="00D15DBD" w:rsidRDefault="007233C3" w:rsidP="00B6077A">
            <w:pPr>
              <w:spacing w:after="0" w:line="240" w:lineRule="auto"/>
              <w:ind w:left="57" w:right="57"/>
              <w:rPr>
                <w:rFonts w:ascii="Times New Roman" w:eastAsia="Times New Roman" w:hAnsi="Times New Roman" w:cs="Times New Roman"/>
                <w:sz w:val="24"/>
                <w:szCs w:val="24"/>
                <w:lang w:eastAsia="lv-LV"/>
              </w:rPr>
            </w:pPr>
            <w:r w:rsidRPr="00D15DBD">
              <w:rPr>
                <w:rFonts w:ascii="Times New Roman" w:eastAsia="Times New Roman" w:hAnsi="Times New Roman" w:cs="Times New Roman"/>
                <w:sz w:val="24"/>
                <w:szCs w:val="24"/>
                <w:lang w:eastAsia="lv-LV"/>
              </w:rPr>
              <w:t>Cita informācija</w:t>
            </w:r>
          </w:p>
        </w:tc>
        <w:tc>
          <w:tcPr>
            <w:tcW w:w="3282" w:type="pct"/>
          </w:tcPr>
          <w:p w14:paraId="5BF31D45" w14:textId="77777777" w:rsidR="007233C3" w:rsidRPr="00474E45" w:rsidRDefault="007233C3" w:rsidP="001C7E52">
            <w:pPr>
              <w:spacing w:after="0" w:line="240" w:lineRule="auto"/>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Nav.</w:t>
            </w:r>
          </w:p>
        </w:tc>
      </w:tr>
    </w:tbl>
    <w:p w14:paraId="36A4B855" w14:textId="521217B7" w:rsidR="007233C3" w:rsidRDefault="007233C3" w:rsidP="00064053">
      <w:pPr>
        <w:spacing w:after="0" w:line="240" w:lineRule="auto"/>
        <w:rPr>
          <w:rFonts w:ascii="Times New Roman" w:hAnsi="Times New Roman" w:cs="Times New Roman"/>
          <w:sz w:val="24"/>
          <w:szCs w:val="24"/>
        </w:rPr>
      </w:pPr>
    </w:p>
    <w:p w14:paraId="1B24B5B4" w14:textId="77777777" w:rsidR="00266197" w:rsidRPr="00064053" w:rsidRDefault="00266197" w:rsidP="00064053">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9"/>
        <w:gridCol w:w="3278"/>
        <w:gridCol w:w="5420"/>
      </w:tblGrid>
      <w:tr w:rsidR="007F6B1C" w:rsidRPr="00064053" w14:paraId="08213A55" w14:textId="77777777" w:rsidTr="00B6077A">
        <w:trPr>
          <w:trHeight w:val="381"/>
          <w:jc w:val="center"/>
        </w:trPr>
        <w:tc>
          <w:tcPr>
            <w:tcW w:w="5000" w:type="pct"/>
            <w:gridSpan w:val="3"/>
            <w:vAlign w:val="center"/>
          </w:tcPr>
          <w:p w14:paraId="68405C49" w14:textId="77777777" w:rsidR="007F6B1C" w:rsidRPr="00064053" w:rsidRDefault="007F6B1C" w:rsidP="00064053">
            <w:pPr>
              <w:pStyle w:val="naisnod"/>
              <w:spacing w:before="0" w:beforeAutospacing="0" w:after="0" w:afterAutospacing="0"/>
              <w:ind w:left="57" w:right="57"/>
              <w:jc w:val="center"/>
            </w:pPr>
            <w:r w:rsidRPr="00064053">
              <w:rPr>
                <w:b/>
              </w:rPr>
              <w:t>VII. Tiesību akta projekta izpildes nodrošināšana un tās ietekme uz institūcijām</w:t>
            </w:r>
          </w:p>
        </w:tc>
      </w:tr>
      <w:tr w:rsidR="002A699E" w:rsidRPr="00064053" w14:paraId="19230A2F" w14:textId="77777777" w:rsidTr="0057474F">
        <w:trPr>
          <w:trHeight w:val="427"/>
          <w:jc w:val="center"/>
        </w:trPr>
        <w:tc>
          <w:tcPr>
            <w:tcW w:w="235" w:type="pct"/>
          </w:tcPr>
          <w:p w14:paraId="7DC7923C" w14:textId="77777777" w:rsidR="002A699E" w:rsidRPr="00064053" w:rsidRDefault="002A699E" w:rsidP="00064053">
            <w:pPr>
              <w:pStyle w:val="naisnod"/>
              <w:spacing w:before="0" w:beforeAutospacing="0" w:after="0" w:afterAutospacing="0"/>
              <w:ind w:left="57" w:right="57"/>
              <w:jc w:val="both"/>
            </w:pPr>
            <w:r w:rsidRPr="00064053">
              <w:t>1.</w:t>
            </w:r>
          </w:p>
        </w:tc>
        <w:tc>
          <w:tcPr>
            <w:tcW w:w="1796" w:type="pct"/>
          </w:tcPr>
          <w:p w14:paraId="6C421350" w14:textId="77777777" w:rsidR="002A699E" w:rsidRPr="00064053" w:rsidRDefault="002A699E" w:rsidP="00064053">
            <w:pPr>
              <w:pStyle w:val="naisf"/>
              <w:spacing w:before="0" w:beforeAutospacing="0" w:after="0" w:afterAutospacing="0"/>
              <w:ind w:left="57" w:right="57"/>
            </w:pPr>
            <w:r w:rsidRPr="00064053">
              <w:t>Projekta izpildē iesaistītās institūcijas</w:t>
            </w:r>
          </w:p>
        </w:tc>
        <w:tc>
          <w:tcPr>
            <w:tcW w:w="2969" w:type="pct"/>
          </w:tcPr>
          <w:p w14:paraId="3DEBC64B" w14:textId="0ED5C1F4" w:rsidR="002A699E" w:rsidRPr="00064053" w:rsidRDefault="00F52A18" w:rsidP="000B3F0F">
            <w:pPr>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Valsts tiesu ekspertīžu birojs</w:t>
            </w:r>
            <w:r w:rsidR="00FE423B">
              <w:rPr>
                <w:rFonts w:ascii="Times New Roman" w:hAnsi="Times New Roman" w:cs="Times New Roman"/>
                <w:sz w:val="24"/>
                <w:szCs w:val="24"/>
              </w:rPr>
              <w:t>,</w:t>
            </w:r>
            <w:r w:rsidR="00785AA5">
              <w:rPr>
                <w:rFonts w:ascii="Times New Roman" w:hAnsi="Times New Roman" w:cs="Times New Roman"/>
                <w:sz w:val="24"/>
                <w:szCs w:val="24"/>
              </w:rPr>
              <w:t xml:space="preserve"> Tiesu administrācija</w:t>
            </w:r>
            <w:r w:rsidR="00FE423B">
              <w:rPr>
                <w:rFonts w:ascii="Times New Roman" w:hAnsi="Times New Roman" w:cs="Times New Roman"/>
                <w:sz w:val="24"/>
                <w:szCs w:val="24"/>
              </w:rPr>
              <w:t>.</w:t>
            </w:r>
          </w:p>
        </w:tc>
      </w:tr>
      <w:tr w:rsidR="002A699E" w:rsidRPr="00064053" w14:paraId="0EEAE1C6" w14:textId="77777777" w:rsidTr="0057474F">
        <w:trPr>
          <w:trHeight w:val="463"/>
          <w:jc w:val="center"/>
        </w:trPr>
        <w:tc>
          <w:tcPr>
            <w:tcW w:w="235" w:type="pct"/>
          </w:tcPr>
          <w:p w14:paraId="704A65DE" w14:textId="77777777" w:rsidR="002A699E" w:rsidRPr="00064053" w:rsidRDefault="002A699E" w:rsidP="00064053">
            <w:pPr>
              <w:pStyle w:val="naisnod"/>
              <w:spacing w:before="0" w:beforeAutospacing="0" w:after="0" w:afterAutospacing="0"/>
              <w:ind w:left="57" w:right="57"/>
              <w:jc w:val="both"/>
            </w:pPr>
            <w:r w:rsidRPr="00064053">
              <w:t>2.</w:t>
            </w:r>
          </w:p>
        </w:tc>
        <w:tc>
          <w:tcPr>
            <w:tcW w:w="1796" w:type="pct"/>
          </w:tcPr>
          <w:p w14:paraId="7132E9B6" w14:textId="77777777" w:rsidR="002A699E" w:rsidRPr="00064053" w:rsidRDefault="002A699E" w:rsidP="00064053">
            <w:pPr>
              <w:pStyle w:val="naisf"/>
              <w:spacing w:before="0" w:beforeAutospacing="0" w:after="0" w:afterAutospacing="0"/>
              <w:ind w:left="57" w:right="57"/>
            </w:pPr>
            <w:r w:rsidRPr="00064053">
              <w:t>Projekta izpildes ietekme uz pār</w:t>
            </w:r>
            <w:r w:rsidRPr="00064053">
              <w:softHyphen/>
              <w:t>valdes funkcijām un institucionālo struktūru.</w:t>
            </w:r>
          </w:p>
          <w:p w14:paraId="493CD2E5" w14:textId="77777777" w:rsidR="002A699E" w:rsidRPr="00064053" w:rsidRDefault="002A699E" w:rsidP="00064053">
            <w:pPr>
              <w:pStyle w:val="naisf"/>
              <w:spacing w:before="0" w:beforeAutospacing="0" w:after="0" w:afterAutospacing="0"/>
              <w:ind w:left="57" w:right="57"/>
            </w:pPr>
            <w:r w:rsidRPr="00064053">
              <w:t>Jaunu institūciju izveide, esošu institūciju likvidācija vai reorga</w:t>
            </w:r>
            <w:r w:rsidRPr="00064053">
              <w:softHyphen/>
              <w:t>nizācija, to ietekme uz institūcijas cilvēkresursiem.</w:t>
            </w:r>
          </w:p>
        </w:tc>
        <w:tc>
          <w:tcPr>
            <w:tcW w:w="2969" w:type="pct"/>
          </w:tcPr>
          <w:p w14:paraId="3D7364B2" w14:textId="02777419" w:rsidR="002A699E" w:rsidRPr="00064053" w:rsidRDefault="002A79F8">
            <w:pPr>
              <w:spacing w:after="0" w:line="240" w:lineRule="auto"/>
              <w:jc w:val="both"/>
              <w:rPr>
                <w:rFonts w:ascii="Times New Roman" w:hAnsi="Times New Roman" w:cs="Times New Roman"/>
                <w:sz w:val="24"/>
                <w:szCs w:val="24"/>
              </w:rPr>
            </w:pPr>
            <w:r w:rsidRPr="002A79F8">
              <w:rPr>
                <w:rFonts w:ascii="Times New Roman" w:hAnsi="Times New Roman" w:cs="Times New Roman"/>
                <w:sz w:val="24"/>
                <w:szCs w:val="24"/>
              </w:rPr>
              <w:t>Projekts šo jomu neska</w:t>
            </w:r>
            <w:r w:rsidR="00EF4750">
              <w:rPr>
                <w:rFonts w:ascii="Times New Roman" w:hAnsi="Times New Roman" w:cs="Times New Roman"/>
                <w:sz w:val="24"/>
                <w:szCs w:val="24"/>
              </w:rPr>
              <w:t xml:space="preserve">r, jo </w:t>
            </w:r>
            <w:r w:rsidR="00A13742">
              <w:rPr>
                <w:rFonts w:ascii="Times New Roman" w:hAnsi="Times New Roman" w:cs="Times New Roman"/>
                <w:sz w:val="24"/>
                <w:szCs w:val="24"/>
              </w:rPr>
              <w:t>tā izpilde nerada jaunus uzdevumus un funkcijas</w:t>
            </w:r>
            <w:r w:rsidR="0033297F">
              <w:rPr>
                <w:rFonts w:ascii="Times New Roman" w:hAnsi="Times New Roman" w:cs="Times New Roman"/>
                <w:sz w:val="24"/>
                <w:szCs w:val="24"/>
              </w:rPr>
              <w:t>.</w:t>
            </w:r>
          </w:p>
        </w:tc>
      </w:tr>
      <w:tr w:rsidR="002A699E" w:rsidRPr="00064053" w14:paraId="778C33CE" w14:textId="77777777" w:rsidTr="0057474F">
        <w:trPr>
          <w:trHeight w:val="402"/>
          <w:jc w:val="center"/>
        </w:trPr>
        <w:tc>
          <w:tcPr>
            <w:tcW w:w="235" w:type="pct"/>
            <w:tcBorders>
              <w:top w:val="single" w:sz="4" w:space="0" w:color="auto"/>
              <w:left w:val="single" w:sz="4" w:space="0" w:color="auto"/>
              <w:bottom w:val="single" w:sz="4" w:space="0" w:color="auto"/>
              <w:right w:val="single" w:sz="4" w:space="0" w:color="auto"/>
            </w:tcBorders>
          </w:tcPr>
          <w:p w14:paraId="63E42BFD" w14:textId="77777777" w:rsidR="002A699E" w:rsidRPr="00064053" w:rsidRDefault="002A699E" w:rsidP="00064053">
            <w:pPr>
              <w:pStyle w:val="naisnod"/>
              <w:spacing w:before="0" w:beforeAutospacing="0" w:after="0" w:afterAutospacing="0"/>
              <w:ind w:left="57" w:right="57"/>
              <w:jc w:val="both"/>
            </w:pPr>
            <w:r w:rsidRPr="00064053">
              <w:t>3.</w:t>
            </w:r>
          </w:p>
        </w:tc>
        <w:tc>
          <w:tcPr>
            <w:tcW w:w="1796" w:type="pct"/>
            <w:tcBorders>
              <w:top w:val="single" w:sz="4" w:space="0" w:color="auto"/>
              <w:left w:val="single" w:sz="4" w:space="0" w:color="auto"/>
              <w:bottom w:val="single" w:sz="4" w:space="0" w:color="auto"/>
              <w:right w:val="single" w:sz="4" w:space="0" w:color="auto"/>
            </w:tcBorders>
          </w:tcPr>
          <w:p w14:paraId="4378788E" w14:textId="77777777" w:rsidR="002A699E" w:rsidRPr="00064053" w:rsidRDefault="002A699E" w:rsidP="00064053">
            <w:pPr>
              <w:pStyle w:val="naisf"/>
              <w:spacing w:before="0" w:beforeAutospacing="0" w:after="0" w:afterAutospacing="0"/>
              <w:ind w:left="57" w:right="57"/>
            </w:pPr>
            <w:r w:rsidRPr="00064053">
              <w:t>Cita informācija</w:t>
            </w:r>
          </w:p>
        </w:tc>
        <w:tc>
          <w:tcPr>
            <w:tcW w:w="2969" w:type="pct"/>
            <w:tcBorders>
              <w:top w:val="single" w:sz="4" w:space="0" w:color="auto"/>
              <w:left w:val="single" w:sz="4" w:space="0" w:color="auto"/>
              <w:bottom w:val="single" w:sz="4" w:space="0" w:color="auto"/>
              <w:right w:val="single" w:sz="4" w:space="0" w:color="auto"/>
            </w:tcBorders>
          </w:tcPr>
          <w:p w14:paraId="7FB5ABC9" w14:textId="77777777" w:rsidR="002A699E" w:rsidRPr="00064053" w:rsidRDefault="009F60E1" w:rsidP="00EF3612">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Nav.</w:t>
            </w:r>
          </w:p>
        </w:tc>
      </w:tr>
    </w:tbl>
    <w:p w14:paraId="3D6D14BC" w14:textId="77777777" w:rsidR="001635D3" w:rsidRDefault="001635D3" w:rsidP="00955BE6">
      <w:pPr>
        <w:pStyle w:val="naisf"/>
        <w:spacing w:before="0" w:beforeAutospacing="0" w:after="0" w:afterAutospacing="0"/>
      </w:pPr>
    </w:p>
    <w:p w14:paraId="67154E66" w14:textId="77777777" w:rsidR="005128C9" w:rsidRDefault="005128C9" w:rsidP="00561AEC">
      <w:pPr>
        <w:pStyle w:val="naisf"/>
        <w:spacing w:before="0" w:beforeAutospacing="0" w:after="0" w:afterAutospacing="0"/>
        <w:rPr>
          <w:sz w:val="28"/>
          <w:szCs w:val="28"/>
        </w:rPr>
      </w:pPr>
    </w:p>
    <w:p w14:paraId="376D83D6" w14:textId="77777777" w:rsidR="00955BE6" w:rsidRPr="00EF3612" w:rsidRDefault="00955BE6" w:rsidP="00561AEC">
      <w:pPr>
        <w:pStyle w:val="naisf"/>
        <w:spacing w:before="0" w:beforeAutospacing="0" w:after="0" w:afterAutospacing="0"/>
      </w:pPr>
      <w:r w:rsidRPr="00EF3612">
        <w:t>Iesniedzējs:</w:t>
      </w:r>
    </w:p>
    <w:p w14:paraId="7F6767FA" w14:textId="766424D8" w:rsidR="00955BE6" w:rsidRPr="00EF3612" w:rsidRDefault="005E352B" w:rsidP="00561AEC">
      <w:pPr>
        <w:pStyle w:val="naisf"/>
        <w:spacing w:before="0" w:beforeAutospacing="0" w:after="0" w:afterAutospacing="0"/>
      </w:pPr>
      <w:r>
        <w:t>t</w:t>
      </w:r>
      <w:r w:rsidR="00373DA4" w:rsidRPr="00EF3612">
        <w:t>ieslietu ministr</w:t>
      </w:r>
      <w:r>
        <w:t>s</w:t>
      </w:r>
      <w:r w:rsidR="00373DA4" w:rsidRPr="00EF3612">
        <w:tab/>
      </w:r>
      <w:r w:rsidR="00373DA4" w:rsidRPr="00EF3612">
        <w:tab/>
      </w:r>
      <w:r w:rsidR="00373DA4" w:rsidRPr="00EF3612">
        <w:tab/>
      </w:r>
      <w:r w:rsidR="00373DA4" w:rsidRPr="00EF3612">
        <w:tab/>
      </w:r>
      <w:r w:rsidR="00373DA4">
        <w:tab/>
      </w:r>
      <w:r w:rsidR="00373DA4">
        <w:tab/>
      </w:r>
      <w:r>
        <w:tab/>
      </w:r>
      <w:r>
        <w:tab/>
        <w:t>Dzintars Rasnačs</w:t>
      </w:r>
    </w:p>
    <w:p w14:paraId="3D0CEDB6" w14:textId="4EF99D4D" w:rsidR="00F350B1" w:rsidRDefault="00F350B1" w:rsidP="00064053">
      <w:pPr>
        <w:pStyle w:val="naisf"/>
        <w:spacing w:before="0" w:beforeAutospacing="0" w:after="0" w:afterAutospacing="0"/>
        <w:rPr>
          <w:sz w:val="20"/>
          <w:szCs w:val="20"/>
        </w:rPr>
      </w:pPr>
    </w:p>
    <w:p w14:paraId="59148490" w14:textId="63EC58DE" w:rsidR="0027062D" w:rsidRDefault="0027062D" w:rsidP="00064053">
      <w:pPr>
        <w:pStyle w:val="naisf"/>
        <w:spacing w:before="0" w:beforeAutospacing="0" w:after="0" w:afterAutospacing="0"/>
        <w:rPr>
          <w:sz w:val="20"/>
          <w:szCs w:val="20"/>
        </w:rPr>
      </w:pPr>
    </w:p>
    <w:p w14:paraId="7D1A2DC9" w14:textId="77777777" w:rsidR="001635D3" w:rsidRDefault="001635D3" w:rsidP="00064053">
      <w:pPr>
        <w:pStyle w:val="naisf"/>
        <w:spacing w:before="0" w:beforeAutospacing="0" w:after="0" w:afterAutospacing="0"/>
        <w:rPr>
          <w:sz w:val="20"/>
          <w:szCs w:val="20"/>
        </w:rPr>
      </w:pPr>
    </w:p>
    <w:p w14:paraId="34083DC1" w14:textId="380E4162" w:rsidR="00064053" w:rsidRPr="00A87AB5" w:rsidRDefault="00F1314D" w:rsidP="00064053">
      <w:pPr>
        <w:spacing w:after="0" w:line="240" w:lineRule="auto"/>
        <w:jc w:val="both"/>
        <w:rPr>
          <w:rFonts w:ascii="Times New Roman" w:hAnsi="Times New Roman" w:cs="Times New Roman"/>
          <w:sz w:val="24"/>
          <w:szCs w:val="24"/>
        </w:rPr>
      </w:pPr>
      <w:proofErr w:type="spellStart"/>
      <w:r w:rsidRPr="00A87AB5">
        <w:rPr>
          <w:rFonts w:ascii="Times New Roman" w:hAnsi="Times New Roman" w:cs="Times New Roman"/>
          <w:sz w:val="24"/>
          <w:szCs w:val="24"/>
        </w:rPr>
        <w:t>Čentoricka</w:t>
      </w:r>
      <w:proofErr w:type="spellEnd"/>
      <w:r w:rsidR="00055792" w:rsidRPr="00A87AB5">
        <w:rPr>
          <w:rFonts w:ascii="Times New Roman" w:hAnsi="Times New Roman" w:cs="Times New Roman"/>
          <w:sz w:val="24"/>
          <w:szCs w:val="24"/>
        </w:rPr>
        <w:t xml:space="preserve"> </w:t>
      </w:r>
      <w:r w:rsidRPr="00A87AB5">
        <w:rPr>
          <w:rFonts w:ascii="Times New Roman" w:hAnsi="Times New Roman" w:cs="Times New Roman"/>
          <w:sz w:val="24"/>
          <w:szCs w:val="24"/>
        </w:rPr>
        <w:t>67517730</w:t>
      </w:r>
    </w:p>
    <w:p w14:paraId="3B35D866" w14:textId="77777777" w:rsidR="007F6B1C" w:rsidRPr="00A87AB5" w:rsidRDefault="00373DA4" w:rsidP="00F1314D">
      <w:pPr>
        <w:spacing w:after="0" w:line="240" w:lineRule="auto"/>
        <w:jc w:val="both"/>
        <w:rPr>
          <w:rFonts w:ascii="Times New Roman" w:hAnsi="Times New Roman" w:cs="Times New Roman"/>
          <w:sz w:val="24"/>
          <w:szCs w:val="24"/>
        </w:rPr>
      </w:pPr>
      <w:r w:rsidRPr="00A87AB5">
        <w:rPr>
          <w:rFonts w:ascii="Times New Roman" w:hAnsi="Times New Roman" w:cs="Times New Roman"/>
          <w:sz w:val="24"/>
          <w:szCs w:val="24"/>
        </w:rPr>
        <w:t>Maira.Centoricka@vteb.gov.lv</w:t>
      </w:r>
    </w:p>
    <w:sectPr w:rsidR="007F6B1C" w:rsidRPr="00A87AB5" w:rsidSect="00B6077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0A5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0A59D" w16cid:durableId="1D2DA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552F6" w14:textId="77777777" w:rsidR="004900DD" w:rsidRDefault="004900DD" w:rsidP="00A61504">
      <w:pPr>
        <w:spacing w:after="0" w:line="240" w:lineRule="auto"/>
      </w:pPr>
      <w:r>
        <w:separator/>
      </w:r>
    </w:p>
  </w:endnote>
  <w:endnote w:type="continuationSeparator" w:id="0">
    <w:p w14:paraId="50964DF7" w14:textId="77777777" w:rsidR="004900DD" w:rsidRDefault="004900DD"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00000000" w:usb2="00000000" w:usb3="00000000" w:csb0="000001F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D0E5" w14:textId="77777777" w:rsidR="002C05C8" w:rsidRDefault="002C05C8" w:rsidP="002C05C8">
    <w:pPr>
      <w:pStyle w:val="Footer"/>
      <w:jc w:val="both"/>
      <w:rPr>
        <w:rFonts w:ascii="Times New Roman" w:eastAsia="Times New Roman" w:hAnsi="Times New Roman" w:cs="Times New Roman"/>
        <w:sz w:val="20"/>
        <w:szCs w:val="20"/>
        <w:lang w:eastAsia="lv-LV"/>
      </w:rPr>
    </w:pPr>
  </w:p>
  <w:p w14:paraId="4D1F22BC" w14:textId="7AE66E8C" w:rsidR="001635D3" w:rsidRPr="00B6077A" w:rsidRDefault="002C05C8" w:rsidP="00B6077A">
    <w:pPr>
      <w:pStyle w:val="Footer"/>
      <w:jc w:val="both"/>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TMAnot_030817_maksp</w:t>
    </w:r>
    <w:r>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896" w14:textId="752BE944" w:rsidR="001635D3" w:rsidRPr="00B6077A" w:rsidRDefault="002C05C8" w:rsidP="00B6077A">
    <w:pPr>
      <w:pStyle w:val="Footer"/>
      <w:jc w:val="both"/>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TMAnot_030817_maksp</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8DBEB" w14:textId="77777777" w:rsidR="004900DD" w:rsidRDefault="004900DD" w:rsidP="00A61504">
      <w:pPr>
        <w:spacing w:after="0" w:line="240" w:lineRule="auto"/>
      </w:pPr>
      <w:r>
        <w:separator/>
      </w:r>
    </w:p>
  </w:footnote>
  <w:footnote w:type="continuationSeparator" w:id="0">
    <w:p w14:paraId="4C4BD690" w14:textId="77777777" w:rsidR="004900DD" w:rsidRDefault="004900DD"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36481"/>
      <w:docPartObj>
        <w:docPartGallery w:val="Page Numbers (Top of Page)"/>
        <w:docPartUnique/>
      </w:docPartObj>
    </w:sdtPr>
    <w:sdtEndPr>
      <w:rPr>
        <w:rFonts w:ascii="Times New Roman" w:hAnsi="Times New Roman" w:cs="Times New Roman"/>
        <w:noProof/>
        <w:sz w:val="24"/>
        <w:szCs w:val="24"/>
      </w:rPr>
    </w:sdtEndPr>
    <w:sdtContent>
      <w:p w14:paraId="2C93F88E" w14:textId="7DFDAA23" w:rsidR="001635D3" w:rsidRPr="00B6077A" w:rsidRDefault="001635D3" w:rsidP="00B6077A">
        <w:pPr>
          <w:pStyle w:val="Header"/>
          <w:jc w:val="center"/>
          <w:rPr>
            <w:rFonts w:ascii="Times New Roman" w:hAnsi="Times New Roman" w:cs="Times New Roman"/>
            <w:sz w:val="24"/>
            <w:szCs w:val="24"/>
          </w:rPr>
        </w:pPr>
        <w:r w:rsidRPr="00F37CF9">
          <w:rPr>
            <w:rFonts w:ascii="Times New Roman" w:hAnsi="Times New Roman" w:cs="Times New Roman"/>
            <w:sz w:val="24"/>
            <w:szCs w:val="24"/>
          </w:rPr>
          <w:fldChar w:fldCharType="begin"/>
        </w:r>
        <w:r w:rsidRPr="00F37CF9">
          <w:rPr>
            <w:rFonts w:ascii="Times New Roman" w:hAnsi="Times New Roman" w:cs="Times New Roman"/>
            <w:sz w:val="24"/>
            <w:szCs w:val="24"/>
          </w:rPr>
          <w:instrText xml:space="preserve"> PAGE   \* MERGEFORMAT </w:instrText>
        </w:r>
        <w:r w:rsidRPr="00F37CF9">
          <w:rPr>
            <w:rFonts w:ascii="Times New Roman" w:hAnsi="Times New Roman" w:cs="Times New Roman"/>
            <w:sz w:val="24"/>
            <w:szCs w:val="24"/>
          </w:rPr>
          <w:fldChar w:fldCharType="separate"/>
        </w:r>
        <w:r w:rsidR="00A87AB5">
          <w:rPr>
            <w:rFonts w:ascii="Times New Roman" w:hAnsi="Times New Roman" w:cs="Times New Roman"/>
            <w:noProof/>
            <w:sz w:val="24"/>
            <w:szCs w:val="24"/>
          </w:rPr>
          <w:t>2</w:t>
        </w:r>
        <w:r w:rsidRPr="00F37CF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1">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2">
    <w:nsid w:val="55BF490C"/>
    <w:multiLevelType w:val="hybridMultilevel"/>
    <w:tmpl w:val="510CBE54"/>
    <w:lvl w:ilvl="0" w:tplc="1376F6B0">
      <w:start w:val="1"/>
      <w:numFmt w:val="decimal"/>
      <w:lvlText w:val="%1)"/>
      <w:lvlJc w:val="left"/>
      <w:pPr>
        <w:ind w:left="416" w:hanging="360"/>
      </w:pPr>
      <w:rPr>
        <w:rFonts w:eastAsia="Calibri" w:hint="default"/>
        <w:color w:val="000000"/>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3">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Brazauska">
    <w15:presenceInfo w15:providerId="AD" w15:userId="S-1-5-21-3313685600-2057428580-2752540593-5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02F69"/>
    <w:rsid w:val="00007B95"/>
    <w:rsid w:val="000321B3"/>
    <w:rsid w:val="000438DC"/>
    <w:rsid w:val="00055792"/>
    <w:rsid w:val="00064053"/>
    <w:rsid w:val="000644AA"/>
    <w:rsid w:val="00065368"/>
    <w:rsid w:val="00093F60"/>
    <w:rsid w:val="000A0997"/>
    <w:rsid w:val="000A3B86"/>
    <w:rsid w:val="000A4F67"/>
    <w:rsid w:val="000B0817"/>
    <w:rsid w:val="000B3F0F"/>
    <w:rsid w:val="000E799A"/>
    <w:rsid w:val="00105CC7"/>
    <w:rsid w:val="0011348A"/>
    <w:rsid w:val="001222E6"/>
    <w:rsid w:val="0014441A"/>
    <w:rsid w:val="00150EC3"/>
    <w:rsid w:val="00153CFD"/>
    <w:rsid w:val="00161EF6"/>
    <w:rsid w:val="001635D3"/>
    <w:rsid w:val="001675E3"/>
    <w:rsid w:val="0017662E"/>
    <w:rsid w:val="00190CD3"/>
    <w:rsid w:val="001A262B"/>
    <w:rsid w:val="001B2357"/>
    <w:rsid w:val="001B6060"/>
    <w:rsid w:val="001C7E52"/>
    <w:rsid w:val="001F3661"/>
    <w:rsid w:val="001F7023"/>
    <w:rsid w:val="001F7CAB"/>
    <w:rsid w:val="00200406"/>
    <w:rsid w:val="00211D42"/>
    <w:rsid w:val="002228E8"/>
    <w:rsid w:val="002263C7"/>
    <w:rsid w:val="002546A7"/>
    <w:rsid w:val="00254794"/>
    <w:rsid w:val="00263158"/>
    <w:rsid w:val="00266197"/>
    <w:rsid w:val="0027062D"/>
    <w:rsid w:val="00270810"/>
    <w:rsid w:val="00290C5C"/>
    <w:rsid w:val="0029418A"/>
    <w:rsid w:val="002A0ED5"/>
    <w:rsid w:val="002A34D4"/>
    <w:rsid w:val="002A51F8"/>
    <w:rsid w:val="002A699E"/>
    <w:rsid w:val="002A79F8"/>
    <w:rsid w:val="002C05C8"/>
    <w:rsid w:val="002C13CB"/>
    <w:rsid w:val="002D43F5"/>
    <w:rsid w:val="002E56C0"/>
    <w:rsid w:val="002F1F2E"/>
    <w:rsid w:val="002F6C7E"/>
    <w:rsid w:val="002F7254"/>
    <w:rsid w:val="00300490"/>
    <w:rsid w:val="00310480"/>
    <w:rsid w:val="003113BA"/>
    <w:rsid w:val="00315F17"/>
    <w:rsid w:val="00321382"/>
    <w:rsid w:val="003229DE"/>
    <w:rsid w:val="0033297F"/>
    <w:rsid w:val="00366C1E"/>
    <w:rsid w:val="00373DA4"/>
    <w:rsid w:val="00394EB6"/>
    <w:rsid w:val="00395B58"/>
    <w:rsid w:val="003A3C2B"/>
    <w:rsid w:val="003A5A47"/>
    <w:rsid w:val="003C1698"/>
    <w:rsid w:val="003C337A"/>
    <w:rsid w:val="003D3E1C"/>
    <w:rsid w:val="003E7B5A"/>
    <w:rsid w:val="003F4B2F"/>
    <w:rsid w:val="00400610"/>
    <w:rsid w:val="00405DD6"/>
    <w:rsid w:val="00405F88"/>
    <w:rsid w:val="00414B88"/>
    <w:rsid w:val="0041683F"/>
    <w:rsid w:val="0044434C"/>
    <w:rsid w:val="00446C3A"/>
    <w:rsid w:val="0044785F"/>
    <w:rsid w:val="00452C92"/>
    <w:rsid w:val="00464C12"/>
    <w:rsid w:val="004728FC"/>
    <w:rsid w:val="00485677"/>
    <w:rsid w:val="004900DD"/>
    <w:rsid w:val="004B0FA7"/>
    <w:rsid w:val="004B1364"/>
    <w:rsid w:val="004B4EEA"/>
    <w:rsid w:val="004C012D"/>
    <w:rsid w:val="004D6E86"/>
    <w:rsid w:val="004F2528"/>
    <w:rsid w:val="00501ED9"/>
    <w:rsid w:val="005128C9"/>
    <w:rsid w:val="00534F91"/>
    <w:rsid w:val="00551D02"/>
    <w:rsid w:val="005576E2"/>
    <w:rsid w:val="00561AEC"/>
    <w:rsid w:val="005620EC"/>
    <w:rsid w:val="0057474F"/>
    <w:rsid w:val="00581799"/>
    <w:rsid w:val="00583680"/>
    <w:rsid w:val="0059759E"/>
    <w:rsid w:val="005B3F21"/>
    <w:rsid w:val="005B740E"/>
    <w:rsid w:val="005C3E61"/>
    <w:rsid w:val="005D17F9"/>
    <w:rsid w:val="005D5ED4"/>
    <w:rsid w:val="005E352B"/>
    <w:rsid w:val="005F1B39"/>
    <w:rsid w:val="00614764"/>
    <w:rsid w:val="00616AE9"/>
    <w:rsid w:val="00617D91"/>
    <w:rsid w:val="006476B9"/>
    <w:rsid w:val="00653E32"/>
    <w:rsid w:val="006601A5"/>
    <w:rsid w:val="00665926"/>
    <w:rsid w:val="00686565"/>
    <w:rsid w:val="00691FD9"/>
    <w:rsid w:val="006A6446"/>
    <w:rsid w:val="006D0E6F"/>
    <w:rsid w:val="006E3605"/>
    <w:rsid w:val="006E4E96"/>
    <w:rsid w:val="006E7E51"/>
    <w:rsid w:val="00707D87"/>
    <w:rsid w:val="00711410"/>
    <w:rsid w:val="007208E9"/>
    <w:rsid w:val="007233C3"/>
    <w:rsid w:val="00727A8A"/>
    <w:rsid w:val="007506A3"/>
    <w:rsid w:val="00754A0B"/>
    <w:rsid w:val="007624FF"/>
    <w:rsid w:val="00775ABA"/>
    <w:rsid w:val="00777A45"/>
    <w:rsid w:val="00785AA5"/>
    <w:rsid w:val="0078619B"/>
    <w:rsid w:val="00794726"/>
    <w:rsid w:val="007A7AF6"/>
    <w:rsid w:val="007F32B6"/>
    <w:rsid w:val="007F6B1C"/>
    <w:rsid w:val="00802D18"/>
    <w:rsid w:val="00832D1D"/>
    <w:rsid w:val="008A41E2"/>
    <w:rsid w:val="008B30A5"/>
    <w:rsid w:val="008B5B19"/>
    <w:rsid w:val="008B5CD5"/>
    <w:rsid w:val="008C3FE8"/>
    <w:rsid w:val="008D7950"/>
    <w:rsid w:val="008E6D81"/>
    <w:rsid w:val="008F66E1"/>
    <w:rsid w:val="008F6F68"/>
    <w:rsid w:val="009032AE"/>
    <w:rsid w:val="0090424A"/>
    <w:rsid w:val="00906CBC"/>
    <w:rsid w:val="00907908"/>
    <w:rsid w:val="00911E85"/>
    <w:rsid w:val="00920515"/>
    <w:rsid w:val="009248DD"/>
    <w:rsid w:val="0092507D"/>
    <w:rsid w:val="009275E4"/>
    <w:rsid w:val="00934C20"/>
    <w:rsid w:val="0094104F"/>
    <w:rsid w:val="00955366"/>
    <w:rsid w:val="00955BE6"/>
    <w:rsid w:val="00974374"/>
    <w:rsid w:val="00987A1D"/>
    <w:rsid w:val="00990E38"/>
    <w:rsid w:val="00991391"/>
    <w:rsid w:val="00993B37"/>
    <w:rsid w:val="009B71EF"/>
    <w:rsid w:val="009C1E56"/>
    <w:rsid w:val="009D0A53"/>
    <w:rsid w:val="009D596D"/>
    <w:rsid w:val="009F60E1"/>
    <w:rsid w:val="00A00A12"/>
    <w:rsid w:val="00A063D2"/>
    <w:rsid w:val="00A1196C"/>
    <w:rsid w:val="00A13742"/>
    <w:rsid w:val="00A25D0D"/>
    <w:rsid w:val="00A451CA"/>
    <w:rsid w:val="00A5227C"/>
    <w:rsid w:val="00A55855"/>
    <w:rsid w:val="00A61504"/>
    <w:rsid w:val="00A630AD"/>
    <w:rsid w:val="00A7010D"/>
    <w:rsid w:val="00A85A6B"/>
    <w:rsid w:val="00A87AB5"/>
    <w:rsid w:val="00AA0C50"/>
    <w:rsid w:val="00AA4CEE"/>
    <w:rsid w:val="00AB3EA1"/>
    <w:rsid w:val="00AC1F40"/>
    <w:rsid w:val="00AC3CDF"/>
    <w:rsid w:val="00AE418F"/>
    <w:rsid w:val="00AF109A"/>
    <w:rsid w:val="00B159D9"/>
    <w:rsid w:val="00B15B5A"/>
    <w:rsid w:val="00B16714"/>
    <w:rsid w:val="00B21B5C"/>
    <w:rsid w:val="00B225D2"/>
    <w:rsid w:val="00B3458B"/>
    <w:rsid w:val="00B40A08"/>
    <w:rsid w:val="00B56269"/>
    <w:rsid w:val="00B6077A"/>
    <w:rsid w:val="00B625F7"/>
    <w:rsid w:val="00BA487C"/>
    <w:rsid w:val="00BA7D6B"/>
    <w:rsid w:val="00BB323A"/>
    <w:rsid w:val="00BD1FC4"/>
    <w:rsid w:val="00BE46E2"/>
    <w:rsid w:val="00BE6A61"/>
    <w:rsid w:val="00BE7549"/>
    <w:rsid w:val="00C10E08"/>
    <w:rsid w:val="00C16FA0"/>
    <w:rsid w:val="00C45E1B"/>
    <w:rsid w:val="00C546A5"/>
    <w:rsid w:val="00C56E9E"/>
    <w:rsid w:val="00C63FBF"/>
    <w:rsid w:val="00C84D8D"/>
    <w:rsid w:val="00C858D3"/>
    <w:rsid w:val="00C92723"/>
    <w:rsid w:val="00C96648"/>
    <w:rsid w:val="00C96A37"/>
    <w:rsid w:val="00CA1E96"/>
    <w:rsid w:val="00CA5126"/>
    <w:rsid w:val="00CB7FDA"/>
    <w:rsid w:val="00CC5C12"/>
    <w:rsid w:val="00CC7A5E"/>
    <w:rsid w:val="00CF2979"/>
    <w:rsid w:val="00CF3D00"/>
    <w:rsid w:val="00CF48D8"/>
    <w:rsid w:val="00CF6368"/>
    <w:rsid w:val="00D158F4"/>
    <w:rsid w:val="00D15DBD"/>
    <w:rsid w:val="00D16FC9"/>
    <w:rsid w:val="00D56831"/>
    <w:rsid w:val="00D731CE"/>
    <w:rsid w:val="00D815FD"/>
    <w:rsid w:val="00D87DDD"/>
    <w:rsid w:val="00D90C63"/>
    <w:rsid w:val="00D92547"/>
    <w:rsid w:val="00D92602"/>
    <w:rsid w:val="00D95C3B"/>
    <w:rsid w:val="00DA4D8D"/>
    <w:rsid w:val="00DD3C79"/>
    <w:rsid w:val="00DD3F08"/>
    <w:rsid w:val="00DE1212"/>
    <w:rsid w:val="00DF5910"/>
    <w:rsid w:val="00E0702B"/>
    <w:rsid w:val="00E24875"/>
    <w:rsid w:val="00E303EA"/>
    <w:rsid w:val="00E35508"/>
    <w:rsid w:val="00E71735"/>
    <w:rsid w:val="00E7737A"/>
    <w:rsid w:val="00E91553"/>
    <w:rsid w:val="00E91F25"/>
    <w:rsid w:val="00E96603"/>
    <w:rsid w:val="00EA2763"/>
    <w:rsid w:val="00EA3630"/>
    <w:rsid w:val="00EF3612"/>
    <w:rsid w:val="00EF4750"/>
    <w:rsid w:val="00EF54AE"/>
    <w:rsid w:val="00EF5B1A"/>
    <w:rsid w:val="00F1314D"/>
    <w:rsid w:val="00F350B1"/>
    <w:rsid w:val="00F37CF9"/>
    <w:rsid w:val="00F41AC9"/>
    <w:rsid w:val="00F41F67"/>
    <w:rsid w:val="00F44ACA"/>
    <w:rsid w:val="00F52A18"/>
    <w:rsid w:val="00F54101"/>
    <w:rsid w:val="00F72F1B"/>
    <w:rsid w:val="00F753AE"/>
    <w:rsid w:val="00F77C26"/>
    <w:rsid w:val="00F91FB2"/>
    <w:rsid w:val="00FB4B45"/>
    <w:rsid w:val="00FC528E"/>
    <w:rsid w:val="00FE423B"/>
    <w:rsid w:val="00FF3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CommentText">
    <w:name w:val="annotation text"/>
    <w:basedOn w:val="Normal"/>
    <w:link w:val="CommentTextChar"/>
    <w:semiHidden/>
    <w:rsid w:val="002A69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2A699E"/>
    <w:rPr>
      <w:rFonts w:ascii="Times New Roman" w:eastAsia="Times New Roman" w:hAnsi="Times New Roman" w:cs="Times New Roman"/>
      <w:sz w:val="20"/>
      <w:szCs w:val="20"/>
      <w:lang w:eastAsia="lv-LV"/>
    </w:rPr>
  </w:style>
  <w:style w:type="character" w:customStyle="1" w:styleId="tvhtmlmktable">
    <w:name w:val="tv_html mk_table"/>
    <w:basedOn w:val="DefaultParagraphFont"/>
    <w:rsid w:val="002A699E"/>
  </w:style>
  <w:style w:type="paragraph" w:styleId="ListParagraph">
    <w:name w:val="List Paragraph"/>
    <w:basedOn w:val="Normal"/>
    <w:uiPriority w:val="34"/>
    <w:qFormat/>
    <w:rsid w:val="002A699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PageNumber">
    <w:name w:val="page number"/>
    <w:basedOn w:val="DefaultParagraphFont"/>
    <w:rsid w:val="002A699E"/>
  </w:style>
  <w:style w:type="character" w:styleId="Hyperlink">
    <w:name w:val="Hyperlink"/>
    <w:basedOn w:val="DefaultParagraphFont"/>
    <w:uiPriority w:val="99"/>
    <w:rsid w:val="009F60E1"/>
    <w:rPr>
      <w:rFonts w:cs="Times New Roman"/>
      <w:color w:val="0000FF"/>
      <w:u w:val="single"/>
    </w:rPr>
  </w:style>
  <w:style w:type="paragraph" w:styleId="BalloonText">
    <w:name w:val="Balloon Text"/>
    <w:basedOn w:val="Normal"/>
    <w:link w:val="BalloonTextChar"/>
    <w:uiPriority w:val="99"/>
    <w:semiHidden/>
    <w:unhideWhenUsed/>
    <w:rsid w:val="0029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8A"/>
    <w:rPr>
      <w:rFonts w:ascii="Segoe UI" w:hAnsi="Segoe UI" w:cs="Segoe UI"/>
      <w:sz w:val="18"/>
      <w:szCs w:val="18"/>
    </w:rPr>
  </w:style>
  <w:style w:type="character" w:customStyle="1" w:styleId="FontStyle16">
    <w:name w:val="Font Style16"/>
    <w:rsid w:val="002A79F8"/>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CA1E96"/>
    <w:rPr>
      <w:sz w:val="16"/>
      <w:szCs w:val="16"/>
    </w:rPr>
  </w:style>
  <w:style w:type="paragraph" w:styleId="CommentSubject">
    <w:name w:val="annotation subject"/>
    <w:basedOn w:val="CommentText"/>
    <w:next w:val="CommentText"/>
    <w:link w:val="CommentSubjectChar"/>
    <w:uiPriority w:val="99"/>
    <w:semiHidden/>
    <w:unhideWhenUsed/>
    <w:rsid w:val="00CA1E9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A1E96"/>
    <w:rPr>
      <w:rFonts w:ascii="Times New Roman" w:eastAsia="Times New Roman" w:hAnsi="Times New Roman" w:cs="Times New Roman"/>
      <w:b/>
      <w:bCs/>
      <w:sz w:val="20"/>
      <w:szCs w:val="20"/>
      <w:lang w:eastAsia="lv-LV"/>
    </w:rPr>
  </w:style>
  <w:style w:type="paragraph" w:styleId="Revision">
    <w:name w:val="Revision"/>
    <w:hidden/>
    <w:uiPriority w:val="99"/>
    <w:semiHidden/>
    <w:rsid w:val="00190C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CommentText">
    <w:name w:val="annotation text"/>
    <w:basedOn w:val="Normal"/>
    <w:link w:val="CommentTextChar"/>
    <w:semiHidden/>
    <w:rsid w:val="002A69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2A699E"/>
    <w:rPr>
      <w:rFonts w:ascii="Times New Roman" w:eastAsia="Times New Roman" w:hAnsi="Times New Roman" w:cs="Times New Roman"/>
      <w:sz w:val="20"/>
      <w:szCs w:val="20"/>
      <w:lang w:eastAsia="lv-LV"/>
    </w:rPr>
  </w:style>
  <w:style w:type="character" w:customStyle="1" w:styleId="tvhtmlmktable">
    <w:name w:val="tv_html mk_table"/>
    <w:basedOn w:val="DefaultParagraphFont"/>
    <w:rsid w:val="002A699E"/>
  </w:style>
  <w:style w:type="paragraph" w:styleId="ListParagraph">
    <w:name w:val="List Paragraph"/>
    <w:basedOn w:val="Normal"/>
    <w:uiPriority w:val="34"/>
    <w:qFormat/>
    <w:rsid w:val="002A699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PageNumber">
    <w:name w:val="page number"/>
    <w:basedOn w:val="DefaultParagraphFont"/>
    <w:rsid w:val="002A699E"/>
  </w:style>
  <w:style w:type="character" w:styleId="Hyperlink">
    <w:name w:val="Hyperlink"/>
    <w:basedOn w:val="DefaultParagraphFont"/>
    <w:uiPriority w:val="99"/>
    <w:rsid w:val="009F60E1"/>
    <w:rPr>
      <w:rFonts w:cs="Times New Roman"/>
      <w:color w:val="0000FF"/>
      <w:u w:val="single"/>
    </w:rPr>
  </w:style>
  <w:style w:type="paragraph" w:styleId="BalloonText">
    <w:name w:val="Balloon Text"/>
    <w:basedOn w:val="Normal"/>
    <w:link w:val="BalloonTextChar"/>
    <w:uiPriority w:val="99"/>
    <w:semiHidden/>
    <w:unhideWhenUsed/>
    <w:rsid w:val="0029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8A"/>
    <w:rPr>
      <w:rFonts w:ascii="Segoe UI" w:hAnsi="Segoe UI" w:cs="Segoe UI"/>
      <w:sz w:val="18"/>
      <w:szCs w:val="18"/>
    </w:rPr>
  </w:style>
  <w:style w:type="character" w:customStyle="1" w:styleId="FontStyle16">
    <w:name w:val="Font Style16"/>
    <w:rsid w:val="002A79F8"/>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CA1E96"/>
    <w:rPr>
      <w:sz w:val="16"/>
      <w:szCs w:val="16"/>
    </w:rPr>
  </w:style>
  <w:style w:type="paragraph" w:styleId="CommentSubject">
    <w:name w:val="annotation subject"/>
    <w:basedOn w:val="CommentText"/>
    <w:next w:val="CommentText"/>
    <w:link w:val="CommentSubjectChar"/>
    <w:uiPriority w:val="99"/>
    <w:semiHidden/>
    <w:unhideWhenUsed/>
    <w:rsid w:val="00CA1E96"/>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A1E96"/>
    <w:rPr>
      <w:rFonts w:ascii="Times New Roman" w:eastAsia="Times New Roman" w:hAnsi="Times New Roman" w:cs="Times New Roman"/>
      <w:b/>
      <w:bCs/>
      <w:sz w:val="20"/>
      <w:szCs w:val="20"/>
      <w:lang w:eastAsia="lv-LV"/>
    </w:rPr>
  </w:style>
  <w:style w:type="paragraph" w:styleId="Revision">
    <w:name w:val="Revision"/>
    <w:hidden/>
    <w:uiPriority w:val="99"/>
    <w:semiHidden/>
    <w:rsid w:val="00190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5043">
      <w:bodyDiv w:val="1"/>
      <w:marLeft w:val="0"/>
      <w:marRight w:val="0"/>
      <w:marTop w:val="0"/>
      <w:marBottom w:val="0"/>
      <w:divBdr>
        <w:top w:val="none" w:sz="0" w:space="0" w:color="auto"/>
        <w:left w:val="none" w:sz="0" w:space="0" w:color="auto"/>
        <w:bottom w:val="none" w:sz="0" w:space="0" w:color="auto"/>
        <w:right w:val="none" w:sz="0" w:space="0" w:color="auto"/>
      </w:divBdr>
    </w:div>
    <w:div w:id="958223284">
      <w:bodyDiv w:val="1"/>
      <w:marLeft w:val="0"/>
      <w:marRight w:val="0"/>
      <w:marTop w:val="0"/>
      <w:marBottom w:val="0"/>
      <w:divBdr>
        <w:top w:val="none" w:sz="0" w:space="0" w:color="auto"/>
        <w:left w:val="none" w:sz="0" w:space="0" w:color="auto"/>
        <w:bottom w:val="none" w:sz="0" w:space="0" w:color="auto"/>
        <w:right w:val="none" w:sz="0" w:space="0" w:color="auto"/>
      </w:divBdr>
      <w:divsChild>
        <w:div w:id="120418290">
          <w:marLeft w:val="0"/>
          <w:marRight w:val="0"/>
          <w:marTop w:val="0"/>
          <w:marBottom w:val="0"/>
          <w:divBdr>
            <w:top w:val="none" w:sz="0" w:space="0" w:color="auto"/>
            <w:left w:val="none" w:sz="0" w:space="0" w:color="auto"/>
            <w:bottom w:val="none" w:sz="0" w:space="0" w:color="auto"/>
            <w:right w:val="none" w:sz="0" w:space="0" w:color="auto"/>
          </w:divBdr>
          <w:divsChild>
            <w:div w:id="1727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898F-AEEB-4660-96B3-C3BAA0CA9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124627-FC05-42E7-A8A4-23766E229DB0}">
  <ds:schemaRefs>
    <ds:schemaRef ds:uri="http://schemas.microsoft.com/sharepoint/v3/contenttype/forms"/>
  </ds:schemaRefs>
</ds:datastoreItem>
</file>

<file path=customXml/itemProps3.xml><?xml version="1.0" encoding="utf-8"?>
<ds:datastoreItem xmlns:ds="http://schemas.openxmlformats.org/officeDocument/2006/customXml" ds:itemID="{1553A563-D9A1-46B7-AAF8-7BE8BBB74107}">
  <ds:schemaRefs>
    <ds:schemaRef ds:uri="http://schemas.microsoft.com/office/2006/metadata/properties"/>
  </ds:schemaRefs>
</ds:datastoreItem>
</file>

<file path=customXml/itemProps4.xml><?xml version="1.0" encoding="utf-8"?>
<ds:datastoreItem xmlns:ds="http://schemas.openxmlformats.org/officeDocument/2006/customXml" ds:itemID="{EDEB4E7C-7932-485E-8E75-7AE6FA11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6377</Words>
  <Characters>3635</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tiesu ekspertīžu biroja maksas pakalpojumu cenrādis" sākotnējās ietekmes novērtējuma ziņojums (anotācija)</vt:lpstr>
      <vt:lpstr>Ministru kabineta noteikumu projekta "Valsts tiesu ekspertīžu biroja maksas pakalpojumu cenrādis" sākotnējās ietekmes novērtējuma ziņojums (anotācija)</vt:lpstr>
    </vt:vector>
  </TitlesOfParts>
  <Company>Tieslietu ministrija</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tiesu ekspertīžu biroja maksas pakalpojumu cenrādis" sākotnējās ietekmes novērtējuma ziņojums (anotācija)</dc:title>
  <dc:subject>Sākotnējās ietekmes novērtējuma ziņojums (anotācija)</dc:subject>
  <dc:creator>Maira Čentoricka</dc:creator>
  <dc:description>Maira.Centoricka@vteb.gov.lv; 67517730</dc:description>
  <cp:lastModifiedBy>Maira Čentoricka</cp:lastModifiedBy>
  <cp:revision>6</cp:revision>
  <cp:lastPrinted>2017-06-26T09:18:00Z</cp:lastPrinted>
  <dcterms:created xsi:type="dcterms:W3CDTF">2017-06-26T10:50:00Z</dcterms:created>
  <dcterms:modified xsi:type="dcterms:W3CDTF">2017-08-03T14:08:00Z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