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93C26" w:rsidRPr="004F4C11" w:rsidP="00C462C3" w14:paraId="780A0D13" w14:textId="77777777">
      <w:pPr>
        <w:pStyle w:val="NoSpacing"/>
        <w:jc w:val="center"/>
        <w:rPr>
          <w:b/>
          <w:bCs/>
          <w:szCs w:val="26"/>
          <w:lang w:eastAsia="lv-LV"/>
        </w:rPr>
      </w:pPr>
      <w:bookmarkStart w:id="0" w:name="OLE_LINK1"/>
      <w:bookmarkStart w:id="1" w:name="OLE_LINK2"/>
      <w:bookmarkStart w:id="2" w:name="OLE_LINK3"/>
      <w:bookmarkStart w:id="3" w:name="OLE_LINK4"/>
      <w:r w:rsidRPr="004F4C11">
        <w:rPr>
          <w:b/>
          <w:bCs/>
          <w:szCs w:val="26"/>
          <w:lang w:eastAsia="lv-LV"/>
        </w:rPr>
        <w:t xml:space="preserve">Ministru kabineta noteikumu projekta </w:t>
      </w:r>
      <w:r>
        <w:rPr>
          <w:b/>
          <w:bCs/>
          <w:szCs w:val="26"/>
          <w:lang w:eastAsia="lv-LV"/>
        </w:rPr>
        <w:t>„</w:t>
      </w:r>
      <w:r w:rsidRPr="004F4C11">
        <w:rPr>
          <w:b/>
          <w:bCs/>
          <w:szCs w:val="26"/>
          <w:lang w:eastAsia="lv-LV"/>
        </w:rPr>
        <w:t>Grozījumi Ministru kabineta 2013.</w:t>
      </w:r>
      <w:r>
        <w:rPr>
          <w:b/>
          <w:bCs/>
          <w:szCs w:val="26"/>
          <w:lang w:eastAsia="lv-LV"/>
        </w:rPr>
        <w:t> </w:t>
      </w:r>
      <w:r w:rsidRPr="004F4C11">
        <w:rPr>
          <w:b/>
          <w:bCs/>
          <w:szCs w:val="26"/>
          <w:lang w:eastAsia="lv-LV"/>
        </w:rPr>
        <w:t>gada 17.</w:t>
      </w:r>
      <w:r>
        <w:rPr>
          <w:b/>
          <w:bCs/>
          <w:szCs w:val="26"/>
          <w:lang w:eastAsia="lv-LV"/>
        </w:rPr>
        <w:t> </w:t>
      </w:r>
      <w:r w:rsidRPr="004F4C11">
        <w:rPr>
          <w:b/>
          <w:bCs/>
          <w:szCs w:val="26"/>
          <w:lang w:eastAsia="lv-LV"/>
        </w:rPr>
        <w:t>decembra noteikumos Nr.</w:t>
      </w:r>
      <w:r>
        <w:rPr>
          <w:b/>
          <w:bCs/>
          <w:szCs w:val="26"/>
          <w:lang w:eastAsia="lv-LV"/>
        </w:rPr>
        <w:t> </w:t>
      </w:r>
      <w:r w:rsidRPr="004F4C11">
        <w:rPr>
          <w:b/>
          <w:bCs/>
          <w:szCs w:val="26"/>
          <w:lang w:eastAsia="lv-LV"/>
        </w:rPr>
        <w:t xml:space="preserve">1529 </w:t>
      </w:r>
      <w:r>
        <w:rPr>
          <w:b/>
          <w:bCs/>
          <w:szCs w:val="26"/>
          <w:lang w:eastAsia="lv-LV"/>
        </w:rPr>
        <w:t>„</w:t>
      </w:r>
      <w:r w:rsidRPr="004F4C11">
        <w:rPr>
          <w:b/>
          <w:bCs/>
          <w:szCs w:val="26"/>
          <w:lang w:eastAsia="lv-LV"/>
        </w:rPr>
        <w:t>Veselības aprūpes organizēšanas un finansēšanas kārtība</w:t>
      </w:r>
      <w:r>
        <w:rPr>
          <w:b/>
          <w:bCs/>
          <w:szCs w:val="26"/>
          <w:lang w:eastAsia="lv-LV"/>
        </w:rPr>
        <w:t>””</w:t>
      </w:r>
      <w:r w:rsidRPr="004F4C11">
        <w:rPr>
          <w:b/>
          <w:bCs/>
          <w:szCs w:val="26"/>
          <w:lang w:eastAsia="lv-LV"/>
        </w:rPr>
        <w:t xml:space="preserve"> sākotnējās ietekmes novērtējuma ziņojums (anotācija</w:t>
      </w:r>
      <w:bookmarkEnd w:id="0"/>
      <w:bookmarkEnd w:id="1"/>
      <w:r w:rsidRPr="004F4C11">
        <w:rPr>
          <w:b/>
          <w:bCs/>
          <w:szCs w:val="26"/>
          <w:lang w:eastAsia="lv-LV"/>
        </w:rPr>
        <w:t>)</w:t>
      </w:r>
    </w:p>
    <w:p w:rsidR="00993C26" w:rsidP="00993C26" w14:paraId="34A49720" w14:textId="77777777">
      <w:pPr>
        <w:jc w:val="center"/>
      </w:pPr>
      <w:bookmarkEnd w:id="2"/>
      <w:bookmarkEnd w:id="3"/>
    </w:p>
    <w:tbl>
      <w:tblPr>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1539"/>
        <w:gridCol w:w="6945"/>
      </w:tblGrid>
      <w:tr w14:paraId="1081A97E" w14:textId="77777777" w:rsidTr="00C462C3">
        <w:tblPrEx>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P="00685C6C" w14:paraId="29467EF8" w14:textId="77777777">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14:paraId="39DD0D1F" w14:textId="77777777" w:rsidTr="00C462C3">
        <w:tblPrEx>
          <w:tblW w:w="4988" w:type="pct"/>
          <w:tblInd w:w="30" w:type="dxa"/>
          <w:tblCellMar>
            <w:top w:w="30" w:type="dxa"/>
            <w:left w:w="30" w:type="dxa"/>
            <w:bottom w:w="30" w:type="dxa"/>
            <w:right w:w="30" w:type="dxa"/>
          </w:tblCellMar>
          <w:tblLook w:val="04A0"/>
        </w:tblPrEx>
        <w:trPr>
          <w:trHeight w:val="40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P="00685C6C" w14:paraId="594FFF7E" w14:textId="77777777">
            <w:pPr>
              <w:contextualSpacing/>
              <w:rPr>
                <w:rFonts w:eastAsia="Times New Roman" w:cs="Times New Roman"/>
                <w:szCs w:val="24"/>
                <w:lang w:eastAsia="lv-LV"/>
              </w:rPr>
            </w:pPr>
            <w:r w:rsidRPr="002757B9">
              <w:rPr>
                <w:rFonts w:eastAsia="Times New Roman" w:cs="Times New Roman"/>
                <w:szCs w:val="24"/>
                <w:lang w:eastAsia="lv-LV"/>
              </w:rPr>
              <w:t>1.</w:t>
            </w:r>
          </w:p>
        </w:tc>
        <w:tc>
          <w:tcPr>
            <w:tcW w:w="852" w:type="pct"/>
            <w:tcBorders>
              <w:top w:val="outset" w:sz="6" w:space="0" w:color="auto"/>
              <w:left w:val="outset" w:sz="6" w:space="0" w:color="auto"/>
              <w:bottom w:val="outset" w:sz="6" w:space="0" w:color="auto"/>
              <w:right w:val="outset" w:sz="6" w:space="0" w:color="auto"/>
            </w:tcBorders>
            <w:hideMark/>
          </w:tcPr>
          <w:p w:rsidR="00993C26" w:rsidRPr="002757B9" w:rsidP="00685C6C" w14:paraId="6D0971DE" w14:textId="77777777">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3" w:type="pct"/>
            <w:tcBorders>
              <w:top w:val="outset" w:sz="6" w:space="0" w:color="auto"/>
              <w:left w:val="outset" w:sz="6" w:space="0" w:color="auto"/>
              <w:bottom w:val="outset" w:sz="6" w:space="0" w:color="auto"/>
              <w:right w:val="outset" w:sz="6" w:space="0" w:color="auto"/>
            </w:tcBorders>
            <w:hideMark/>
          </w:tcPr>
          <w:p w:rsidR="00731C02" w:rsidP="00AB35AA" w14:paraId="6952E71D" w14:textId="27DFFBAE">
            <w:pPr>
              <w:ind w:firstLine="336"/>
              <w:contextualSpacing/>
              <w:jc w:val="both"/>
            </w:pPr>
            <w:r>
              <w:t>Veselības ministrijas iniciatīva.</w:t>
            </w:r>
          </w:p>
          <w:p w:rsidR="008E6BC8" w:rsidRPr="008449D1" w:rsidP="00AB35AA" w14:paraId="1E623D79" w14:textId="7FDDB019">
            <w:pPr>
              <w:ind w:firstLine="336"/>
              <w:contextualSpacing/>
              <w:jc w:val="both"/>
              <w:rPr>
                <w:rFonts w:cs="Times New Roman"/>
              </w:rPr>
            </w:pPr>
            <w:r w:rsidRPr="00803F40">
              <w:t>Ministru kabineta noteikumu projekt</w:t>
            </w:r>
            <w:r>
              <w:t>s</w:t>
            </w:r>
            <w:r w:rsidRPr="00803F40">
              <w:t xml:space="preserve"> </w:t>
            </w:r>
            <w:r>
              <w:t>„</w:t>
            </w:r>
            <w:r w:rsidRPr="00803F40">
              <w:t>Grozījumi Ministru kabineta 2013.gada 17.decembra noteikumos Nr.1529</w:t>
            </w:r>
            <w:r>
              <w:t> „</w:t>
            </w:r>
            <w:r w:rsidRPr="00803F40">
              <w:t>Veselības aprūpes organizēšanas un finansēšanas kārtība</w:t>
            </w:r>
            <w:r>
              <w:t>””</w:t>
            </w:r>
            <w:r w:rsidRPr="00803F40">
              <w:t xml:space="preserve"> (turpmāk – noteikumu projekts)</w:t>
            </w:r>
            <w:r>
              <w:t xml:space="preserve"> izstrādāts, pamatojoties uz </w:t>
            </w:r>
            <w:r w:rsidRPr="008449D1">
              <w:rPr>
                <w:rFonts w:cs="Times New Roman"/>
              </w:rPr>
              <w:t>Ārstniecības likuma 4.panta pirmo</w:t>
            </w:r>
            <w:r>
              <w:rPr>
                <w:rFonts w:cs="Times New Roman"/>
              </w:rPr>
              <w:t xml:space="preserve"> daļu.</w:t>
            </w:r>
          </w:p>
        </w:tc>
      </w:tr>
      <w:tr w14:paraId="7A8B7FFF" w14:textId="77777777" w:rsidTr="00DC1F10">
        <w:tblPrEx>
          <w:tblW w:w="4988" w:type="pct"/>
          <w:tblInd w:w="30" w:type="dxa"/>
          <w:tblCellMar>
            <w:top w:w="30" w:type="dxa"/>
            <w:left w:w="30" w:type="dxa"/>
            <w:bottom w:w="30" w:type="dxa"/>
            <w:right w:w="30" w:type="dxa"/>
          </w:tblCellMar>
          <w:tblLook w:val="04A0"/>
        </w:tblPrEx>
        <w:trPr>
          <w:trHeight w:val="46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P="00685C6C" w14:paraId="704D20A5" w14:textId="77777777">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2" w:type="pct"/>
            <w:tcBorders>
              <w:top w:val="outset" w:sz="6" w:space="0" w:color="auto"/>
              <w:left w:val="outset" w:sz="6" w:space="0" w:color="auto"/>
              <w:bottom w:val="outset" w:sz="6" w:space="0" w:color="auto"/>
              <w:right w:val="outset" w:sz="6" w:space="0" w:color="auto"/>
            </w:tcBorders>
            <w:hideMark/>
          </w:tcPr>
          <w:p w:rsidR="00993C26" w:rsidRPr="002757B9" w:rsidP="00685C6C" w14:paraId="59EA5798" w14:textId="77777777">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B05411" w:rsidP="00685C6C" w14:paraId="0E2F5397" w14:textId="77777777">
            <w:pPr>
              <w:contextualSpacing/>
              <w:rPr>
                <w:rFonts w:eastAsia="Times New Roman" w:cs="Times New Roman"/>
                <w:szCs w:val="24"/>
                <w:lang w:eastAsia="lv-LV"/>
              </w:rPr>
            </w:pPr>
          </w:p>
          <w:p w:rsidR="00AC58D6" w14:paraId="48A67483" w14:textId="77777777">
            <w:pPr>
              <w:rPr>
                <w:rFonts w:eastAsia="Times New Roman" w:cs="Times New Roman"/>
                <w:szCs w:val="24"/>
                <w:lang w:eastAsia="lv-LV"/>
              </w:rPr>
            </w:pPr>
          </w:p>
          <w:p w:rsidR="00AC58D6" w14:paraId="34D0A952" w14:textId="77777777">
            <w:pPr>
              <w:rPr>
                <w:rFonts w:eastAsia="Times New Roman" w:cs="Times New Roman"/>
                <w:szCs w:val="24"/>
                <w:lang w:eastAsia="lv-LV"/>
              </w:rPr>
            </w:pPr>
          </w:p>
          <w:p w:rsidR="00AC58D6" w14:paraId="43FC7F90" w14:textId="77777777">
            <w:pPr>
              <w:rPr>
                <w:rFonts w:eastAsia="Times New Roman" w:cs="Times New Roman"/>
                <w:szCs w:val="24"/>
                <w:lang w:eastAsia="lv-LV"/>
              </w:rPr>
            </w:pPr>
          </w:p>
          <w:p w:rsidR="00AC58D6" w14:paraId="48B689CF" w14:textId="77777777">
            <w:pPr>
              <w:rPr>
                <w:rFonts w:eastAsia="Times New Roman" w:cs="Times New Roman"/>
                <w:szCs w:val="24"/>
                <w:lang w:eastAsia="lv-LV"/>
              </w:rPr>
            </w:pPr>
          </w:p>
          <w:p w:rsidR="00AC58D6" w14:paraId="1DD1A384" w14:textId="77777777">
            <w:pPr>
              <w:rPr>
                <w:rFonts w:eastAsia="Times New Roman" w:cs="Times New Roman"/>
                <w:szCs w:val="24"/>
                <w:lang w:eastAsia="lv-LV"/>
              </w:rPr>
            </w:pPr>
          </w:p>
          <w:p w:rsidR="00AC58D6" w14:paraId="0E7AC637" w14:textId="77777777">
            <w:pPr>
              <w:rPr>
                <w:rFonts w:eastAsia="Times New Roman" w:cs="Times New Roman"/>
                <w:szCs w:val="24"/>
                <w:lang w:eastAsia="lv-LV"/>
              </w:rPr>
            </w:pPr>
          </w:p>
          <w:p w:rsidR="00AC58D6" w14:paraId="1712D57E" w14:textId="77777777">
            <w:pPr>
              <w:rPr>
                <w:rFonts w:eastAsia="Times New Roman" w:cs="Times New Roman"/>
                <w:szCs w:val="24"/>
                <w:lang w:eastAsia="lv-LV"/>
              </w:rPr>
            </w:pPr>
          </w:p>
          <w:p w:rsidR="00AC58D6" w14:paraId="48950E60" w14:textId="77777777">
            <w:pPr>
              <w:rPr>
                <w:rFonts w:eastAsia="Times New Roman" w:cs="Times New Roman"/>
                <w:szCs w:val="24"/>
                <w:lang w:eastAsia="lv-LV"/>
              </w:rPr>
            </w:pPr>
          </w:p>
          <w:p w:rsidR="00AC58D6" w14:paraId="19555D48" w14:textId="77777777">
            <w:pPr>
              <w:rPr>
                <w:rFonts w:eastAsia="Times New Roman" w:cs="Times New Roman"/>
                <w:szCs w:val="24"/>
                <w:lang w:eastAsia="lv-LV"/>
              </w:rPr>
            </w:pPr>
          </w:p>
          <w:p w:rsidR="00AC58D6" w14:paraId="7AE855EA" w14:textId="77777777">
            <w:pPr>
              <w:rPr>
                <w:rFonts w:eastAsia="Times New Roman" w:cs="Times New Roman"/>
                <w:szCs w:val="24"/>
                <w:lang w:eastAsia="lv-LV"/>
              </w:rPr>
            </w:pPr>
          </w:p>
          <w:p w:rsidR="00AC58D6" w14:paraId="3E34EC24" w14:textId="77777777">
            <w:pPr>
              <w:rPr>
                <w:rFonts w:eastAsia="Times New Roman" w:cs="Times New Roman"/>
                <w:szCs w:val="24"/>
                <w:lang w:eastAsia="lv-LV"/>
              </w:rPr>
            </w:pPr>
          </w:p>
          <w:p w:rsidR="00AC58D6" w14:paraId="0F53FDEB" w14:textId="77777777">
            <w:pPr>
              <w:rPr>
                <w:rFonts w:eastAsia="Times New Roman" w:cs="Times New Roman"/>
                <w:szCs w:val="24"/>
                <w:lang w:eastAsia="lv-LV"/>
              </w:rPr>
            </w:pPr>
          </w:p>
          <w:p w:rsidR="00AC58D6" w14:paraId="2440D5DF" w14:textId="77777777">
            <w:pPr>
              <w:rPr>
                <w:rFonts w:eastAsia="Times New Roman" w:cs="Times New Roman"/>
                <w:szCs w:val="24"/>
                <w:lang w:eastAsia="lv-LV"/>
              </w:rPr>
            </w:pPr>
          </w:p>
          <w:p w:rsidR="00AC58D6" w14:paraId="66599A03" w14:textId="77777777">
            <w:pPr>
              <w:rPr>
                <w:rFonts w:eastAsia="Times New Roman" w:cs="Times New Roman"/>
                <w:szCs w:val="24"/>
                <w:lang w:eastAsia="lv-LV"/>
              </w:rPr>
            </w:pPr>
          </w:p>
          <w:p w:rsidR="00B05411" w:rsidP="00B05411" w14:paraId="1676424E" w14:textId="77777777">
            <w:pPr>
              <w:rPr>
                <w:rFonts w:eastAsia="Times New Roman" w:cs="Times New Roman"/>
                <w:szCs w:val="24"/>
                <w:lang w:eastAsia="lv-LV"/>
              </w:rPr>
            </w:pPr>
          </w:p>
          <w:p w:rsidR="00AC58D6" w14:paraId="51DA5C50" w14:textId="77777777">
            <w:pPr>
              <w:ind w:firstLine="720"/>
              <w:rPr>
                <w:rFonts w:eastAsia="Times New Roman" w:cs="Times New Roman"/>
                <w:szCs w:val="24"/>
                <w:lang w:eastAsia="lv-LV"/>
              </w:rPr>
            </w:pPr>
          </w:p>
        </w:tc>
        <w:tc>
          <w:tcPr>
            <w:tcW w:w="3843" w:type="pct"/>
            <w:tcBorders>
              <w:top w:val="outset" w:sz="6" w:space="0" w:color="auto"/>
              <w:left w:val="outset" w:sz="6" w:space="0" w:color="auto"/>
              <w:bottom w:val="outset" w:sz="6" w:space="0" w:color="auto"/>
              <w:right w:val="outset" w:sz="6" w:space="0" w:color="auto"/>
            </w:tcBorders>
            <w:hideMark/>
          </w:tcPr>
          <w:p w:rsidR="006063E6" w:rsidRPr="00341810" w:rsidP="00C462C3" w14:paraId="08EE278D" w14:textId="62942029">
            <w:pPr>
              <w:spacing w:after="120"/>
              <w:contextualSpacing/>
              <w:jc w:val="both"/>
              <w:rPr>
                <w:rFonts w:eastAsia="Times New Roman" w:cs="Times New Roman"/>
                <w:szCs w:val="24"/>
                <w:lang w:eastAsia="lv-LV"/>
              </w:rPr>
            </w:pPr>
            <w:r>
              <w:t xml:space="preserve">1. </w:t>
            </w:r>
            <w:r w:rsidRPr="00CF4101">
              <w:t xml:space="preserve">Šobrīd valsts kompensējamo zāļu sarakstā ir iekļautas </w:t>
            </w:r>
            <w:r>
              <w:t xml:space="preserve">parenterāli ievadāmās </w:t>
            </w:r>
            <w:r w:rsidRPr="00CF4101">
              <w:t xml:space="preserve">zāles </w:t>
            </w:r>
            <w:r w:rsidRPr="00341810">
              <w:rPr>
                <w:rFonts w:eastAsia="Times New Roman" w:cs="Times New Roman"/>
                <w:szCs w:val="24"/>
                <w:lang w:eastAsia="lv-LV"/>
              </w:rPr>
              <w:t>Ministru kabineta 2006.gada 31.oktobra noteikumu Nr.899 “Ambulatorajai ārstēšanai paredzēto zāļu un medicīnisko ierīču iegādes izdevumu kompensācijas kārtība” I.</w:t>
            </w:r>
            <w:r>
              <w:rPr>
                <w:rFonts w:eastAsia="Times New Roman" w:cs="Times New Roman"/>
                <w:szCs w:val="24"/>
                <w:lang w:eastAsia="lv-LV"/>
              </w:rPr>
              <w:t> </w:t>
            </w:r>
            <w:r w:rsidRPr="00341810">
              <w:rPr>
                <w:rFonts w:eastAsia="Times New Roman" w:cs="Times New Roman"/>
                <w:szCs w:val="24"/>
                <w:lang w:eastAsia="lv-LV"/>
              </w:rPr>
              <w:t>pielikuma 5.</w:t>
            </w:r>
            <w:r>
              <w:rPr>
                <w:rFonts w:eastAsia="Times New Roman" w:cs="Times New Roman"/>
                <w:szCs w:val="24"/>
                <w:lang w:eastAsia="lv-LV"/>
              </w:rPr>
              <w:t> </w:t>
            </w:r>
            <w:r w:rsidRPr="00341810">
              <w:rPr>
                <w:rFonts w:eastAsia="Times New Roman" w:cs="Times New Roman"/>
                <w:szCs w:val="24"/>
                <w:lang w:eastAsia="lv-LV"/>
              </w:rPr>
              <w:t>punktā uzskaitīto onkoloģisko saslimšanu ārstēšanai. Tā kā minētās zāles ir iekļautas ambulatorajai ārstēšanai paredzēto zāļu kompensācijas sarakstā, tad to izsniegšanu, pamatojoties uz ārstniecības personas izrakstītu recepti, nodrošina aptieka. Tajā pašā laikā minētās zāles pacientam ir ievadāmas tikai stacionāra vai dienas stacionārā apstākļos attiecīgā ārsta-speciālista uzraudzībā. Ņemot vērā to, ka šīs zāles pacients pats iegādājas aptiekā un tad dodas uz ārstniecības iestādi zāļu ievadei, pastāv risks, ka zāļu neatbilstošas uzglabāšanas dēļ posmā starp iegādi aptiekā un ievadīšanu stacionārā vai dienas stacionārā, varētu tikt izmainīta zāļu efektivitāte un lietošanas drošība. Turklāt ir gadījumi, kad pacientam nemaz nav nepieciešams viss iegādātais zāļu daudzums, taču aptieka parenterāli ievadāmās zāles var izsniegt tikai tādā daudzumā un apjomā, kāds ir zāļu primārais iepakojums.</w:t>
            </w:r>
          </w:p>
          <w:p w:rsidR="004B3726" w:rsidRPr="00CF4101" w:rsidP="00DC1F10" w14:paraId="108F3875" w14:textId="1DD24CEF">
            <w:pPr>
              <w:spacing w:after="120"/>
              <w:contextualSpacing/>
              <w:jc w:val="both"/>
              <w:rPr>
                <w:rFonts w:eastAsia="Times New Roman" w:cs="Times New Roman"/>
                <w:szCs w:val="24"/>
                <w:lang w:eastAsia="lv-LV"/>
              </w:rPr>
            </w:pPr>
            <w:r w:rsidRPr="00CF4101">
              <w:t xml:space="preserve">Lai risinātu minētās problēmas ir sagatavoti grozījumi Ministru kabineta 2013.gada 17.decembra noteikumos Nr.1529 „Veselības aprūpes organizēšanas un finansēšanas kārtība” un </w:t>
            </w:r>
            <w:r w:rsidRPr="00CF4101">
              <w:rPr>
                <w:rFonts w:eastAsia="Times New Roman" w:cs="Times New Roman"/>
                <w:szCs w:val="24"/>
                <w:lang w:eastAsia="lv-LV"/>
              </w:rPr>
              <w:t>Ministru kabineta 2006.gada 31.oktobra noteikumos Nr.899 “Ambulatorajai ārstēšanai paredzēto zāļu un medicīnisko ierīču iegādes izdevumu kompensācijas kārtība”, paredzot, ka sākot ar 2018.gada 1.</w:t>
            </w:r>
            <w:r w:rsidRPr="001F766B">
              <w:rPr>
                <w:rFonts w:eastAsia="Times New Roman" w:cs="Times New Roman"/>
                <w:szCs w:val="24"/>
                <w:lang w:eastAsia="lv-LV"/>
              </w:rPr>
              <w:t xml:space="preserve">janvāri </w:t>
            </w:r>
            <w:r>
              <w:rPr>
                <w:rFonts w:eastAsia="Times New Roman" w:cs="Times New Roman"/>
                <w:szCs w:val="24"/>
                <w:lang w:eastAsia="lv-LV"/>
              </w:rPr>
              <w:t>onkoloģisko slimību</w:t>
            </w:r>
            <w:r w:rsidRPr="001F766B">
              <w:rPr>
                <w:rFonts w:eastAsia="Times New Roman" w:cs="Times New Roman"/>
                <w:szCs w:val="24"/>
                <w:lang w:eastAsia="lv-LV"/>
              </w:rPr>
              <w:t xml:space="preserve"> ārstēšanai lietojamās parenterāli ievadāmās zāles (izņemot tās, par kuru kompensācijas nodrošināšanu ir noslēgts finansiālas līdzdalības līgums ar </w:t>
            </w:r>
            <w:r w:rsidRPr="001F766B">
              <w:t>zāļu reģistrācijas apliecības īpašnieku vai viņa pilnvarotām personām),</w:t>
            </w:r>
            <w:r w:rsidRPr="00DC1F10">
              <w:rPr>
                <w:color w:val="FF0000"/>
              </w:rPr>
              <w:t xml:space="preserve"> </w:t>
            </w:r>
            <w:r w:rsidRPr="00CF4101">
              <w:rPr>
                <w:rFonts w:eastAsia="Times New Roman" w:cs="Times New Roman"/>
                <w:szCs w:val="24"/>
                <w:lang w:eastAsia="lv-LV"/>
              </w:rPr>
              <w:t>kuru iegāde tiks apmaksāta no valsts budžeta līdzekļiem, tiks iepirktas centralizēti. Centralizēto iepirkumu ārstniecības iestāžu, kas nodrošina onkoloģisko pacientu aprūpi, vajadzībām rīkos Nacionālais veselības dienests saskaņā ar Publisko iepirkumu likuma prasībām. Lai nodrošinātu</w:t>
            </w:r>
            <w:r>
              <w:rPr>
                <w:rFonts w:eastAsia="Times New Roman" w:cs="Times New Roman"/>
                <w:szCs w:val="24"/>
                <w:lang w:eastAsia="lv-LV"/>
              </w:rPr>
              <w:t xml:space="preserve"> </w:t>
            </w:r>
            <w:r w:rsidRPr="001F766B">
              <w:rPr>
                <w:rFonts w:eastAsia="Times New Roman" w:cs="Times New Roman"/>
                <w:szCs w:val="24"/>
                <w:lang w:eastAsia="lv-LV"/>
              </w:rPr>
              <w:t>šo</w:t>
            </w:r>
            <w:r w:rsidRPr="00CF4101">
              <w:rPr>
                <w:rFonts w:eastAsia="Times New Roman" w:cs="Times New Roman"/>
                <w:szCs w:val="24"/>
                <w:lang w:eastAsia="lv-LV"/>
              </w:rPr>
              <w:t xml:space="preserve"> parenterāli ievadāmo zāļu centralizētu iepirkumu, Nacionālais veselības dienests veidos parenterāli ievadāmo zāļu sarakstu, kurā bez atkārtotas vērtēšanas iekļaus šobrīd kompensējamo zāļu A un B sarakstā esošās parenterāli ievadāmās </w:t>
            </w:r>
            <w:r w:rsidRPr="00A868D2">
              <w:rPr>
                <w:rFonts w:eastAsia="Times New Roman" w:cs="Times New Roman"/>
                <w:szCs w:val="24"/>
                <w:lang w:eastAsia="lv-LV"/>
              </w:rPr>
              <w:t xml:space="preserve">zāles (izņemot tās, par kuru kompensācijas nodrošināšanu ir noslēgts finansiālas līdzdalības līgums ar </w:t>
            </w:r>
            <w:r w:rsidRPr="00A868D2">
              <w:t>zāļu reģistrācijas apliecības īpašnieku</w:t>
            </w:r>
            <w:r>
              <w:t xml:space="preserve"> </w:t>
            </w:r>
            <w:r>
              <w:rPr>
                <w:rFonts w:eastAsia="Times New Roman" w:cs="Times New Roman"/>
                <w:szCs w:val="24"/>
                <w:lang w:eastAsia="lv-LV"/>
              </w:rPr>
              <w:t>vai</w:t>
            </w:r>
            <w:r>
              <w:t xml:space="preserve"> viņa pilnvarotām personām</w:t>
            </w:r>
            <w:r w:rsidRPr="0003363C">
              <w:t>) un</w:t>
            </w:r>
            <w:r>
              <w:t xml:space="preserve"> </w:t>
            </w:r>
            <w:r w:rsidRPr="00CF4101">
              <w:rPr>
                <w:rFonts w:eastAsia="Times New Roman" w:cs="Times New Roman"/>
                <w:szCs w:val="24"/>
                <w:lang w:eastAsia="lv-LV"/>
              </w:rPr>
              <w:t xml:space="preserve">Nacionālā veselības dienesta veidotajā stacionāro veselības aprūpes pakalpojumu sniegšanai lietojamo zāļu sarakstā esošās parenterāli ievadāmās zāles </w:t>
            </w:r>
            <w:r w:rsidRPr="00297281">
              <w:rPr>
                <w:rFonts w:eastAsia="Times New Roman" w:cs="Times New Roman"/>
                <w:szCs w:val="24"/>
                <w:lang w:eastAsia="lv-LV"/>
              </w:rPr>
              <w:t>atbilstoši Ministru kabineta 2007.gada 27.marta noteikumiem Nr.220 “</w:t>
            </w:r>
            <w:r w:rsidRPr="00297281">
              <w:t xml:space="preserve">Zāļu iegādes, uzglabāšanas, </w:t>
            </w:r>
            <w:r w:rsidRPr="00297281">
              <w:t>izlietošanas uzskaites un iznīcināšanas kārtība ārstniecības iestādēs un sociālās aprūpes institūcijās”</w:t>
            </w:r>
            <w:r>
              <w:t xml:space="preserve">, </w:t>
            </w:r>
            <w:r w:rsidRPr="0003363C">
              <w:rPr>
                <w:szCs w:val="24"/>
              </w:rPr>
              <w:t>un kuras ārstniecības iestādes lieto onkoloģisku pacientu ārstēšanai</w:t>
            </w:r>
            <w:r w:rsidRPr="0003363C">
              <w:rPr>
                <w:rFonts w:eastAsia="Times New Roman" w:cs="Times New Roman"/>
                <w:szCs w:val="24"/>
                <w:lang w:eastAsia="lv-LV"/>
              </w:rPr>
              <w:t>. Parenterāli ievadāmo zāļu sarakstā netiks iekļautas Latvijā nereģistrētas zāles, kā arī zāles, kuras konkrētās ārstniecības iestādes iepirkušas saskaņā ar papildus lietojamo zāļu sarakstu.</w:t>
            </w:r>
            <w:r>
              <w:rPr>
                <w:rFonts w:eastAsia="Times New Roman" w:cs="Times New Roman"/>
                <w:szCs w:val="24"/>
                <w:lang w:eastAsia="lv-LV"/>
              </w:rPr>
              <w:t xml:space="preserve"> </w:t>
            </w:r>
            <w:r w:rsidRPr="00CF4101">
              <w:rPr>
                <w:rFonts w:eastAsia="Times New Roman" w:cs="Times New Roman"/>
                <w:szCs w:val="24"/>
                <w:lang w:eastAsia="lv-LV"/>
              </w:rPr>
              <w:t xml:space="preserve">Lai nodrošinātu parenterāli ievadāmo zāļu izsniegšanu ārstniecības iestādēm, ar kurām noslēgts līgums par </w:t>
            </w:r>
            <w:r>
              <w:rPr>
                <w:rFonts w:eastAsia="Times New Roman" w:cs="Times New Roman"/>
                <w:szCs w:val="24"/>
                <w:lang w:eastAsia="lv-LV"/>
              </w:rPr>
              <w:t xml:space="preserve">plānveida </w:t>
            </w:r>
            <w:r w:rsidRPr="00CF4101">
              <w:rPr>
                <w:rFonts w:eastAsia="Times New Roman" w:cs="Times New Roman"/>
                <w:szCs w:val="24"/>
                <w:lang w:eastAsia="lv-LV"/>
              </w:rPr>
              <w:t>onkoloģisko veselība</w:t>
            </w:r>
            <w:r>
              <w:rPr>
                <w:rFonts w:eastAsia="Times New Roman" w:cs="Times New Roman"/>
                <w:szCs w:val="24"/>
                <w:lang w:eastAsia="lv-LV"/>
              </w:rPr>
              <w:t>s aprūpes pakalpojumu sniegšanu</w:t>
            </w:r>
            <w:r w:rsidRPr="00CF4101">
              <w:rPr>
                <w:rFonts w:eastAsia="Times New Roman" w:cs="Times New Roman"/>
                <w:szCs w:val="24"/>
                <w:lang w:eastAsia="lv-LV"/>
              </w:rPr>
              <w:t xml:space="preserve"> ar 2018.gada 1.janvāri, Nacionālajam veselības dienestam iepirkuma proce</w:t>
            </w:r>
            <w:r>
              <w:rPr>
                <w:rFonts w:eastAsia="Times New Roman" w:cs="Times New Roman"/>
                <w:szCs w:val="24"/>
                <w:lang w:eastAsia="lv-LV"/>
              </w:rPr>
              <w:t>dūra būtu jāuzsāk vismaz piecus mēnešus</w:t>
            </w:r>
            <w:r w:rsidRPr="00CF4101">
              <w:rPr>
                <w:rFonts w:eastAsia="Times New Roman" w:cs="Times New Roman"/>
                <w:szCs w:val="24"/>
                <w:lang w:eastAsia="lv-LV"/>
              </w:rPr>
              <w:t xml:space="preserve"> iepriekš. Tāpēc tiek noteikts, ka Nacionālajam veselības dienestam līdz 2017.gada 1.</w:t>
            </w:r>
            <w:r>
              <w:rPr>
                <w:rFonts w:eastAsia="Times New Roman" w:cs="Times New Roman"/>
                <w:szCs w:val="24"/>
                <w:lang w:eastAsia="lv-LV"/>
              </w:rPr>
              <w:t>augustam</w:t>
            </w:r>
            <w:r w:rsidRPr="00CF4101">
              <w:rPr>
                <w:rFonts w:eastAsia="Times New Roman" w:cs="Times New Roman"/>
                <w:szCs w:val="24"/>
                <w:lang w:eastAsia="lv-LV"/>
              </w:rPr>
              <w:t xml:space="preserve"> ir jāizveido parenterāli ievadāmo zāļu, kurus iepirks centralizēti, saraksts.</w:t>
            </w:r>
            <w:r>
              <w:rPr>
                <w:rFonts w:eastAsia="Times New Roman" w:cs="Times New Roman"/>
                <w:szCs w:val="24"/>
                <w:lang w:eastAsia="lv-LV"/>
              </w:rPr>
              <w:t xml:space="preserve"> </w:t>
            </w:r>
          </w:p>
          <w:p w:rsidR="004B3726" w:rsidRPr="00AB070A" w:rsidP="00122F2D" w14:paraId="441B4C0D" w14:textId="74C44107">
            <w:pPr>
              <w:spacing w:after="120"/>
              <w:contextualSpacing/>
              <w:jc w:val="both"/>
              <w:rPr>
                <w:rFonts w:eastAsia="Times New Roman" w:cs="Times New Roman"/>
                <w:color w:val="FF0000"/>
                <w:szCs w:val="24"/>
                <w:lang w:eastAsia="lv-LV"/>
              </w:rPr>
            </w:pPr>
            <w:r w:rsidRPr="00BA095C">
              <w:rPr>
                <w:rFonts w:eastAsia="Times New Roman" w:cs="Times New Roman"/>
                <w:szCs w:val="24"/>
                <w:lang w:eastAsia="lv-LV"/>
              </w:rPr>
              <w:t>Lai nodrošinātu precīzu zāļu, kā arī pacientu apjoma uzskaiti, līgumā starp Nacionālo veselības dienestu un ārstniecības iestādi, tiks pievienota atskaites forma, kurā ārstniecības iestādēm būs nepieciešams norādīt pacientu skaitu un izlietoto zāļu daudzumu. Uzskaite nepieciešama, lai būtu iespējams plānot turpmāk nepieciešamo zāļu apjomu, kā arī, lai Nacionālais veselības dienests varētu veikt apmaksu pēc faktiskā izlietojuma</w:t>
            </w:r>
            <w:r w:rsidRPr="00726439">
              <w:rPr>
                <w:rFonts w:eastAsia="Times New Roman" w:cs="Times New Roman"/>
                <w:szCs w:val="24"/>
                <w:lang w:eastAsia="lv-LV"/>
              </w:rPr>
              <w:t>.</w:t>
            </w:r>
            <w:r w:rsidRPr="00726439" w:rsidR="004A4730">
              <w:rPr>
                <w:rFonts w:eastAsia="Times New Roman" w:cs="Times New Roman"/>
                <w:szCs w:val="24"/>
                <w:lang w:eastAsia="lv-LV"/>
              </w:rPr>
              <w:t xml:space="preserve"> Atbildību par precīzu pacientu ārstēšanā izlietoto </w:t>
            </w:r>
            <w:r w:rsidRPr="00726439" w:rsidR="00AB070A">
              <w:rPr>
                <w:rFonts w:eastAsia="Times New Roman" w:cs="Times New Roman"/>
                <w:szCs w:val="24"/>
                <w:lang w:eastAsia="lv-LV"/>
              </w:rPr>
              <w:t>parenterāli</w:t>
            </w:r>
            <w:r w:rsidRPr="00726439" w:rsidR="004A4730">
              <w:rPr>
                <w:rFonts w:eastAsia="Times New Roman" w:cs="Times New Roman"/>
                <w:szCs w:val="24"/>
                <w:lang w:eastAsia="lv-LV"/>
              </w:rPr>
              <w:t xml:space="preserve"> ievadā</w:t>
            </w:r>
            <w:bookmarkStart w:id="4" w:name="_GoBack"/>
            <w:bookmarkEnd w:id="4"/>
            <w:r w:rsidRPr="00726439" w:rsidR="004A4730">
              <w:rPr>
                <w:rFonts w:eastAsia="Times New Roman" w:cs="Times New Roman"/>
                <w:szCs w:val="24"/>
                <w:lang w:eastAsia="lv-LV"/>
              </w:rPr>
              <w:t xml:space="preserve">mo zāļu </w:t>
            </w:r>
            <w:r w:rsidRPr="00726439" w:rsidR="00AB070A">
              <w:rPr>
                <w:rFonts w:eastAsia="Times New Roman" w:cs="Times New Roman"/>
                <w:szCs w:val="24"/>
                <w:lang w:eastAsia="lv-LV"/>
              </w:rPr>
              <w:t>uzskaiti un kontroli</w:t>
            </w:r>
            <w:r w:rsidRPr="00726439" w:rsidR="004A4730">
              <w:rPr>
                <w:rFonts w:eastAsia="Times New Roman" w:cs="Times New Roman"/>
                <w:szCs w:val="24"/>
                <w:lang w:eastAsia="lv-LV"/>
              </w:rPr>
              <w:t xml:space="preserve"> </w:t>
            </w:r>
            <w:r w:rsidRPr="00726439" w:rsidR="00AB070A">
              <w:rPr>
                <w:rFonts w:eastAsia="Times New Roman" w:cs="Times New Roman"/>
                <w:szCs w:val="24"/>
                <w:lang w:eastAsia="lv-LV"/>
              </w:rPr>
              <w:t>uzņemas</w:t>
            </w:r>
            <w:r w:rsidRPr="00726439" w:rsidR="004A4730">
              <w:rPr>
                <w:rFonts w:eastAsia="Times New Roman" w:cs="Times New Roman"/>
                <w:szCs w:val="24"/>
                <w:lang w:eastAsia="lv-LV"/>
              </w:rPr>
              <w:t xml:space="preserve"> konkrētā ārstniecības iest</w:t>
            </w:r>
            <w:r w:rsidRPr="00726439" w:rsidR="00AB070A">
              <w:rPr>
                <w:rFonts w:eastAsia="Times New Roman" w:cs="Times New Roman"/>
                <w:szCs w:val="24"/>
                <w:lang w:eastAsia="lv-LV"/>
              </w:rPr>
              <w:t xml:space="preserve">āde, kura sniedz šādu veselības aprūpes pakalpojumu. </w:t>
            </w:r>
            <w:r w:rsidRPr="00726439" w:rsidR="004C7DD9">
              <w:rPr>
                <w:rFonts w:eastAsia="Times New Roman" w:cs="Times New Roman"/>
                <w:szCs w:val="24"/>
                <w:lang w:eastAsia="lv-LV"/>
              </w:rPr>
              <w:t xml:space="preserve">Zāļu </w:t>
            </w:r>
            <w:r w:rsidRPr="00726439">
              <w:rPr>
                <w:rFonts w:eastAsia="Times New Roman" w:cs="Times New Roman"/>
                <w:szCs w:val="24"/>
                <w:lang w:eastAsia="lv-LV"/>
              </w:rPr>
              <w:t>uzskaites un kontroles nodrošināšanas kārtību noteiks konkrētās ā</w:t>
            </w:r>
            <w:r w:rsidRPr="00726439" w:rsidR="006F6F23">
              <w:rPr>
                <w:rFonts w:eastAsia="Times New Roman" w:cs="Times New Roman"/>
                <w:szCs w:val="24"/>
                <w:lang w:eastAsia="lv-LV"/>
              </w:rPr>
              <w:t>rstniecības iest</w:t>
            </w:r>
            <w:r w:rsidRPr="00726439">
              <w:rPr>
                <w:rFonts w:eastAsia="Times New Roman" w:cs="Times New Roman"/>
                <w:szCs w:val="24"/>
                <w:lang w:eastAsia="lv-LV"/>
              </w:rPr>
              <w:t>ādes</w:t>
            </w:r>
            <w:r w:rsidRPr="00726439" w:rsidR="006F6F23">
              <w:rPr>
                <w:rFonts w:eastAsia="Times New Roman" w:cs="Times New Roman"/>
                <w:szCs w:val="24"/>
                <w:lang w:eastAsia="lv-LV"/>
              </w:rPr>
              <w:t xml:space="preserve">. </w:t>
            </w:r>
            <w:r w:rsidRPr="00726439">
              <w:rPr>
                <w:rFonts w:eastAsia="Times New Roman" w:cs="Times New Roman"/>
                <w:szCs w:val="24"/>
                <w:lang w:eastAsia="lv-LV"/>
              </w:rPr>
              <w:t xml:space="preserve">Papildus </w:t>
            </w:r>
            <w:r w:rsidRPr="00BA095C">
              <w:rPr>
                <w:rFonts w:eastAsia="Times New Roman" w:cs="Times New Roman"/>
                <w:szCs w:val="24"/>
                <w:lang w:eastAsia="lv-LV"/>
              </w:rPr>
              <w:t>nepieciešamā zāļu daudzuma plānošanas procesā tiks izmantoti Slimību profilakses un kontroles centra datubāzēs (ar noteiktām slimībām slimojošu pacientu reģistrā), kā arī Nacionālā veselības dienesta pārraudzībā esošajā vienotās veselības nozares elektroniskās informācijas sistēmā apkopotie statistikas dati par pacientiem ar onkoloģiskām slimībām, lai varētu prognozēt iespējamo pacientu skaita pieaugumu.</w:t>
            </w:r>
          </w:p>
          <w:p w:rsidR="00EA608E" w:rsidRPr="00B44BFD" w:rsidP="00122F2D" w14:paraId="664156A7" w14:textId="617EA8EB">
            <w:pPr>
              <w:spacing w:after="120"/>
              <w:contextualSpacing/>
              <w:jc w:val="both"/>
              <w:rPr>
                <w:rFonts w:eastAsia="Times New Roman" w:cs="Times New Roman"/>
                <w:szCs w:val="24"/>
                <w:lang w:eastAsia="lv-LV"/>
              </w:rPr>
            </w:pPr>
            <w:r>
              <w:rPr>
                <w:rFonts w:eastAsia="Times New Roman" w:cs="Times New Roman"/>
                <w:szCs w:val="24"/>
                <w:lang w:eastAsia="lv-LV"/>
              </w:rPr>
              <w:t>Veicot onkoloģisko slimību</w:t>
            </w:r>
            <w:r w:rsidRPr="00BA095C">
              <w:rPr>
                <w:rFonts w:eastAsia="Times New Roman" w:cs="Times New Roman"/>
                <w:szCs w:val="24"/>
                <w:lang w:eastAsia="lv-LV"/>
              </w:rPr>
              <w:t xml:space="preserve"> ārstēšanai lietojamo parenterāli ievadāmo zāļu centralizēto iepirkšanu netiks palielināts administratīvais slogs un administratīvie izdevumi ārstniecības iestādēm, jo centralizēto iepirkumu organizēs un veiks Nacionālais veselības dienests. Centralizētā iepirkuma ietvaros ārstniecības iestādēm būs nepieciešams veikt tikai pacientu skaita un izlietojamo zāļu daudzuma uzskaiti. </w:t>
            </w:r>
            <w:r w:rsidRPr="00B44BFD">
              <w:rPr>
                <w:rFonts w:eastAsia="Times New Roman" w:cs="Times New Roman"/>
                <w:szCs w:val="24"/>
                <w:lang w:eastAsia="lv-LV"/>
              </w:rPr>
              <w:t>Veicot zāļu iepirkšanu centralizēti, plānots palielināt konkurenci starp zāļu izplatītājiem, kuru interesēs būs piedāvāt iespējami zemāku cenu par attiecīgajām zālēm, tādējādi plānots novērst risku par zāļu pārmaksu.</w:t>
            </w:r>
          </w:p>
          <w:p w:rsidR="007D137A" w:rsidRPr="00310336" w:rsidP="00122F2D" w14:paraId="74933D07" w14:textId="7736F0FE">
            <w:pPr>
              <w:spacing w:after="120"/>
              <w:contextualSpacing/>
              <w:jc w:val="both"/>
              <w:rPr>
                <w:rFonts w:eastAsia="Times New Roman" w:cs="Times New Roman"/>
                <w:szCs w:val="24"/>
                <w:lang w:eastAsia="lv-LV"/>
              </w:rPr>
            </w:pPr>
            <w:r>
              <w:rPr>
                <w:rFonts w:eastAsia="Times New Roman" w:cs="Times New Roman"/>
                <w:szCs w:val="24"/>
                <w:lang w:eastAsia="lv-LV"/>
              </w:rPr>
              <w:t>Onkoloģisko slimību</w:t>
            </w:r>
            <w:r w:rsidRPr="00175643">
              <w:rPr>
                <w:rFonts w:eastAsia="Times New Roman" w:cs="Times New Roman"/>
                <w:szCs w:val="24"/>
                <w:lang w:eastAsia="lv-LV"/>
              </w:rPr>
              <w:t xml:space="preserve"> ārstēšanai lietojamo parenterāli ievadāmo zāļu centralizētā iepirkuma procedūra attiecināma uz ārstniecības iestādēm ar kurām Nacionālais veselības dienests ir noslēdzis līgumus par valsts apmaksātu veselības aprūpes pakalpojumu sniegšanu. Lai nodrošinātu, ka arī Olaines cietumā esošajā Latvijas Cietuma slimnīc</w:t>
            </w:r>
            <w:r>
              <w:rPr>
                <w:rFonts w:eastAsia="Times New Roman" w:cs="Times New Roman"/>
                <w:szCs w:val="24"/>
                <w:lang w:eastAsia="lv-LV"/>
              </w:rPr>
              <w:t>ā tiktu nodrošinātas onkoloģisko slimību</w:t>
            </w:r>
            <w:r w:rsidRPr="00175643">
              <w:rPr>
                <w:rFonts w:eastAsia="Times New Roman" w:cs="Times New Roman"/>
                <w:szCs w:val="24"/>
                <w:lang w:eastAsia="lv-LV"/>
              </w:rPr>
              <w:t xml:space="preserve"> ārstēšanai nepieciešamās parenterāli ievadāmās zāles, Nacionālais veselības dienests veiks nepieciešamos precizējumus starp Ieslodzījuma vietu pārvaldi un Nacionālo veselības dienestu 2013.gada 15.aprīlī noslēgtajā “Starpresoru vienošanās par sadarbību valsts kompensējamo zāļu un medicīnisko ierīču nodrošināšanā un veselības aprūpes pakalpojumu sniegšanā ieslodzījuma vietās ievietotām personām”.</w:t>
            </w:r>
          </w:p>
          <w:p w:rsidR="007D137A" w:rsidP="00D477C2" w14:paraId="0A69036D" w14:textId="3CAE2F00">
            <w:pPr>
              <w:spacing w:after="120"/>
              <w:jc w:val="both"/>
              <w:rPr>
                <w:rFonts w:cs="Times New Roman"/>
                <w:szCs w:val="24"/>
              </w:rPr>
            </w:pPr>
            <w:r w:rsidRPr="00CF4101">
              <w:rPr>
                <w:rFonts w:cs="Times New Roman"/>
                <w:szCs w:val="24"/>
              </w:rPr>
              <w:t xml:space="preserve">Šobrīd plānots iepirkt šādas parenterāli lietojamās </w:t>
            </w:r>
            <w:r w:rsidRPr="009C2133">
              <w:rPr>
                <w:rFonts w:cs="Times New Roman"/>
                <w:szCs w:val="24"/>
              </w:rPr>
              <w:t>zāles onkoloģisko saslimšanu ārstēšanai:</w:t>
            </w:r>
          </w:p>
          <w:tbl>
            <w:tblPr>
              <w:tblStyle w:val="TableGrid3"/>
              <w:tblW w:w="3818" w:type="pct"/>
              <w:jc w:val="center"/>
              <w:tblLook w:val="04A0"/>
            </w:tblPr>
            <w:tblGrid>
              <w:gridCol w:w="1644"/>
              <w:gridCol w:w="3606"/>
            </w:tblGrid>
            <w:tr w14:paraId="7A700418" w14:textId="77777777" w:rsidTr="007D137A">
              <w:tblPrEx>
                <w:tblW w:w="3818" w:type="pct"/>
                <w:jc w:val="center"/>
                <w:tblLook w:val="04A0"/>
              </w:tblPrEx>
              <w:trPr>
                <w:trHeight w:val="259"/>
                <w:jc w:val="center"/>
              </w:trPr>
              <w:tc>
                <w:tcPr>
                  <w:tcW w:w="1566" w:type="pct"/>
                  <w:vAlign w:val="center"/>
                </w:tcPr>
                <w:p w:rsidR="00435E13" w:rsidRPr="00435E13" w:rsidP="00435E13" w14:paraId="532DF3A0" w14:textId="77777777">
                  <w:pPr>
                    <w:spacing w:after="120"/>
                    <w:contextualSpacing/>
                    <w:jc w:val="both"/>
                    <w:rPr>
                      <w:szCs w:val="24"/>
                      <w:shd w:val="clear" w:color="auto" w:fill="FFFFFF"/>
                      <w:lang w:val="lv-LV"/>
                    </w:rPr>
                  </w:pPr>
                  <w:r w:rsidRPr="00435E13">
                    <w:rPr>
                      <w:szCs w:val="24"/>
                      <w:shd w:val="clear" w:color="auto" w:fill="FFFFFF"/>
                      <w:lang w:val="lv-LV"/>
                    </w:rPr>
                    <w:t>ATĶ kods</w:t>
                  </w:r>
                </w:p>
              </w:tc>
              <w:tc>
                <w:tcPr>
                  <w:tcW w:w="3434" w:type="pct"/>
                  <w:vAlign w:val="center"/>
                </w:tcPr>
                <w:p w:rsidR="00435E13" w:rsidRPr="00435E13" w:rsidP="00435E13" w14:paraId="24E82F6C" w14:textId="77777777">
                  <w:pPr>
                    <w:spacing w:after="120"/>
                    <w:contextualSpacing/>
                    <w:jc w:val="both"/>
                    <w:rPr>
                      <w:szCs w:val="24"/>
                      <w:shd w:val="clear" w:color="auto" w:fill="FFFFFF"/>
                      <w:lang w:val="lv-LV"/>
                    </w:rPr>
                  </w:pPr>
                  <w:r w:rsidRPr="00435E13">
                    <w:rPr>
                      <w:szCs w:val="24"/>
                      <w:shd w:val="clear" w:color="auto" w:fill="FFFFFF"/>
                      <w:lang w:val="lv-LV"/>
                    </w:rPr>
                    <w:t>Zāļu vispārīgais nosaukums</w:t>
                  </w:r>
                </w:p>
              </w:tc>
            </w:tr>
            <w:tr w14:paraId="38971ED4" w14:textId="77777777" w:rsidTr="007D137A">
              <w:tblPrEx>
                <w:tblW w:w="3818" w:type="pct"/>
                <w:jc w:val="center"/>
                <w:tblLook w:val="04A0"/>
              </w:tblPrEx>
              <w:trPr>
                <w:trHeight w:val="642"/>
                <w:jc w:val="center"/>
              </w:trPr>
              <w:tc>
                <w:tcPr>
                  <w:tcW w:w="1566" w:type="pct"/>
                </w:tcPr>
                <w:p w:rsidR="00435E13" w:rsidRPr="00435E13" w:rsidP="00435E13" w14:paraId="3659FFF6" w14:textId="77777777">
                  <w:pPr>
                    <w:spacing w:after="120"/>
                    <w:rPr>
                      <w:szCs w:val="24"/>
                      <w:shd w:val="clear" w:color="auto" w:fill="FFFFFF"/>
                      <w:lang w:val="lv-LV"/>
                    </w:rPr>
                  </w:pPr>
                  <w:r w:rsidRPr="00435E13">
                    <w:rPr>
                      <w:szCs w:val="24"/>
                      <w:lang w:val="lv-LV"/>
                    </w:rPr>
                    <w:t>A04AA</w:t>
                  </w:r>
                </w:p>
              </w:tc>
              <w:tc>
                <w:tcPr>
                  <w:tcW w:w="3434" w:type="pct"/>
                </w:tcPr>
                <w:p w:rsidR="00435E13" w:rsidRPr="00435E13" w:rsidP="00435E13" w14:paraId="35BD41EE" w14:textId="77777777">
                  <w:pPr>
                    <w:spacing w:after="120"/>
                    <w:rPr>
                      <w:szCs w:val="24"/>
                      <w:shd w:val="clear" w:color="auto" w:fill="FFFFFF"/>
                      <w:lang w:val="lv-LV"/>
                    </w:rPr>
                  </w:pPr>
                  <w:r w:rsidRPr="00435E13">
                    <w:rPr>
                      <w:i/>
                      <w:szCs w:val="24"/>
                      <w:lang w:val="lv-LV"/>
                    </w:rPr>
                    <w:t>Ondansetronum, Granisetronum vai Palonosetronum</w:t>
                  </w:r>
                </w:p>
              </w:tc>
            </w:tr>
            <w:tr w14:paraId="24C5B36A" w14:textId="77777777" w:rsidTr="007D137A">
              <w:tblPrEx>
                <w:tblW w:w="3818" w:type="pct"/>
                <w:jc w:val="center"/>
                <w:tblLook w:val="04A0"/>
              </w:tblPrEx>
              <w:trPr>
                <w:trHeight w:val="384"/>
                <w:jc w:val="center"/>
              </w:trPr>
              <w:tc>
                <w:tcPr>
                  <w:tcW w:w="1566" w:type="pct"/>
                </w:tcPr>
                <w:p w:rsidR="00435E13" w:rsidRPr="00435E13" w:rsidP="00435E13" w14:paraId="18867CEA" w14:textId="77777777">
                  <w:pPr>
                    <w:spacing w:after="120"/>
                    <w:jc w:val="both"/>
                    <w:rPr>
                      <w:szCs w:val="24"/>
                      <w:shd w:val="clear" w:color="auto" w:fill="FFFFFF"/>
                      <w:lang w:val="lv-LV"/>
                    </w:rPr>
                  </w:pPr>
                  <w:r w:rsidRPr="00435E13">
                    <w:rPr>
                      <w:szCs w:val="24"/>
                      <w:lang w:val="lv-LV"/>
                    </w:rPr>
                    <w:t>H01AB01</w:t>
                  </w:r>
                </w:p>
              </w:tc>
              <w:tc>
                <w:tcPr>
                  <w:tcW w:w="3434" w:type="pct"/>
                </w:tcPr>
                <w:p w:rsidR="00435E13" w:rsidRPr="00435E13" w:rsidP="00435E13" w14:paraId="7A72E4F0" w14:textId="77777777">
                  <w:pPr>
                    <w:spacing w:after="120"/>
                    <w:jc w:val="both"/>
                    <w:rPr>
                      <w:szCs w:val="24"/>
                      <w:shd w:val="clear" w:color="auto" w:fill="FFFFFF"/>
                      <w:lang w:val="lv-LV"/>
                    </w:rPr>
                  </w:pPr>
                  <w:r w:rsidRPr="00435E13">
                    <w:rPr>
                      <w:i/>
                      <w:szCs w:val="24"/>
                      <w:lang w:val="lv-LV"/>
                    </w:rPr>
                    <w:t>Thyrotropinum</w:t>
                  </w:r>
                </w:p>
              </w:tc>
            </w:tr>
            <w:tr w14:paraId="373E7D8F" w14:textId="77777777" w:rsidTr="007D137A">
              <w:tblPrEx>
                <w:tblW w:w="3818" w:type="pct"/>
                <w:jc w:val="center"/>
                <w:tblLook w:val="04A0"/>
              </w:tblPrEx>
              <w:trPr>
                <w:trHeight w:val="384"/>
                <w:jc w:val="center"/>
              </w:trPr>
              <w:tc>
                <w:tcPr>
                  <w:tcW w:w="1566" w:type="pct"/>
                </w:tcPr>
                <w:p w:rsidR="00435E13" w:rsidRPr="00435E13" w:rsidP="00435E13" w14:paraId="4F80B675" w14:textId="77777777">
                  <w:pPr>
                    <w:spacing w:after="120"/>
                    <w:jc w:val="both"/>
                    <w:rPr>
                      <w:szCs w:val="24"/>
                      <w:shd w:val="clear" w:color="auto" w:fill="FFFFFF"/>
                      <w:lang w:val="lv-LV"/>
                    </w:rPr>
                  </w:pPr>
                  <w:r w:rsidRPr="00435E13">
                    <w:rPr>
                      <w:szCs w:val="24"/>
                      <w:lang w:val="lv-LV"/>
                    </w:rPr>
                    <w:t>L01AA01</w:t>
                  </w:r>
                </w:p>
              </w:tc>
              <w:tc>
                <w:tcPr>
                  <w:tcW w:w="3434" w:type="pct"/>
                </w:tcPr>
                <w:p w:rsidR="00435E13" w:rsidRPr="00435E13" w:rsidP="00435E13" w14:paraId="17E49540" w14:textId="77777777">
                  <w:pPr>
                    <w:spacing w:after="120"/>
                    <w:jc w:val="both"/>
                    <w:rPr>
                      <w:szCs w:val="24"/>
                      <w:shd w:val="clear" w:color="auto" w:fill="FFFFFF"/>
                      <w:lang w:val="lv-LV"/>
                    </w:rPr>
                  </w:pPr>
                  <w:r w:rsidRPr="00435E13">
                    <w:rPr>
                      <w:i/>
                      <w:szCs w:val="24"/>
                      <w:lang w:val="lv-LV"/>
                    </w:rPr>
                    <w:t>Cyclophosphamidum</w:t>
                  </w:r>
                </w:p>
              </w:tc>
            </w:tr>
            <w:tr w14:paraId="41CF3691" w14:textId="77777777" w:rsidTr="007D137A">
              <w:tblPrEx>
                <w:tblW w:w="3818" w:type="pct"/>
                <w:jc w:val="center"/>
                <w:tblLook w:val="04A0"/>
              </w:tblPrEx>
              <w:trPr>
                <w:trHeight w:val="384"/>
                <w:jc w:val="center"/>
              </w:trPr>
              <w:tc>
                <w:tcPr>
                  <w:tcW w:w="1566" w:type="pct"/>
                </w:tcPr>
                <w:p w:rsidR="00435E13" w:rsidRPr="00435E13" w:rsidP="00435E13" w14:paraId="7363B176" w14:textId="77777777">
                  <w:pPr>
                    <w:spacing w:after="120"/>
                    <w:jc w:val="both"/>
                    <w:rPr>
                      <w:szCs w:val="24"/>
                      <w:shd w:val="clear" w:color="auto" w:fill="FFFFFF"/>
                      <w:lang w:val="lv-LV"/>
                    </w:rPr>
                  </w:pPr>
                  <w:r w:rsidRPr="00435E13">
                    <w:rPr>
                      <w:szCs w:val="24"/>
                      <w:lang w:val="lv-LV"/>
                    </w:rPr>
                    <w:t>L01AA06</w:t>
                  </w:r>
                </w:p>
              </w:tc>
              <w:tc>
                <w:tcPr>
                  <w:tcW w:w="3434" w:type="pct"/>
                </w:tcPr>
                <w:p w:rsidR="00435E13" w:rsidRPr="00435E13" w:rsidP="00435E13" w14:paraId="529BE5E4" w14:textId="77777777">
                  <w:pPr>
                    <w:spacing w:after="120"/>
                    <w:jc w:val="both"/>
                    <w:rPr>
                      <w:szCs w:val="24"/>
                      <w:shd w:val="clear" w:color="auto" w:fill="FFFFFF"/>
                      <w:lang w:val="lv-LV"/>
                    </w:rPr>
                  </w:pPr>
                  <w:r w:rsidRPr="00435E13">
                    <w:rPr>
                      <w:i/>
                      <w:szCs w:val="24"/>
                      <w:lang w:val="lv-LV"/>
                    </w:rPr>
                    <w:t>Ifosfamidum</w:t>
                  </w:r>
                </w:p>
              </w:tc>
            </w:tr>
            <w:tr w14:paraId="68ABA25F" w14:textId="77777777" w:rsidTr="007D137A">
              <w:tblPrEx>
                <w:tblW w:w="3818" w:type="pct"/>
                <w:jc w:val="center"/>
                <w:tblLook w:val="04A0"/>
              </w:tblPrEx>
              <w:trPr>
                <w:trHeight w:val="384"/>
                <w:jc w:val="center"/>
              </w:trPr>
              <w:tc>
                <w:tcPr>
                  <w:tcW w:w="1566" w:type="pct"/>
                </w:tcPr>
                <w:p w:rsidR="00435E13" w:rsidRPr="00435E13" w:rsidP="00435E13" w14:paraId="456D313E" w14:textId="77777777">
                  <w:pPr>
                    <w:spacing w:after="120"/>
                    <w:jc w:val="both"/>
                    <w:rPr>
                      <w:szCs w:val="24"/>
                      <w:shd w:val="clear" w:color="auto" w:fill="FFFFFF"/>
                      <w:lang w:val="lv-LV"/>
                    </w:rPr>
                  </w:pPr>
                  <w:r w:rsidRPr="00435E13">
                    <w:rPr>
                      <w:szCs w:val="24"/>
                      <w:shd w:val="clear" w:color="auto" w:fill="FFFFFF"/>
                      <w:lang w:val="lv-LV"/>
                    </w:rPr>
                    <w:t>L01AD05</w:t>
                  </w:r>
                </w:p>
              </w:tc>
              <w:tc>
                <w:tcPr>
                  <w:tcW w:w="3434" w:type="pct"/>
                </w:tcPr>
                <w:p w:rsidR="00435E13" w:rsidRPr="00435E13" w:rsidP="00435E13" w14:paraId="0906E5D4" w14:textId="77777777">
                  <w:pPr>
                    <w:spacing w:after="120"/>
                    <w:jc w:val="both"/>
                    <w:rPr>
                      <w:szCs w:val="24"/>
                      <w:shd w:val="clear" w:color="auto" w:fill="FFFFFF"/>
                      <w:lang w:val="lv-LV"/>
                    </w:rPr>
                  </w:pPr>
                  <w:r w:rsidRPr="00435E13">
                    <w:rPr>
                      <w:i/>
                      <w:szCs w:val="24"/>
                      <w:shd w:val="clear" w:color="auto" w:fill="FFFFFF"/>
                      <w:lang w:val="lv-LV"/>
                    </w:rPr>
                    <w:t>Fotemustinum</w:t>
                  </w:r>
                </w:p>
              </w:tc>
            </w:tr>
            <w:tr w14:paraId="5F7A37CC" w14:textId="77777777" w:rsidTr="007D137A">
              <w:tblPrEx>
                <w:tblW w:w="3818" w:type="pct"/>
                <w:jc w:val="center"/>
                <w:tblLook w:val="04A0"/>
              </w:tblPrEx>
              <w:trPr>
                <w:trHeight w:val="373"/>
                <w:jc w:val="center"/>
              </w:trPr>
              <w:tc>
                <w:tcPr>
                  <w:tcW w:w="1566" w:type="pct"/>
                </w:tcPr>
                <w:p w:rsidR="00435E13" w:rsidRPr="00435E13" w:rsidP="00435E13" w14:paraId="1B8104BC" w14:textId="77777777">
                  <w:pPr>
                    <w:spacing w:after="120"/>
                    <w:jc w:val="both"/>
                    <w:rPr>
                      <w:szCs w:val="24"/>
                      <w:shd w:val="clear" w:color="auto" w:fill="FFFFFF"/>
                      <w:lang w:val="lv-LV"/>
                    </w:rPr>
                  </w:pPr>
                  <w:r w:rsidRPr="00435E13">
                    <w:rPr>
                      <w:szCs w:val="24"/>
                      <w:shd w:val="clear" w:color="auto" w:fill="FFFFFF"/>
                      <w:lang w:val="lv-LV"/>
                    </w:rPr>
                    <w:t>L01BA01</w:t>
                  </w:r>
                </w:p>
              </w:tc>
              <w:tc>
                <w:tcPr>
                  <w:tcW w:w="3434" w:type="pct"/>
                </w:tcPr>
                <w:p w:rsidR="00435E13" w:rsidRPr="00435E13" w:rsidP="00435E13" w14:paraId="3F9F5B31" w14:textId="77777777">
                  <w:pPr>
                    <w:spacing w:after="120"/>
                    <w:jc w:val="both"/>
                    <w:rPr>
                      <w:i/>
                      <w:szCs w:val="24"/>
                      <w:shd w:val="clear" w:color="auto" w:fill="FFFFFF"/>
                      <w:lang w:val="lv-LV"/>
                    </w:rPr>
                  </w:pPr>
                  <w:r w:rsidRPr="00435E13">
                    <w:rPr>
                      <w:i/>
                      <w:szCs w:val="24"/>
                      <w:shd w:val="clear" w:color="auto" w:fill="FFFFFF"/>
                      <w:lang w:val="lv-LV"/>
                    </w:rPr>
                    <w:t>Methotrexatum</w:t>
                  </w:r>
                </w:p>
              </w:tc>
            </w:tr>
            <w:tr w14:paraId="280FA6F4" w14:textId="77777777" w:rsidTr="007D137A">
              <w:tblPrEx>
                <w:tblW w:w="3818" w:type="pct"/>
                <w:jc w:val="center"/>
                <w:tblLook w:val="04A0"/>
              </w:tblPrEx>
              <w:trPr>
                <w:trHeight w:val="384"/>
                <w:jc w:val="center"/>
              </w:trPr>
              <w:tc>
                <w:tcPr>
                  <w:tcW w:w="1566" w:type="pct"/>
                </w:tcPr>
                <w:p w:rsidR="00435E13" w:rsidRPr="00435E13" w:rsidP="00435E13" w14:paraId="6EBB7482" w14:textId="77777777">
                  <w:pPr>
                    <w:spacing w:after="120"/>
                    <w:jc w:val="both"/>
                    <w:rPr>
                      <w:szCs w:val="24"/>
                      <w:shd w:val="clear" w:color="auto" w:fill="FFFFFF"/>
                      <w:lang w:val="lv-LV"/>
                    </w:rPr>
                  </w:pPr>
                  <w:r w:rsidRPr="00435E13">
                    <w:rPr>
                      <w:szCs w:val="24"/>
                      <w:shd w:val="clear" w:color="auto" w:fill="FFFFFF"/>
                      <w:lang w:val="lv-LV"/>
                    </w:rPr>
                    <w:t>L01BB05</w:t>
                  </w:r>
                </w:p>
              </w:tc>
              <w:tc>
                <w:tcPr>
                  <w:tcW w:w="3434" w:type="pct"/>
                </w:tcPr>
                <w:p w:rsidR="00435E13" w:rsidRPr="00435E13" w:rsidP="00435E13" w14:paraId="2871928B" w14:textId="77777777">
                  <w:pPr>
                    <w:spacing w:after="120"/>
                    <w:jc w:val="both"/>
                    <w:rPr>
                      <w:i/>
                      <w:szCs w:val="24"/>
                      <w:shd w:val="clear" w:color="auto" w:fill="FFFFFF"/>
                      <w:lang w:val="lv-LV"/>
                    </w:rPr>
                  </w:pPr>
                  <w:r w:rsidRPr="00435E13">
                    <w:rPr>
                      <w:i/>
                      <w:szCs w:val="24"/>
                      <w:shd w:val="clear" w:color="auto" w:fill="FFFFFF"/>
                      <w:lang w:val="lv-LV"/>
                    </w:rPr>
                    <w:t>Fludarabinum</w:t>
                  </w:r>
                </w:p>
              </w:tc>
            </w:tr>
            <w:tr w14:paraId="60385650" w14:textId="77777777" w:rsidTr="007D137A">
              <w:tblPrEx>
                <w:tblW w:w="3818" w:type="pct"/>
                <w:jc w:val="center"/>
                <w:tblLook w:val="04A0"/>
              </w:tblPrEx>
              <w:trPr>
                <w:trHeight w:val="384"/>
                <w:jc w:val="center"/>
              </w:trPr>
              <w:tc>
                <w:tcPr>
                  <w:tcW w:w="1566" w:type="pct"/>
                </w:tcPr>
                <w:p w:rsidR="00435E13" w:rsidRPr="00435E13" w:rsidP="00435E13" w14:paraId="7B84AAEA" w14:textId="77777777">
                  <w:pPr>
                    <w:spacing w:after="120"/>
                    <w:jc w:val="both"/>
                    <w:rPr>
                      <w:szCs w:val="24"/>
                      <w:shd w:val="clear" w:color="auto" w:fill="FFFFFF"/>
                      <w:lang w:val="lv-LV"/>
                    </w:rPr>
                  </w:pPr>
                  <w:r w:rsidRPr="00435E13">
                    <w:rPr>
                      <w:szCs w:val="24"/>
                      <w:shd w:val="clear" w:color="auto" w:fill="FFFFFF"/>
                      <w:lang w:val="lv-LV"/>
                    </w:rPr>
                    <w:t>L01BC01</w:t>
                  </w:r>
                </w:p>
              </w:tc>
              <w:tc>
                <w:tcPr>
                  <w:tcW w:w="3434" w:type="pct"/>
                </w:tcPr>
                <w:p w:rsidR="00435E13" w:rsidRPr="00435E13" w:rsidP="00435E13" w14:paraId="2B9DCFC4" w14:textId="77777777">
                  <w:pPr>
                    <w:spacing w:after="120"/>
                    <w:jc w:val="both"/>
                    <w:rPr>
                      <w:i/>
                      <w:szCs w:val="24"/>
                      <w:shd w:val="clear" w:color="auto" w:fill="FFFFFF"/>
                      <w:lang w:val="lv-LV"/>
                    </w:rPr>
                  </w:pPr>
                  <w:r w:rsidRPr="00435E13">
                    <w:rPr>
                      <w:i/>
                      <w:szCs w:val="24"/>
                      <w:shd w:val="clear" w:color="auto" w:fill="FFFFFF"/>
                      <w:lang w:val="lv-LV"/>
                    </w:rPr>
                    <w:t>Cytarabinum</w:t>
                  </w:r>
                </w:p>
              </w:tc>
            </w:tr>
            <w:tr w14:paraId="204E1517" w14:textId="77777777" w:rsidTr="007D137A">
              <w:tblPrEx>
                <w:tblW w:w="3818" w:type="pct"/>
                <w:jc w:val="center"/>
                <w:tblLook w:val="04A0"/>
              </w:tblPrEx>
              <w:trPr>
                <w:trHeight w:val="384"/>
                <w:jc w:val="center"/>
              </w:trPr>
              <w:tc>
                <w:tcPr>
                  <w:tcW w:w="1566" w:type="pct"/>
                </w:tcPr>
                <w:p w:rsidR="00435E13" w:rsidRPr="00435E13" w:rsidP="00435E13" w14:paraId="6C54192C" w14:textId="77777777">
                  <w:pPr>
                    <w:spacing w:after="120"/>
                    <w:jc w:val="both"/>
                    <w:rPr>
                      <w:szCs w:val="24"/>
                      <w:shd w:val="clear" w:color="auto" w:fill="FFFFFF"/>
                      <w:lang w:val="lv-LV"/>
                    </w:rPr>
                  </w:pPr>
                  <w:r w:rsidRPr="00435E13">
                    <w:rPr>
                      <w:szCs w:val="24"/>
                      <w:shd w:val="clear" w:color="auto" w:fill="FFFFFF"/>
                      <w:lang w:val="lv-LV"/>
                    </w:rPr>
                    <w:t>L01BC02</w:t>
                  </w:r>
                </w:p>
              </w:tc>
              <w:tc>
                <w:tcPr>
                  <w:tcW w:w="3434" w:type="pct"/>
                </w:tcPr>
                <w:p w:rsidR="00435E13" w:rsidRPr="00435E13" w:rsidP="00435E13" w14:paraId="71568C37" w14:textId="77777777">
                  <w:pPr>
                    <w:spacing w:after="120"/>
                    <w:jc w:val="both"/>
                    <w:rPr>
                      <w:i/>
                      <w:szCs w:val="24"/>
                      <w:shd w:val="clear" w:color="auto" w:fill="FFFFFF"/>
                      <w:lang w:val="lv-LV"/>
                    </w:rPr>
                  </w:pPr>
                  <w:r w:rsidRPr="00435E13">
                    <w:rPr>
                      <w:i/>
                      <w:szCs w:val="24"/>
                      <w:shd w:val="clear" w:color="auto" w:fill="FFFFFF"/>
                      <w:lang w:val="lv-LV"/>
                    </w:rPr>
                    <w:t>Fluorouracilum</w:t>
                  </w:r>
                </w:p>
              </w:tc>
            </w:tr>
            <w:tr w14:paraId="52E692C5" w14:textId="77777777" w:rsidTr="007D137A">
              <w:tblPrEx>
                <w:tblW w:w="3818" w:type="pct"/>
                <w:jc w:val="center"/>
                <w:tblLook w:val="04A0"/>
              </w:tblPrEx>
              <w:trPr>
                <w:trHeight w:val="373"/>
                <w:jc w:val="center"/>
              </w:trPr>
              <w:tc>
                <w:tcPr>
                  <w:tcW w:w="1566" w:type="pct"/>
                </w:tcPr>
                <w:p w:rsidR="00435E13" w:rsidRPr="00435E13" w:rsidP="00435E13" w14:paraId="6E8BD79D" w14:textId="77777777">
                  <w:pPr>
                    <w:spacing w:after="120"/>
                    <w:jc w:val="both"/>
                    <w:rPr>
                      <w:szCs w:val="24"/>
                      <w:shd w:val="clear" w:color="auto" w:fill="FFFFFF"/>
                      <w:lang w:val="lv-LV"/>
                    </w:rPr>
                  </w:pPr>
                  <w:r w:rsidRPr="00435E13">
                    <w:rPr>
                      <w:szCs w:val="24"/>
                      <w:shd w:val="clear" w:color="auto" w:fill="FFFFFF"/>
                      <w:lang w:val="lv-LV"/>
                    </w:rPr>
                    <w:t>L01BC05</w:t>
                  </w:r>
                </w:p>
              </w:tc>
              <w:tc>
                <w:tcPr>
                  <w:tcW w:w="3434" w:type="pct"/>
                </w:tcPr>
                <w:p w:rsidR="00435E13" w:rsidRPr="00435E13" w:rsidP="00435E13" w14:paraId="05DB8E16" w14:textId="77777777">
                  <w:pPr>
                    <w:spacing w:after="120"/>
                    <w:jc w:val="both"/>
                    <w:rPr>
                      <w:i/>
                      <w:szCs w:val="24"/>
                      <w:shd w:val="clear" w:color="auto" w:fill="FFFFFF"/>
                      <w:lang w:val="lv-LV"/>
                    </w:rPr>
                  </w:pPr>
                  <w:r w:rsidRPr="00435E13">
                    <w:rPr>
                      <w:i/>
                      <w:szCs w:val="24"/>
                      <w:shd w:val="clear" w:color="auto" w:fill="FFFFFF"/>
                      <w:lang w:val="lv-LV"/>
                    </w:rPr>
                    <w:t>Gemcitabinum</w:t>
                  </w:r>
                </w:p>
              </w:tc>
            </w:tr>
            <w:tr w14:paraId="74A09FB7" w14:textId="77777777" w:rsidTr="007D137A">
              <w:tblPrEx>
                <w:tblW w:w="3818" w:type="pct"/>
                <w:jc w:val="center"/>
                <w:tblLook w:val="04A0"/>
              </w:tblPrEx>
              <w:trPr>
                <w:trHeight w:val="384"/>
                <w:jc w:val="center"/>
              </w:trPr>
              <w:tc>
                <w:tcPr>
                  <w:tcW w:w="1566" w:type="pct"/>
                </w:tcPr>
                <w:p w:rsidR="00435E13" w:rsidRPr="00435E13" w:rsidP="00435E13" w14:paraId="729972EB" w14:textId="77777777">
                  <w:pPr>
                    <w:spacing w:after="120"/>
                    <w:jc w:val="both"/>
                    <w:rPr>
                      <w:szCs w:val="24"/>
                      <w:shd w:val="clear" w:color="auto" w:fill="FFFFFF"/>
                      <w:lang w:val="lv-LV"/>
                    </w:rPr>
                  </w:pPr>
                  <w:r w:rsidRPr="00435E13">
                    <w:rPr>
                      <w:szCs w:val="24"/>
                      <w:lang w:val="lv-LV"/>
                    </w:rPr>
                    <w:t>L01CA01</w:t>
                  </w:r>
                </w:p>
              </w:tc>
              <w:tc>
                <w:tcPr>
                  <w:tcW w:w="3434" w:type="pct"/>
                </w:tcPr>
                <w:p w:rsidR="00435E13" w:rsidRPr="00435E13" w:rsidP="00435E13" w14:paraId="03DA9C08" w14:textId="77777777">
                  <w:pPr>
                    <w:spacing w:after="120"/>
                    <w:jc w:val="both"/>
                    <w:rPr>
                      <w:i/>
                      <w:szCs w:val="24"/>
                      <w:shd w:val="clear" w:color="auto" w:fill="FFFFFF"/>
                      <w:lang w:val="lv-LV"/>
                    </w:rPr>
                  </w:pPr>
                  <w:r w:rsidRPr="00435E13">
                    <w:rPr>
                      <w:i/>
                      <w:szCs w:val="24"/>
                      <w:lang w:val="lv-LV"/>
                    </w:rPr>
                    <w:t>Vinblastinum</w:t>
                  </w:r>
                </w:p>
              </w:tc>
            </w:tr>
            <w:tr w14:paraId="19826B9C" w14:textId="77777777" w:rsidTr="007D137A">
              <w:tblPrEx>
                <w:tblW w:w="3818" w:type="pct"/>
                <w:jc w:val="center"/>
                <w:tblLook w:val="04A0"/>
              </w:tblPrEx>
              <w:trPr>
                <w:trHeight w:val="384"/>
                <w:jc w:val="center"/>
              </w:trPr>
              <w:tc>
                <w:tcPr>
                  <w:tcW w:w="1566" w:type="pct"/>
                </w:tcPr>
                <w:p w:rsidR="00435E13" w:rsidRPr="00435E13" w:rsidP="00435E13" w14:paraId="511C3441" w14:textId="77777777">
                  <w:pPr>
                    <w:spacing w:after="120"/>
                    <w:jc w:val="both"/>
                    <w:rPr>
                      <w:szCs w:val="24"/>
                      <w:shd w:val="clear" w:color="auto" w:fill="FFFFFF"/>
                      <w:lang w:val="lv-LV"/>
                    </w:rPr>
                  </w:pPr>
                  <w:r w:rsidRPr="00435E13">
                    <w:rPr>
                      <w:szCs w:val="24"/>
                      <w:lang w:val="lv-LV"/>
                    </w:rPr>
                    <w:t>L01CA02</w:t>
                  </w:r>
                </w:p>
              </w:tc>
              <w:tc>
                <w:tcPr>
                  <w:tcW w:w="3434" w:type="pct"/>
                </w:tcPr>
                <w:p w:rsidR="00435E13" w:rsidRPr="00435E13" w:rsidP="00435E13" w14:paraId="420D765B" w14:textId="77777777">
                  <w:pPr>
                    <w:spacing w:after="120"/>
                    <w:jc w:val="both"/>
                    <w:rPr>
                      <w:i/>
                      <w:szCs w:val="24"/>
                      <w:shd w:val="clear" w:color="auto" w:fill="FFFFFF"/>
                      <w:lang w:val="lv-LV"/>
                    </w:rPr>
                  </w:pPr>
                  <w:r w:rsidRPr="00435E13">
                    <w:rPr>
                      <w:i/>
                      <w:szCs w:val="24"/>
                      <w:lang w:val="lv-LV"/>
                    </w:rPr>
                    <w:t>Vincristinum</w:t>
                  </w:r>
                </w:p>
              </w:tc>
            </w:tr>
            <w:tr w14:paraId="3FC88F4F" w14:textId="77777777" w:rsidTr="007D137A">
              <w:tblPrEx>
                <w:tblW w:w="3818" w:type="pct"/>
                <w:jc w:val="center"/>
                <w:tblLook w:val="04A0"/>
              </w:tblPrEx>
              <w:trPr>
                <w:trHeight w:val="384"/>
                <w:jc w:val="center"/>
              </w:trPr>
              <w:tc>
                <w:tcPr>
                  <w:tcW w:w="1566" w:type="pct"/>
                </w:tcPr>
                <w:p w:rsidR="00435E13" w:rsidRPr="00435E13" w:rsidP="00435E13" w14:paraId="3B66FE63" w14:textId="77777777">
                  <w:pPr>
                    <w:spacing w:after="120"/>
                    <w:jc w:val="both"/>
                    <w:rPr>
                      <w:szCs w:val="24"/>
                      <w:shd w:val="clear" w:color="auto" w:fill="FFFFFF"/>
                      <w:lang w:val="lv-LV"/>
                    </w:rPr>
                  </w:pPr>
                  <w:r w:rsidRPr="00435E13">
                    <w:rPr>
                      <w:szCs w:val="24"/>
                      <w:lang w:val="lv-LV"/>
                    </w:rPr>
                    <w:t>L01CA04</w:t>
                  </w:r>
                </w:p>
              </w:tc>
              <w:tc>
                <w:tcPr>
                  <w:tcW w:w="3434" w:type="pct"/>
                </w:tcPr>
                <w:p w:rsidR="00435E13" w:rsidRPr="00435E13" w:rsidP="00435E13" w14:paraId="7939F713" w14:textId="77777777">
                  <w:pPr>
                    <w:spacing w:after="120"/>
                    <w:jc w:val="both"/>
                    <w:rPr>
                      <w:i/>
                      <w:szCs w:val="24"/>
                      <w:shd w:val="clear" w:color="auto" w:fill="FFFFFF"/>
                      <w:lang w:val="lv-LV"/>
                    </w:rPr>
                  </w:pPr>
                  <w:r w:rsidRPr="00435E13">
                    <w:rPr>
                      <w:i/>
                      <w:szCs w:val="24"/>
                      <w:lang w:val="lv-LV"/>
                    </w:rPr>
                    <w:t>Vinorelbinum</w:t>
                  </w:r>
                </w:p>
              </w:tc>
            </w:tr>
            <w:tr w14:paraId="3A40950B" w14:textId="77777777" w:rsidTr="007D137A">
              <w:tblPrEx>
                <w:tblW w:w="3818" w:type="pct"/>
                <w:jc w:val="center"/>
                <w:tblLook w:val="04A0"/>
              </w:tblPrEx>
              <w:trPr>
                <w:trHeight w:val="384"/>
                <w:jc w:val="center"/>
              </w:trPr>
              <w:tc>
                <w:tcPr>
                  <w:tcW w:w="1566" w:type="pct"/>
                </w:tcPr>
                <w:p w:rsidR="00435E13" w:rsidRPr="00435E13" w:rsidP="00435E13" w14:paraId="0C2EA9D6" w14:textId="77777777">
                  <w:pPr>
                    <w:spacing w:after="120"/>
                    <w:jc w:val="both"/>
                    <w:rPr>
                      <w:szCs w:val="24"/>
                      <w:shd w:val="clear" w:color="auto" w:fill="FFFFFF"/>
                      <w:lang w:val="lv-LV"/>
                    </w:rPr>
                  </w:pPr>
                  <w:r w:rsidRPr="00435E13">
                    <w:rPr>
                      <w:szCs w:val="24"/>
                      <w:lang w:val="lv-LV"/>
                    </w:rPr>
                    <w:t>L01CB01</w:t>
                  </w:r>
                </w:p>
              </w:tc>
              <w:tc>
                <w:tcPr>
                  <w:tcW w:w="3434" w:type="pct"/>
                </w:tcPr>
                <w:p w:rsidR="00435E13" w:rsidRPr="00435E13" w:rsidP="00435E13" w14:paraId="75362BF0" w14:textId="77777777">
                  <w:pPr>
                    <w:spacing w:after="120"/>
                    <w:jc w:val="both"/>
                    <w:rPr>
                      <w:i/>
                      <w:szCs w:val="24"/>
                      <w:shd w:val="clear" w:color="auto" w:fill="FFFFFF"/>
                      <w:lang w:val="lv-LV"/>
                    </w:rPr>
                  </w:pPr>
                  <w:r w:rsidRPr="00435E13">
                    <w:rPr>
                      <w:i/>
                      <w:szCs w:val="24"/>
                      <w:lang w:val="lv-LV"/>
                    </w:rPr>
                    <w:t>Etoposidum</w:t>
                  </w:r>
                </w:p>
              </w:tc>
            </w:tr>
            <w:tr w14:paraId="464311CB" w14:textId="77777777" w:rsidTr="007D137A">
              <w:tblPrEx>
                <w:tblW w:w="3818" w:type="pct"/>
                <w:jc w:val="center"/>
                <w:tblLook w:val="04A0"/>
              </w:tblPrEx>
              <w:trPr>
                <w:trHeight w:val="373"/>
                <w:jc w:val="center"/>
              </w:trPr>
              <w:tc>
                <w:tcPr>
                  <w:tcW w:w="1566" w:type="pct"/>
                </w:tcPr>
                <w:p w:rsidR="00435E13" w:rsidRPr="00435E13" w:rsidP="00435E13" w14:paraId="5AA28E67" w14:textId="77777777">
                  <w:pPr>
                    <w:spacing w:after="120"/>
                    <w:jc w:val="both"/>
                    <w:rPr>
                      <w:szCs w:val="24"/>
                      <w:shd w:val="clear" w:color="auto" w:fill="FFFFFF"/>
                      <w:lang w:val="lv-LV"/>
                    </w:rPr>
                  </w:pPr>
                  <w:r w:rsidRPr="00435E13">
                    <w:rPr>
                      <w:szCs w:val="24"/>
                      <w:lang w:val="lv-LV"/>
                    </w:rPr>
                    <w:t>L01CD01</w:t>
                  </w:r>
                </w:p>
              </w:tc>
              <w:tc>
                <w:tcPr>
                  <w:tcW w:w="3434" w:type="pct"/>
                </w:tcPr>
                <w:p w:rsidR="00435E13" w:rsidRPr="00435E13" w:rsidP="00435E13" w14:paraId="293DE33B" w14:textId="77777777">
                  <w:pPr>
                    <w:spacing w:after="120"/>
                    <w:jc w:val="both"/>
                    <w:rPr>
                      <w:i/>
                      <w:szCs w:val="24"/>
                      <w:shd w:val="clear" w:color="auto" w:fill="FFFFFF"/>
                      <w:lang w:val="lv-LV"/>
                    </w:rPr>
                  </w:pPr>
                  <w:r w:rsidRPr="00435E13">
                    <w:rPr>
                      <w:i/>
                      <w:szCs w:val="24"/>
                      <w:lang w:val="lv-LV"/>
                    </w:rPr>
                    <w:t>Paclitaxelum</w:t>
                  </w:r>
                </w:p>
              </w:tc>
            </w:tr>
            <w:tr w14:paraId="4937B823" w14:textId="77777777" w:rsidTr="007D137A">
              <w:tblPrEx>
                <w:tblW w:w="3818" w:type="pct"/>
                <w:jc w:val="center"/>
                <w:tblLook w:val="04A0"/>
              </w:tblPrEx>
              <w:trPr>
                <w:trHeight w:val="384"/>
                <w:jc w:val="center"/>
              </w:trPr>
              <w:tc>
                <w:tcPr>
                  <w:tcW w:w="1566" w:type="pct"/>
                </w:tcPr>
                <w:p w:rsidR="00435E13" w:rsidRPr="00435E13" w:rsidP="00435E13" w14:paraId="160E7DE7" w14:textId="77777777">
                  <w:pPr>
                    <w:spacing w:after="120"/>
                    <w:jc w:val="both"/>
                    <w:rPr>
                      <w:szCs w:val="24"/>
                      <w:shd w:val="clear" w:color="auto" w:fill="FFFFFF"/>
                      <w:lang w:val="lv-LV"/>
                    </w:rPr>
                  </w:pPr>
                  <w:r w:rsidRPr="00435E13">
                    <w:rPr>
                      <w:szCs w:val="24"/>
                      <w:lang w:val="lv-LV"/>
                    </w:rPr>
                    <w:t>L01CD02</w:t>
                  </w:r>
                </w:p>
              </w:tc>
              <w:tc>
                <w:tcPr>
                  <w:tcW w:w="3434" w:type="pct"/>
                </w:tcPr>
                <w:p w:rsidR="00435E13" w:rsidRPr="00435E13" w:rsidP="00435E13" w14:paraId="4500C2A3" w14:textId="77777777">
                  <w:pPr>
                    <w:spacing w:after="120"/>
                    <w:jc w:val="both"/>
                    <w:rPr>
                      <w:i/>
                      <w:szCs w:val="24"/>
                      <w:shd w:val="clear" w:color="auto" w:fill="FFFFFF"/>
                      <w:lang w:val="lv-LV"/>
                    </w:rPr>
                  </w:pPr>
                  <w:r w:rsidRPr="00435E13">
                    <w:rPr>
                      <w:i/>
                      <w:szCs w:val="24"/>
                      <w:lang w:val="lv-LV"/>
                    </w:rPr>
                    <w:t>Docetaxelum</w:t>
                  </w:r>
                </w:p>
              </w:tc>
            </w:tr>
            <w:tr w14:paraId="1127A8E6" w14:textId="77777777" w:rsidTr="007D137A">
              <w:tblPrEx>
                <w:tblW w:w="3818" w:type="pct"/>
                <w:jc w:val="center"/>
                <w:tblLook w:val="04A0"/>
              </w:tblPrEx>
              <w:trPr>
                <w:trHeight w:val="384"/>
                <w:jc w:val="center"/>
              </w:trPr>
              <w:tc>
                <w:tcPr>
                  <w:tcW w:w="1566" w:type="pct"/>
                </w:tcPr>
                <w:p w:rsidR="00435E13" w:rsidRPr="00435E13" w:rsidP="00435E13" w14:paraId="799FF725" w14:textId="77777777">
                  <w:pPr>
                    <w:spacing w:after="120"/>
                    <w:jc w:val="both"/>
                    <w:rPr>
                      <w:szCs w:val="24"/>
                      <w:shd w:val="clear" w:color="auto" w:fill="FFFFFF"/>
                      <w:lang w:val="lv-LV"/>
                    </w:rPr>
                  </w:pPr>
                  <w:r w:rsidRPr="00435E13">
                    <w:rPr>
                      <w:szCs w:val="24"/>
                      <w:lang w:val="lv-LV"/>
                    </w:rPr>
                    <w:t>L01DB01</w:t>
                  </w:r>
                </w:p>
              </w:tc>
              <w:tc>
                <w:tcPr>
                  <w:tcW w:w="3434" w:type="pct"/>
                </w:tcPr>
                <w:p w:rsidR="00435E13" w:rsidRPr="00435E13" w:rsidP="00435E13" w14:paraId="08D93DE1" w14:textId="77777777">
                  <w:pPr>
                    <w:spacing w:after="120"/>
                    <w:jc w:val="both"/>
                    <w:rPr>
                      <w:i/>
                      <w:szCs w:val="24"/>
                      <w:shd w:val="clear" w:color="auto" w:fill="FFFFFF"/>
                      <w:lang w:val="lv-LV"/>
                    </w:rPr>
                  </w:pPr>
                  <w:r w:rsidRPr="00435E13">
                    <w:rPr>
                      <w:i/>
                      <w:szCs w:val="24"/>
                      <w:lang w:val="lv-LV"/>
                    </w:rPr>
                    <w:t>Doxorubicinum</w:t>
                  </w:r>
                </w:p>
              </w:tc>
            </w:tr>
            <w:tr w14:paraId="635990A3" w14:textId="77777777" w:rsidTr="007D137A">
              <w:tblPrEx>
                <w:tblW w:w="3818" w:type="pct"/>
                <w:jc w:val="center"/>
                <w:tblLook w:val="04A0"/>
              </w:tblPrEx>
              <w:trPr>
                <w:trHeight w:val="384"/>
                <w:jc w:val="center"/>
              </w:trPr>
              <w:tc>
                <w:tcPr>
                  <w:tcW w:w="1566" w:type="pct"/>
                </w:tcPr>
                <w:p w:rsidR="00435E13" w:rsidRPr="00435E13" w:rsidP="00435E13" w14:paraId="39872FF6" w14:textId="77777777">
                  <w:pPr>
                    <w:spacing w:after="120"/>
                    <w:jc w:val="both"/>
                    <w:rPr>
                      <w:szCs w:val="24"/>
                      <w:lang w:val="lv-LV"/>
                    </w:rPr>
                  </w:pPr>
                  <w:r w:rsidRPr="00435E13">
                    <w:rPr>
                      <w:szCs w:val="24"/>
                      <w:lang w:val="lv-LV"/>
                    </w:rPr>
                    <w:t>L01DB03</w:t>
                  </w:r>
                </w:p>
              </w:tc>
              <w:tc>
                <w:tcPr>
                  <w:tcW w:w="3434" w:type="pct"/>
                </w:tcPr>
                <w:p w:rsidR="00435E13" w:rsidRPr="00435E13" w:rsidP="00435E13" w14:paraId="1247B0E2" w14:textId="77777777">
                  <w:pPr>
                    <w:spacing w:after="120"/>
                    <w:jc w:val="both"/>
                    <w:rPr>
                      <w:i/>
                      <w:szCs w:val="24"/>
                      <w:lang w:val="lv-LV"/>
                    </w:rPr>
                  </w:pPr>
                  <w:r w:rsidRPr="00435E13">
                    <w:rPr>
                      <w:i/>
                      <w:szCs w:val="24"/>
                      <w:lang w:val="lv-LV"/>
                    </w:rPr>
                    <w:t>Epirubicinum</w:t>
                  </w:r>
                </w:p>
              </w:tc>
            </w:tr>
            <w:tr w14:paraId="080F5C67" w14:textId="77777777" w:rsidTr="007D137A">
              <w:tblPrEx>
                <w:tblW w:w="3818" w:type="pct"/>
                <w:jc w:val="center"/>
                <w:tblLook w:val="04A0"/>
              </w:tblPrEx>
              <w:trPr>
                <w:trHeight w:val="373"/>
                <w:jc w:val="center"/>
              </w:trPr>
              <w:tc>
                <w:tcPr>
                  <w:tcW w:w="1566" w:type="pct"/>
                </w:tcPr>
                <w:p w:rsidR="00435E13" w:rsidRPr="00435E13" w:rsidP="00435E13" w14:paraId="7E0EA271" w14:textId="77777777">
                  <w:pPr>
                    <w:spacing w:after="120"/>
                    <w:jc w:val="both"/>
                    <w:rPr>
                      <w:szCs w:val="24"/>
                      <w:lang w:val="lv-LV"/>
                    </w:rPr>
                  </w:pPr>
                  <w:r w:rsidRPr="00435E13">
                    <w:rPr>
                      <w:szCs w:val="24"/>
                      <w:lang w:val="lv-LV"/>
                    </w:rPr>
                    <w:t>L01DB06</w:t>
                  </w:r>
                </w:p>
              </w:tc>
              <w:tc>
                <w:tcPr>
                  <w:tcW w:w="3434" w:type="pct"/>
                </w:tcPr>
                <w:p w:rsidR="00435E13" w:rsidRPr="00435E13" w:rsidP="00435E13" w14:paraId="127AB21A" w14:textId="77777777">
                  <w:pPr>
                    <w:spacing w:after="120"/>
                    <w:jc w:val="both"/>
                    <w:rPr>
                      <w:i/>
                      <w:szCs w:val="24"/>
                      <w:lang w:val="lv-LV"/>
                    </w:rPr>
                  </w:pPr>
                  <w:r w:rsidRPr="00435E13">
                    <w:rPr>
                      <w:i/>
                      <w:szCs w:val="24"/>
                      <w:lang w:val="lv-LV"/>
                    </w:rPr>
                    <w:t>Idarubicinum</w:t>
                  </w:r>
                </w:p>
              </w:tc>
            </w:tr>
            <w:tr w14:paraId="04A06F27" w14:textId="77777777" w:rsidTr="007D137A">
              <w:tblPrEx>
                <w:tblW w:w="3818" w:type="pct"/>
                <w:jc w:val="center"/>
                <w:tblLook w:val="04A0"/>
              </w:tblPrEx>
              <w:trPr>
                <w:trHeight w:val="384"/>
                <w:jc w:val="center"/>
              </w:trPr>
              <w:tc>
                <w:tcPr>
                  <w:tcW w:w="1566" w:type="pct"/>
                </w:tcPr>
                <w:p w:rsidR="00435E13" w:rsidRPr="00435E13" w:rsidP="00435E13" w14:paraId="50587D6F" w14:textId="77777777">
                  <w:pPr>
                    <w:spacing w:after="120"/>
                    <w:jc w:val="both"/>
                    <w:rPr>
                      <w:szCs w:val="24"/>
                      <w:lang w:val="lv-LV"/>
                    </w:rPr>
                  </w:pPr>
                  <w:r w:rsidRPr="00435E13">
                    <w:rPr>
                      <w:szCs w:val="24"/>
                      <w:lang w:val="lv-LV"/>
                    </w:rPr>
                    <w:t>L01DB07</w:t>
                  </w:r>
                </w:p>
              </w:tc>
              <w:tc>
                <w:tcPr>
                  <w:tcW w:w="3434" w:type="pct"/>
                </w:tcPr>
                <w:p w:rsidR="00435E13" w:rsidRPr="00435E13" w:rsidP="00435E13" w14:paraId="6DD0F6FE" w14:textId="77777777">
                  <w:pPr>
                    <w:spacing w:after="120"/>
                    <w:jc w:val="both"/>
                    <w:rPr>
                      <w:i/>
                      <w:szCs w:val="24"/>
                      <w:lang w:val="lv-LV"/>
                    </w:rPr>
                  </w:pPr>
                  <w:r w:rsidRPr="00435E13">
                    <w:rPr>
                      <w:i/>
                      <w:szCs w:val="24"/>
                      <w:lang w:val="lv-LV"/>
                    </w:rPr>
                    <w:t>Mitoxantronum</w:t>
                  </w:r>
                </w:p>
              </w:tc>
            </w:tr>
            <w:tr w14:paraId="27DB85CF" w14:textId="77777777" w:rsidTr="007D137A">
              <w:tblPrEx>
                <w:tblW w:w="3818" w:type="pct"/>
                <w:jc w:val="center"/>
                <w:tblLook w:val="04A0"/>
              </w:tblPrEx>
              <w:trPr>
                <w:trHeight w:val="384"/>
                <w:jc w:val="center"/>
              </w:trPr>
              <w:tc>
                <w:tcPr>
                  <w:tcW w:w="1566" w:type="pct"/>
                </w:tcPr>
                <w:p w:rsidR="00435E13" w:rsidRPr="00435E13" w:rsidP="00435E13" w14:paraId="19D4EED5" w14:textId="77777777">
                  <w:pPr>
                    <w:spacing w:after="120"/>
                    <w:jc w:val="both"/>
                    <w:rPr>
                      <w:szCs w:val="24"/>
                      <w:lang w:val="lv-LV"/>
                    </w:rPr>
                  </w:pPr>
                  <w:r w:rsidRPr="00435E13">
                    <w:rPr>
                      <w:szCs w:val="24"/>
                      <w:lang w:val="lv-LV"/>
                    </w:rPr>
                    <w:t>L01DC01</w:t>
                  </w:r>
                </w:p>
              </w:tc>
              <w:tc>
                <w:tcPr>
                  <w:tcW w:w="3434" w:type="pct"/>
                </w:tcPr>
                <w:p w:rsidR="00435E13" w:rsidRPr="00435E13" w:rsidP="00435E13" w14:paraId="18DB15AE" w14:textId="77777777">
                  <w:pPr>
                    <w:spacing w:after="120"/>
                    <w:jc w:val="both"/>
                    <w:rPr>
                      <w:i/>
                      <w:szCs w:val="24"/>
                      <w:lang w:val="lv-LV"/>
                    </w:rPr>
                  </w:pPr>
                  <w:r w:rsidRPr="00435E13">
                    <w:rPr>
                      <w:i/>
                      <w:szCs w:val="24"/>
                      <w:lang w:val="lv-LV"/>
                    </w:rPr>
                    <w:t>Bleomycinum</w:t>
                  </w:r>
                </w:p>
              </w:tc>
            </w:tr>
            <w:tr w14:paraId="6A5DB38C" w14:textId="77777777" w:rsidTr="007D137A">
              <w:tblPrEx>
                <w:tblW w:w="3818" w:type="pct"/>
                <w:jc w:val="center"/>
                <w:tblLook w:val="04A0"/>
              </w:tblPrEx>
              <w:trPr>
                <w:trHeight w:val="384"/>
                <w:jc w:val="center"/>
              </w:trPr>
              <w:tc>
                <w:tcPr>
                  <w:tcW w:w="1566" w:type="pct"/>
                </w:tcPr>
                <w:p w:rsidR="00435E13" w:rsidRPr="00435E13" w:rsidP="00435E13" w14:paraId="2BA9289F" w14:textId="77777777">
                  <w:pPr>
                    <w:spacing w:after="120"/>
                    <w:jc w:val="both"/>
                    <w:rPr>
                      <w:szCs w:val="24"/>
                    </w:rPr>
                  </w:pPr>
                  <w:r w:rsidRPr="00435E13">
                    <w:rPr>
                      <w:szCs w:val="24"/>
                    </w:rPr>
                    <w:t>L01DC03</w:t>
                  </w:r>
                </w:p>
              </w:tc>
              <w:tc>
                <w:tcPr>
                  <w:tcW w:w="3434" w:type="pct"/>
                </w:tcPr>
                <w:p w:rsidR="00435E13" w:rsidRPr="00435E13" w:rsidP="00435E13" w14:paraId="13882E1C" w14:textId="77777777">
                  <w:pPr>
                    <w:spacing w:after="120"/>
                    <w:jc w:val="both"/>
                    <w:rPr>
                      <w:i/>
                      <w:szCs w:val="24"/>
                    </w:rPr>
                  </w:pPr>
                  <w:r w:rsidRPr="00435E13">
                    <w:rPr>
                      <w:i/>
                      <w:szCs w:val="24"/>
                    </w:rPr>
                    <w:t>Mitomycinum</w:t>
                  </w:r>
                </w:p>
              </w:tc>
            </w:tr>
            <w:tr w14:paraId="3984E687" w14:textId="77777777" w:rsidTr="007D137A">
              <w:tblPrEx>
                <w:tblW w:w="3818" w:type="pct"/>
                <w:jc w:val="center"/>
                <w:tblLook w:val="04A0"/>
              </w:tblPrEx>
              <w:trPr>
                <w:trHeight w:val="384"/>
                <w:jc w:val="center"/>
              </w:trPr>
              <w:tc>
                <w:tcPr>
                  <w:tcW w:w="1566" w:type="pct"/>
                </w:tcPr>
                <w:p w:rsidR="00435E13" w:rsidRPr="00435E13" w:rsidP="00435E13" w14:paraId="27BDF7B9" w14:textId="77777777">
                  <w:pPr>
                    <w:spacing w:after="120"/>
                    <w:jc w:val="both"/>
                    <w:rPr>
                      <w:szCs w:val="24"/>
                      <w:lang w:val="lv-LV"/>
                    </w:rPr>
                  </w:pPr>
                  <w:r w:rsidRPr="00435E13">
                    <w:rPr>
                      <w:szCs w:val="24"/>
                      <w:lang w:val="lv-LV"/>
                    </w:rPr>
                    <w:t>L01XA01</w:t>
                  </w:r>
                </w:p>
              </w:tc>
              <w:tc>
                <w:tcPr>
                  <w:tcW w:w="3434" w:type="pct"/>
                </w:tcPr>
                <w:p w:rsidR="00435E13" w:rsidRPr="00435E13" w:rsidP="00435E13" w14:paraId="3DD54355" w14:textId="77777777">
                  <w:pPr>
                    <w:spacing w:after="120"/>
                    <w:jc w:val="both"/>
                    <w:rPr>
                      <w:i/>
                      <w:szCs w:val="24"/>
                      <w:lang w:val="lv-LV"/>
                    </w:rPr>
                  </w:pPr>
                  <w:r w:rsidRPr="00435E13">
                    <w:rPr>
                      <w:i/>
                      <w:szCs w:val="24"/>
                      <w:lang w:val="lv-LV"/>
                    </w:rPr>
                    <w:t>Cisplatinum</w:t>
                  </w:r>
                </w:p>
              </w:tc>
            </w:tr>
            <w:tr w14:paraId="21878CBB" w14:textId="77777777" w:rsidTr="007D137A">
              <w:tblPrEx>
                <w:tblW w:w="3818" w:type="pct"/>
                <w:jc w:val="center"/>
                <w:tblLook w:val="04A0"/>
              </w:tblPrEx>
              <w:trPr>
                <w:trHeight w:val="373"/>
                <w:jc w:val="center"/>
              </w:trPr>
              <w:tc>
                <w:tcPr>
                  <w:tcW w:w="1566" w:type="pct"/>
                </w:tcPr>
                <w:p w:rsidR="00435E13" w:rsidRPr="00435E13" w:rsidP="00435E13" w14:paraId="3A8C89EE" w14:textId="77777777">
                  <w:pPr>
                    <w:spacing w:after="120"/>
                    <w:jc w:val="both"/>
                    <w:rPr>
                      <w:szCs w:val="24"/>
                      <w:lang w:val="lv-LV"/>
                    </w:rPr>
                  </w:pPr>
                  <w:r w:rsidRPr="00435E13">
                    <w:rPr>
                      <w:szCs w:val="24"/>
                      <w:lang w:val="lv-LV"/>
                    </w:rPr>
                    <w:t>L01XA02</w:t>
                  </w:r>
                </w:p>
              </w:tc>
              <w:tc>
                <w:tcPr>
                  <w:tcW w:w="3434" w:type="pct"/>
                </w:tcPr>
                <w:p w:rsidR="00435E13" w:rsidRPr="00435E13" w:rsidP="00435E13" w14:paraId="3C9454D7" w14:textId="77777777">
                  <w:pPr>
                    <w:spacing w:after="120"/>
                    <w:jc w:val="both"/>
                    <w:rPr>
                      <w:i/>
                      <w:szCs w:val="24"/>
                      <w:lang w:val="lv-LV"/>
                    </w:rPr>
                  </w:pPr>
                  <w:r w:rsidRPr="00435E13">
                    <w:rPr>
                      <w:i/>
                      <w:szCs w:val="24"/>
                      <w:lang w:val="lv-LV"/>
                    </w:rPr>
                    <w:t>Carboplatinum</w:t>
                  </w:r>
                </w:p>
              </w:tc>
            </w:tr>
            <w:tr w14:paraId="43C3B063" w14:textId="77777777" w:rsidTr="007D137A">
              <w:tblPrEx>
                <w:tblW w:w="3818" w:type="pct"/>
                <w:jc w:val="center"/>
                <w:tblLook w:val="04A0"/>
              </w:tblPrEx>
              <w:trPr>
                <w:trHeight w:val="384"/>
                <w:jc w:val="center"/>
              </w:trPr>
              <w:tc>
                <w:tcPr>
                  <w:tcW w:w="1566" w:type="pct"/>
                </w:tcPr>
                <w:p w:rsidR="00435E13" w:rsidRPr="00435E13" w:rsidP="00435E13" w14:paraId="682EA67E" w14:textId="77777777">
                  <w:pPr>
                    <w:spacing w:after="120"/>
                    <w:jc w:val="both"/>
                    <w:rPr>
                      <w:szCs w:val="24"/>
                      <w:lang w:val="lv-LV"/>
                    </w:rPr>
                  </w:pPr>
                  <w:r w:rsidRPr="00435E13">
                    <w:rPr>
                      <w:szCs w:val="24"/>
                      <w:lang w:val="lv-LV"/>
                    </w:rPr>
                    <w:t>L01XA03</w:t>
                  </w:r>
                </w:p>
              </w:tc>
              <w:tc>
                <w:tcPr>
                  <w:tcW w:w="3434" w:type="pct"/>
                </w:tcPr>
                <w:p w:rsidR="00435E13" w:rsidRPr="00435E13" w:rsidP="00435E13" w14:paraId="60B61154" w14:textId="77777777">
                  <w:pPr>
                    <w:spacing w:after="120"/>
                    <w:jc w:val="both"/>
                    <w:rPr>
                      <w:i/>
                      <w:szCs w:val="24"/>
                      <w:lang w:val="lv-LV"/>
                    </w:rPr>
                  </w:pPr>
                  <w:r w:rsidRPr="00435E13">
                    <w:rPr>
                      <w:i/>
                      <w:szCs w:val="24"/>
                      <w:lang w:val="lv-LV"/>
                    </w:rPr>
                    <w:t>Oxaliplatinum</w:t>
                  </w:r>
                </w:p>
              </w:tc>
            </w:tr>
            <w:tr w14:paraId="37A6F9E2" w14:textId="77777777" w:rsidTr="007D137A">
              <w:tblPrEx>
                <w:tblW w:w="3818" w:type="pct"/>
                <w:jc w:val="center"/>
                <w:tblLook w:val="04A0"/>
              </w:tblPrEx>
              <w:trPr>
                <w:trHeight w:val="384"/>
                <w:jc w:val="center"/>
              </w:trPr>
              <w:tc>
                <w:tcPr>
                  <w:tcW w:w="1566" w:type="pct"/>
                </w:tcPr>
                <w:p w:rsidR="00435E13" w:rsidRPr="00435E13" w:rsidP="00435E13" w14:paraId="45529CE2" w14:textId="77777777">
                  <w:pPr>
                    <w:spacing w:after="120"/>
                    <w:jc w:val="both"/>
                    <w:rPr>
                      <w:szCs w:val="24"/>
                      <w:lang w:val="lv-LV"/>
                    </w:rPr>
                  </w:pPr>
                  <w:r w:rsidRPr="00435E13">
                    <w:rPr>
                      <w:szCs w:val="24"/>
                      <w:lang w:val="lv-LV"/>
                    </w:rPr>
                    <w:t>L01XX02</w:t>
                  </w:r>
                </w:p>
              </w:tc>
              <w:tc>
                <w:tcPr>
                  <w:tcW w:w="3434" w:type="pct"/>
                </w:tcPr>
                <w:p w:rsidR="00435E13" w:rsidRPr="00435E13" w:rsidP="00435E13" w14:paraId="0D59588E" w14:textId="77777777">
                  <w:pPr>
                    <w:spacing w:after="120"/>
                    <w:jc w:val="both"/>
                    <w:rPr>
                      <w:i/>
                      <w:szCs w:val="24"/>
                      <w:lang w:val="lv-LV"/>
                    </w:rPr>
                  </w:pPr>
                  <w:r w:rsidRPr="00435E13">
                    <w:rPr>
                      <w:i/>
                      <w:szCs w:val="24"/>
                      <w:lang w:val="lv-LV"/>
                    </w:rPr>
                    <w:t>(L-) Asparaginasum</w:t>
                  </w:r>
                </w:p>
              </w:tc>
            </w:tr>
            <w:tr w14:paraId="1CA4FD5E" w14:textId="77777777" w:rsidTr="007D137A">
              <w:tblPrEx>
                <w:tblW w:w="3818" w:type="pct"/>
                <w:jc w:val="center"/>
                <w:tblLook w:val="04A0"/>
              </w:tblPrEx>
              <w:trPr>
                <w:trHeight w:val="384"/>
                <w:jc w:val="center"/>
              </w:trPr>
              <w:tc>
                <w:tcPr>
                  <w:tcW w:w="1566" w:type="pct"/>
                </w:tcPr>
                <w:p w:rsidR="00435E13" w:rsidRPr="00435E13" w:rsidP="00435E13" w14:paraId="1BCD12B8" w14:textId="77777777">
                  <w:pPr>
                    <w:spacing w:after="120"/>
                    <w:jc w:val="both"/>
                    <w:rPr>
                      <w:szCs w:val="24"/>
                      <w:lang w:val="lv-LV"/>
                    </w:rPr>
                  </w:pPr>
                  <w:r w:rsidRPr="00435E13">
                    <w:rPr>
                      <w:szCs w:val="24"/>
                      <w:lang w:val="lv-LV"/>
                    </w:rPr>
                    <w:t>L01XX17</w:t>
                  </w:r>
                </w:p>
              </w:tc>
              <w:tc>
                <w:tcPr>
                  <w:tcW w:w="3434" w:type="pct"/>
                </w:tcPr>
                <w:p w:rsidR="00435E13" w:rsidRPr="00435E13" w:rsidP="00435E13" w14:paraId="2553D87D" w14:textId="77777777">
                  <w:pPr>
                    <w:spacing w:after="120"/>
                    <w:jc w:val="both"/>
                    <w:rPr>
                      <w:i/>
                      <w:szCs w:val="24"/>
                      <w:lang w:val="lv-LV"/>
                    </w:rPr>
                  </w:pPr>
                  <w:r w:rsidRPr="00435E13">
                    <w:rPr>
                      <w:i/>
                      <w:szCs w:val="24"/>
                      <w:lang w:val="lv-LV"/>
                    </w:rPr>
                    <w:t>Topotecanum</w:t>
                  </w:r>
                </w:p>
              </w:tc>
            </w:tr>
            <w:tr w14:paraId="084E12DE" w14:textId="77777777" w:rsidTr="007D137A">
              <w:tblPrEx>
                <w:tblW w:w="3818" w:type="pct"/>
                <w:jc w:val="center"/>
                <w:tblLook w:val="04A0"/>
              </w:tblPrEx>
              <w:trPr>
                <w:trHeight w:val="373"/>
                <w:jc w:val="center"/>
              </w:trPr>
              <w:tc>
                <w:tcPr>
                  <w:tcW w:w="1566" w:type="pct"/>
                </w:tcPr>
                <w:p w:rsidR="00435E13" w:rsidRPr="00435E13" w:rsidP="00435E13" w14:paraId="0098BD58" w14:textId="77777777">
                  <w:pPr>
                    <w:spacing w:after="120"/>
                    <w:jc w:val="both"/>
                    <w:rPr>
                      <w:szCs w:val="24"/>
                      <w:lang w:val="lv-LV"/>
                    </w:rPr>
                  </w:pPr>
                  <w:r w:rsidRPr="00435E13">
                    <w:rPr>
                      <w:szCs w:val="24"/>
                      <w:lang w:val="lv-LV"/>
                    </w:rPr>
                    <w:t>L01XX19</w:t>
                  </w:r>
                </w:p>
              </w:tc>
              <w:tc>
                <w:tcPr>
                  <w:tcW w:w="3434" w:type="pct"/>
                </w:tcPr>
                <w:p w:rsidR="00435E13" w:rsidRPr="00435E13" w:rsidP="00435E13" w14:paraId="7EA4834D" w14:textId="77777777">
                  <w:pPr>
                    <w:spacing w:after="120"/>
                    <w:jc w:val="both"/>
                    <w:rPr>
                      <w:i/>
                      <w:szCs w:val="24"/>
                      <w:lang w:val="lv-LV"/>
                    </w:rPr>
                  </w:pPr>
                  <w:r w:rsidRPr="00435E13">
                    <w:rPr>
                      <w:i/>
                      <w:szCs w:val="24"/>
                      <w:lang w:val="lv-LV"/>
                    </w:rPr>
                    <w:t>Irinotecanum</w:t>
                  </w:r>
                </w:p>
              </w:tc>
            </w:tr>
            <w:tr w14:paraId="5E21E5E9" w14:textId="77777777" w:rsidTr="007D137A">
              <w:tblPrEx>
                <w:tblW w:w="3818" w:type="pct"/>
                <w:jc w:val="center"/>
                <w:tblLook w:val="04A0"/>
              </w:tblPrEx>
              <w:trPr>
                <w:trHeight w:val="384"/>
                <w:jc w:val="center"/>
              </w:trPr>
              <w:tc>
                <w:tcPr>
                  <w:tcW w:w="1566" w:type="pct"/>
                </w:tcPr>
                <w:p w:rsidR="00435E13" w:rsidRPr="00435E13" w:rsidP="00435E13" w14:paraId="36369143" w14:textId="77777777">
                  <w:pPr>
                    <w:spacing w:after="120"/>
                    <w:jc w:val="both"/>
                    <w:rPr>
                      <w:szCs w:val="24"/>
                      <w:lang w:val="lv-LV"/>
                    </w:rPr>
                  </w:pPr>
                  <w:r w:rsidRPr="00435E13">
                    <w:rPr>
                      <w:szCs w:val="24"/>
                      <w:lang w:val="lv-LV"/>
                    </w:rPr>
                    <w:t>L01XX32</w:t>
                  </w:r>
                </w:p>
              </w:tc>
              <w:tc>
                <w:tcPr>
                  <w:tcW w:w="3434" w:type="pct"/>
                </w:tcPr>
                <w:p w:rsidR="00435E13" w:rsidRPr="00435E13" w:rsidP="00435E13" w14:paraId="666F7D2C" w14:textId="77777777">
                  <w:pPr>
                    <w:spacing w:after="120"/>
                    <w:jc w:val="both"/>
                    <w:rPr>
                      <w:i/>
                      <w:szCs w:val="24"/>
                      <w:lang w:val="lv-LV"/>
                    </w:rPr>
                  </w:pPr>
                  <w:r w:rsidRPr="00435E13">
                    <w:rPr>
                      <w:i/>
                      <w:szCs w:val="24"/>
                      <w:lang w:val="lv-LV"/>
                    </w:rPr>
                    <w:t>Bortezomibum</w:t>
                  </w:r>
                </w:p>
              </w:tc>
            </w:tr>
            <w:tr w14:paraId="47D2B7BB" w14:textId="77777777" w:rsidTr="007D137A">
              <w:tblPrEx>
                <w:tblW w:w="3818" w:type="pct"/>
                <w:jc w:val="center"/>
                <w:tblLook w:val="04A0"/>
              </w:tblPrEx>
              <w:trPr>
                <w:trHeight w:val="384"/>
                <w:jc w:val="center"/>
              </w:trPr>
              <w:tc>
                <w:tcPr>
                  <w:tcW w:w="1566" w:type="pct"/>
                </w:tcPr>
                <w:p w:rsidR="00435E13" w:rsidRPr="00435E13" w:rsidP="00435E13" w14:paraId="557E0F2F" w14:textId="77777777">
                  <w:pPr>
                    <w:spacing w:after="120"/>
                    <w:jc w:val="both"/>
                    <w:rPr>
                      <w:szCs w:val="24"/>
                      <w:lang w:val="lv-LV"/>
                    </w:rPr>
                  </w:pPr>
                  <w:r w:rsidRPr="00435E13">
                    <w:rPr>
                      <w:szCs w:val="24"/>
                      <w:lang w:val="lv-LV"/>
                    </w:rPr>
                    <w:t>L03AA02</w:t>
                  </w:r>
                </w:p>
              </w:tc>
              <w:tc>
                <w:tcPr>
                  <w:tcW w:w="3434" w:type="pct"/>
                </w:tcPr>
                <w:p w:rsidR="00435E13" w:rsidRPr="00435E13" w:rsidP="00435E13" w14:paraId="60195B5C" w14:textId="77777777">
                  <w:pPr>
                    <w:spacing w:after="120"/>
                    <w:jc w:val="both"/>
                    <w:rPr>
                      <w:i/>
                      <w:szCs w:val="24"/>
                      <w:lang w:val="lv-LV"/>
                    </w:rPr>
                  </w:pPr>
                  <w:r w:rsidRPr="00435E13">
                    <w:rPr>
                      <w:i/>
                      <w:szCs w:val="24"/>
                      <w:lang w:val="lv-LV"/>
                    </w:rPr>
                    <w:t>Filgrastimum</w:t>
                  </w:r>
                </w:p>
              </w:tc>
            </w:tr>
            <w:tr w14:paraId="5A8AEDDC" w14:textId="77777777" w:rsidTr="007D137A">
              <w:tblPrEx>
                <w:tblW w:w="3818" w:type="pct"/>
                <w:jc w:val="center"/>
                <w:tblLook w:val="04A0"/>
              </w:tblPrEx>
              <w:trPr>
                <w:trHeight w:val="384"/>
                <w:jc w:val="center"/>
              </w:trPr>
              <w:tc>
                <w:tcPr>
                  <w:tcW w:w="1566" w:type="pct"/>
                </w:tcPr>
                <w:p w:rsidR="00435E13" w:rsidRPr="00435E13" w:rsidP="00435E13" w14:paraId="79DF5C91" w14:textId="77777777">
                  <w:pPr>
                    <w:spacing w:after="120"/>
                    <w:jc w:val="both"/>
                    <w:rPr>
                      <w:szCs w:val="24"/>
                      <w:lang w:val="lv-LV"/>
                    </w:rPr>
                  </w:pPr>
                  <w:r w:rsidRPr="00435E13">
                    <w:rPr>
                      <w:szCs w:val="24"/>
                      <w:lang w:val="lv-LV"/>
                    </w:rPr>
                    <w:t>M05BA06</w:t>
                  </w:r>
                </w:p>
              </w:tc>
              <w:tc>
                <w:tcPr>
                  <w:tcW w:w="3434" w:type="pct"/>
                </w:tcPr>
                <w:p w:rsidR="00435E13" w:rsidRPr="00435E13" w:rsidP="00435E13" w14:paraId="08EF2C80" w14:textId="77777777">
                  <w:pPr>
                    <w:spacing w:after="120"/>
                    <w:jc w:val="both"/>
                    <w:rPr>
                      <w:i/>
                      <w:szCs w:val="24"/>
                      <w:lang w:val="lv-LV"/>
                    </w:rPr>
                  </w:pPr>
                  <w:r w:rsidRPr="00435E13">
                    <w:rPr>
                      <w:i/>
                      <w:szCs w:val="24"/>
                      <w:lang w:val="lv-LV"/>
                    </w:rPr>
                    <w:t>Acidum ibandronicum</w:t>
                  </w:r>
                </w:p>
              </w:tc>
            </w:tr>
            <w:tr w14:paraId="008F4C79" w14:textId="77777777" w:rsidTr="007D137A">
              <w:tblPrEx>
                <w:tblW w:w="3818" w:type="pct"/>
                <w:jc w:val="center"/>
                <w:tblLook w:val="04A0"/>
              </w:tblPrEx>
              <w:trPr>
                <w:trHeight w:val="384"/>
                <w:jc w:val="center"/>
              </w:trPr>
              <w:tc>
                <w:tcPr>
                  <w:tcW w:w="1566" w:type="pct"/>
                </w:tcPr>
                <w:p w:rsidR="00435E13" w:rsidRPr="00435E13" w:rsidP="00435E13" w14:paraId="1ED3F614" w14:textId="77777777">
                  <w:pPr>
                    <w:spacing w:after="120"/>
                    <w:jc w:val="both"/>
                    <w:rPr>
                      <w:szCs w:val="24"/>
                      <w:lang w:val="lv-LV"/>
                    </w:rPr>
                  </w:pPr>
                  <w:r w:rsidRPr="00435E13">
                    <w:rPr>
                      <w:szCs w:val="24"/>
                      <w:lang w:val="lv-LV"/>
                    </w:rPr>
                    <w:t>M05BA08</w:t>
                  </w:r>
                </w:p>
              </w:tc>
              <w:tc>
                <w:tcPr>
                  <w:tcW w:w="3434" w:type="pct"/>
                </w:tcPr>
                <w:p w:rsidR="00435E13" w:rsidRPr="00435E13" w:rsidP="00435E13" w14:paraId="449418FC" w14:textId="77777777">
                  <w:pPr>
                    <w:spacing w:after="120"/>
                    <w:jc w:val="both"/>
                    <w:rPr>
                      <w:i/>
                      <w:szCs w:val="24"/>
                      <w:lang w:val="lv-LV"/>
                    </w:rPr>
                  </w:pPr>
                  <w:r w:rsidRPr="00435E13">
                    <w:rPr>
                      <w:i/>
                      <w:szCs w:val="24"/>
                      <w:lang w:val="lv-LV"/>
                    </w:rPr>
                    <w:t>Acidum zoledronicum</w:t>
                  </w:r>
                </w:p>
              </w:tc>
            </w:tr>
            <w:tr w14:paraId="4FCF01E8" w14:textId="77777777" w:rsidTr="007D137A">
              <w:tblPrEx>
                <w:tblW w:w="3818" w:type="pct"/>
                <w:jc w:val="center"/>
                <w:tblLook w:val="04A0"/>
              </w:tblPrEx>
              <w:trPr>
                <w:trHeight w:val="373"/>
                <w:jc w:val="center"/>
              </w:trPr>
              <w:tc>
                <w:tcPr>
                  <w:tcW w:w="1566" w:type="pct"/>
                </w:tcPr>
                <w:p w:rsidR="00435E13" w:rsidRPr="00435E13" w:rsidP="00435E13" w14:paraId="14757808" w14:textId="77777777">
                  <w:pPr>
                    <w:spacing w:after="120"/>
                    <w:jc w:val="both"/>
                    <w:rPr>
                      <w:szCs w:val="24"/>
                      <w:lang w:val="lv-LV"/>
                    </w:rPr>
                  </w:pPr>
                  <w:r w:rsidRPr="00435E13">
                    <w:rPr>
                      <w:szCs w:val="24"/>
                      <w:lang w:val="lv-LV"/>
                    </w:rPr>
                    <w:t>V03AF03</w:t>
                  </w:r>
                </w:p>
              </w:tc>
              <w:tc>
                <w:tcPr>
                  <w:tcW w:w="3434" w:type="pct"/>
                </w:tcPr>
                <w:p w:rsidR="00435E13" w:rsidRPr="00435E13" w:rsidP="00435E13" w14:paraId="798A759D" w14:textId="77777777">
                  <w:pPr>
                    <w:spacing w:after="120"/>
                    <w:jc w:val="both"/>
                    <w:rPr>
                      <w:szCs w:val="24"/>
                      <w:lang w:val="lv-LV"/>
                    </w:rPr>
                  </w:pPr>
                  <w:r w:rsidRPr="00435E13">
                    <w:rPr>
                      <w:i/>
                      <w:szCs w:val="24"/>
                      <w:lang w:val="lv-LV"/>
                    </w:rPr>
                    <w:t>Calcii folinatum</w:t>
                  </w:r>
                </w:p>
              </w:tc>
            </w:tr>
          </w:tbl>
          <w:p w:rsidR="002B040D" w:rsidP="002B040D" w14:paraId="49151A11" w14:textId="77777777">
            <w:pPr>
              <w:ind w:firstLine="252"/>
              <w:contextualSpacing/>
              <w:jc w:val="both"/>
            </w:pPr>
            <w:r w:rsidRPr="000A6845">
              <w:t>Lai izvairītos no gadījumiem, kas varētu radīt zināmu risku, ka centralizētā iepirkuma procedūra Publisko iepirkumu likumā noteiktajā kārtībā tiek apstrīdēta, paildzinot iepirkuma norises gaitu vai pārtraucot to vispār, kā rezultātā nepieciešamās zāles varētu nenonākt laikus ārstniecības iestādēs pacientu aprūpei, paredzēts piemērot pašreiz spēkā esošo kārtību (līdz brīdim, kad būs iespējams nodrošināt centralizētā iepirkuma procedūru) parenterāli ievadāmo zāļu apmaksas kārtībā, lai nodrošinātu zāļu pieejamību. Savukārt, turpmākajā procesā centralizētais iepirkums tiks uzsākts iespējami savlaicīgi, lai izvairītos no šāda riska.</w:t>
            </w:r>
          </w:p>
          <w:p w:rsidR="009D48BF" w:rsidP="002B040D" w14:paraId="4995E61A" w14:textId="77777777">
            <w:pPr>
              <w:ind w:firstLine="252"/>
              <w:contextualSpacing/>
              <w:jc w:val="both"/>
            </w:pPr>
            <w:r>
              <w:t>Ievērojot iepirkuma procedūras būtību, kas paredz veikt iepirkumu vienu reizi gadā, ievērojot noteiktu daudzumu, kas balstīts uz pacientu skaitu, ražotāji varēs prognozēt un plānot konkrēto zāļu daudzumus.</w:t>
            </w:r>
          </w:p>
          <w:p w:rsidR="00D477C2" w:rsidRPr="00CF4101" w:rsidP="008449D1" w14:paraId="1B1B6FEE" w14:textId="16A94AD1">
            <w:pPr>
              <w:ind w:firstLine="252"/>
              <w:contextualSpacing/>
              <w:jc w:val="both"/>
            </w:pPr>
            <w:r w:rsidRPr="00007320">
              <w:t>Veicot grozījumus noteikumu 277.punktā, vairs netiek lietots pašreizējā noteikumu 277.punktā pieteiktais saīsinājums “ārstniecības līdzekļi”, lai izvairītos no iespējamas atšķirīgās izpratnes par noteikumu 285.puktā un 277.punktā lietotā jēdziena “ārstniecības līdzekļi” tvērumu.</w:t>
            </w:r>
          </w:p>
          <w:p w:rsidR="00595C4E" w:rsidRPr="00CF4101" w:rsidP="008449D1" w14:paraId="24C74ED8" w14:textId="633F882D">
            <w:pPr>
              <w:ind w:firstLine="252"/>
              <w:contextualSpacing/>
              <w:jc w:val="both"/>
            </w:pPr>
            <w:r w:rsidRPr="00CF4101">
              <w:t>2. Pamatojoties uz veiktajiem grozījumiem radioloģijas pakalpojumu tarifos, kas tika iekļauti Ministru kabineta 2017.gada 28.marta noteikumos Nr.188 “Grozījumi Ministru kabineta 2013.gada 17.decembra noteikumos Nr.1529 “Veselības aprūpes organizēšanas un finansēšanas kārtība”,</w:t>
            </w:r>
            <w:r>
              <w:t xml:space="preserve"> ievērojot </w:t>
            </w:r>
            <w:r w:rsidRPr="001B01CC">
              <w:t xml:space="preserve">Ministru kabineta 2016.gada 31.maija sēdē (prot. Nr.26 39.§ 6.30.punkts) Veselības ministrijai uzdoto uzdevumu, </w:t>
            </w:r>
            <w:r w:rsidRPr="001B01CC">
              <w:rPr>
                <w:rFonts w:cs="Times New Roman"/>
              </w:rPr>
              <w:t>paredzot, ka amortizācijas piemaksas daļa par tehnoloģiju līmeni datortomogrāfijas, ultrasonogrāfijas un magnētiskās rezonanses izmeklējumiem tiek noteikta vienotā (fiksētā) līmenī</w:t>
            </w:r>
            <w:r w:rsidRPr="001B01CC">
              <w:t>,</w:t>
            </w:r>
            <w:r w:rsidRPr="00CF4101">
              <w:t xml:space="preserve"> nepieciešams veikt papildus precizējumus noteikumu Nr.1529 25.pielikuma </w:t>
            </w:r>
            <w:r w:rsidRPr="00CF4101">
              <w:rPr>
                <w:rFonts w:cs="Times New Roman"/>
                <w:szCs w:val="24"/>
              </w:rPr>
              <w:t>2.2.1., 2.2.2., 2.2.3., 2.2.4</w:t>
            </w:r>
            <w:r w:rsidRPr="00CF4101">
              <w:t>. un 2.2.9.apakšpunkos.</w:t>
            </w:r>
            <w:r>
              <w:t xml:space="preserve"> </w:t>
            </w:r>
          </w:p>
          <w:p w:rsidR="00595C4E" w:rsidRPr="00CF4101" w:rsidP="008449D1" w14:paraId="0899727B" w14:textId="79821D42">
            <w:pPr>
              <w:ind w:firstLine="252"/>
              <w:contextualSpacing/>
              <w:jc w:val="both"/>
            </w:pPr>
            <w:r w:rsidRPr="00CF4101">
              <w:t>3. Ņemot vērā, ka SIA “Siguldas slimnīca” no 2017.gada 1.jūlija nodrošinās tikai 2.līmeņa steidzamās medicīniskās palīdzības punktu, nepieciešams veikt precizējumus noteikumu Nr.1529 17.pielikuma 4.2.4.apakšpunktā, vienlaikus svītrojot 4.3.2.apakšpunktu.</w:t>
            </w:r>
          </w:p>
          <w:p w:rsidR="007C14DE" w:rsidRPr="00CF4101" w:rsidP="007C14DE" w14:paraId="273093B0" w14:textId="431B0DDB">
            <w:pPr>
              <w:ind w:firstLine="252"/>
              <w:contextualSpacing/>
              <w:jc w:val="both"/>
            </w:pPr>
            <w:r w:rsidRPr="00CF4101">
              <w:t>4. Pamatojoties uz preparātu lietošanas instrukcijās noteiktajiem nosacījumiem, kas paredz citādāku preparātu lietošanas iedalījumu bērnu vecuma grupās, veikti atbilstoši grozījumi noteikumu Nr.1529 32.pielikuma 2.1. un 2.2.apakšpunktā.</w:t>
            </w:r>
          </w:p>
          <w:p w:rsidR="00332E62" w:rsidRPr="00CF4101" w:rsidP="00E429B7" w14:paraId="7FEF7268" w14:textId="41CC88B7">
            <w:pPr>
              <w:ind w:firstLine="252"/>
              <w:contextualSpacing/>
              <w:jc w:val="both"/>
            </w:pPr>
            <w:r w:rsidRPr="00CF4101">
              <w:t>5</w:t>
            </w:r>
            <w:r w:rsidRPr="00CF4101">
              <w:rPr>
                <w:rFonts w:cs="Times New Roman"/>
                <w:szCs w:val="24"/>
              </w:rPr>
              <w:t xml:space="preserve">. </w:t>
            </w:r>
            <w:r w:rsidRPr="00CF4101">
              <w:rPr>
                <w:rFonts w:cs="Times New Roman"/>
                <w:szCs w:val="24"/>
                <w:shd w:val="clear" w:color="auto" w:fill="FFFFFF"/>
              </w:rPr>
              <w:t>Lai nodrošinātu iedzīvotājiem iespēju iepazīties ar informāciju par ārstniecības iestāžu darbības kvalitāti, noteikumu projekts paredz papildināt un paplašināt esošās dienesta tiesības savā mājas lapā publicēt informāciju par ārstniecības iestāžu darbības rādītājiem.</w:t>
            </w:r>
          </w:p>
          <w:p w:rsidR="00EB3DDA" w:rsidRPr="00CF4101" w:rsidP="007D2A7D" w14:paraId="60676B48" w14:textId="2C7A4AFA">
            <w:pPr>
              <w:ind w:firstLine="252"/>
              <w:contextualSpacing/>
              <w:jc w:val="both"/>
              <w:rPr>
                <w:rFonts w:cs="Times New Roman"/>
                <w:szCs w:val="24"/>
                <w:shd w:val="clear" w:color="auto" w:fill="FFFFFF"/>
              </w:rPr>
            </w:pPr>
            <w:r w:rsidRPr="00CF4101">
              <w:rPr>
                <w:rFonts w:cs="Times New Roman"/>
                <w:szCs w:val="24"/>
              </w:rPr>
              <w:t>6. Nacionālais veselības dienests 2017.gada 10.aprīlī ir noslēdzis līgumu ar ārstniecības iestādi “M</w:t>
            </w:r>
            <w:r>
              <w:rPr>
                <w:rFonts w:cs="Times New Roman"/>
                <w:szCs w:val="24"/>
              </w:rPr>
              <w:t>adonas</w:t>
            </w:r>
            <w:r w:rsidRPr="00CF4101">
              <w:rPr>
                <w:rFonts w:cs="Times New Roman"/>
                <w:szCs w:val="24"/>
              </w:rPr>
              <w:t xml:space="preserve"> </w:t>
            </w:r>
            <w:r>
              <w:rPr>
                <w:rFonts w:cs="Times New Roman"/>
                <w:szCs w:val="24"/>
              </w:rPr>
              <w:t>novada</w:t>
            </w:r>
            <w:r w:rsidRPr="00CF4101">
              <w:rPr>
                <w:rFonts w:cs="Times New Roman"/>
                <w:szCs w:val="24"/>
              </w:rPr>
              <w:t xml:space="preserve"> </w:t>
            </w:r>
            <w:r>
              <w:rPr>
                <w:rFonts w:cs="Times New Roman"/>
                <w:szCs w:val="24"/>
              </w:rPr>
              <w:t>pašvaldības Sociālais</w:t>
            </w:r>
            <w:r w:rsidRPr="00CF4101">
              <w:rPr>
                <w:rFonts w:cs="Times New Roman"/>
                <w:szCs w:val="24"/>
              </w:rPr>
              <w:t xml:space="preserve"> </w:t>
            </w:r>
            <w:r>
              <w:rPr>
                <w:rFonts w:cs="Times New Roman"/>
                <w:szCs w:val="24"/>
              </w:rPr>
              <w:t>dienests</w:t>
            </w:r>
            <w:r w:rsidRPr="00CF4101">
              <w:rPr>
                <w:rFonts w:cs="Times New Roman"/>
                <w:szCs w:val="24"/>
              </w:rPr>
              <w:t>” par zobārstniecības pakalpojumu sniegšanu un apmaksu no veselības aprūpei paredzētiem valsts budžeta līdzekļiem</w:t>
            </w:r>
            <w:r>
              <w:rPr>
                <w:rFonts w:cs="Times New Roman"/>
                <w:szCs w:val="24"/>
              </w:rPr>
              <w:t xml:space="preserve">, </w:t>
            </w:r>
            <w:r w:rsidRPr="00F84A4B">
              <w:rPr>
                <w:rFonts w:cs="Times New Roman"/>
                <w:szCs w:val="24"/>
              </w:rPr>
              <w:t>ievērojot noteikumos noteiktos nosacījumus par valsts apmaksātu zobārstniecības pakalpojumu apmaksu.</w:t>
            </w:r>
            <w:r w:rsidRPr="00CF4101">
              <w:rPr>
                <w:rFonts w:cs="Times New Roman"/>
                <w:szCs w:val="24"/>
              </w:rPr>
              <w:t xml:space="preserve"> Ņemot vērā 2016.gadā </w:t>
            </w:r>
            <w:r w:rsidRPr="00CF4101">
              <w:rPr>
                <w:rFonts w:cs="Times New Roman"/>
                <w:szCs w:val="24"/>
                <w:shd w:val="clear" w:color="auto" w:fill="FFFFFF"/>
              </w:rPr>
              <w:t xml:space="preserve">piešķirtos papildus finanšu līdzekļus valsts un pašvaldību ārstniecības iestādēs nodarbināto </w:t>
            </w:r>
            <w:r w:rsidRPr="00CF4101">
              <w:rPr>
                <w:rFonts w:cs="Times New Roman"/>
                <w:szCs w:val="24"/>
                <w:shd w:val="clear" w:color="auto" w:fill="FFFFFF"/>
              </w:rPr>
              <w:t xml:space="preserve">darba samaksas pieauguma nodrošināšanai 2017.gadā, lai nodrošinātu vienlīdzīgas piemaksas saņemšanu arī minētajā ārstniecības iestādē, noteikumu projekts paredz papildināt noteikumu 37.pielikuma ārstniecības iestāžu sarakstu arī ar ārstniecības iestādi </w:t>
            </w:r>
            <w:r w:rsidRPr="005769B4">
              <w:t>“</w:t>
            </w:r>
            <w:r w:rsidRPr="00CF4101">
              <w:rPr>
                <w:rFonts w:cs="Times New Roman"/>
                <w:szCs w:val="24"/>
              </w:rPr>
              <w:t>M</w:t>
            </w:r>
            <w:r>
              <w:rPr>
                <w:rFonts w:cs="Times New Roman"/>
                <w:szCs w:val="24"/>
              </w:rPr>
              <w:t>adonas</w:t>
            </w:r>
            <w:r w:rsidRPr="00CF4101">
              <w:rPr>
                <w:rFonts w:cs="Times New Roman"/>
                <w:szCs w:val="24"/>
              </w:rPr>
              <w:t xml:space="preserve"> </w:t>
            </w:r>
            <w:r>
              <w:rPr>
                <w:rFonts w:cs="Times New Roman"/>
                <w:szCs w:val="24"/>
              </w:rPr>
              <w:t>novada</w:t>
            </w:r>
            <w:r w:rsidRPr="00CF4101">
              <w:rPr>
                <w:rFonts w:cs="Times New Roman"/>
                <w:szCs w:val="24"/>
              </w:rPr>
              <w:t xml:space="preserve"> </w:t>
            </w:r>
            <w:r>
              <w:rPr>
                <w:rFonts w:cs="Times New Roman"/>
                <w:szCs w:val="24"/>
              </w:rPr>
              <w:t>pašvaldības Sociālais</w:t>
            </w:r>
            <w:r w:rsidRPr="00CF4101">
              <w:rPr>
                <w:rFonts w:cs="Times New Roman"/>
                <w:szCs w:val="24"/>
              </w:rPr>
              <w:t xml:space="preserve"> </w:t>
            </w:r>
            <w:r>
              <w:rPr>
                <w:rFonts w:cs="Times New Roman"/>
                <w:szCs w:val="24"/>
              </w:rPr>
              <w:t>dienests</w:t>
            </w:r>
            <w:r w:rsidRPr="00CF4101">
              <w:rPr>
                <w:rFonts w:cs="Times New Roman"/>
                <w:szCs w:val="24"/>
              </w:rPr>
              <w:t>”</w:t>
            </w:r>
            <w:r w:rsidRPr="00CF4101">
              <w:rPr>
                <w:rFonts w:cs="Times New Roman"/>
                <w:szCs w:val="24"/>
                <w:shd w:val="clear" w:color="auto" w:fill="FFFFFF"/>
              </w:rPr>
              <w:t>.</w:t>
            </w:r>
          </w:p>
        </w:tc>
      </w:tr>
      <w:tr w14:paraId="730F8C08" w14:textId="77777777" w:rsidTr="005769B4">
        <w:tblPrEx>
          <w:tblW w:w="4988" w:type="pct"/>
          <w:tblInd w:w="30" w:type="dxa"/>
          <w:tblCellMar>
            <w:top w:w="30" w:type="dxa"/>
            <w:left w:w="30" w:type="dxa"/>
            <w:bottom w:w="30" w:type="dxa"/>
            <w:right w:w="30" w:type="dxa"/>
          </w:tblCellMar>
          <w:tblLook w:val="04A0"/>
        </w:tblPrEx>
        <w:trPr>
          <w:trHeight w:val="1013"/>
        </w:trPr>
        <w:tc>
          <w:tcPr>
            <w:tcW w:w="304" w:type="pct"/>
            <w:tcBorders>
              <w:top w:val="outset" w:sz="6" w:space="0" w:color="auto"/>
              <w:left w:val="outset" w:sz="6" w:space="0" w:color="auto"/>
              <w:bottom w:val="outset" w:sz="6" w:space="0" w:color="auto"/>
              <w:right w:val="outset" w:sz="6" w:space="0" w:color="auto"/>
            </w:tcBorders>
            <w:hideMark/>
          </w:tcPr>
          <w:p w:rsidR="00993C26" w:rsidRPr="006D1F1C" w:rsidP="00685C6C" w14:paraId="54BA52F2" w14:textId="77777777">
            <w:pPr>
              <w:spacing w:before="75" w:after="75"/>
              <w:contextualSpacing/>
              <w:rPr>
                <w:rFonts w:eastAsia="Times New Roman" w:cs="Times New Roman"/>
                <w:szCs w:val="24"/>
                <w:lang w:eastAsia="lv-LV"/>
              </w:rPr>
            </w:pPr>
            <w:r w:rsidRPr="006D1F1C">
              <w:rPr>
                <w:rFonts w:eastAsia="Times New Roman" w:cs="Times New Roman"/>
                <w:szCs w:val="24"/>
                <w:lang w:eastAsia="lv-LV"/>
              </w:rPr>
              <w:t>3.</w:t>
            </w:r>
          </w:p>
        </w:tc>
        <w:tc>
          <w:tcPr>
            <w:tcW w:w="852" w:type="pct"/>
            <w:tcBorders>
              <w:top w:val="outset" w:sz="6" w:space="0" w:color="auto"/>
              <w:left w:val="outset" w:sz="6" w:space="0" w:color="auto"/>
              <w:bottom w:val="outset" w:sz="6" w:space="0" w:color="auto"/>
              <w:right w:val="outset" w:sz="6" w:space="0" w:color="auto"/>
            </w:tcBorders>
            <w:hideMark/>
          </w:tcPr>
          <w:p w:rsidR="00993C26" w:rsidRPr="006D1F1C" w:rsidP="00685C6C" w14:paraId="0B0CEAC1" w14:textId="77777777">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3" w:type="pct"/>
            <w:tcBorders>
              <w:top w:val="outset" w:sz="6" w:space="0" w:color="auto"/>
              <w:left w:val="outset" w:sz="6" w:space="0" w:color="auto"/>
              <w:bottom w:val="outset" w:sz="6" w:space="0" w:color="auto"/>
              <w:right w:val="outset" w:sz="6" w:space="0" w:color="auto"/>
            </w:tcBorders>
            <w:hideMark/>
          </w:tcPr>
          <w:p w:rsidR="00993C26" w:rsidRPr="003C6024" w:rsidP="00E802E8" w14:paraId="0996A39E" w14:textId="10679B7B">
            <w:pPr>
              <w:contextualSpacing/>
              <w:jc w:val="both"/>
              <w:rPr>
                <w:rFonts w:eastAsia="Times New Roman" w:cs="Times New Roman"/>
                <w:szCs w:val="24"/>
                <w:lang w:eastAsia="lv-LV"/>
              </w:rPr>
            </w:pPr>
            <w:r>
              <w:rPr>
                <w:rFonts w:eastAsia="Times New Roman" w:cs="Times New Roman"/>
                <w:szCs w:val="24"/>
                <w:lang w:eastAsia="lv-LV"/>
              </w:rPr>
              <w:t>Nacionālais veselības dienests, Veselības ministrija.</w:t>
            </w:r>
          </w:p>
        </w:tc>
      </w:tr>
      <w:tr w14:paraId="2AE58046" w14:textId="77777777" w:rsidTr="005769B4">
        <w:tblPrEx>
          <w:tblW w:w="4988" w:type="pct"/>
          <w:tblInd w:w="30" w:type="dxa"/>
          <w:tblCellMar>
            <w:top w:w="30" w:type="dxa"/>
            <w:left w:w="30" w:type="dxa"/>
            <w:bottom w:w="30" w:type="dxa"/>
            <w:right w:w="30" w:type="dxa"/>
          </w:tblCellMar>
          <w:tblLook w:val="04A0"/>
        </w:tblPrEx>
        <w:tc>
          <w:tcPr>
            <w:tcW w:w="304" w:type="pct"/>
            <w:tcBorders>
              <w:top w:val="outset" w:sz="6" w:space="0" w:color="auto"/>
              <w:left w:val="outset" w:sz="6" w:space="0" w:color="auto"/>
              <w:bottom w:val="outset" w:sz="6" w:space="0" w:color="auto"/>
              <w:right w:val="outset" w:sz="6" w:space="0" w:color="auto"/>
            </w:tcBorders>
            <w:hideMark/>
          </w:tcPr>
          <w:p w:rsidR="00993C26" w:rsidRPr="006D1F1C" w:rsidP="00685C6C" w14:paraId="367C127B" w14:textId="77777777">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2" w:type="pct"/>
            <w:tcBorders>
              <w:top w:val="outset" w:sz="6" w:space="0" w:color="auto"/>
              <w:left w:val="outset" w:sz="6" w:space="0" w:color="auto"/>
              <w:bottom w:val="outset" w:sz="6" w:space="0" w:color="auto"/>
              <w:right w:val="outset" w:sz="6" w:space="0" w:color="auto"/>
            </w:tcBorders>
            <w:hideMark/>
          </w:tcPr>
          <w:p w:rsidR="00993C26" w:rsidRPr="006D1F1C" w:rsidP="00685C6C" w14:paraId="50DDD106" w14:textId="77777777">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3" w:type="pct"/>
            <w:tcBorders>
              <w:top w:val="outset" w:sz="6" w:space="0" w:color="auto"/>
              <w:left w:val="outset" w:sz="6" w:space="0" w:color="auto"/>
              <w:bottom w:val="outset" w:sz="6" w:space="0" w:color="auto"/>
              <w:right w:val="outset" w:sz="6" w:space="0" w:color="auto"/>
            </w:tcBorders>
            <w:hideMark/>
          </w:tcPr>
          <w:p w:rsidR="00993C26" w:rsidRPr="006D1F1C" w:rsidP="00685C6C" w14:paraId="68A8B2F0" w14:textId="77777777">
            <w:pPr>
              <w:pStyle w:val="NormalWeb"/>
              <w:contextualSpacing/>
              <w:jc w:val="both"/>
            </w:pPr>
            <w:r>
              <w:t>Nav.</w:t>
            </w:r>
          </w:p>
        </w:tc>
      </w:tr>
    </w:tbl>
    <w:p w:rsidR="001C7DC4" w14:paraId="4176C42A" w14:textId="77777777"/>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878"/>
        <w:gridCol w:w="5677"/>
      </w:tblGrid>
      <w:tr w14:paraId="166908EF" w14:textId="77777777" w:rsidTr="005769B4">
        <w:tblPrEx>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DC27EA" w:rsidRPr="00857BA9" w:rsidP="004213D9" w14:paraId="045044B8" w14:textId="77777777">
            <w:pPr>
              <w:jc w:val="center"/>
            </w:pPr>
            <w:r w:rsidRPr="00DD3994">
              <w:rPr>
                <w:b/>
                <w:bCs/>
                <w:lang w:val="fi-FI"/>
              </w:rPr>
              <w:t>II. Tiesību akta projekta ietekme uz sabiedrību, tautsaimniecības attīstību un administratīvo slogu</w:t>
            </w:r>
          </w:p>
        </w:tc>
      </w:tr>
      <w:tr w14:paraId="5883B699" w14:textId="77777777" w:rsidTr="005769B4">
        <w:tblPrEx>
          <w:tblW w:w="5006" w:type="pct"/>
          <w:tblInd w:w="-5" w:type="dxa"/>
          <w:tblLook w:val="01E0"/>
        </w:tblPrEx>
        <w:tc>
          <w:tcPr>
            <w:tcW w:w="285" w:type="pct"/>
          </w:tcPr>
          <w:p w:rsidR="00DC27EA" w:rsidRPr="00857BA9" w:rsidP="004213D9" w14:paraId="5688743E" w14:textId="77777777">
            <w:r w:rsidRPr="00857BA9">
              <w:t>1.</w:t>
            </w:r>
          </w:p>
        </w:tc>
        <w:tc>
          <w:tcPr>
            <w:tcW w:w="1586" w:type="pct"/>
          </w:tcPr>
          <w:p w:rsidR="00DC27EA" w:rsidRPr="00857BA9" w:rsidP="004213D9" w14:paraId="4BE049F0" w14:textId="77777777">
            <w:pPr>
              <w:ind w:left="-42" w:right="-108"/>
            </w:pPr>
            <w:r w:rsidRPr="00857BA9">
              <w:t>Sabiedrības mērķgrupas, kuras tiesiskais regulējums ietekmē vai varētu ietekmēt</w:t>
            </w:r>
          </w:p>
        </w:tc>
        <w:tc>
          <w:tcPr>
            <w:tcW w:w="3128" w:type="pct"/>
          </w:tcPr>
          <w:p w:rsidR="00DC27EA" w:rsidRPr="00D07721" w:rsidP="003F165E" w14:paraId="768146BD" w14:textId="77777777">
            <w:pPr>
              <w:jc w:val="both"/>
              <w:rPr>
                <w:i/>
              </w:rPr>
            </w:pPr>
            <w:r w:rsidRPr="009A18BC">
              <w:t>Noteikumu projektā ietvertie normu grozījumi attiecas uz visiem no valsts budžeta apmaksāto veselības aprūpes pakalpojumu sniedzējiem un saņēmējiem.</w:t>
            </w:r>
          </w:p>
        </w:tc>
      </w:tr>
      <w:tr w14:paraId="12B5AE29" w14:textId="77777777" w:rsidTr="005769B4">
        <w:tblPrEx>
          <w:tblW w:w="5006" w:type="pct"/>
          <w:tblInd w:w="-5" w:type="dxa"/>
          <w:tblLook w:val="01E0"/>
        </w:tblPrEx>
        <w:tc>
          <w:tcPr>
            <w:tcW w:w="285" w:type="pct"/>
          </w:tcPr>
          <w:p w:rsidR="00DC27EA" w:rsidRPr="00857BA9" w:rsidP="004213D9" w14:paraId="5000E1D3" w14:textId="77777777">
            <w:r w:rsidRPr="00857BA9">
              <w:t>2.</w:t>
            </w:r>
          </w:p>
        </w:tc>
        <w:tc>
          <w:tcPr>
            <w:tcW w:w="1586" w:type="pct"/>
          </w:tcPr>
          <w:p w:rsidR="00DC27EA" w:rsidRPr="00857BA9" w:rsidP="004213D9" w14:paraId="4CE4381D" w14:textId="77777777">
            <w:pPr>
              <w:ind w:left="-42" w:right="-108"/>
            </w:pPr>
            <w:r w:rsidRPr="00857BA9">
              <w:t>Tiesiskā regulējuma ietekme uz tautsaimniecību un administratīvo slogu</w:t>
            </w:r>
          </w:p>
        </w:tc>
        <w:tc>
          <w:tcPr>
            <w:tcW w:w="3128" w:type="pct"/>
          </w:tcPr>
          <w:p w:rsidR="007C35F1" w:rsidP="009D270E" w14:paraId="6A498FEB" w14:textId="77777777">
            <w:pPr>
              <w:jc w:val="both"/>
            </w:pPr>
            <w:r>
              <w:t>Nav.</w:t>
            </w:r>
          </w:p>
          <w:p w:rsidR="00DC27EA" w:rsidRPr="00B767EF" w:rsidP="005E5CF1" w14:paraId="23230CFB" w14:textId="77777777">
            <w:pPr>
              <w:jc w:val="both"/>
              <w:rPr>
                <w:color w:val="000000" w:themeColor="text1"/>
              </w:rPr>
            </w:pPr>
          </w:p>
        </w:tc>
      </w:tr>
      <w:tr w14:paraId="454F170D" w14:textId="77777777" w:rsidTr="005769B4">
        <w:tblPrEx>
          <w:tblW w:w="5006" w:type="pct"/>
          <w:tblInd w:w="-5" w:type="dxa"/>
          <w:tblLook w:val="01E0"/>
        </w:tblPrEx>
        <w:tc>
          <w:tcPr>
            <w:tcW w:w="285" w:type="pct"/>
          </w:tcPr>
          <w:p w:rsidR="00DC27EA" w:rsidRPr="00857BA9" w:rsidP="004213D9" w14:paraId="5EE71E7A" w14:textId="77777777">
            <w:r w:rsidRPr="00857BA9">
              <w:t>3.</w:t>
            </w:r>
          </w:p>
        </w:tc>
        <w:tc>
          <w:tcPr>
            <w:tcW w:w="1586" w:type="pct"/>
          </w:tcPr>
          <w:p w:rsidR="00DC27EA" w:rsidRPr="00857BA9" w:rsidP="004213D9" w14:paraId="63892860" w14:textId="77777777">
            <w:pPr>
              <w:ind w:left="-42" w:right="-108"/>
            </w:pPr>
            <w:r w:rsidRPr="00857BA9">
              <w:t>Administratīvo izmaksu monetārs novērtējums</w:t>
            </w:r>
          </w:p>
        </w:tc>
        <w:tc>
          <w:tcPr>
            <w:tcW w:w="3128" w:type="pct"/>
          </w:tcPr>
          <w:p w:rsidR="00416A21" w:rsidRPr="00416A21" w:rsidP="004D5766" w14:paraId="1FDEE6F5" w14:textId="77777777">
            <w:pPr>
              <w:jc w:val="both"/>
            </w:pPr>
            <w:r>
              <w:t>Nav.</w:t>
            </w:r>
          </w:p>
        </w:tc>
      </w:tr>
      <w:tr w14:paraId="60FDE6AA" w14:textId="77777777" w:rsidTr="005769B4">
        <w:tblPrEx>
          <w:tblW w:w="5006" w:type="pct"/>
          <w:tblInd w:w="-5" w:type="dxa"/>
          <w:tblLook w:val="01E0"/>
        </w:tblPrEx>
        <w:tc>
          <w:tcPr>
            <w:tcW w:w="285" w:type="pct"/>
          </w:tcPr>
          <w:p w:rsidR="00DC27EA" w:rsidRPr="00857BA9" w:rsidP="004213D9" w14:paraId="06342398" w14:textId="77777777">
            <w:r w:rsidRPr="00857BA9">
              <w:t>4.</w:t>
            </w:r>
          </w:p>
        </w:tc>
        <w:tc>
          <w:tcPr>
            <w:tcW w:w="1586" w:type="pct"/>
          </w:tcPr>
          <w:p w:rsidR="00DC27EA" w:rsidRPr="00857BA9" w:rsidP="004213D9" w14:paraId="194637D7" w14:textId="77777777">
            <w:pPr>
              <w:ind w:left="-42" w:right="-108"/>
            </w:pPr>
            <w:r w:rsidRPr="00857BA9">
              <w:t>Cita informācija</w:t>
            </w:r>
          </w:p>
        </w:tc>
        <w:tc>
          <w:tcPr>
            <w:tcW w:w="3128" w:type="pct"/>
          </w:tcPr>
          <w:p w:rsidR="00DC27EA" w:rsidRPr="00857BA9" w:rsidP="004213D9" w14:paraId="35D900BB" w14:textId="77777777">
            <w:pPr>
              <w:jc w:val="both"/>
              <w:rPr>
                <w:highlight w:val="yellow"/>
              </w:rPr>
            </w:pPr>
            <w:r w:rsidRPr="00C10DBC">
              <w:t>Nav.</w:t>
            </w:r>
          </w:p>
        </w:tc>
      </w:tr>
    </w:tbl>
    <w:p w:rsidR="00DC27EA" w:rsidP="00C421D8" w14:paraId="0786F4B5" w14:textId="70BA032F">
      <w:pPr>
        <w:ind w:right="-143"/>
      </w:pPr>
    </w:p>
    <w:p w:rsidR="001D07A1" w:rsidP="005769B4" w14:paraId="453C9AD8" w14:textId="77777777">
      <w:pPr>
        <w:ind w:right="-1"/>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73"/>
        <w:gridCol w:w="1713"/>
        <w:gridCol w:w="1614"/>
        <w:gridCol w:w="1257"/>
        <w:gridCol w:w="1270"/>
        <w:gridCol w:w="1528"/>
      </w:tblGrid>
      <w:tr w14:paraId="58765098" w14:textId="77777777" w:rsidTr="00570E79">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996161" w:rsidRPr="009B601B" w:rsidP="00570E79" w14:paraId="5486F51E" w14:textId="77777777">
            <w:pPr>
              <w:spacing w:before="75" w:after="75"/>
              <w:jc w:val="center"/>
              <w:rPr>
                <w:rFonts w:eastAsia="Times New Roman" w:cs="Times New Roman"/>
                <w:szCs w:val="24"/>
                <w:lang w:eastAsia="lv-LV"/>
              </w:rPr>
            </w:pPr>
            <w:r w:rsidRPr="009B601B">
              <w:rPr>
                <w:rFonts w:eastAsia="Times New Roman" w:cs="Times New Roman"/>
                <w:b/>
                <w:bCs/>
                <w:szCs w:val="24"/>
                <w:lang w:eastAsia="lv-LV"/>
              </w:rPr>
              <w:t>III. Tiesību akta projekta ietekme uz valsts budžetu un pašvaldību budžetiem</w:t>
            </w:r>
          </w:p>
        </w:tc>
      </w:tr>
      <w:tr w14:paraId="1C87F9FC" w14:textId="77777777" w:rsidTr="00570E79">
        <w:tblPrEx>
          <w:tblW w:w="5000" w:type="pct"/>
          <w:jc w:val="center"/>
          <w:tblCellMar>
            <w:top w:w="30" w:type="dxa"/>
            <w:left w:w="30" w:type="dxa"/>
            <w:bottom w:w="30" w:type="dxa"/>
            <w:right w:w="30" w:type="dxa"/>
          </w:tblCellMar>
          <w:tblLook w:val="04A0"/>
        </w:tblPrEx>
        <w:trPr>
          <w:jc w:val="center"/>
        </w:trPr>
        <w:tc>
          <w:tcPr>
            <w:tcW w:w="924" w:type="pct"/>
            <w:vMerge w:val="restar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DFEC91C" w14:textId="77777777">
            <w:pPr>
              <w:spacing w:before="75" w:after="75"/>
              <w:rPr>
                <w:rFonts w:eastAsia="Times New Roman" w:cs="Times New Roman"/>
                <w:szCs w:val="24"/>
                <w:lang w:eastAsia="lv-LV"/>
              </w:rPr>
            </w:pPr>
            <w:r w:rsidRPr="009B601B">
              <w:rPr>
                <w:rFonts w:eastAsia="Times New Roman" w:cs="Times New Roman"/>
                <w:b/>
                <w:bCs/>
                <w:szCs w:val="24"/>
                <w:lang w:eastAsia="lv-LV"/>
              </w:rPr>
              <w:t>Rādītāji</w:t>
            </w:r>
          </w:p>
        </w:tc>
        <w:tc>
          <w:tcPr>
            <w:tcW w:w="183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276149C"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2017. gads</w:t>
            </w:r>
          </w:p>
        </w:tc>
        <w:tc>
          <w:tcPr>
            <w:tcW w:w="2239" w:type="pct"/>
            <w:gridSpan w:val="3"/>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7016B8E" w14:textId="77777777">
            <w:pPr>
              <w:spacing w:before="75" w:after="75"/>
              <w:jc w:val="center"/>
              <w:rPr>
                <w:rFonts w:eastAsia="Times New Roman" w:cs="Times New Roman"/>
                <w:szCs w:val="24"/>
                <w:lang w:eastAsia="lv-LV"/>
              </w:rPr>
            </w:pPr>
            <w:r w:rsidRPr="009B601B">
              <w:rPr>
                <w:rFonts w:eastAsia="Times New Roman" w:cs="Times New Roman"/>
                <w:szCs w:val="24"/>
                <w:lang w:eastAsia="lv-LV"/>
              </w:rPr>
              <w:t>Turpmākie trīs gadi (</w:t>
            </w:r>
            <w:r w:rsidRPr="009B601B">
              <w:rPr>
                <w:rFonts w:eastAsia="Times New Roman" w:cs="Times New Roman"/>
                <w:i/>
                <w:szCs w:val="24"/>
                <w:lang w:eastAsia="lv-LV"/>
              </w:rPr>
              <w:t>euro</w:t>
            </w:r>
            <w:r w:rsidRPr="009B601B">
              <w:rPr>
                <w:rFonts w:eastAsia="Times New Roman" w:cs="Times New Roman"/>
                <w:szCs w:val="24"/>
                <w:lang w:eastAsia="lv-LV"/>
              </w:rPr>
              <w:t>)</w:t>
            </w:r>
          </w:p>
        </w:tc>
      </w:tr>
      <w:tr w14:paraId="311EF57B" w14:textId="77777777" w:rsidTr="00570E79">
        <w:tblPrEx>
          <w:tblW w:w="5000" w:type="pct"/>
          <w:jc w:val="center"/>
          <w:tblCellMar>
            <w:top w:w="30" w:type="dxa"/>
            <w:left w:w="30" w:type="dxa"/>
            <w:bottom w:w="30" w:type="dxa"/>
            <w:right w:w="30" w:type="dxa"/>
          </w:tblCellMar>
          <w:tblLook w:val="04A0"/>
        </w:tblPrEx>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278DF265" w14:textId="77777777">
            <w:pPr>
              <w:rPr>
                <w:rFonts w:eastAsia="Times New Roman" w:cs="Times New Roman"/>
                <w:szCs w:val="24"/>
                <w:lang w:eastAsia="lv-LV"/>
              </w:rPr>
            </w:pPr>
          </w:p>
        </w:tc>
        <w:tc>
          <w:tcPr>
            <w:tcW w:w="1837" w:type="pct"/>
            <w:gridSpan w:val="2"/>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B98C8DD"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F5E744A"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65A028F3"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2019</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C4FEC09" w14:textId="77777777">
            <w:pPr>
              <w:spacing w:before="75" w:after="75"/>
              <w:rPr>
                <w:rFonts w:eastAsia="Times New Roman" w:cs="Times New Roman"/>
                <w:szCs w:val="24"/>
                <w:lang w:eastAsia="lv-LV"/>
              </w:rPr>
            </w:pPr>
            <w:r w:rsidRPr="009B601B">
              <w:rPr>
                <w:rFonts w:eastAsia="Times New Roman" w:cs="Times New Roman"/>
                <w:b/>
                <w:bCs/>
                <w:szCs w:val="24"/>
                <w:lang w:eastAsia="lv-LV"/>
              </w:rPr>
              <w:t>2020</w:t>
            </w:r>
          </w:p>
        </w:tc>
      </w:tr>
      <w:tr w14:paraId="637AB909" w14:textId="77777777" w:rsidTr="00570E79">
        <w:tblPrEx>
          <w:tblW w:w="5000" w:type="pct"/>
          <w:jc w:val="center"/>
          <w:tblCellMar>
            <w:top w:w="30" w:type="dxa"/>
            <w:left w:w="30" w:type="dxa"/>
            <w:bottom w:w="30" w:type="dxa"/>
            <w:right w:w="30" w:type="dxa"/>
          </w:tblCellMar>
          <w:tblLook w:val="04A0"/>
        </w:tblPrEx>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BBC2BDB" w14:textId="77777777">
            <w:pPr>
              <w:rPr>
                <w:rFonts w:eastAsia="Times New Roman" w:cs="Times New Roman"/>
                <w:szCs w:val="24"/>
                <w:lang w:eastAsia="lv-LV"/>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CEB1E90" w14:textId="77777777">
            <w:pPr>
              <w:spacing w:before="75" w:after="75"/>
              <w:rPr>
                <w:rFonts w:eastAsia="Times New Roman" w:cs="Times New Roman"/>
                <w:szCs w:val="24"/>
                <w:lang w:eastAsia="lv-LV"/>
              </w:rPr>
            </w:pPr>
            <w:r w:rsidRPr="009B601B">
              <w:rPr>
                <w:rFonts w:eastAsia="Times New Roman" w:cs="Times New Roman"/>
                <w:szCs w:val="24"/>
                <w:lang w:eastAsia="lv-LV"/>
              </w:rPr>
              <w:t>saskaņā ar valsts budžetu kārtējam gadam*</w:t>
            </w:r>
          </w:p>
        </w:tc>
        <w:tc>
          <w:tcPr>
            <w:tcW w:w="89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3006861" w14:textId="77777777">
            <w:pPr>
              <w:spacing w:before="75" w:after="75"/>
              <w:rPr>
                <w:rFonts w:eastAsia="Times New Roman" w:cs="Times New Roman"/>
                <w:szCs w:val="24"/>
                <w:lang w:eastAsia="lv-LV"/>
              </w:rPr>
            </w:pPr>
            <w:r w:rsidRPr="009B601B">
              <w:rPr>
                <w:rFonts w:eastAsia="Times New Roman" w:cs="Times New Roman"/>
                <w:szCs w:val="24"/>
                <w:lang w:eastAsia="lv-LV"/>
              </w:rPr>
              <w:t>izmaiņas kārtējā gadā, salīdzinot ar valsts budžetu kārtējam gadam</w:t>
            </w: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1B14AEB"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399418FA"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18EEF30"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r>
      <w:tr w14:paraId="026C6F82" w14:textId="77777777" w:rsidTr="00570E79">
        <w:tblPrEx>
          <w:tblW w:w="5000" w:type="pct"/>
          <w:jc w:val="center"/>
          <w:tblCellMar>
            <w:top w:w="30" w:type="dxa"/>
            <w:left w:w="30" w:type="dxa"/>
            <w:bottom w:w="30" w:type="dxa"/>
            <w:right w:w="30" w:type="dxa"/>
          </w:tblCellMar>
          <w:tblLook w:val="04A0"/>
        </w:tblPrEx>
        <w:trPr>
          <w:trHeight w:val="346"/>
          <w:jc w:val="center"/>
        </w:trPr>
        <w:tc>
          <w:tcPr>
            <w:tcW w:w="92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6197BBD"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1</w:t>
            </w:r>
          </w:p>
        </w:tc>
        <w:tc>
          <w:tcPr>
            <w:tcW w:w="946"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AACF56D"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2</w:t>
            </w:r>
          </w:p>
        </w:tc>
        <w:tc>
          <w:tcPr>
            <w:tcW w:w="89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6850227F"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3</w:t>
            </w: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65486269"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4</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24F45526"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5</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C736813"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6</w:t>
            </w:r>
          </w:p>
        </w:tc>
      </w:tr>
      <w:tr w14:paraId="00393FD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14FE7019" w14:textId="77777777">
            <w:pPr>
              <w:rPr>
                <w:rFonts w:eastAsia="Times New Roman" w:cs="Times New Roman"/>
                <w:b/>
                <w:bCs/>
                <w:szCs w:val="24"/>
                <w:lang w:eastAsia="lv-LV"/>
              </w:rPr>
            </w:pPr>
            <w:r w:rsidRPr="009B601B">
              <w:rPr>
                <w:rFonts w:eastAsia="Times New Roman" w:cs="Times New Roman"/>
                <w:b/>
                <w:bCs/>
                <w:szCs w:val="24"/>
                <w:lang w:eastAsia="lv-LV"/>
              </w:rPr>
              <w:t>1. Budžeta ieņēmumi: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14:paraId="001F2676" w14:textId="77777777">
            <w:pPr>
              <w:jc w:val="center"/>
              <w:rPr>
                <w:rFonts w:eastAsia="Times New Roman" w:cs="Times New Roman"/>
                <w:b/>
                <w:szCs w:val="24"/>
                <w:lang w:eastAsia="lv-LV"/>
              </w:rPr>
            </w:pPr>
            <w:r w:rsidRPr="00C134B3">
              <w:rPr>
                <w:rFonts w:eastAsia="Times New Roman" w:cs="Times New Roman"/>
                <w:b/>
                <w:szCs w:val="24"/>
                <w:lang w:eastAsia="lv-LV"/>
              </w:rPr>
              <w:t>432 033 993</w:t>
            </w: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461329E6" w14:textId="77777777">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83B3CC3"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396F5C2"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115EE30E" w14:textId="77777777">
            <w:pPr>
              <w:rPr>
                <w:rFonts w:eastAsia="Times New Roman" w:cs="Times New Roman"/>
                <w:szCs w:val="24"/>
                <w:lang w:eastAsia="lv-LV"/>
              </w:rPr>
            </w:pPr>
          </w:p>
        </w:tc>
      </w:tr>
      <w:tr w14:paraId="4CD085B0"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F520374" w14:textId="77777777">
            <w:pPr>
              <w:rPr>
                <w:rFonts w:eastAsia="Times New Roman" w:cs="Times New Roman"/>
                <w:szCs w:val="24"/>
                <w:lang w:eastAsia="lv-LV"/>
              </w:rPr>
            </w:pPr>
            <w:r w:rsidRPr="009B601B">
              <w:rPr>
                <w:rFonts w:eastAsia="Times New Roman" w:cs="Times New Roman"/>
                <w:szCs w:val="24"/>
                <w:lang w:eastAsia="lv-LV"/>
              </w:rPr>
              <w:t>1.1. valsts pamatbudžets, tai skaitā ieņēmumi no maksas pakalpojumiem un citi pašu ieņēmumi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14:paraId="785B3A67" w14:textId="77777777">
            <w:pPr>
              <w:jc w:val="center"/>
              <w:rPr>
                <w:rFonts w:eastAsia="Times New Roman" w:cs="Times New Roman"/>
                <w:szCs w:val="24"/>
                <w:lang w:eastAsia="lv-LV"/>
              </w:rPr>
            </w:pPr>
            <w:r w:rsidRPr="00C134B3">
              <w:rPr>
                <w:rFonts w:eastAsia="Times New Roman" w:cs="Times New Roman"/>
                <w:szCs w:val="24"/>
                <w:lang w:eastAsia="lv-LV"/>
              </w:rPr>
              <w:t>432 033 993</w:t>
            </w:r>
          </w:p>
          <w:p w:rsidR="00996161" w:rsidP="00570E79" w14:paraId="5EDC71A9" w14:textId="77777777">
            <w:pPr>
              <w:jc w:val="center"/>
              <w:rPr>
                <w:rFonts w:eastAsia="Times New Roman" w:cs="Times New Roman"/>
                <w:szCs w:val="24"/>
                <w:lang w:eastAsia="lv-LV"/>
              </w:rPr>
            </w:pPr>
          </w:p>
          <w:p w:rsidR="00996161" w:rsidRPr="00C134B3" w:rsidP="00570E79" w14:paraId="4A013E21" w14:textId="77777777">
            <w:pPr>
              <w:jc w:val="center"/>
              <w:rPr>
                <w:rFonts w:eastAsia="Times New Roman" w:cs="Times New Roman"/>
                <w:sz w:val="22"/>
                <w:lang w:eastAsia="lv-LV"/>
              </w:rPr>
            </w:pPr>
            <w:r w:rsidRPr="00C134B3">
              <w:rPr>
                <w:rFonts w:eastAsia="Times New Roman" w:cs="Times New Roman"/>
                <w:sz w:val="22"/>
                <w:lang w:eastAsia="lv-LV"/>
              </w:rPr>
              <w:t>10 166 515</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CB95ABF"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DDB144C"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38A68951"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67EEBCDE" w14:textId="77777777">
            <w:pPr>
              <w:rPr>
                <w:rFonts w:eastAsia="Times New Roman" w:cs="Times New Roman"/>
                <w:szCs w:val="24"/>
                <w:lang w:eastAsia="lv-LV"/>
              </w:rPr>
            </w:pPr>
          </w:p>
        </w:tc>
      </w:tr>
      <w:tr w14:paraId="1B2B0AE5"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76A58022" w14:textId="77777777">
            <w:pPr>
              <w:rPr>
                <w:rFonts w:eastAsia="Times New Roman" w:cs="Times New Roman"/>
                <w:szCs w:val="24"/>
                <w:lang w:eastAsia="lv-LV"/>
              </w:rPr>
            </w:pPr>
            <w:r>
              <w:rPr>
                <w:rFonts w:eastAsia="Times New Roman" w:cs="Times New Roman"/>
                <w:color w:val="000000"/>
                <w:szCs w:val="24"/>
                <w:shd w:val="clear" w:color="auto" w:fill="FFFFFF"/>
                <w:lang w:eastAsia="lv-LV"/>
              </w:rPr>
              <w:t>33.03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Kompensējamo medikamentu un 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P="00570E79" w14:paraId="46319854" w14:textId="77777777">
            <w:pPr>
              <w:jc w:val="center"/>
              <w:rPr>
                <w:rFonts w:eastAsia="Times New Roman" w:cs="Times New Roman"/>
                <w:szCs w:val="24"/>
                <w:lang w:eastAsia="lv-LV"/>
              </w:rPr>
            </w:pPr>
            <w:r>
              <w:rPr>
                <w:rFonts w:eastAsia="Times New Roman" w:cs="Times New Roman"/>
                <w:szCs w:val="24"/>
                <w:lang w:eastAsia="lv-LV"/>
              </w:rPr>
              <w:t>142 762 336</w:t>
            </w:r>
          </w:p>
          <w:p w:rsidR="00996161" w:rsidP="00570E79" w14:paraId="77ADB1A5" w14:textId="77777777">
            <w:pPr>
              <w:jc w:val="center"/>
              <w:rPr>
                <w:rFonts w:eastAsia="Times New Roman" w:cs="Times New Roman"/>
                <w:szCs w:val="24"/>
                <w:lang w:eastAsia="lv-LV"/>
              </w:rPr>
            </w:pPr>
          </w:p>
          <w:p w:rsidR="00996161" w:rsidRPr="00735BA4" w:rsidP="00570E79" w14:paraId="5D84ECB1" w14:textId="77777777">
            <w:pPr>
              <w:pStyle w:val="ListParagraph"/>
              <w:numPr>
                <w:ilvl w:val="0"/>
                <w:numId w:val="12"/>
              </w:numPr>
              <w:jc w:val="center"/>
              <w:rPr>
                <w:rFonts w:eastAsia="Times New Roman" w:cs="Times New Roman"/>
                <w:sz w:val="22"/>
                <w:lang w:eastAsia="lv-LV"/>
              </w:rPr>
            </w:pPr>
            <w:r w:rsidRPr="00735BA4">
              <w:rPr>
                <w:rFonts w:eastAsia="Times New Roman" w:cs="Times New Roman"/>
                <w:sz w:val="22"/>
                <w:lang w:eastAsia="lv-LV"/>
              </w:rPr>
              <w:t>141 463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4F7935EA"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735BA4" w:rsidP="00570E79" w14:paraId="78163642" w14:textId="77777777">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72C8388"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1BEAE21" w14:textId="77777777">
            <w:pPr>
              <w:rPr>
                <w:rFonts w:eastAsia="Times New Roman" w:cs="Times New Roman"/>
                <w:szCs w:val="24"/>
                <w:lang w:eastAsia="lv-LV"/>
              </w:rPr>
            </w:pPr>
          </w:p>
        </w:tc>
      </w:tr>
      <w:tr w14:paraId="1533BEB8"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P="00570E79" w14:paraId="5D4DC40A" w14:textId="77777777">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Centralizēta medikamentu un 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P="00570E79" w14:paraId="0B668D1A" w14:textId="77777777">
            <w:pPr>
              <w:jc w:val="center"/>
              <w:rPr>
                <w:rFonts w:eastAsia="Times New Roman" w:cs="Times New Roman"/>
                <w:szCs w:val="24"/>
                <w:lang w:eastAsia="lv-LV"/>
              </w:rPr>
            </w:pPr>
            <w:r>
              <w:rPr>
                <w:rFonts w:eastAsia="Times New Roman" w:cs="Times New Roman"/>
                <w:szCs w:val="24"/>
                <w:lang w:eastAsia="lv-LV"/>
              </w:rPr>
              <w:t>11 458 746</w:t>
            </w:r>
          </w:p>
          <w:p w:rsidR="00996161" w:rsidP="00570E79" w14:paraId="783FCD46" w14:textId="77777777">
            <w:pPr>
              <w:jc w:val="center"/>
              <w:rPr>
                <w:rFonts w:eastAsia="Times New Roman" w:cs="Times New Roman"/>
                <w:szCs w:val="24"/>
                <w:lang w:eastAsia="lv-LV"/>
              </w:rPr>
            </w:pPr>
          </w:p>
          <w:p w:rsidR="00996161" w:rsidP="00570E79" w14:paraId="42B2E46D" w14:textId="77777777">
            <w:pPr>
              <w:jc w:val="center"/>
              <w:rPr>
                <w:rFonts w:eastAsia="Times New Roman" w:cs="Times New Roman"/>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63F1F5F3"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735BA4" w:rsidP="00570E79" w14:paraId="547548A3" w14:textId="77777777">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32707B7E"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203E684B" w14:textId="77777777">
            <w:pPr>
              <w:rPr>
                <w:rFonts w:eastAsia="Times New Roman" w:cs="Times New Roman"/>
                <w:szCs w:val="24"/>
                <w:lang w:eastAsia="lv-LV"/>
              </w:rPr>
            </w:pPr>
          </w:p>
        </w:tc>
      </w:tr>
      <w:tr w14:paraId="19850533"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7D285888"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33.16.00 „Pārējo ambulatoro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P="00570E79" w14:paraId="0FD94262"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176 754 778</w:t>
            </w:r>
          </w:p>
          <w:p w:rsidR="00996161" w:rsidP="00570E79" w14:paraId="1CD46F83" w14:textId="77777777">
            <w:pPr>
              <w:jc w:val="center"/>
              <w:rPr>
                <w:rFonts w:eastAsia="Times New Roman" w:cs="Times New Roman"/>
                <w:color w:val="000000"/>
                <w:szCs w:val="24"/>
                <w:shd w:val="clear" w:color="auto" w:fill="FFFFFF"/>
                <w:lang w:eastAsia="lv-LV"/>
              </w:rPr>
            </w:pPr>
          </w:p>
          <w:p w:rsidR="00996161" w:rsidRPr="00C134B3" w:rsidP="00570E79" w14:paraId="1CC6BA20" w14:textId="77777777">
            <w:pPr>
              <w:jc w:val="center"/>
              <w:rPr>
                <w:rFonts w:eastAsia="Times New Roman" w:cs="Times New Roman"/>
                <w:color w:val="000000"/>
                <w:sz w:val="22"/>
                <w:shd w:val="clear" w:color="auto" w:fill="FFFFFF"/>
                <w:lang w:eastAsia="lv-LV"/>
              </w:rPr>
            </w:pPr>
            <w:r w:rsidRPr="00C134B3">
              <w:rPr>
                <w:rFonts w:eastAsia="Times New Roman" w:cs="Times New Roman"/>
                <w:color w:val="000000"/>
                <w:sz w:val="22"/>
                <w:shd w:val="clear" w:color="auto" w:fill="FFFFFF"/>
                <w:lang w:eastAsia="lv-LV"/>
              </w:rPr>
              <w:t>25 052</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0EDF26AF"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21DBBEE0"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6364CCD"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6C2D1B81" w14:textId="77777777">
            <w:pPr>
              <w:rPr>
                <w:rFonts w:eastAsia="Times New Roman" w:cs="Times New Roman"/>
                <w:szCs w:val="24"/>
                <w:lang w:eastAsia="lv-LV"/>
              </w:rPr>
            </w:pPr>
          </w:p>
        </w:tc>
      </w:tr>
      <w:tr w14:paraId="0D0B4335"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1F252735"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P="00570E79" w14:paraId="6F5DE023"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101 058 133</w:t>
            </w:r>
          </w:p>
          <w:p w:rsidR="00996161" w:rsidRPr="009B601B" w:rsidP="00570E79" w14:paraId="7F6C8E48" w14:textId="77777777">
            <w:pPr>
              <w:jc w:val="center"/>
              <w:rPr>
                <w:rFonts w:eastAsia="Times New Roman" w:cs="Times New Roman"/>
                <w:color w:val="000000"/>
                <w:szCs w:val="24"/>
                <w:shd w:val="clear" w:color="auto" w:fill="FFFFFF"/>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029B4BD5"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1AB8DE9B"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140AAF1"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68EAA6BB" w14:textId="77777777">
            <w:pPr>
              <w:rPr>
                <w:rFonts w:eastAsia="Times New Roman" w:cs="Times New Roman"/>
                <w:szCs w:val="24"/>
                <w:lang w:eastAsia="lv-LV"/>
              </w:rPr>
            </w:pPr>
          </w:p>
        </w:tc>
      </w:tr>
      <w:tr w14:paraId="537E38BB"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041DF19E" w14:textId="77777777">
            <w:pPr>
              <w:rPr>
                <w:rFonts w:eastAsia="Times New Roman" w:cs="Times New Roman"/>
                <w:szCs w:val="24"/>
                <w:lang w:eastAsia="lv-LV"/>
              </w:rPr>
            </w:pPr>
            <w:r w:rsidRPr="009B601B">
              <w:rPr>
                <w:rFonts w:eastAsia="Times New Roman" w:cs="Times New Roman"/>
                <w:szCs w:val="24"/>
                <w:lang w:eastAsia="lv-LV"/>
              </w:rPr>
              <w:t>1.2. valsts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BCAF811"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049B6A76"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94FF2E1"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B257C8D"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18280CC2" w14:textId="77777777">
            <w:pPr>
              <w:rPr>
                <w:rFonts w:eastAsia="Times New Roman" w:cs="Times New Roman"/>
                <w:strike/>
                <w:szCs w:val="24"/>
                <w:lang w:eastAsia="lv-LV"/>
              </w:rPr>
            </w:pPr>
          </w:p>
        </w:tc>
      </w:tr>
      <w:tr w14:paraId="5060A68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C533800" w14:textId="77777777">
            <w:pPr>
              <w:rPr>
                <w:rFonts w:eastAsia="Times New Roman" w:cs="Times New Roman"/>
                <w:szCs w:val="24"/>
                <w:lang w:eastAsia="lv-LV"/>
              </w:rPr>
            </w:pPr>
            <w:r w:rsidRPr="009B601B">
              <w:rPr>
                <w:rFonts w:eastAsia="Times New Roman" w:cs="Times New Roman"/>
                <w:szCs w:val="24"/>
                <w:lang w:eastAsia="lv-LV"/>
              </w:rPr>
              <w:t>1.3. pašvaldību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F981838"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58E5C301"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0176F314"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B580774"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B22C809" w14:textId="77777777">
            <w:pPr>
              <w:rPr>
                <w:rFonts w:eastAsia="Times New Roman" w:cs="Times New Roman"/>
                <w:strike/>
                <w:szCs w:val="24"/>
                <w:lang w:eastAsia="lv-LV"/>
              </w:rPr>
            </w:pPr>
          </w:p>
        </w:tc>
      </w:tr>
      <w:tr w14:paraId="78CA049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6E0ADA2" w14:textId="77777777">
            <w:pPr>
              <w:rPr>
                <w:rFonts w:eastAsia="Times New Roman" w:cs="Times New Roman"/>
                <w:b/>
                <w:bCs/>
                <w:szCs w:val="24"/>
                <w:lang w:eastAsia="lv-LV"/>
              </w:rPr>
            </w:pPr>
            <w:r w:rsidRPr="009B601B">
              <w:rPr>
                <w:rFonts w:eastAsia="Times New Roman" w:cs="Times New Roman"/>
                <w:b/>
                <w:bCs/>
                <w:szCs w:val="24"/>
                <w:lang w:eastAsia="lv-LV"/>
              </w:rPr>
              <w:t>2. Budžeta izdevumi: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14:paraId="1471E29E" w14:textId="77777777">
            <w:pPr>
              <w:jc w:val="center"/>
              <w:rPr>
                <w:rFonts w:eastAsia="Times New Roman" w:cs="Times New Roman"/>
                <w:b/>
                <w:szCs w:val="24"/>
                <w:lang w:eastAsia="lv-LV"/>
              </w:rPr>
            </w:pPr>
            <w:r w:rsidRPr="00C134B3">
              <w:rPr>
                <w:rFonts w:eastAsia="Times New Roman" w:cs="Times New Roman"/>
                <w:b/>
                <w:szCs w:val="24"/>
                <w:lang w:eastAsia="lv-LV"/>
              </w:rPr>
              <w:t>432 033 993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700F74CD" w14:textId="77777777">
            <w:pPr>
              <w:rPr>
                <w:rFonts w:eastAsia="Times New Roman" w:cs="Times New Roman"/>
                <w:b/>
                <w:szCs w:val="24"/>
                <w:lang w:eastAsia="lv-LV"/>
              </w:rPr>
            </w:pPr>
            <w:r w:rsidRPr="009B601B">
              <w:rPr>
                <w:rFonts w:eastAsia="Times New Roman" w:cs="Times New Roman"/>
                <w:b/>
                <w:szCs w:val="24"/>
                <w:lang w:eastAsia="lv-LV"/>
              </w:rPr>
              <w:t>0</w:t>
            </w: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1C00DF86" w14:textId="77777777">
            <w:pPr>
              <w:rPr>
                <w:rFonts w:eastAsia="Times New Roman" w:cs="Times New Roman"/>
                <w:szCs w:val="24"/>
                <w:lang w:eastAsia="lv-LV"/>
              </w:rPr>
            </w:pPr>
            <w:r w:rsidRPr="009B601B">
              <w:rPr>
                <w:rFonts w:eastAsia="Times New Roman" w:cs="Times New Roman"/>
                <w:szCs w:val="24"/>
                <w:lang w:eastAsia="lv-LV"/>
              </w:rPr>
              <w:t>0</w:t>
            </w: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88BE5AE" w14:textId="77777777">
            <w:pPr>
              <w:rPr>
                <w:rFonts w:eastAsia="Times New Roman" w:cs="Times New Roman"/>
                <w:szCs w:val="24"/>
                <w:lang w:eastAsia="lv-LV"/>
              </w:rPr>
            </w:pPr>
            <w:r w:rsidRPr="009B601B">
              <w:rPr>
                <w:rFonts w:eastAsia="Times New Roman" w:cs="Times New Roman"/>
                <w:szCs w:val="24"/>
                <w:lang w:eastAsia="lv-LV"/>
              </w:rPr>
              <w:t>0</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9F7216C" w14:textId="77777777">
            <w:pPr>
              <w:rPr>
                <w:rFonts w:eastAsia="Times New Roman" w:cs="Times New Roman"/>
                <w:szCs w:val="24"/>
                <w:lang w:eastAsia="lv-LV"/>
              </w:rPr>
            </w:pPr>
            <w:r w:rsidRPr="009B601B">
              <w:rPr>
                <w:rFonts w:eastAsia="Times New Roman" w:cs="Times New Roman"/>
                <w:szCs w:val="24"/>
                <w:lang w:eastAsia="lv-LV"/>
              </w:rPr>
              <w:t>0</w:t>
            </w:r>
          </w:p>
        </w:tc>
      </w:tr>
      <w:tr w14:paraId="6919448D"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91E5B28" w14:textId="77777777">
            <w:pPr>
              <w:rPr>
                <w:rFonts w:eastAsia="Times New Roman" w:cs="Times New Roman"/>
                <w:szCs w:val="24"/>
                <w:lang w:eastAsia="lv-LV"/>
              </w:rPr>
            </w:pPr>
            <w:r w:rsidRPr="009B601B">
              <w:rPr>
                <w:rFonts w:eastAsia="Times New Roman" w:cs="Times New Roman"/>
                <w:szCs w:val="24"/>
                <w:lang w:eastAsia="lv-LV"/>
              </w:rPr>
              <w:t>2.1. valsts pamatbudžets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1C9C1322" w14:textId="77777777">
            <w:pPr>
              <w:jc w:val="center"/>
              <w:rPr>
                <w:rFonts w:eastAsia="Times New Roman" w:cs="Times New Roman"/>
                <w:szCs w:val="24"/>
                <w:lang w:eastAsia="lv-LV"/>
              </w:rPr>
            </w:pPr>
            <w:r>
              <w:rPr>
                <w:rFonts w:eastAsia="Times New Roman" w:cs="Times New Roman"/>
                <w:szCs w:val="24"/>
                <w:lang w:eastAsia="lv-LV"/>
              </w:rPr>
              <w:t>432 033 993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A96ADBC"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7193C97B"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DA558C3"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B4B0C07" w14:textId="77777777">
            <w:pPr>
              <w:rPr>
                <w:rFonts w:eastAsia="Times New Roman" w:cs="Times New Roman"/>
                <w:strike/>
                <w:szCs w:val="24"/>
                <w:lang w:eastAsia="lv-LV"/>
              </w:rPr>
            </w:pPr>
          </w:p>
        </w:tc>
      </w:tr>
      <w:tr w14:paraId="2B91C46B"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0967D787" w14:textId="77777777">
            <w:pPr>
              <w:rPr>
                <w:rFonts w:eastAsia="Times New Roman" w:cs="Times New Roman"/>
                <w:szCs w:val="24"/>
                <w:lang w:eastAsia="lv-LV"/>
              </w:rPr>
            </w:pPr>
            <w:r w:rsidRPr="009B601B">
              <w:rPr>
                <w:rFonts w:eastAsia="Times New Roman" w:cs="Times New Roman"/>
                <w:color w:val="000000"/>
                <w:szCs w:val="24"/>
                <w:shd w:val="clear" w:color="auto" w:fill="FFFFFF"/>
                <w:lang w:eastAsia="lv-LV"/>
              </w:rPr>
              <w:t>33.</w:t>
            </w:r>
            <w:r>
              <w:rPr>
                <w:rFonts w:eastAsia="Times New Roman" w:cs="Times New Roman"/>
                <w:color w:val="000000"/>
                <w:szCs w:val="24"/>
                <w:shd w:val="clear" w:color="auto" w:fill="FFFFFF"/>
                <w:lang w:eastAsia="lv-LV"/>
              </w:rPr>
              <w:t>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Kompensējamo medikamentu un 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RPr="00E924AC" w:rsidP="00570E79" w14:paraId="6FC404A5" w14:textId="77777777">
            <w:pPr>
              <w:jc w:val="center"/>
              <w:rPr>
                <w:rFonts w:eastAsia="Times New Roman" w:cs="Times New Roman"/>
                <w:szCs w:val="24"/>
                <w:lang w:eastAsia="lv-LV"/>
              </w:rPr>
            </w:pPr>
            <w:r w:rsidRPr="00E924AC">
              <w:rPr>
                <w:rFonts w:eastAsia="Times New Roman" w:cs="Times New Roman"/>
                <w:szCs w:val="24"/>
                <w:lang w:eastAsia="lv-LV"/>
              </w:rPr>
              <w:t>142 762 336</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4DF32D65"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0521547C" w14:textId="77777777">
            <w:pPr>
              <w:rPr>
                <w:rFonts w:eastAsia="Times New Roman" w:cs="Times New Roman"/>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AB2D5E3" w14:textId="77777777">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69C4522F" w14:textId="77777777">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r>
      <w:tr w14:paraId="7770A7EA"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12291391" w14:textId="77777777">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Centralizēta medikamentu un 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RPr="00E924AC" w:rsidP="00570E79" w14:paraId="4CE05B38" w14:textId="77777777">
            <w:pPr>
              <w:jc w:val="center"/>
              <w:rPr>
                <w:rFonts w:eastAsia="Times New Roman" w:cs="Times New Roman"/>
                <w:szCs w:val="24"/>
                <w:lang w:eastAsia="lv-LV"/>
              </w:rPr>
            </w:pPr>
            <w:r>
              <w:rPr>
                <w:rFonts w:eastAsia="Times New Roman" w:cs="Times New Roman"/>
                <w:szCs w:val="24"/>
                <w:lang w:eastAsia="lv-LV"/>
              </w:rPr>
              <w:t>11 458 746</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5618605D"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0035B4A5" w14:textId="77777777">
            <w:pPr>
              <w:rPr>
                <w:rFonts w:eastAsia="Times New Roman" w:cs="Times New Roman"/>
                <w:szCs w:val="24"/>
                <w:lang w:eastAsia="lv-LV"/>
              </w:rPr>
            </w:pPr>
            <w:r>
              <w:rPr>
                <w:rFonts w:eastAsia="Times New Roman" w:cs="Times New Roman"/>
                <w:szCs w:val="24"/>
                <w:lang w:eastAsia="lv-LV"/>
              </w:rPr>
              <w:t>3 819 265</w:t>
            </w: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275FBDCA" w14:textId="77777777">
            <w:pPr>
              <w:rPr>
                <w:rFonts w:eastAsia="Times New Roman" w:cs="Times New Roman"/>
                <w:strike/>
                <w:szCs w:val="24"/>
                <w:lang w:eastAsia="lv-LV"/>
              </w:rPr>
            </w:pPr>
            <w:r>
              <w:rPr>
                <w:rFonts w:eastAsia="Times New Roman" w:cs="Times New Roman"/>
                <w:szCs w:val="24"/>
                <w:lang w:eastAsia="lv-LV"/>
              </w:rPr>
              <w:t>3 819 265</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1F00A96E" w14:textId="77777777">
            <w:pPr>
              <w:rPr>
                <w:rFonts w:eastAsia="Times New Roman" w:cs="Times New Roman"/>
                <w:strike/>
                <w:szCs w:val="24"/>
                <w:lang w:eastAsia="lv-LV"/>
              </w:rPr>
            </w:pPr>
            <w:r>
              <w:rPr>
                <w:rFonts w:eastAsia="Times New Roman" w:cs="Times New Roman"/>
                <w:szCs w:val="24"/>
                <w:lang w:eastAsia="lv-LV"/>
              </w:rPr>
              <w:t>3 819 265</w:t>
            </w:r>
          </w:p>
        </w:tc>
      </w:tr>
      <w:tr w14:paraId="58B3106A"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37E6BCBC"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 xml:space="preserve">33.16.00 „Pārējo ambulatoro veselības aprūpes </w:t>
            </w:r>
            <w:r w:rsidRPr="009B601B">
              <w:rPr>
                <w:rFonts w:eastAsia="Times New Roman" w:cs="Times New Roman"/>
                <w:color w:val="000000"/>
                <w:szCs w:val="24"/>
                <w:shd w:val="clear" w:color="auto" w:fill="FFFFFF"/>
                <w:lang w:eastAsia="lv-LV"/>
              </w:rPr>
              <w:t>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29E35489"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176 754 778</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112ED640"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4CDE1DDB" w14:textId="77777777">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02C34C7"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3AF15E15" w14:textId="77777777">
            <w:pPr>
              <w:rPr>
                <w:rFonts w:eastAsia="Times New Roman" w:cs="Times New Roman"/>
                <w:strike/>
                <w:szCs w:val="24"/>
                <w:lang w:eastAsia="lv-LV"/>
              </w:rPr>
            </w:pPr>
          </w:p>
        </w:tc>
      </w:tr>
      <w:tr w14:paraId="67CA649C"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688990FE"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08C3BFD"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101 058 133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1EE618FA"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7C58EDE8" w14:textId="77777777">
            <w:pPr>
              <w:rPr>
                <w:rFonts w:eastAsia="Times New Roman" w:cs="Times New Roman"/>
                <w:strike/>
                <w:szCs w:val="24"/>
                <w:lang w:eastAsia="lv-LV"/>
              </w:rPr>
            </w:pPr>
            <w:r>
              <w:rPr>
                <w:rFonts w:eastAsia="Times New Roman" w:cs="Times New Roman"/>
                <w:szCs w:val="24"/>
                <w:lang w:eastAsia="lv-LV"/>
              </w:rPr>
              <w:t>-1 119 265</w:t>
            </w: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7AABE6BC" w14:textId="77777777">
            <w:pPr>
              <w:rPr>
                <w:rFonts w:eastAsia="Times New Roman" w:cs="Times New Roman"/>
                <w:strike/>
                <w:szCs w:val="24"/>
                <w:lang w:eastAsia="lv-LV"/>
              </w:rPr>
            </w:pPr>
            <w:r>
              <w:rPr>
                <w:rFonts w:eastAsia="Times New Roman" w:cs="Times New Roman"/>
                <w:szCs w:val="24"/>
                <w:lang w:eastAsia="lv-LV"/>
              </w:rPr>
              <w:t>-1 119 265</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2FBFAFDC" w14:textId="77777777">
            <w:pPr>
              <w:rPr>
                <w:rFonts w:eastAsia="Times New Roman" w:cs="Times New Roman"/>
                <w:strike/>
                <w:szCs w:val="24"/>
                <w:lang w:eastAsia="lv-LV"/>
              </w:rPr>
            </w:pPr>
            <w:r>
              <w:rPr>
                <w:rFonts w:eastAsia="Times New Roman" w:cs="Times New Roman"/>
                <w:szCs w:val="24"/>
                <w:lang w:eastAsia="lv-LV"/>
              </w:rPr>
              <w:t>-1 119 265</w:t>
            </w:r>
          </w:p>
        </w:tc>
      </w:tr>
      <w:tr w14:paraId="5903448E"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5A829EC5" w14:textId="77777777">
            <w:pPr>
              <w:rPr>
                <w:rFonts w:eastAsia="Times New Roman" w:cs="Times New Roman"/>
                <w:szCs w:val="24"/>
                <w:lang w:eastAsia="lv-LV"/>
              </w:rPr>
            </w:pPr>
            <w:r w:rsidRPr="009B601B">
              <w:rPr>
                <w:rFonts w:eastAsia="Times New Roman" w:cs="Times New Roman"/>
                <w:szCs w:val="24"/>
                <w:lang w:eastAsia="lv-LV"/>
              </w:rPr>
              <w:t>2.2. valsts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6011CD32"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5F9EB01"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7FB95828"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477EBB9"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79ACEFC" w14:textId="77777777">
            <w:pPr>
              <w:rPr>
                <w:rFonts w:eastAsia="Times New Roman" w:cs="Times New Roman"/>
                <w:strike/>
                <w:szCs w:val="24"/>
                <w:lang w:eastAsia="lv-LV"/>
              </w:rPr>
            </w:pPr>
          </w:p>
        </w:tc>
      </w:tr>
      <w:tr w14:paraId="5F9BD85E"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6D69DF77" w14:textId="77777777">
            <w:pPr>
              <w:rPr>
                <w:rFonts w:eastAsia="Times New Roman" w:cs="Times New Roman"/>
                <w:szCs w:val="24"/>
                <w:lang w:eastAsia="lv-LV"/>
              </w:rPr>
            </w:pPr>
            <w:r w:rsidRPr="009B601B">
              <w:rPr>
                <w:rFonts w:eastAsia="Times New Roman" w:cs="Times New Roman"/>
                <w:szCs w:val="24"/>
                <w:lang w:eastAsia="lv-LV"/>
              </w:rPr>
              <w:t xml:space="preserve">2.3. pašvaldību budžets </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11AEB6F1"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76AD05CD"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6C489E6"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1CEB2349"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3B55C20" w14:textId="77777777">
            <w:pPr>
              <w:rPr>
                <w:rFonts w:eastAsia="Times New Roman" w:cs="Times New Roman"/>
                <w:strike/>
                <w:szCs w:val="24"/>
                <w:lang w:eastAsia="lv-LV"/>
              </w:rPr>
            </w:pPr>
          </w:p>
        </w:tc>
      </w:tr>
      <w:tr w14:paraId="3F99752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8C87672" w14:textId="77777777">
            <w:pPr>
              <w:rPr>
                <w:rFonts w:eastAsia="Times New Roman" w:cs="Times New Roman"/>
                <w:b/>
                <w:szCs w:val="24"/>
                <w:lang w:eastAsia="lv-LV"/>
              </w:rPr>
            </w:pPr>
            <w:r w:rsidRPr="009B601B">
              <w:rPr>
                <w:rFonts w:eastAsia="Times New Roman" w:cs="Times New Roman"/>
                <w:b/>
                <w:szCs w:val="24"/>
                <w:lang w:eastAsia="lv-LV"/>
              </w:rPr>
              <w:t>3. Finansiālā ietekme:</w:t>
            </w:r>
          </w:p>
        </w:tc>
        <w:tc>
          <w:tcPr>
            <w:tcW w:w="946" w:type="pct"/>
            <w:tcBorders>
              <w:top w:val="outset" w:sz="6" w:space="0" w:color="auto"/>
              <w:left w:val="outset" w:sz="6" w:space="0" w:color="auto"/>
              <w:bottom w:val="outset" w:sz="6" w:space="0" w:color="auto"/>
              <w:right w:val="outset" w:sz="6" w:space="0" w:color="auto"/>
            </w:tcBorders>
            <w:vAlign w:val="bottom"/>
          </w:tcPr>
          <w:p w:rsidR="00996161" w:rsidRPr="009B601B" w:rsidP="00570E79" w14:paraId="3D74ED9F" w14:textId="77777777">
            <w:pPr>
              <w:rPr>
                <w:rFonts w:eastAsia="Times New Roman" w:cs="Times New Roman"/>
                <w:b/>
                <w:strike/>
                <w:szCs w:val="24"/>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rsidR="00996161" w:rsidRPr="009B601B" w:rsidP="00570E79" w14:paraId="49CCD07E" w14:textId="77777777">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167428C" w14:textId="77777777">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170C75C" w14:textId="77777777">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E9CC75F" w14:textId="77777777">
            <w:pPr>
              <w:rPr>
                <w:rFonts w:eastAsia="Times New Roman" w:cs="Times New Roman"/>
                <w:b/>
                <w:strike/>
                <w:szCs w:val="24"/>
                <w:lang w:eastAsia="lv-LV"/>
              </w:rPr>
            </w:pPr>
          </w:p>
        </w:tc>
      </w:tr>
      <w:tr w14:paraId="0262C9DD"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D2F74B0" w14:textId="77777777">
            <w:pPr>
              <w:rPr>
                <w:rFonts w:eastAsia="Times New Roman" w:cs="Times New Roman"/>
                <w:szCs w:val="24"/>
                <w:lang w:eastAsia="lv-LV"/>
              </w:rPr>
            </w:pPr>
            <w:r w:rsidRPr="009B601B">
              <w:rPr>
                <w:rFonts w:eastAsia="Times New Roman" w:cs="Times New Roman"/>
                <w:szCs w:val="24"/>
                <w:lang w:eastAsia="lv-LV"/>
              </w:rPr>
              <w:t>3.1. valsts pamatbudžets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209C6DE3"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C307150"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977C75A"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327B7DC"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5C56FE8" w14:textId="77777777">
            <w:pPr>
              <w:rPr>
                <w:rFonts w:eastAsia="Times New Roman" w:cs="Times New Roman"/>
                <w:strike/>
                <w:szCs w:val="24"/>
                <w:lang w:eastAsia="lv-LV"/>
              </w:rPr>
            </w:pPr>
          </w:p>
        </w:tc>
      </w:tr>
      <w:tr w14:paraId="69C5B865"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2E6C7B4" w14:textId="77777777">
            <w:pPr>
              <w:rPr>
                <w:rFonts w:eastAsia="Times New Roman" w:cs="Times New Roman"/>
                <w:szCs w:val="24"/>
                <w:lang w:eastAsia="lv-LV"/>
              </w:rPr>
            </w:pPr>
            <w:r w:rsidRPr="009B601B">
              <w:rPr>
                <w:rFonts w:eastAsia="Times New Roman" w:cs="Times New Roman"/>
                <w:szCs w:val="24"/>
                <w:lang w:eastAsia="lv-LV"/>
              </w:rPr>
              <w:t>3.2.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A880283"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1ED515F6"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FB844F2"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B39FC2B"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4A8BA1A9" w14:textId="77777777">
            <w:pPr>
              <w:rPr>
                <w:rFonts w:eastAsia="Times New Roman" w:cs="Times New Roman"/>
                <w:strike/>
                <w:szCs w:val="24"/>
                <w:lang w:eastAsia="lv-LV"/>
              </w:rPr>
            </w:pPr>
          </w:p>
        </w:tc>
      </w:tr>
      <w:tr w14:paraId="2B4532AB"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613FD906" w14:textId="77777777">
            <w:pPr>
              <w:rPr>
                <w:rFonts w:eastAsia="Times New Roman" w:cs="Times New Roman"/>
                <w:szCs w:val="24"/>
                <w:lang w:eastAsia="lv-LV"/>
              </w:rPr>
            </w:pPr>
            <w:r w:rsidRPr="009B601B">
              <w:rPr>
                <w:rFonts w:eastAsia="Times New Roman" w:cs="Times New Roman"/>
                <w:szCs w:val="24"/>
                <w:lang w:eastAsia="lv-LV"/>
              </w:rPr>
              <w:t xml:space="preserve">3.3. pašvaldību budžets </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6975AF51"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62D3A518"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C716E6C"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56A603DE"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39EF455F" w14:textId="77777777">
            <w:pPr>
              <w:rPr>
                <w:rFonts w:eastAsia="Times New Roman" w:cs="Times New Roman"/>
                <w:strike/>
                <w:szCs w:val="24"/>
                <w:lang w:eastAsia="lv-LV"/>
              </w:rPr>
            </w:pPr>
          </w:p>
        </w:tc>
      </w:tr>
      <w:tr w14:paraId="1B002D2F" w14:textId="77777777" w:rsidTr="00570E79">
        <w:tblPrEx>
          <w:tblW w:w="5000" w:type="pct"/>
          <w:jc w:val="center"/>
          <w:tblCellMar>
            <w:top w:w="30" w:type="dxa"/>
            <w:left w:w="30" w:type="dxa"/>
            <w:bottom w:w="30" w:type="dxa"/>
            <w:right w:w="30" w:type="dxa"/>
          </w:tblCellMar>
          <w:tblLook w:val="04A0"/>
        </w:tblPrEx>
        <w:trPr>
          <w:trHeight w:val="1380"/>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18B585D7" w14:textId="77777777">
            <w:pPr>
              <w:rPr>
                <w:rFonts w:eastAsia="Times New Roman" w:cs="Times New Roman"/>
                <w:szCs w:val="24"/>
                <w:lang w:eastAsia="lv-LV"/>
              </w:rPr>
            </w:pPr>
            <w:r w:rsidRPr="009B601B">
              <w:rPr>
                <w:rFonts w:eastAsia="Times New Roman" w:cs="Times New Roman"/>
                <w:szCs w:val="24"/>
                <w:lang w:eastAsia="lv-LV"/>
              </w:rPr>
              <w:t>4. Finanšu līdzekļi papildu izdevumu finansēšanai (kompensējošu izdevumu samazinājumu norāda ar "+" zīmi)</w:t>
            </w:r>
          </w:p>
        </w:tc>
        <w:tc>
          <w:tcPr>
            <w:tcW w:w="946" w:type="pct"/>
            <w:tcBorders>
              <w:top w:val="outset" w:sz="6" w:space="0" w:color="auto"/>
              <w:left w:val="outset" w:sz="6" w:space="0" w:color="auto"/>
              <w:bottom w:val="outset" w:sz="6" w:space="0" w:color="auto"/>
              <w:right w:val="outset" w:sz="6" w:space="0" w:color="auto"/>
            </w:tcBorders>
            <w:hideMark/>
          </w:tcPr>
          <w:p w:rsidR="00996161" w:rsidRPr="009B601B" w:rsidP="00570E79" w14:paraId="06DC5A08" w14:textId="77777777">
            <w:pPr>
              <w:spacing w:before="75" w:after="75"/>
              <w:rPr>
                <w:rFonts w:eastAsia="Times New Roman" w:cs="Times New Roman"/>
                <w:strike/>
                <w:szCs w:val="24"/>
                <w:lang w:eastAsia="lv-LV"/>
              </w:rPr>
            </w:pPr>
          </w:p>
        </w:tc>
        <w:tc>
          <w:tcPr>
            <w:tcW w:w="891" w:type="pct"/>
            <w:tcBorders>
              <w:top w:val="outset" w:sz="6" w:space="0" w:color="auto"/>
              <w:left w:val="outset" w:sz="6" w:space="0" w:color="auto"/>
              <w:right w:val="outset" w:sz="6" w:space="0" w:color="auto"/>
            </w:tcBorders>
            <w:hideMark/>
          </w:tcPr>
          <w:p w:rsidR="00996161" w:rsidRPr="009B601B" w:rsidP="00570E79" w14:paraId="4E769EFA" w14:textId="77777777">
            <w:pPr>
              <w:rPr>
                <w:rFonts w:eastAsia="Times New Roman" w:cs="Times New Roman"/>
                <w:strike/>
                <w:szCs w:val="24"/>
                <w:lang w:eastAsia="lv-LV"/>
              </w:rPr>
            </w:pPr>
          </w:p>
        </w:tc>
        <w:tc>
          <w:tcPr>
            <w:tcW w:w="694" w:type="pct"/>
            <w:tcBorders>
              <w:top w:val="outset" w:sz="6" w:space="0" w:color="auto"/>
              <w:left w:val="outset" w:sz="6" w:space="0" w:color="auto"/>
              <w:right w:val="outset" w:sz="6" w:space="0" w:color="auto"/>
            </w:tcBorders>
            <w:hideMark/>
          </w:tcPr>
          <w:p w:rsidR="00996161" w:rsidRPr="009B601B" w:rsidP="00570E79" w14:paraId="37BDADE5" w14:textId="77777777">
            <w:pPr>
              <w:rPr>
                <w:rFonts w:eastAsia="Times New Roman" w:cs="Times New Roman"/>
                <w:strike/>
                <w:szCs w:val="24"/>
                <w:lang w:eastAsia="lv-LV"/>
              </w:rPr>
            </w:pPr>
          </w:p>
        </w:tc>
        <w:tc>
          <w:tcPr>
            <w:tcW w:w="701" w:type="pct"/>
            <w:tcBorders>
              <w:top w:val="outset" w:sz="6" w:space="0" w:color="auto"/>
              <w:left w:val="outset" w:sz="6" w:space="0" w:color="auto"/>
              <w:right w:val="outset" w:sz="6" w:space="0" w:color="auto"/>
            </w:tcBorders>
            <w:hideMark/>
          </w:tcPr>
          <w:p w:rsidR="00996161" w:rsidRPr="009B601B" w:rsidP="00570E79" w14:paraId="02C4F234" w14:textId="77777777">
            <w:pPr>
              <w:rPr>
                <w:rFonts w:eastAsia="Times New Roman" w:cs="Times New Roman"/>
                <w:strike/>
                <w:szCs w:val="24"/>
                <w:lang w:eastAsia="lv-LV"/>
              </w:rPr>
            </w:pPr>
          </w:p>
        </w:tc>
        <w:tc>
          <w:tcPr>
            <w:tcW w:w="844" w:type="pct"/>
            <w:tcBorders>
              <w:top w:val="outset" w:sz="6" w:space="0" w:color="auto"/>
              <w:left w:val="outset" w:sz="6" w:space="0" w:color="auto"/>
              <w:right w:val="outset" w:sz="6" w:space="0" w:color="auto"/>
            </w:tcBorders>
            <w:hideMark/>
          </w:tcPr>
          <w:p w:rsidR="00996161" w:rsidRPr="009B601B" w:rsidP="00570E79" w14:paraId="588C575B" w14:textId="77777777">
            <w:pPr>
              <w:rPr>
                <w:rFonts w:eastAsia="Times New Roman" w:cs="Times New Roman"/>
                <w:strike/>
                <w:szCs w:val="24"/>
                <w:lang w:eastAsia="lv-LV"/>
              </w:rPr>
            </w:pPr>
          </w:p>
        </w:tc>
      </w:tr>
      <w:tr w14:paraId="409862DA"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0D21680" w14:textId="77777777">
            <w:pPr>
              <w:rPr>
                <w:rFonts w:eastAsia="Times New Roman" w:cs="Times New Roman"/>
                <w:szCs w:val="24"/>
                <w:lang w:eastAsia="lv-LV"/>
              </w:rPr>
            </w:pPr>
            <w:r w:rsidRPr="009B601B">
              <w:rPr>
                <w:rFonts w:eastAsia="Times New Roman" w:cs="Times New Roman"/>
                <w:szCs w:val="24"/>
                <w:lang w:eastAsia="lv-LV"/>
              </w:rPr>
              <w:t>5. Precizēta finansiālā ietekme:</w:t>
            </w:r>
          </w:p>
        </w:tc>
        <w:tc>
          <w:tcPr>
            <w:tcW w:w="946" w:type="pct"/>
            <w:vMerge w:val="restart"/>
            <w:tcBorders>
              <w:top w:val="outset" w:sz="6" w:space="0" w:color="auto"/>
              <w:left w:val="outset" w:sz="6" w:space="0" w:color="auto"/>
              <w:bottom w:val="outset" w:sz="6" w:space="0" w:color="auto"/>
              <w:right w:val="outset" w:sz="6" w:space="0" w:color="auto"/>
            </w:tcBorders>
            <w:hideMark/>
          </w:tcPr>
          <w:p w:rsidR="00996161" w:rsidRPr="009B601B" w:rsidP="00570E79" w14:paraId="46B60FB4" w14:textId="77777777">
            <w:pPr>
              <w:spacing w:before="75" w:after="75"/>
              <w:rPr>
                <w:rFonts w:eastAsia="Times New Roman" w:cs="Times New Roman"/>
                <w:szCs w:val="24"/>
                <w:lang w:eastAsia="lv-LV"/>
              </w:rPr>
            </w:pPr>
            <w:r w:rsidRPr="009B601B">
              <w:rPr>
                <w:rFonts w:eastAsia="Times New Roman" w:cs="Times New Roman"/>
                <w:sz w:val="22"/>
                <w:szCs w:val="24"/>
                <w:lang w:eastAsia="lv-LV"/>
              </w:rPr>
              <w:t>X</w:t>
            </w: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5185591C"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03B87685" w14:textId="77777777">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56A77CA5" w14:textId="77777777">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7265A5D9" w14:textId="77777777">
            <w:pPr>
              <w:rPr>
                <w:rFonts w:eastAsia="Times New Roman" w:cs="Times New Roman"/>
                <w:b/>
                <w:strike/>
                <w:szCs w:val="24"/>
                <w:lang w:eastAsia="lv-LV"/>
              </w:rPr>
            </w:pPr>
          </w:p>
        </w:tc>
      </w:tr>
      <w:tr w14:paraId="13C676FD"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1152A20" w14:textId="77777777">
            <w:pPr>
              <w:rPr>
                <w:rFonts w:eastAsia="Times New Roman" w:cs="Times New Roman"/>
                <w:szCs w:val="24"/>
                <w:lang w:eastAsia="lv-LV"/>
              </w:rPr>
            </w:pPr>
            <w:r w:rsidRPr="009B601B">
              <w:rPr>
                <w:rFonts w:eastAsia="Times New Roman" w:cs="Times New Roman"/>
                <w:szCs w:val="24"/>
                <w:lang w:eastAsia="lv-LV"/>
              </w:rPr>
              <w:t>5.1. valsts pamatbudžets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13FDDACE"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0CBFC7C3"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345F3CC9"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44ABC6A8"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0CF0FA7E" w14:textId="77777777">
            <w:pPr>
              <w:rPr>
                <w:rFonts w:eastAsia="Times New Roman" w:cs="Times New Roman"/>
                <w:strike/>
                <w:szCs w:val="24"/>
                <w:lang w:eastAsia="lv-LV"/>
              </w:rPr>
            </w:pPr>
          </w:p>
        </w:tc>
      </w:tr>
      <w:tr w14:paraId="25EF3F8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FCF78C4" w14:textId="77777777">
            <w:pPr>
              <w:rPr>
                <w:rFonts w:eastAsia="Times New Roman" w:cs="Times New Roman"/>
                <w:szCs w:val="24"/>
                <w:lang w:eastAsia="lv-LV"/>
              </w:rPr>
            </w:pPr>
            <w:r w:rsidRPr="009B601B">
              <w:rPr>
                <w:rFonts w:eastAsia="Times New Roman" w:cs="Times New Roman"/>
                <w:szCs w:val="24"/>
                <w:lang w:eastAsia="lv-LV"/>
              </w:rPr>
              <w:t>5.2. speciālais 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1558BB2B"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08110A6F"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10CA0571"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313F6D9C"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695CBDEE" w14:textId="77777777">
            <w:pPr>
              <w:rPr>
                <w:rFonts w:eastAsia="Times New Roman" w:cs="Times New Roman"/>
                <w:strike/>
                <w:szCs w:val="24"/>
                <w:lang w:eastAsia="lv-LV"/>
              </w:rPr>
            </w:pPr>
          </w:p>
        </w:tc>
      </w:tr>
      <w:tr w14:paraId="045D4456"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66643537" w14:textId="77777777">
            <w:pPr>
              <w:rPr>
                <w:rFonts w:eastAsia="Times New Roman" w:cs="Times New Roman"/>
                <w:szCs w:val="24"/>
                <w:lang w:eastAsia="lv-LV"/>
              </w:rPr>
            </w:pPr>
            <w:r w:rsidRPr="009B601B">
              <w:rPr>
                <w:rFonts w:eastAsia="Times New Roman" w:cs="Times New Roman"/>
                <w:szCs w:val="24"/>
                <w:lang w:eastAsia="lv-LV"/>
              </w:rPr>
              <w:t xml:space="preserve">5.3. pašvaldību budžets </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2D5A7AC3"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03246761"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269EB43B"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3174F38F"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6EB0814C" w14:textId="77777777">
            <w:pPr>
              <w:rPr>
                <w:rFonts w:eastAsia="Times New Roman" w:cs="Times New Roman"/>
                <w:strike/>
                <w:szCs w:val="24"/>
                <w:lang w:eastAsia="lv-LV"/>
              </w:rPr>
            </w:pPr>
          </w:p>
        </w:tc>
      </w:tr>
      <w:tr w14:paraId="347CF198"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0913574F" w14:textId="77777777">
            <w:pPr>
              <w:rPr>
                <w:rFonts w:eastAsia="Times New Roman" w:cs="Times New Roman"/>
                <w:szCs w:val="24"/>
                <w:lang w:eastAsia="lv-LV"/>
              </w:rPr>
            </w:pPr>
            <w:r w:rsidRPr="009B601B">
              <w:rPr>
                <w:rFonts w:eastAsia="Times New Roman" w:cs="Times New Roman"/>
                <w:szCs w:val="24"/>
                <w:lang w:eastAsia="lv-LV"/>
              </w:rPr>
              <w:t xml:space="preserve">6. Detalizēts ieņēmumu un izdevumu aprēķins (ja nepieciešams, detalizētu ieņēmumu un </w:t>
            </w:r>
            <w:r w:rsidRPr="009B601B">
              <w:rPr>
                <w:rFonts w:eastAsia="Times New Roman" w:cs="Times New Roman"/>
                <w:szCs w:val="24"/>
                <w:lang w:eastAsia="lv-LV"/>
              </w:rPr>
              <w:t>izdevumu aprēķinu var pievienot anotācijas pielikumā):</w:t>
            </w:r>
          </w:p>
        </w:tc>
        <w:tc>
          <w:tcPr>
            <w:tcW w:w="4076" w:type="pct"/>
            <w:gridSpan w:val="5"/>
            <w:vMerge w:val="restart"/>
            <w:tcBorders>
              <w:top w:val="outset" w:sz="6" w:space="0" w:color="auto"/>
              <w:left w:val="outset" w:sz="6" w:space="0" w:color="auto"/>
              <w:bottom w:val="outset" w:sz="6" w:space="0" w:color="auto"/>
              <w:right w:val="outset" w:sz="6" w:space="0" w:color="auto"/>
            </w:tcBorders>
            <w:vAlign w:val="center"/>
          </w:tcPr>
          <w:p w:rsidR="00996161" w:rsidP="00570E79" w14:paraId="460930CA" w14:textId="77777777">
            <w:pPr>
              <w:widowControl w:val="0"/>
              <w:ind w:firstLine="209"/>
              <w:jc w:val="both"/>
              <w:rPr>
                <w:rFonts w:eastAsia="Times New Roman" w:cs="Times New Roman"/>
                <w:szCs w:val="24"/>
                <w:shd w:val="clear" w:color="auto" w:fill="FFFFFF"/>
                <w:lang w:eastAsia="lv-LV" w:bidi="lv-LV"/>
              </w:rPr>
            </w:pPr>
            <w:r>
              <w:rPr>
                <w:rFonts w:eastAsia="Times New Roman" w:cs="Times New Roman"/>
                <w:i/>
                <w:sz w:val="20"/>
                <w:szCs w:val="20"/>
                <w:lang w:eastAsia="lv-LV"/>
              </w:rPr>
              <w:t>* Atbilstoši likumam „Par valsts budžetu 2017.gadam” un ņemot vērā Finanšu ministrijas (turpmāk – FM) 06.01.2017. rīkojumu Nr.5, 24.02.2017. rīkojumu Nr.79, 11.04.2017. rīkojumu Nr.160, 03.05.2017. rīkojumu Nr.190.</w:t>
            </w:r>
          </w:p>
          <w:p w:rsidR="00996161" w:rsidP="00570E79" w14:paraId="69A18CF9" w14:textId="77777777">
            <w:pPr>
              <w:widowControl w:val="0"/>
              <w:ind w:firstLine="209"/>
              <w:jc w:val="both"/>
              <w:rPr>
                <w:rFonts w:eastAsia="Times New Roman" w:cs="Times New Roman"/>
                <w:i/>
                <w:noProof/>
                <w:szCs w:val="24"/>
                <w:lang w:eastAsia="lv-LV"/>
              </w:rPr>
            </w:pPr>
            <w:r>
              <w:rPr>
                <w:rFonts w:eastAsia="Times New Roman" w:cs="Times New Roman"/>
                <w:color w:val="000000"/>
                <w:szCs w:val="24"/>
                <w:shd w:val="clear" w:color="auto" w:fill="FFFFFF"/>
                <w:lang w:eastAsia="lv-LV" w:bidi="lv-LV"/>
              </w:rPr>
              <w:t xml:space="preserve">2017.gadā Veselības ministrijas (NVD) budžeta programmas 33.00.00 „Veselības aprūpes nodrošināšana” apakšprogrammā </w:t>
            </w:r>
          </w:p>
          <w:p w:rsidR="00996161" w:rsidP="00570E79" w14:paraId="75AA1341" w14:textId="77777777">
            <w:pPr>
              <w:ind w:right="142"/>
              <w:jc w:val="both"/>
              <w:rPr>
                <w:rFonts w:eastAsia="Times New Roman" w:cs="Times New Roman"/>
                <w:szCs w:val="24"/>
                <w:lang w:eastAsia="lv-LV"/>
              </w:rPr>
            </w:pPr>
          </w:p>
          <w:p w:rsidR="00996161" w:rsidP="00570E79" w14:paraId="18B1ACE9" w14:textId="77777777">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 xml:space="preserve">2017.gadā Veselības ministrijas (NVD) budžeta programmas 33.00.00 </w:t>
            </w:r>
            <w:r>
              <w:rPr>
                <w:rFonts w:eastAsia="Times New Roman" w:cs="Times New Roman"/>
                <w:color w:val="000000"/>
                <w:szCs w:val="24"/>
                <w:shd w:val="clear" w:color="auto" w:fill="FFFFFF"/>
                <w:lang w:eastAsia="lv-LV" w:bidi="lv-LV"/>
              </w:rPr>
              <w:t>„Veselības aprūpes nodrošināšana” apakšprogrammā 33.03.00 „</w:t>
            </w:r>
            <w:r w:rsidRPr="00E924AC">
              <w:rPr>
                <w:rFonts w:eastAsia="Times New Roman" w:cs="Times New Roman"/>
                <w:color w:val="000000"/>
                <w:szCs w:val="24"/>
                <w:shd w:val="clear" w:color="auto" w:fill="FFFFFF"/>
                <w:lang w:eastAsia="lv-LV"/>
              </w:rPr>
              <w:t>Kompensējamo medikamentu un materiālu apmaksāšana</w:t>
            </w:r>
            <w:r>
              <w:rPr>
                <w:rFonts w:eastAsia="Times New Roman" w:cs="Times New Roman"/>
                <w:color w:val="000000"/>
                <w:szCs w:val="24"/>
                <w:shd w:val="clear" w:color="auto" w:fill="FFFFFF"/>
                <w:lang w:eastAsia="lv-LV" w:bidi="lv-LV"/>
              </w:rPr>
              <w:t>”:</w:t>
            </w:r>
          </w:p>
          <w:p w:rsidR="00996161" w:rsidP="00570E79" w14:paraId="734329B4" w14:textId="77777777">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p>
          <w:p w:rsidR="00996161" w:rsidP="00570E79" w14:paraId="72A3CE08" w14:textId="77777777">
            <w:pPr>
              <w:tabs>
                <w:tab w:val="right" w:pos="259"/>
              </w:tabs>
              <w:ind w:left="259" w:right="142"/>
              <w:rPr>
                <w:rFonts w:eastAsia="Times New Roman" w:cs="Times New Roman"/>
                <w:noProof/>
                <w:szCs w:val="24"/>
                <w:lang w:eastAsia="lv-LV"/>
              </w:rPr>
            </w:pPr>
            <w:r>
              <w:rPr>
                <w:rFonts w:eastAsia="Times New Roman" w:cs="Times New Roman"/>
                <w:noProof/>
                <w:szCs w:val="24"/>
                <w:lang w:eastAsia="lv-LV"/>
              </w:rPr>
              <w:t xml:space="preserve">ieņēmumi no maksas pakalpojumiem </w:t>
            </w:r>
            <w:r>
              <w:rPr>
                <w:rFonts w:eastAsia="Times New Roman" w:cs="Times New Roman"/>
                <w:color w:val="000000"/>
                <w:szCs w:val="24"/>
                <w:shd w:val="clear" w:color="auto" w:fill="FFFFFF"/>
                <w:lang w:eastAsia="lv-LV" w:bidi="lv-LV"/>
              </w:rPr>
              <w:t xml:space="preserve">10 141 463 </w:t>
            </w:r>
            <w:r>
              <w:rPr>
                <w:rFonts w:eastAsia="Times New Roman" w:cs="Times New Roman"/>
                <w:i/>
                <w:noProof/>
                <w:szCs w:val="24"/>
                <w:lang w:eastAsia="lv-LV"/>
              </w:rPr>
              <w:t>euro</w:t>
            </w:r>
          </w:p>
          <w:p w:rsidR="00996161" w:rsidP="00570E79" w14:paraId="1123FBA0"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132 620 873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14:paraId="2C78E033" w14:textId="77777777">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14:paraId="343DCB69"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p>
          <w:p w:rsidR="00996161" w:rsidP="00570E79" w14:paraId="41B14E8A" w14:textId="77777777">
            <w:pPr>
              <w:ind w:right="142"/>
              <w:rPr>
                <w:rFonts w:eastAsia="Times New Roman" w:cs="Times New Roman"/>
                <w:i/>
                <w:noProof/>
                <w:szCs w:val="24"/>
                <w:lang w:eastAsia="lv-LV"/>
              </w:rPr>
            </w:pPr>
          </w:p>
          <w:p w:rsidR="00996161" w:rsidP="00570E79" w14:paraId="4A1EE457" w14:textId="77777777">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33.04.00 „</w:t>
            </w:r>
            <w:r w:rsidRPr="0009780E">
              <w:rPr>
                <w:rFonts w:eastAsia="Times New Roman" w:cs="Times New Roman"/>
                <w:color w:val="000000"/>
                <w:szCs w:val="24"/>
                <w:shd w:val="clear" w:color="auto" w:fill="FFFFFF"/>
                <w:lang w:eastAsia="lv-LV" w:bidi="lv-LV"/>
              </w:rPr>
              <w:t>Centralizēta medikamentu un materiālu iegāde</w:t>
            </w:r>
            <w:r>
              <w:rPr>
                <w:rFonts w:eastAsia="Times New Roman" w:cs="Times New Roman"/>
                <w:color w:val="000000"/>
                <w:szCs w:val="24"/>
                <w:shd w:val="clear" w:color="auto" w:fill="FFFFFF"/>
                <w:lang w:eastAsia="lv-LV" w:bidi="lv-LV"/>
              </w:rPr>
              <w:t>”:</w:t>
            </w:r>
          </w:p>
          <w:p w:rsidR="00996161" w:rsidP="00570E79" w14:paraId="1E2AC023" w14:textId="77777777">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rsidR="00996161" w:rsidP="00570E79" w14:paraId="6919D315"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14:paraId="1EC3BAB3" w14:textId="77777777">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14:paraId="55DE3859"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rsidR="00996161" w:rsidP="00570E79" w14:paraId="49248792" w14:textId="77777777">
            <w:pPr>
              <w:ind w:right="142"/>
              <w:rPr>
                <w:rFonts w:eastAsia="Times New Roman" w:cs="Times New Roman"/>
                <w:noProof/>
                <w:szCs w:val="24"/>
                <w:lang w:eastAsia="lv-LV"/>
              </w:rPr>
            </w:pPr>
          </w:p>
          <w:p w:rsidR="00996161" w:rsidP="00570E79" w14:paraId="1971D2B2" w14:textId="77777777">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33.16.00 „Pārējo ambulatoro veselības aprūpes pakalpojumu nodrošināšana”:</w:t>
            </w:r>
          </w:p>
          <w:p w:rsidR="00996161" w:rsidP="00570E79" w14:paraId="3EACA44C" w14:textId="77777777">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176 754 778 </w:t>
            </w:r>
            <w:r>
              <w:rPr>
                <w:rFonts w:eastAsia="Times New Roman" w:cs="Times New Roman"/>
                <w:i/>
                <w:noProof/>
                <w:szCs w:val="24"/>
                <w:lang w:eastAsia="lv-LV"/>
              </w:rPr>
              <w:t>euro</w:t>
            </w:r>
          </w:p>
          <w:p w:rsidR="00996161" w:rsidP="00570E79" w14:paraId="0027C2D7" w14:textId="77777777">
            <w:pPr>
              <w:tabs>
                <w:tab w:val="right" w:pos="259"/>
              </w:tabs>
              <w:ind w:left="259" w:right="142"/>
              <w:rPr>
                <w:rFonts w:eastAsia="Times New Roman" w:cs="Times New Roman"/>
                <w:noProof/>
                <w:szCs w:val="24"/>
                <w:lang w:eastAsia="lv-LV"/>
              </w:rPr>
            </w:pPr>
            <w:r>
              <w:rPr>
                <w:rFonts w:eastAsia="Times New Roman" w:cs="Times New Roman"/>
                <w:noProof/>
                <w:szCs w:val="24"/>
                <w:lang w:eastAsia="lv-LV"/>
              </w:rPr>
              <w:t xml:space="preserve">ieņēmumi no maksas pakalpojumiem </w:t>
            </w:r>
            <w:r>
              <w:rPr>
                <w:rFonts w:eastAsia="Times New Roman" w:cs="Times New Roman"/>
                <w:color w:val="000000"/>
                <w:szCs w:val="24"/>
                <w:shd w:val="clear" w:color="auto" w:fill="FFFFFF"/>
                <w:lang w:eastAsia="lv-LV" w:bidi="lv-LV"/>
              </w:rPr>
              <w:t xml:space="preserve">25 052 </w:t>
            </w:r>
            <w:r>
              <w:rPr>
                <w:rFonts w:eastAsia="Times New Roman" w:cs="Times New Roman"/>
                <w:i/>
                <w:noProof/>
                <w:szCs w:val="24"/>
                <w:lang w:eastAsia="lv-LV"/>
              </w:rPr>
              <w:t>euro</w:t>
            </w:r>
          </w:p>
          <w:p w:rsidR="00996161" w:rsidP="00570E79" w14:paraId="106A73AC"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176 729 726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14:paraId="5EE43E7D" w14:textId="77777777">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176 754 778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14:paraId="753E21AC"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176 139 842 </w:t>
            </w:r>
            <w:r>
              <w:rPr>
                <w:rFonts w:eastAsia="Times New Roman" w:cs="Times New Roman"/>
                <w:i/>
                <w:noProof/>
                <w:szCs w:val="24"/>
                <w:lang w:eastAsia="lv-LV"/>
              </w:rPr>
              <w:t>euro</w:t>
            </w:r>
          </w:p>
          <w:p w:rsidR="00996161" w:rsidP="00570E79" w14:paraId="6B9EB4D9" w14:textId="77777777">
            <w:pPr>
              <w:ind w:right="142" w:firstLine="259"/>
              <w:rPr>
                <w:rFonts w:eastAsia="Times New Roman" w:cs="Times New Roman"/>
                <w:i/>
                <w:noProof/>
                <w:szCs w:val="24"/>
                <w:lang w:eastAsia="lv-LV"/>
              </w:rPr>
            </w:pPr>
            <w:r>
              <w:rPr>
                <w:rFonts w:eastAsia="Times New Roman" w:cs="Times New Roman"/>
                <w:noProof/>
                <w:szCs w:val="24"/>
                <w:lang w:eastAsia="lv-LV"/>
              </w:rPr>
              <w:t xml:space="preserve">Uzturēšanas izdevumu transferti </w:t>
            </w:r>
            <w:r>
              <w:rPr>
                <w:rFonts w:eastAsia="Times New Roman" w:cs="Times New Roman"/>
                <w:color w:val="000000"/>
                <w:szCs w:val="24"/>
                <w:shd w:val="clear" w:color="auto" w:fill="FFFFFF"/>
                <w:lang w:eastAsia="lv-LV" w:bidi="lv-LV"/>
              </w:rPr>
              <w:t xml:space="preserve">614 936 </w:t>
            </w:r>
            <w:r>
              <w:rPr>
                <w:rFonts w:eastAsia="Times New Roman" w:cs="Times New Roman"/>
                <w:i/>
                <w:noProof/>
                <w:szCs w:val="24"/>
                <w:lang w:eastAsia="lv-LV"/>
              </w:rPr>
              <w:t>euro</w:t>
            </w:r>
          </w:p>
          <w:p w:rsidR="00996161" w:rsidP="00570E79" w14:paraId="428CE24A" w14:textId="77777777">
            <w:pPr>
              <w:ind w:right="142"/>
              <w:rPr>
                <w:rFonts w:eastAsia="Times New Roman" w:cs="Times New Roman"/>
                <w:noProof/>
                <w:szCs w:val="24"/>
                <w:lang w:eastAsia="lv-LV"/>
              </w:rPr>
            </w:pPr>
          </w:p>
          <w:p w:rsidR="00996161" w:rsidP="00570E79" w14:paraId="31D21BA8" w14:textId="77777777">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33.18.00 „Plānveida stacionāro veselības aprūpes pakalpojumu nodrošināšana”:</w:t>
            </w:r>
          </w:p>
          <w:p w:rsidR="00996161" w:rsidP="00570E79" w14:paraId="647BCFA6" w14:textId="77777777">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101 058 133 </w:t>
            </w:r>
            <w:r>
              <w:rPr>
                <w:rFonts w:eastAsia="Times New Roman" w:cs="Times New Roman"/>
                <w:i/>
                <w:noProof/>
                <w:szCs w:val="24"/>
                <w:lang w:eastAsia="lv-LV"/>
              </w:rPr>
              <w:t>euro</w:t>
            </w:r>
          </w:p>
          <w:p w:rsidR="00996161" w:rsidP="00570E79" w14:paraId="7CDA086A"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 101 058 133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14:paraId="5381C70A" w14:textId="77777777">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101 058 133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14:paraId="34BDA047"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101 058 133 </w:t>
            </w:r>
            <w:r>
              <w:rPr>
                <w:rFonts w:eastAsia="Times New Roman" w:cs="Times New Roman"/>
                <w:i/>
                <w:noProof/>
                <w:szCs w:val="24"/>
                <w:lang w:eastAsia="lv-LV"/>
              </w:rPr>
              <w:t>euro</w:t>
            </w:r>
          </w:p>
          <w:p w:rsidR="00996161" w:rsidP="00570E79" w14:paraId="69BA8EDE" w14:textId="77777777">
            <w:pPr>
              <w:ind w:right="142"/>
              <w:rPr>
                <w:rFonts w:eastAsia="Times New Roman" w:cs="Times New Roman"/>
                <w:noProof/>
                <w:szCs w:val="24"/>
                <w:lang w:eastAsia="lv-LV"/>
              </w:rPr>
            </w:pPr>
          </w:p>
          <w:p w:rsidR="00996161" w:rsidP="00570E79" w14:paraId="3507DB00" w14:textId="77777777">
            <w:pPr>
              <w:ind w:right="142"/>
              <w:jc w:val="both"/>
              <w:rPr>
                <w:rFonts w:eastAsia="Times New Roman" w:cs="Times New Roman"/>
                <w:szCs w:val="24"/>
                <w:u w:val="single"/>
                <w:lang w:eastAsia="lv-LV"/>
              </w:rPr>
            </w:pPr>
            <w:r>
              <w:rPr>
                <w:rFonts w:eastAsia="Times New Roman" w:cs="Times New Roman"/>
                <w:szCs w:val="24"/>
                <w:u w:val="single"/>
                <w:lang w:eastAsia="lv-LV"/>
              </w:rPr>
              <w:t xml:space="preserve">Ietekme uz 2017.gada 6 mēnešu (sākot no 2017.gada 1.jūlija) budžetu. </w:t>
            </w:r>
          </w:p>
          <w:p w:rsidR="00996161" w:rsidP="00570E79" w14:paraId="09696E9D" w14:textId="77777777">
            <w:pPr>
              <w:ind w:right="142"/>
              <w:jc w:val="both"/>
            </w:pPr>
            <w:r>
              <w:rPr>
                <w:rFonts w:eastAsia="Times New Roman" w:cs="Times New Roman"/>
                <w:szCs w:val="24"/>
                <w:lang w:eastAsia="lv-LV"/>
              </w:rPr>
              <w:t xml:space="preserve">Noteikumu projekts paredz izmaiņas steidzamo medicīnisko palīdzības punktu nodrošinājumā paredzot </w:t>
            </w:r>
            <w:r>
              <w:t xml:space="preserve">SIA “Siguldas slimnīca” no 2017.gada 1.jūlija 2.līmeņa steidzamās medicīniskās palīdzības punktu. Minētās Noteikumu projekta izmaiņas rada ietaupījumu steidzamo medicīnisko palīdzības punktu nodrošinājumā 2017.gadā 35 558,25 euro apmērā (skat.tabula Nr.1 un Nr.2). </w:t>
            </w:r>
          </w:p>
          <w:p w:rsidR="00996161" w:rsidP="00570E79" w14:paraId="2CC527D2" w14:textId="77777777">
            <w:pPr>
              <w:ind w:right="142"/>
              <w:jc w:val="center"/>
            </w:pPr>
            <w:r>
              <w:t>Steidzamās medicīniskās palīdzības punkti</w:t>
            </w:r>
          </w:p>
          <w:tbl>
            <w:tblPr>
              <w:tblW w:w="6660" w:type="dxa"/>
              <w:tblLook w:val="04A0"/>
            </w:tblPr>
            <w:tblGrid>
              <w:gridCol w:w="955"/>
              <w:gridCol w:w="839"/>
              <w:gridCol w:w="866"/>
              <w:gridCol w:w="1095"/>
              <w:gridCol w:w="1038"/>
              <w:gridCol w:w="1038"/>
              <w:gridCol w:w="1180"/>
            </w:tblGrid>
            <w:tr w14:paraId="276FAE44" w14:textId="77777777" w:rsidTr="00570E79">
              <w:tblPrEx>
                <w:tblW w:w="6660" w:type="dxa"/>
                <w:tblLook w:val="04A0"/>
              </w:tblPrEx>
              <w:trPr>
                <w:trHeight w:val="133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161" w:rsidRPr="007A1028" w:rsidP="00570E79" w14:paraId="22957244"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2.līmenis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161" w:rsidRPr="007A1028" w:rsidP="00570E79" w14:paraId="5A4D5F69"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Slodzes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96161" w:rsidRPr="007A1028" w:rsidP="00570E79" w14:paraId="65522EA3"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Posteņi</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996161" w:rsidRPr="007A1028" w:rsidP="00570E79" w14:paraId="1CD407D9"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 Izmaksas uz 1 posteni gadā euro </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rsidR="00996161" w:rsidRPr="007A1028" w:rsidP="00570E79" w14:paraId="0D3DC123" w14:textId="77777777">
                  <w:pPr>
                    <w:jc w:val="center"/>
                    <w:rPr>
                      <w:rFonts w:eastAsia="Times New Roman" w:cs="Times New Roman"/>
                      <w:color w:val="000000"/>
                      <w:sz w:val="20"/>
                      <w:szCs w:val="20"/>
                      <w:lang w:eastAsia="lv-LV"/>
                    </w:rPr>
                  </w:pPr>
                  <w:r w:rsidRPr="007A1028">
                    <w:rPr>
                      <w:rFonts w:eastAsia="Times New Roman" w:cs="Times New Roman"/>
                      <w:color w:val="000000"/>
                      <w:sz w:val="20"/>
                      <w:szCs w:val="20"/>
                      <w:lang w:eastAsia="lv-LV"/>
                    </w:rPr>
                    <w:t>Izmaksas mēnesī euro</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rsidR="00996161" w:rsidRPr="007A1028" w:rsidP="00570E79" w14:paraId="15272320"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Izmaksas 4 mēnešos euro</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996161" w:rsidRPr="007A1028" w:rsidP="00570E79" w14:paraId="197B3A13"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Izmaksas 8 mēnešos euro</w:t>
                  </w:r>
                </w:p>
              </w:tc>
            </w:tr>
            <w:tr w14:paraId="5768CAEC" w14:textId="77777777" w:rsidTr="00570E79">
              <w:tblPrEx>
                <w:tblW w:w="6660" w:type="dxa"/>
                <w:tblLook w:val="04A0"/>
              </w:tblPrEx>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96161" w:rsidRPr="007A1028" w:rsidP="00570E79" w14:paraId="027D257F"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Ārsti </w:t>
                  </w:r>
                </w:p>
              </w:tc>
              <w:tc>
                <w:tcPr>
                  <w:tcW w:w="760"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161434DC" w14:textId="77777777">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7.92</w:t>
                  </w:r>
                </w:p>
              </w:tc>
              <w:tc>
                <w:tcPr>
                  <w:tcW w:w="780"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203C867C" w14:textId="77777777">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1.66737</w:t>
                  </w:r>
                </w:p>
              </w:tc>
              <w:tc>
                <w:tcPr>
                  <w:tcW w:w="1095"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4D00141E"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74 279.15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1710B145"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10 320.89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766D6CE5"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41 283.57 </w:t>
                  </w:r>
                </w:p>
              </w:tc>
              <w:tc>
                <w:tcPr>
                  <w:tcW w:w="1180"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5EF77C4F"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82 567.13 </w:t>
                  </w:r>
                </w:p>
              </w:tc>
            </w:tr>
            <w:tr w14:paraId="4DA42065" w14:textId="77777777" w:rsidTr="00570E79">
              <w:tblPrEx>
                <w:tblW w:w="6660" w:type="dxa"/>
                <w:tblLook w:val="04A0"/>
              </w:tblPrEx>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96161" w:rsidRPr="007A1028" w:rsidP="00570E79" w14:paraId="6A3DB2F9"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Māsas</w:t>
                  </w:r>
                </w:p>
              </w:tc>
              <w:tc>
                <w:tcPr>
                  <w:tcW w:w="760"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5C07E23B" w14:textId="77777777">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4.75</w:t>
                  </w:r>
                </w:p>
              </w:tc>
              <w:tc>
                <w:tcPr>
                  <w:tcW w:w="780"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357EE13A" w14:textId="77777777">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1</w:t>
                  </w:r>
                </w:p>
              </w:tc>
              <w:tc>
                <w:tcPr>
                  <w:tcW w:w="1095"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5F934835"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48 780.36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304606CD"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4 065.03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097FAF62"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16 260.12 </w:t>
                  </w:r>
                </w:p>
              </w:tc>
              <w:tc>
                <w:tcPr>
                  <w:tcW w:w="1180"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0277EBF7" w14:textId="77777777">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32 520.24 </w:t>
                  </w:r>
                </w:p>
              </w:tc>
            </w:tr>
            <w:tr w14:paraId="36712999" w14:textId="77777777" w:rsidTr="00570E79">
              <w:tblPrEx>
                <w:tblW w:w="6660" w:type="dxa"/>
                <w:tblLook w:val="04A0"/>
              </w:tblPrEx>
              <w:trPr>
                <w:trHeight w:val="300"/>
              </w:trPr>
              <w:tc>
                <w:tcPr>
                  <w:tcW w:w="34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161" w:rsidRPr="007A1028" w:rsidP="00570E79" w14:paraId="2C7BAF57" w14:textId="77777777">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2 līmenis kopā:</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2002759F" w14:textId="77777777">
                  <w:pPr>
                    <w:rPr>
                      <w:rFonts w:eastAsia="Times New Roman" w:cs="Times New Roman"/>
                      <w:b/>
                      <w:bCs/>
                      <w:color w:val="000000"/>
                      <w:sz w:val="20"/>
                      <w:szCs w:val="20"/>
                      <w:lang w:eastAsia="lv-LV"/>
                    </w:rPr>
                  </w:pPr>
                  <w:r w:rsidRPr="007A1028">
                    <w:rPr>
                      <w:rFonts w:eastAsia="Times New Roman" w:cs="Times New Roman"/>
                      <w:b/>
                      <w:bCs/>
                      <w:color w:val="000000"/>
                      <w:sz w:val="20"/>
                      <w:szCs w:val="20"/>
                      <w:lang w:eastAsia="lv-LV"/>
                    </w:rPr>
                    <w:t xml:space="preserve">14 385.92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19672683" w14:textId="77777777">
                  <w:pPr>
                    <w:rPr>
                      <w:rFonts w:eastAsia="Times New Roman" w:cs="Times New Roman"/>
                      <w:b/>
                      <w:bCs/>
                      <w:color w:val="000000"/>
                      <w:sz w:val="20"/>
                      <w:szCs w:val="20"/>
                      <w:lang w:eastAsia="lv-LV"/>
                    </w:rPr>
                  </w:pPr>
                  <w:r w:rsidRPr="007A1028">
                    <w:rPr>
                      <w:rFonts w:eastAsia="Times New Roman" w:cs="Times New Roman"/>
                      <w:b/>
                      <w:bCs/>
                      <w:color w:val="000000"/>
                      <w:sz w:val="20"/>
                      <w:szCs w:val="20"/>
                      <w:lang w:eastAsia="lv-LV"/>
                    </w:rPr>
                    <w:t xml:space="preserve">57 543.69 </w:t>
                  </w:r>
                </w:p>
              </w:tc>
              <w:tc>
                <w:tcPr>
                  <w:tcW w:w="1180" w:type="dxa"/>
                  <w:tcBorders>
                    <w:top w:val="nil"/>
                    <w:left w:val="nil"/>
                    <w:bottom w:val="single" w:sz="4" w:space="0" w:color="auto"/>
                    <w:right w:val="single" w:sz="4" w:space="0" w:color="auto"/>
                  </w:tcBorders>
                  <w:shd w:val="clear" w:color="auto" w:fill="auto"/>
                  <w:noWrap/>
                  <w:vAlign w:val="bottom"/>
                  <w:hideMark/>
                </w:tcPr>
                <w:p w:rsidR="00996161" w:rsidRPr="007A1028" w:rsidP="00570E79" w14:paraId="253D2996" w14:textId="77777777">
                  <w:pPr>
                    <w:rPr>
                      <w:rFonts w:eastAsia="Times New Roman" w:cs="Times New Roman"/>
                      <w:b/>
                      <w:bCs/>
                      <w:color w:val="000000"/>
                      <w:sz w:val="20"/>
                      <w:szCs w:val="20"/>
                      <w:lang w:eastAsia="lv-LV"/>
                    </w:rPr>
                  </w:pPr>
                  <w:r w:rsidRPr="007A1028">
                    <w:rPr>
                      <w:rFonts w:eastAsia="Times New Roman" w:cs="Times New Roman"/>
                      <w:b/>
                      <w:bCs/>
                      <w:color w:val="000000"/>
                      <w:sz w:val="20"/>
                      <w:szCs w:val="20"/>
                      <w:lang w:eastAsia="lv-LV"/>
                    </w:rPr>
                    <w:t xml:space="preserve">115 087.37 </w:t>
                  </w:r>
                </w:p>
              </w:tc>
            </w:tr>
          </w:tbl>
          <w:p w:rsidR="00996161" w:rsidRPr="005D3675" w:rsidP="00570E79" w14:paraId="2E559EB6" w14:textId="77777777">
            <w:pPr>
              <w:ind w:right="142"/>
              <w:rPr>
                <w:rFonts w:eastAsia="Times New Roman" w:cs="Times New Roman"/>
                <w:sz w:val="20"/>
                <w:szCs w:val="20"/>
                <w:lang w:eastAsia="lv-LV"/>
              </w:rPr>
            </w:pPr>
            <w:r w:rsidRPr="005D3675">
              <w:rPr>
                <w:rFonts w:eastAsia="Times New Roman" w:cs="Times New Roman"/>
                <w:sz w:val="20"/>
                <w:szCs w:val="20"/>
                <w:lang w:eastAsia="lv-LV"/>
              </w:rPr>
              <w:t xml:space="preserve">                                                 </w:t>
            </w:r>
            <w:r>
              <w:rPr>
                <w:rFonts w:eastAsia="Times New Roman" w:cs="Times New Roman"/>
                <w:sz w:val="20"/>
                <w:szCs w:val="20"/>
                <w:lang w:eastAsia="lv-LV"/>
              </w:rPr>
              <w:t xml:space="preserve">                      </w:t>
            </w:r>
            <w:r w:rsidRPr="005D3675">
              <w:rPr>
                <w:rFonts w:eastAsia="Times New Roman" w:cs="Times New Roman"/>
                <w:sz w:val="20"/>
                <w:szCs w:val="20"/>
                <w:lang w:eastAsia="lv-LV"/>
              </w:rPr>
              <w:t xml:space="preserve">                                                      1.tabula</w:t>
            </w:r>
          </w:p>
          <w:tbl>
            <w:tblPr>
              <w:tblW w:w="6660" w:type="dxa"/>
              <w:tblLook w:val="04A0"/>
            </w:tblPr>
            <w:tblGrid>
              <w:gridCol w:w="955"/>
              <w:gridCol w:w="839"/>
              <w:gridCol w:w="866"/>
              <w:gridCol w:w="1095"/>
              <w:gridCol w:w="1038"/>
              <w:gridCol w:w="1038"/>
              <w:gridCol w:w="1180"/>
            </w:tblGrid>
            <w:tr w14:paraId="768B0F6A" w14:textId="77777777" w:rsidTr="00570E79">
              <w:tblPrEx>
                <w:tblW w:w="6660" w:type="dxa"/>
                <w:tblLook w:val="04A0"/>
              </w:tblPrEx>
              <w:trPr>
                <w:trHeight w:val="78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161" w:rsidRPr="005D3675" w:rsidP="00570E79" w14:paraId="25B67493"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3.līmenis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6161" w:rsidRPr="005D3675" w:rsidP="00570E79" w14:paraId="63A2F7AD"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Slodzes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96161" w:rsidRPr="005D3675" w:rsidP="00570E79" w14:paraId="7E04A49A"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Posteņi</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996161" w:rsidRPr="005D3675" w:rsidP="00570E79" w14:paraId="132B9259"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 Izmaksas uz 1 posteni gadā euro </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rsidR="00996161" w:rsidRPr="005D3675" w:rsidP="00570E79" w14:paraId="099A111D" w14:textId="77777777">
                  <w:pPr>
                    <w:jc w:val="center"/>
                    <w:rPr>
                      <w:rFonts w:eastAsia="Times New Roman" w:cs="Times New Roman"/>
                      <w:color w:val="000000"/>
                      <w:sz w:val="20"/>
                      <w:szCs w:val="20"/>
                      <w:lang w:eastAsia="lv-LV"/>
                    </w:rPr>
                  </w:pPr>
                  <w:r w:rsidRPr="005D3675">
                    <w:rPr>
                      <w:rFonts w:eastAsia="Times New Roman" w:cs="Times New Roman"/>
                      <w:color w:val="000000"/>
                      <w:sz w:val="20"/>
                      <w:szCs w:val="20"/>
                      <w:lang w:eastAsia="lv-LV"/>
                    </w:rPr>
                    <w:t>Izmaksas mēnesī euro</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rsidR="00996161" w:rsidRPr="005D3675" w:rsidP="00570E79" w14:paraId="768F4286"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Izmaksas 4 mēnešos euro</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996161" w:rsidRPr="005D3675" w:rsidP="00570E79" w14:paraId="70F80956"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Izmaksas 8 mēnešos euro</w:t>
                  </w:r>
                </w:p>
              </w:tc>
            </w:tr>
            <w:tr w14:paraId="404200B9" w14:textId="77777777" w:rsidTr="00570E79">
              <w:tblPrEx>
                <w:tblW w:w="6660" w:type="dxa"/>
                <w:tblLook w:val="04A0"/>
              </w:tblPrEx>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96161" w:rsidRPr="005D3675" w:rsidP="00570E79" w14:paraId="4FDB5A5B"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Ārsti </w:t>
                  </w:r>
                </w:p>
              </w:tc>
              <w:tc>
                <w:tcPr>
                  <w:tcW w:w="76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2D2630D9" w14:textId="77777777">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12.67</w:t>
                  </w:r>
                </w:p>
              </w:tc>
              <w:tc>
                <w:tcPr>
                  <w:tcW w:w="78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2D2CBBDE" w14:textId="77777777">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2.66737</w:t>
                  </w:r>
                </w:p>
              </w:tc>
              <w:tc>
                <w:tcPr>
                  <w:tcW w:w="1095"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282FEE9E"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75 685.50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51E1FB5D"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16 823.43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65750210"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67 293.70 </w:t>
                  </w:r>
                </w:p>
              </w:tc>
              <w:tc>
                <w:tcPr>
                  <w:tcW w:w="118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54DD1380"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134 587.40 </w:t>
                  </w:r>
                </w:p>
              </w:tc>
            </w:tr>
            <w:tr w14:paraId="4F2F4370" w14:textId="77777777" w:rsidTr="00570E79">
              <w:tblPrEx>
                <w:tblW w:w="6660" w:type="dxa"/>
                <w:tblLook w:val="04A0"/>
              </w:tblPrEx>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96161" w:rsidRPr="005D3675" w:rsidP="00570E79" w14:paraId="3F229046"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Māsas</w:t>
                  </w:r>
                </w:p>
              </w:tc>
              <w:tc>
                <w:tcPr>
                  <w:tcW w:w="76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2C05A9D1" w14:textId="77777777">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7.92</w:t>
                  </w:r>
                </w:p>
              </w:tc>
              <w:tc>
                <w:tcPr>
                  <w:tcW w:w="78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70508F57" w14:textId="77777777">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1.66737</w:t>
                  </w:r>
                </w:p>
              </w:tc>
              <w:tc>
                <w:tcPr>
                  <w:tcW w:w="1095"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5D97E355"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46 435.27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26F90EEB"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6 452.06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3BBE1B72"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25 808.24 </w:t>
                  </w:r>
                </w:p>
              </w:tc>
              <w:tc>
                <w:tcPr>
                  <w:tcW w:w="118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072FC899" w14:textId="77777777">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51 616.47 </w:t>
                  </w:r>
                </w:p>
              </w:tc>
            </w:tr>
            <w:tr w14:paraId="270601E9" w14:textId="77777777" w:rsidTr="00570E79">
              <w:tblPrEx>
                <w:tblW w:w="6660" w:type="dxa"/>
                <w:tblLook w:val="04A0"/>
              </w:tblPrEx>
              <w:trPr>
                <w:trHeight w:val="300"/>
              </w:trPr>
              <w:tc>
                <w:tcPr>
                  <w:tcW w:w="34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161" w:rsidRPr="005D3675" w:rsidP="00570E79" w14:paraId="633AFFD2" w14:textId="77777777">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3 līmenis kopā:</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6974F6D9" w14:textId="77777777">
                  <w:pPr>
                    <w:rPr>
                      <w:rFonts w:eastAsia="Times New Roman" w:cs="Times New Roman"/>
                      <w:b/>
                      <w:bCs/>
                      <w:color w:val="000000"/>
                      <w:sz w:val="20"/>
                      <w:szCs w:val="20"/>
                      <w:lang w:eastAsia="lv-LV"/>
                    </w:rPr>
                  </w:pPr>
                  <w:r>
                    <w:rPr>
                      <w:rFonts w:eastAsia="Times New Roman" w:cs="Times New Roman"/>
                      <w:b/>
                      <w:bCs/>
                      <w:color w:val="000000"/>
                      <w:sz w:val="20"/>
                      <w:szCs w:val="20"/>
                      <w:lang w:eastAsia="lv-LV"/>
                    </w:rPr>
                    <w:t>23 275.49</w:t>
                  </w:r>
                  <w:r w:rsidRPr="005D3675">
                    <w:rPr>
                      <w:rFonts w:eastAsia="Times New Roman" w:cs="Times New Roman"/>
                      <w:b/>
                      <w:bCs/>
                      <w:color w:val="000000"/>
                      <w:sz w:val="20"/>
                      <w:szCs w:val="20"/>
                      <w:lang w:eastAsia="lv-LV"/>
                    </w:rPr>
                    <w:t xml:space="preserve"> </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472EE1AF" w14:textId="77777777">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93 101.94 </w:t>
                  </w:r>
                </w:p>
              </w:tc>
              <w:tc>
                <w:tcPr>
                  <w:tcW w:w="118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6C94E444" w14:textId="77777777">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186 203.87 </w:t>
                  </w:r>
                </w:p>
              </w:tc>
            </w:tr>
            <w:tr w14:paraId="3362518C" w14:textId="77777777" w:rsidTr="00570E79">
              <w:tblPrEx>
                <w:tblW w:w="6660" w:type="dxa"/>
                <w:tblLook w:val="04A0"/>
              </w:tblPrEx>
              <w:trPr>
                <w:trHeight w:val="300"/>
              </w:trPr>
              <w:tc>
                <w:tcPr>
                  <w:tcW w:w="44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161" w:rsidRPr="005D3675" w:rsidP="00570E79" w14:paraId="2C840F34" w14:textId="77777777">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Ietaupījums euro:</w:t>
                  </w:r>
                </w:p>
              </w:tc>
              <w:tc>
                <w:tcPr>
                  <w:tcW w:w="1038"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61480346" w14:textId="77777777">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35 558.25 </w:t>
                  </w:r>
                </w:p>
              </w:tc>
              <w:tc>
                <w:tcPr>
                  <w:tcW w:w="1180" w:type="dxa"/>
                  <w:tcBorders>
                    <w:top w:val="nil"/>
                    <w:left w:val="nil"/>
                    <w:bottom w:val="single" w:sz="4" w:space="0" w:color="auto"/>
                    <w:right w:val="single" w:sz="4" w:space="0" w:color="auto"/>
                  </w:tcBorders>
                  <w:shd w:val="clear" w:color="auto" w:fill="auto"/>
                  <w:noWrap/>
                  <w:vAlign w:val="bottom"/>
                  <w:hideMark/>
                </w:tcPr>
                <w:p w:rsidR="00996161" w:rsidRPr="005D3675" w:rsidP="00570E79" w14:paraId="22B275EA" w14:textId="77777777">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71 116.50 </w:t>
                  </w:r>
                </w:p>
              </w:tc>
            </w:tr>
          </w:tbl>
          <w:p w:rsidR="00996161" w:rsidP="00570E79" w14:paraId="5DDF42E5" w14:textId="77777777">
            <w:pPr>
              <w:ind w:right="142"/>
              <w:jc w:val="both"/>
              <w:rPr>
                <w:rFonts w:eastAsia="Times New Roman" w:cs="Times New Roman"/>
                <w:szCs w:val="24"/>
                <w:lang w:eastAsia="lv-LV"/>
              </w:rPr>
            </w:pPr>
          </w:p>
          <w:p w:rsidR="00996161" w:rsidRPr="00B91403" w:rsidP="00570E79" w14:paraId="59163FA1" w14:textId="77777777">
            <w:pPr>
              <w:ind w:right="142"/>
              <w:jc w:val="both"/>
              <w:rPr>
                <w:rFonts w:eastAsia="Times New Roman" w:cs="Times New Roman"/>
                <w:szCs w:val="24"/>
                <w:lang w:eastAsia="lv-LV"/>
              </w:rPr>
            </w:pPr>
            <w:r>
              <w:rPr>
                <w:rFonts w:eastAsia="Times New Roman" w:cs="Times New Roman"/>
                <w:szCs w:val="24"/>
                <w:lang w:eastAsia="lv-LV"/>
              </w:rPr>
              <w:t xml:space="preserve">2017.gadā rasto ietaupījumu plānots novirzīt ambulatoro pakalpojumu pieejamības </w:t>
            </w:r>
            <w:r w:rsidRPr="00B91403">
              <w:rPr>
                <w:rFonts w:eastAsia="Times New Roman" w:cs="Times New Roman"/>
                <w:szCs w:val="24"/>
                <w:lang w:eastAsia="lv-LV"/>
              </w:rPr>
              <w:t xml:space="preserve">uzlabošanai </w:t>
            </w:r>
            <w:r w:rsidRPr="00B91403">
              <w:rPr>
                <w:bCs/>
              </w:rPr>
              <w:t>izmeklē</w:t>
            </w:r>
            <w:r>
              <w:rPr>
                <w:bCs/>
              </w:rPr>
              <w:t>jumu pakalpojumu programmām 1573</w:t>
            </w:r>
            <w:r w:rsidRPr="00B91403">
              <w:rPr>
                <w:bCs/>
              </w:rPr>
              <w:t xml:space="preserve"> izmeklējumu </w:t>
            </w:r>
            <w:r w:rsidRPr="00B91403">
              <w:rPr>
                <w:bCs/>
                <w:szCs w:val="24"/>
              </w:rPr>
              <w:t>veikšanai (atbilstoši Izmeklējumu pakalpojuma programmās esoša viena izmeklējuma vidējām faktiskām izmaksām valstī 2017.gada I. ceturksnī)</w:t>
            </w:r>
            <w:r w:rsidRPr="00B91403">
              <w:rPr>
                <w:rFonts w:eastAsia="Times New Roman" w:cs="Times New Roman"/>
                <w:szCs w:val="24"/>
                <w:lang w:eastAsia="lv-LV"/>
              </w:rPr>
              <w:t xml:space="preserve">. </w:t>
            </w:r>
            <w:r w:rsidRPr="00B91403">
              <w:rPr>
                <w:szCs w:val="24"/>
              </w:rPr>
              <w:t>Izmeklējumu pakalpojuma programmās esoša viena izmeklējuma vidējās faktiskās izmaksas valstī</w:t>
            </w:r>
            <w:r>
              <w:rPr>
                <w:szCs w:val="24"/>
              </w:rPr>
              <w:t xml:space="preserve"> 2017.gada I. ceturksnī (visās i</w:t>
            </w:r>
            <w:r w:rsidRPr="00B91403">
              <w:rPr>
                <w:szCs w:val="24"/>
              </w:rPr>
              <w:t>zmeklējumu pakalpojumu programmās) – 22,60537</w:t>
            </w:r>
            <w:r>
              <w:rPr>
                <w:szCs w:val="24"/>
              </w:rPr>
              <w:t>1</w:t>
            </w:r>
            <w:r w:rsidRPr="00B91403">
              <w:rPr>
                <w:szCs w:val="24"/>
              </w:rPr>
              <w:t xml:space="preserve"> euro/izmeklējums. </w:t>
            </w:r>
          </w:p>
          <w:p w:rsidR="00996161" w:rsidP="00570E79" w14:paraId="4593E7AB" w14:textId="77777777">
            <w:pPr>
              <w:ind w:right="142"/>
              <w:jc w:val="both"/>
              <w:rPr>
                <w:rFonts w:eastAsia="Times New Roman" w:cs="Times New Roman"/>
                <w:noProof/>
                <w:szCs w:val="24"/>
                <w:lang w:eastAsia="lv-LV" w:bidi="gu-IN"/>
              </w:rPr>
            </w:pPr>
            <w:r w:rsidRPr="00B91403">
              <w:rPr>
                <w:rFonts w:eastAsia="Times New Roman" w:cs="Times New Roman"/>
                <w:noProof/>
                <w:szCs w:val="24"/>
                <w:lang w:eastAsia="lv-LV" w:bidi="gu-IN"/>
              </w:rPr>
              <w:t>22,60537</w:t>
            </w:r>
            <w:r>
              <w:rPr>
                <w:rFonts w:eastAsia="Times New Roman" w:cs="Times New Roman"/>
                <w:noProof/>
                <w:szCs w:val="24"/>
                <w:lang w:eastAsia="lv-LV" w:bidi="gu-IN"/>
              </w:rPr>
              <w:t>1</w:t>
            </w:r>
            <w:r w:rsidRPr="00B91403">
              <w:rPr>
                <w:rFonts w:eastAsia="Times New Roman" w:cs="Times New Roman"/>
                <w:noProof/>
                <w:szCs w:val="24"/>
                <w:lang w:eastAsia="lv-LV" w:bidi="gu-IN"/>
              </w:rPr>
              <w:t xml:space="preserve"> euro x 1573 izmeklējumi = 35 558,25 euro. </w:t>
            </w:r>
          </w:p>
          <w:p w:rsidR="00996161" w:rsidRPr="00B91403" w:rsidP="00570E79" w14:paraId="562B5F57" w14:textId="77777777">
            <w:pPr>
              <w:ind w:right="142"/>
              <w:jc w:val="both"/>
              <w:rPr>
                <w:rFonts w:eastAsia="Times New Roman" w:cs="Times New Roman"/>
                <w:noProof/>
                <w:szCs w:val="24"/>
                <w:lang w:eastAsia="lv-LV" w:bidi="gu-IN"/>
              </w:rPr>
            </w:pPr>
          </w:p>
          <w:p w:rsidR="00996161" w:rsidRPr="009A0BA6" w:rsidP="00570E79" w14:paraId="58F56CBD" w14:textId="77777777">
            <w:pPr>
              <w:ind w:right="142"/>
              <w:jc w:val="both"/>
              <w:rPr>
                <w:rFonts w:eastAsia="Times New Roman" w:cs="Times New Roman"/>
                <w:noProof/>
                <w:szCs w:val="24"/>
                <w:lang w:eastAsia="lv-LV" w:bidi="gu-IN"/>
              </w:rPr>
            </w:pPr>
            <w:r w:rsidRPr="009A0BA6">
              <w:rPr>
                <w:rFonts w:eastAsia="Times New Roman" w:cs="Times New Roman"/>
                <w:noProof/>
                <w:szCs w:val="24"/>
                <w:lang w:eastAsia="lv-LV" w:bidi="gu-IN"/>
              </w:rPr>
              <w:t xml:space="preserve">Pārējām Noteikuma projektā minētām izmaiņām nav ietekmes uz 2017.gada valsts budžeta finansējumu, jo veikta informācijas precizēšana atbilstoši aktuālajiem datiem, tostarp veikti redakcionāli precizējumi. </w:t>
            </w:r>
          </w:p>
          <w:p w:rsidR="00996161" w:rsidRPr="00B91403" w:rsidP="00570E79" w14:paraId="5A596A39" w14:textId="77777777">
            <w:pPr>
              <w:ind w:right="142"/>
              <w:jc w:val="both"/>
              <w:rPr>
                <w:rFonts w:eastAsia="Times New Roman" w:cs="Times New Roman"/>
                <w:noProof/>
                <w:szCs w:val="24"/>
                <w:lang w:eastAsia="lv-LV"/>
              </w:rPr>
            </w:pPr>
          </w:p>
          <w:p w:rsidR="00996161" w:rsidP="00570E79" w14:paraId="334CE533" w14:textId="77777777">
            <w:pPr>
              <w:ind w:right="142"/>
              <w:jc w:val="both"/>
              <w:rPr>
                <w:rFonts w:eastAsia="Times New Roman" w:cs="Times New Roman"/>
                <w:noProof/>
                <w:szCs w:val="24"/>
                <w:lang w:eastAsia="lv-LV"/>
              </w:rPr>
            </w:pPr>
            <w:r w:rsidRPr="00B91403">
              <w:rPr>
                <w:rFonts w:eastAsia="Times New Roman" w:cs="Times New Roman"/>
                <w:noProof/>
                <w:szCs w:val="24"/>
                <w:lang w:eastAsia="lv-LV"/>
              </w:rPr>
              <w:t>Kopumā ietekmi uz 2017.gada budžetu Noteikuma</w:t>
            </w:r>
            <w:r>
              <w:rPr>
                <w:rFonts w:eastAsia="Times New Roman" w:cs="Times New Roman"/>
                <w:noProof/>
                <w:szCs w:val="24"/>
                <w:lang w:eastAsia="lv-LV"/>
              </w:rPr>
              <w:t xml:space="preserve"> projekta izmaiņas neatstāj, jo ar rasto ietaupījumu </w:t>
            </w:r>
            <w:r>
              <w:t xml:space="preserve">35 558,25 euro </w:t>
            </w:r>
            <w:r>
              <w:rPr>
                <w:rFonts w:eastAsia="Times New Roman" w:cs="Times New Roman"/>
                <w:noProof/>
                <w:szCs w:val="24"/>
                <w:lang w:eastAsia="lv-LV"/>
              </w:rPr>
              <w:t xml:space="preserve">steidzamās medicīniskās palīdzības punktu finansēšanā plānots palielināt veselības aprūpes pieejamības nodrošinājumu ambulatorajā veselības aprūpē </w:t>
            </w:r>
            <w:r w:rsidRPr="00B91403">
              <w:rPr>
                <w:bCs/>
              </w:rPr>
              <w:t xml:space="preserve">izmeklējumu </w:t>
            </w:r>
            <w:r w:rsidRPr="00B91403">
              <w:rPr>
                <w:bCs/>
                <w:szCs w:val="24"/>
              </w:rPr>
              <w:t>veikšanai</w:t>
            </w:r>
            <w:r>
              <w:rPr>
                <w:rFonts w:eastAsia="Times New Roman" w:cs="Times New Roman"/>
                <w:noProof/>
                <w:szCs w:val="24"/>
                <w:lang w:eastAsia="lv-LV"/>
              </w:rPr>
              <w:t xml:space="preserve">. </w:t>
            </w:r>
          </w:p>
          <w:p w:rsidR="00996161" w:rsidRPr="009618CB" w:rsidP="00570E79" w14:paraId="28019CDC" w14:textId="77777777">
            <w:pPr>
              <w:ind w:right="142"/>
              <w:jc w:val="both"/>
              <w:rPr>
                <w:rFonts w:eastAsia="Times New Roman" w:cs="Times New Roman"/>
                <w:noProof/>
                <w:szCs w:val="24"/>
                <w:lang w:eastAsia="lv-LV"/>
              </w:rPr>
            </w:pPr>
          </w:p>
          <w:p w:rsidR="00996161" w:rsidRPr="009618CB" w:rsidP="00570E79" w14:paraId="60EB7AC3" w14:textId="77777777">
            <w:pPr>
              <w:ind w:right="142"/>
              <w:jc w:val="both"/>
              <w:rPr>
                <w:rFonts w:eastAsia="Times New Roman" w:cs="Times New Roman"/>
                <w:szCs w:val="24"/>
                <w:u w:val="single"/>
                <w:lang w:eastAsia="lv-LV"/>
              </w:rPr>
            </w:pPr>
            <w:r w:rsidRPr="009618CB">
              <w:rPr>
                <w:rFonts w:eastAsia="Times New Roman" w:cs="Times New Roman"/>
                <w:szCs w:val="24"/>
                <w:u w:val="single"/>
                <w:lang w:eastAsia="lv-LV"/>
              </w:rPr>
              <w:t xml:space="preserve">Ietekme uz 2018.gada un turpmāko budžetu. </w:t>
            </w:r>
          </w:p>
          <w:p w:rsidR="00996161" w:rsidRPr="00B91403" w:rsidP="00570E79" w14:paraId="44D178AF" w14:textId="77777777">
            <w:pPr>
              <w:ind w:right="142"/>
              <w:jc w:val="both"/>
              <w:rPr>
                <w:rFonts w:eastAsia="Times New Roman" w:cs="Times New Roman"/>
                <w:szCs w:val="24"/>
                <w:lang w:eastAsia="lv-LV"/>
              </w:rPr>
            </w:pPr>
            <w:r w:rsidRPr="009618CB">
              <w:rPr>
                <w:rFonts w:eastAsia="Times New Roman" w:cs="Times New Roman"/>
                <w:szCs w:val="24"/>
                <w:lang w:eastAsia="lv-LV"/>
              </w:rPr>
              <w:t xml:space="preserve">Noteikumu projekts paredz izmaiņas steidzamo medicīnisko palīdzības punktu nodrošinājumā paredzot </w:t>
            </w:r>
            <w:r w:rsidRPr="009618CB">
              <w:rPr>
                <w:szCs w:val="24"/>
              </w:rPr>
              <w:t xml:space="preserve">SIA “Siguldas slimnīca” 2.līmeņa steidzamās medicīniskās palīdzības punktu. Minētās Noteikumu projekta izmaiņas rada ietaupījumu steidzamo medicīnisko palīdzības punktu nodrošinājumā 2018.gadā 71 116,50 euro apmērā (skat.tabula Nr.1 un Nr.2).  Rasto ietaupījumu plānots novirzīt </w:t>
            </w:r>
            <w:r w:rsidRPr="009618CB">
              <w:rPr>
                <w:rFonts w:eastAsia="Times New Roman" w:cs="Times New Roman"/>
                <w:szCs w:val="24"/>
                <w:lang w:eastAsia="lv-LV"/>
              </w:rPr>
              <w:t>ambulatoro pakal</w:t>
            </w:r>
            <w:r>
              <w:rPr>
                <w:rFonts w:eastAsia="Times New Roman" w:cs="Times New Roman"/>
                <w:szCs w:val="24"/>
                <w:lang w:eastAsia="lv-LV"/>
              </w:rPr>
              <w:t xml:space="preserve">pojumu pieejamības uzlabošanai </w:t>
            </w:r>
            <w:r w:rsidRPr="00B91403">
              <w:rPr>
                <w:bCs/>
              </w:rPr>
              <w:t>izmeklē</w:t>
            </w:r>
            <w:r>
              <w:rPr>
                <w:bCs/>
              </w:rPr>
              <w:t>jumu pakalpojumu programmām 3146</w:t>
            </w:r>
            <w:r w:rsidRPr="00B91403">
              <w:rPr>
                <w:bCs/>
              </w:rPr>
              <w:t xml:space="preserve"> izmeklējumu </w:t>
            </w:r>
            <w:r w:rsidRPr="00B91403">
              <w:rPr>
                <w:bCs/>
                <w:szCs w:val="24"/>
              </w:rPr>
              <w:t>veikšanai (atbilstoši Izmeklējumu pakalpojuma programmās esoša viena izmeklējuma vidējām faktiskām izmaksām valstī 2017.gada I. ceturksnī)</w:t>
            </w:r>
            <w:r w:rsidRPr="00B91403">
              <w:rPr>
                <w:rFonts w:eastAsia="Times New Roman" w:cs="Times New Roman"/>
                <w:szCs w:val="24"/>
                <w:lang w:eastAsia="lv-LV"/>
              </w:rPr>
              <w:t xml:space="preserve">. </w:t>
            </w:r>
            <w:r w:rsidRPr="00B91403">
              <w:rPr>
                <w:szCs w:val="24"/>
              </w:rPr>
              <w:t>Izmeklējumu pakalpojuma programmās esoša viena izmeklējuma vidējās faktiskās izmaksas valstī</w:t>
            </w:r>
            <w:r>
              <w:rPr>
                <w:szCs w:val="24"/>
              </w:rPr>
              <w:t xml:space="preserve"> 2017.gada I. ceturksnī (visās i</w:t>
            </w:r>
            <w:r w:rsidRPr="00B91403">
              <w:rPr>
                <w:szCs w:val="24"/>
              </w:rPr>
              <w:t>zmeklējumu pakalpojumu programmās) – 22,60537</w:t>
            </w:r>
            <w:r>
              <w:rPr>
                <w:szCs w:val="24"/>
              </w:rPr>
              <w:t>1</w:t>
            </w:r>
            <w:r w:rsidRPr="00B91403">
              <w:rPr>
                <w:szCs w:val="24"/>
              </w:rPr>
              <w:t xml:space="preserve"> euro/izmeklējums. </w:t>
            </w:r>
          </w:p>
          <w:p w:rsidR="00996161" w:rsidP="00570E79" w14:paraId="330FB65B" w14:textId="77777777">
            <w:pPr>
              <w:ind w:right="142"/>
              <w:jc w:val="both"/>
              <w:rPr>
                <w:rFonts w:eastAsia="Times New Roman" w:cs="Times New Roman"/>
                <w:noProof/>
                <w:szCs w:val="24"/>
                <w:lang w:eastAsia="lv-LV" w:bidi="gu-IN"/>
              </w:rPr>
            </w:pPr>
            <w:r w:rsidRPr="00B91403">
              <w:rPr>
                <w:rFonts w:eastAsia="Times New Roman" w:cs="Times New Roman"/>
                <w:noProof/>
                <w:szCs w:val="24"/>
                <w:lang w:eastAsia="lv-LV" w:bidi="gu-IN"/>
              </w:rPr>
              <w:t>22,60537</w:t>
            </w:r>
            <w:r>
              <w:rPr>
                <w:rFonts w:eastAsia="Times New Roman" w:cs="Times New Roman"/>
                <w:noProof/>
                <w:szCs w:val="24"/>
                <w:lang w:eastAsia="lv-LV" w:bidi="gu-IN"/>
              </w:rPr>
              <w:t>1 euro x 3146</w:t>
            </w:r>
            <w:r w:rsidRPr="00B91403">
              <w:rPr>
                <w:rFonts w:eastAsia="Times New Roman" w:cs="Times New Roman"/>
                <w:noProof/>
                <w:szCs w:val="24"/>
                <w:lang w:eastAsia="lv-LV" w:bidi="gu-IN"/>
              </w:rPr>
              <w:t xml:space="preserve"> izmeklējumi = </w:t>
            </w:r>
            <w:r>
              <w:rPr>
                <w:rFonts w:eastAsia="Times New Roman" w:cs="Times New Roman"/>
                <w:noProof/>
                <w:szCs w:val="24"/>
                <w:lang w:eastAsia="lv-LV" w:bidi="gu-IN"/>
              </w:rPr>
              <w:t xml:space="preserve"> 71 116,50</w:t>
            </w:r>
            <w:r w:rsidRPr="00B91403">
              <w:rPr>
                <w:rFonts w:eastAsia="Times New Roman" w:cs="Times New Roman"/>
                <w:noProof/>
                <w:szCs w:val="24"/>
                <w:lang w:eastAsia="lv-LV" w:bidi="gu-IN"/>
              </w:rPr>
              <w:t xml:space="preserve"> euro. </w:t>
            </w:r>
          </w:p>
          <w:p w:rsidR="00996161" w:rsidRPr="009618CB" w:rsidP="00570E79" w14:paraId="7CD3804B" w14:textId="77777777">
            <w:pPr>
              <w:ind w:right="142"/>
              <w:jc w:val="both"/>
              <w:rPr>
                <w:szCs w:val="24"/>
              </w:rPr>
            </w:pPr>
          </w:p>
          <w:p w:rsidR="00996161" w:rsidRPr="009618CB" w:rsidP="00570E79" w14:paraId="58EDC923" w14:textId="77777777">
            <w:pPr>
              <w:ind w:right="142"/>
              <w:jc w:val="both"/>
              <w:rPr>
                <w:rFonts w:eastAsia="Times New Roman" w:cs="Times New Roman"/>
                <w:color w:val="000000"/>
                <w:szCs w:val="24"/>
                <w:shd w:val="clear" w:color="auto" w:fill="FFFFFF"/>
                <w:lang w:eastAsia="lv-LV" w:bidi="lv-LV"/>
              </w:rPr>
            </w:pPr>
            <w:r w:rsidRPr="009618CB">
              <w:rPr>
                <w:rFonts w:eastAsia="Times New Roman" w:cs="Times New Roman"/>
                <w:szCs w:val="24"/>
                <w:lang w:eastAsia="lv-LV"/>
              </w:rPr>
              <w:t xml:space="preserve">Tāpat Noteikumu projekts sākot ar 2018.gada 1.janvāri paredz izmaiņas </w:t>
            </w:r>
            <w:r w:rsidRPr="009618CB">
              <w:rPr>
                <w:szCs w:val="24"/>
              </w:rPr>
              <w:t xml:space="preserve">ārstniecības iestāžu vajadzībām, ar kurām noslēgts līgums par </w:t>
            </w:r>
            <w:r>
              <w:rPr>
                <w:szCs w:val="24"/>
              </w:rPr>
              <w:t xml:space="preserve">plānveida </w:t>
            </w:r>
            <w:r w:rsidRPr="009618CB">
              <w:rPr>
                <w:szCs w:val="24"/>
              </w:rPr>
              <w:t xml:space="preserve">onkoloģisko veselības aprūpes pakalpojumu sniegšanu, iepērkamo parenterāli lietojamo zāļu finansēšanā. Ar Noteikumu projekta izmaiņām ārstniecības iestādēs iepērkamās parenterāli lietojamās zāles tiek pārvirzītas uz centralizēto iepircēju Nacionālo veselības dienestu. Attiecīgi no Veselības ministrijas budžeta apakšprogrammas 33.18.00 </w:t>
            </w:r>
            <w:r w:rsidRPr="009618CB">
              <w:rPr>
                <w:rFonts w:eastAsia="Times New Roman" w:cs="Times New Roman"/>
                <w:color w:val="000000"/>
                <w:szCs w:val="24"/>
                <w:shd w:val="clear" w:color="auto" w:fill="FFFFFF"/>
                <w:lang w:eastAsia="lv-LV" w:bidi="lv-LV"/>
              </w:rPr>
              <w:t>„Plānveida stacionāro veselības aprūpes pakalpojumu nodrošināšana</w:t>
            </w:r>
            <w:r w:rsidRPr="009618CB">
              <w:rPr>
                <w:szCs w:val="24"/>
              </w:rPr>
              <w:t xml:space="preserve">”  pārvirzot </w:t>
            </w:r>
            <w:r w:rsidRPr="009618CB">
              <w:rPr>
                <w:szCs w:val="24"/>
              </w:rPr>
              <w:t xml:space="preserve">finansējumu </w:t>
            </w:r>
            <w:r>
              <w:rPr>
                <w:szCs w:val="24"/>
              </w:rPr>
              <w:t>1,12</w:t>
            </w:r>
            <w:r w:rsidRPr="009618CB">
              <w:rPr>
                <w:szCs w:val="24"/>
              </w:rPr>
              <w:t xml:space="preserve"> milj. euro uz Veselības ministrijas budžeta apakšprogrammu </w:t>
            </w:r>
            <w:r w:rsidRPr="009618CB">
              <w:rPr>
                <w:rFonts w:eastAsia="Times New Roman" w:cs="Times New Roman"/>
                <w:color w:val="000000"/>
                <w:szCs w:val="24"/>
                <w:shd w:val="clear" w:color="auto" w:fill="FFFFFF"/>
                <w:lang w:eastAsia="lv-LV" w:bidi="lv-LV"/>
              </w:rPr>
              <w:t xml:space="preserve">33.04.00 „Centralizēta medikamentu un materiālu iegāde”. </w:t>
            </w:r>
          </w:p>
          <w:p w:rsidR="00996161" w:rsidRPr="00735BA4" w:rsidP="00570E79" w14:paraId="354A225A" w14:textId="77777777">
            <w:pPr>
              <w:ind w:right="142"/>
              <w:jc w:val="both"/>
              <w:rPr>
                <w:rFonts w:cs="Times New Roman"/>
                <w:szCs w:val="24"/>
              </w:rPr>
            </w:pPr>
            <w:r w:rsidRPr="009618CB">
              <w:rPr>
                <w:rFonts w:eastAsia="Times New Roman" w:cs="Times New Roman"/>
                <w:color w:val="000000"/>
                <w:szCs w:val="24"/>
                <w:shd w:val="clear" w:color="auto" w:fill="FFFFFF"/>
                <w:lang w:eastAsia="lv-LV" w:bidi="lv-LV"/>
              </w:rPr>
              <w:t xml:space="preserve">Papildus tam </w:t>
            </w:r>
            <w:r w:rsidRPr="009618CB">
              <w:rPr>
                <w:szCs w:val="24"/>
              </w:rPr>
              <w:t>parenterāli lietojamās zāles</w:t>
            </w:r>
            <w:r>
              <w:rPr>
                <w:szCs w:val="24"/>
              </w:rPr>
              <w:t xml:space="preserve"> onkoloģisko slimību ārstēšanai </w:t>
            </w:r>
            <w:r w:rsidRPr="009618CB">
              <w:rPr>
                <w:szCs w:val="24"/>
              </w:rPr>
              <w:t>2,7 milj. euro apmērā ar Noteikumu projektu izmaiņām tiek pārvirzītas no kompensējamo medikamentu un materiālu iegādēm uz centralizēto medikamentu un materiālu iepirk</w:t>
            </w:r>
            <w:r>
              <w:rPr>
                <w:szCs w:val="24"/>
              </w:rPr>
              <w:t xml:space="preserve">šanu, </w:t>
            </w:r>
            <w:r w:rsidRPr="009618CB">
              <w:rPr>
                <w:szCs w:val="24"/>
              </w:rPr>
              <w:t>centralizēto iepircēju Nacionālo veselības dienestu</w:t>
            </w:r>
            <w:r>
              <w:rPr>
                <w:szCs w:val="24"/>
              </w:rPr>
              <w:t>.</w:t>
            </w:r>
            <w:r w:rsidRPr="009618CB">
              <w:rPr>
                <w:szCs w:val="24"/>
              </w:rPr>
              <w:t xml:space="preserve"> </w:t>
            </w:r>
            <w:r w:rsidRPr="00735BA4">
              <w:rPr>
                <w:rFonts w:cs="Times New Roman"/>
                <w:szCs w:val="24"/>
              </w:rPr>
              <w:t>Noteikumu projektu izmaiņas virzītas saskaņā</w:t>
            </w:r>
            <w:r>
              <w:rPr>
                <w:rFonts w:cs="Times New Roman"/>
                <w:szCs w:val="24"/>
              </w:rPr>
              <w:t xml:space="preserve"> ar</w:t>
            </w:r>
            <w:r w:rsidRPr="00735BA4">
              <w:rPr>
                <w:rFonts w:cs="Times New Roman"/>
                <w:szCs w:val="24"/>
              </w:rPr>
              <w:t xml:space="preserve"> plānoto veselības aprūpes sistēmas reformu, plānojot rast ietaupījumu uz aptieku piecenojuma rēķina. </w:t>
            </w:r>
          </w:p>
          <w:p w:rsidR="00996161" w:rsidRPr="00735BA4" w:rsidP="00570E79" w14:paraId="781499FA" w14:textId="77777777">
            <w:pPr>
              <w:ind w:right="142"/>
              <w:jc w:val="both"/>
              <w:rPr>
                <w:rFonts w:cs="Times New Roman"/>
                <w:szCs w:val="24"/>
              </w:rPr>
            </w:pPr>
            <w:r w:rsidRPr="00735BA4">
              <w:rPr>
                <w:rFonts w:cs="Times New Roman"/>
                <w:szCs w:val="24"/>
              </w:rPr>
              <w:t xml:space="preserve">2016.gadā apmaksāto onkoloģisko slimību ārstēšanai lietoto parenterāli ievadāmo medikamentu izlietoto iepakojumu skaits  99 643 iepakojumi. </w:t>
            </w:r>
          </w:p>
          <w:p w:rsidR="00996161" w:rsidRPr="00735BA4" w:rsidP="00570E79" w14:paraId="4964105E" w14:textId="77777777">
            <w:pPr>
              <w:ind w:right="142"/>
              <w:jc w:val="both"/>
              <w:rPr>
                <w:rFonts w:cs="Times New Roman"/>
                <w:szCs w:val="24"/>
              </w:rPr>
            </w:pPr>
            <w:r w:rsidRPr="00735BA4">
              <w:rPr>
                <w:rFonts w:cs="Times New Roman"/>
                <w:szCs w:val="24"/>
              </w:rPr>
              <w:t xml:space="preserve">Vidējais svērtais aptiekas piecenojums – 2,598205 euro/par 1 iepakojumu, attiecīgi 99 643 iepakojumi x 2,598205 euro = 258 893 euro. </w:t>
            </w:r>
          </w:p>
          <w:p w:rsidR="00996161" w:rsidRPr="00735BA4" w:rsidP="00570E79" w14:paraId="1ED4CC6E" w14:textId="77777777">
            <w:pPr>
              <w:ind w:right="142"/>
              <w:jc w:val="both"/>
              <w:rPr>
                <w:rFonts w:cs="Times New Roman"/>
                <w:szCs w:val="24"/>
              </w:rPr>
            </w:pPr>
            <w:r w:rsidRPr="00735BA4">
              <w:rPr>
                <w:rFonts w:cs="Times New Roman"/>
                <w:szCs w:val="24"/>
              </w:rPr>
              <w:t>2,7 milj. euro - 258 893 euro = 2 441 107 euro (</w:t>
            </w:r>
            <w:r w:rsidRPr="009C2133">
              <w:rPr>
                <w:rFonts w:cs="Times New Roman"/>
                <w:szCs w:val="24"/>
              </w:rPr>
              <w:t>finansējums, ar kuru turpmāk plānots nodrošināt 99 643 iepakojumus). Plānotā vidējā viena iepakojuma cena: 2 441 107 euro/ 99643 iepakojumi= 24,499 euro. Ar rasto ietaupījumu plānots palielināt parenterāli lietojamo</w:t>
            </w:r>
            <w:r w:rsidRPr="00735BA4">
              <w:rPr>
                <w:rFonts w:cs="Times New Roman"/>
                <w:szCs w:val="24"/>
              </w:rPr>
              <w:t xml:space="preserve"> zāļu pieejamību papildus nodrošinot 10 567 iepakojumus. </w:t>
            </w:r>
          </w:p>
          <w:p w:rsidR="00996161" w:rsidRPr="00735BA4" w:rsidP="00570E79" w14:paraId="64B3491D" w14:textId="77777777">
            <w:pPr>
              <w:ind w:right="142"/>
              <w:jc w:val="both"/>
              <w:rPr>
                <w:rFonts w:cs="Times New Roman"/>
                <w:szCs w:val="24"/>
              </w:rPr>
            </w:pPr>
          </w:p>
          <w:p w:rsidR="00996161" w:rsidRPr="009A0BA6" w:rsidP="00570E79" w14:paraId="4D08BD5E" w14:textId="77777777">
            <w:pPr>
              <w:ind w:right="142"/>
              <w:jc w:val="both"/>
              <w:rPr>
                <w:rFonts w:eastAsia="Times New Roman" w:cs="Times New Roman"/>
                <w:noProof/>
                <w:szCs w:val="24"/>
                <w:lang w:eastAsia="lv-LV" w:bidi="gu-IN"/>
              </w:rPr>
            </w:pPr>
            <w:r w:rsidRPr="009A0BA6">
              <w:rPr>
                <w:rFonts w:eastAsia="Times New Roman" w:cs="Times New Roman"/>
                <w:noProof/>
                <w:szCs w:val="24"/>
                <w:lang w:eastAsia="lv-LV" w:bidi="gu-IN"/>
              </w:rPr>
              <w:t>Pārējām Noteikuma projektā minētām izmaiņām nav ietekmes uz 2017.gada valsts budžeta finansējumu, jo veikta informācijas precizēšana atbilstoši aktuālajiem datiem, tostarp veikti redakcionāli precizējumi.</w:t>
            </w:r>
          </w:p>
          <w:p w:rsidR="00996161" w:rsidP="00570E79" w14:paraId="6355A533" w14:textId="77777777">
            <w:pPr>
              <w:ind w:right="142"/>
              <w:rPr>
                <w:rFonts w:eastAsia="Times New Roman" w:cs="Times New Roman"/>
                <w:noProof/>
                <w:szCs w:val="24"/>
                <w:lang w:eastAsia="lv-LV"/>
              </w:rPr>
            </w:pPr>
          </w:p>
          <w:p w:rsidR="00996161" w:rsidP="00570E79" w14:paraId="67AF7E80" w14:textId="77777777">
            <w:pPr>
              <w:ind w:right="142"/>
              <w:jc w:val="both"/>
              <w:rPr>
                <w:rFonts w:eastAsia="Times New Roman" w:cs="Times New Roman"/>
                <w:noProof/>
                <w:szCs w:val="24"/>
                <w:lang w:eastAsia="lv-LV"/>
              </w:rPr>
            </w:pPr>
            <w:r>
              <w:rPr>
                <w:rFonts w:eastAsia="Times New Roman" w:cs="Times New Roman"/>
                <w:noProof/>
                <w:szCs w:val="24"/>
                <w:lang w:eastAsia="lv-LV"/>
              </w:rPr>
              <w:t xml:space="preserve">Kopumā ietekmi uz 2018.gada budžetu un turpmāk Noteikuma projekta izmaiņas neatstāj, jo ar rasto ietaupījumu </w:t>
            </w:r>
            <w:r w:rsidRPr="009618CB">
              <w:rPr>
                <w:szCs w:val="24"/>
              </w:rPr>
              <w:t>71 116,50</w:t>
            </w:r>
            <w:r>
              <w:rPr>
                <w:szCs w:val="24"/>
              </w:rPr>
              <w:t xml:space="preserve"> euro</w:t>
            </w:r>
            <w:r>
              <w:t xml:space="preserve"> </w:t>
            </w:r>
            <w:r>
              <w:rPr>
                <w:rFonts w:eastAsia="Times New Roman" w:cs="Times New Roman"/>
                <w:noProof/>
                <w:szCs w:val="24"/>
                <w:lang w:eastAsia="lv-LV"/>
              </w:rPr>
              <w:t xml:space="preserve">steidzamās medicīniskās palīdzības punktu finansēšanā plānots palielināt veselības aprūpes pieejamības nodrošinājumu ambulatorajā veselības aprūpē </w:t>
            </w:r>
            <w:r w:rsidRPr="00B91403">
              <w:rPr>
                <w:bCs/>
              </w:rPr>
              <w:t xml:space="preserve">izmeklējumu </w:t>
            </w:r>
            <w:r w:rsidRPr="00B91403">
              <w:rPr>
                <w:bCs/>
                <w:szCs w:val="24"/>
              </w:rPr>
              <w:t>veikšanai</w:t>
            </w:r>
            <w:r>
              <w:rPr>
                <w:rFonts w:eastAsia="Times New Roman" w:cs="Times New Roman"/>
                <w:noProof/>
                <w:szCs w:val="24"/>
                <w:lang w:eastAsia="lv-LV"/>
              </w:rPr>
              <w:t xml:space="preserve">. Un ar rasto ietaupījumu </w:t>
            </w:r>
            <w:r w:rsidRPr="009618CB">
              <w:rPr>
                <w:szCs w:val="24"/>
              </w:rPr>
              <w:t>parenterāli lietojam</w:t>
            </w:r>
            <w:r>
              <w:rPr>
                <w:szCs w:val="24"/>
              </w:rPr>
              <w:t xml:space="preserve">o </w:t>
            </w:r>
            <w:r w:rsidRPr="009618CB">
              <w:rPr>
                <w:szCs w:val="24"/>
              </w:rPr>
              <w:t>z</w:t>
            </w:r>
            <w:r>
              <w:rPr>
                <w:szCs w:val="24"/>
              </w:rPr>
              <w:t xml:space="preserve">āļu pārvirzīšanā </w:t>
            </w:r>
            <w:r w:rsidRPr="00735BA4">
              <w:rPr>
                <w:rFonts w:cs="Times New Roman"/>
                <w:szCs w:val="24"/>
              </w:rPr>
              <w:t>258 893 euro</w:t>
            </w:r>
            <w:r>
              <w:rPr>
                <w:szCs w:val="24"/>
              </w:rPr>
              <w:t xml:space="preserve"> plānots palielināt </w:t>
            </w:r>
            <w:r w:rsidRPr="009618CB">
              <w:rPr>
                <w:szCs w:val="24"/>
              </w:rPr>
              <w:t>parenterāli lietojam</w:t>
            </w:r>
            <w:r>
              <w:rPr>
                <w:szCs w:val="24"/>
              </w:rPr>
              <w:t>o</w:t>
            </w:r>
            <w:r w:rsidRPr="009618CB">
              <w:rPr>
                <w:szCs w:val="24"/>
              </w:rPr>
              <w:t xml:space="preserve"> z</w:t>
            </w:r>
            <w:r>
              <w:rPr>
                <w:szCs w:val="24"/>
              </w:rPr>
              <w:t xml:space="preserve">āļu pieejamību. </w:t>
            </w:r>
          </w:p>
          <w:p w:rsidR="00996161" w:rsidRPr="009B601B" w:rsidP="00570E79" w14:paraId="5294E0B2" w14:textId="77777777">
            <w:pPr>
              <w:ind w:right="142"/>
              <w:rPr>
                <w:rFonts w:eastAsia="Times New Roman" w:cs="Times New Roman"/>
                <w:noProof/>
                <w:szCs w:val="24"/>
                <w:lang w:eastAsia="lv-LV"/>
              </w:rPr>
            </w:pPr>
          </w:p>
        </w:tc>
      </w:tr>
      <w:tr w14:paraId="6123E221"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84D2165" w14:textId="77777777">
            <w:pPr>
              <w:rPr>
                <w:rFonts w:eastAsia="Times New Roman" w:cs="Times New Roman"/>
                <w:szCs w:val="24"/>
                <w:lang w:eastAsia="lv-LV"/>
              </w:rPr>
            </w:pPr>
            <w:r w:rsidRPr="009B601B">
              <w:rPr>
                <w:rFonts w:eastAsia="Times New Roman" w:cs="Times New Roman"/>
                <w:szCs w:val="24"/>
                <w:lang w:eastAsia="lv-LV"/>
              </w:rPr>
              <w:t>6.1. detalizēts ieņēmumu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206FCFB" w14:textId="77777777">
            <w:pPr>
              <w:rPr>
                <w:rFonts w:eastAsia="Times New Roman" w:cs="Times New Roman"/>
                <w:strike/>
                <w:szCs w:val="24"/>
                <w:lang w:eastAsia="lv-LV"/>
              </w:rPr>
            </w:pPr>
          </w:p>
        </w:tc>
      </w:tr>
      <w:tr w14:paraId="7FC4E9FF"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8A6E7A1" w14:textId="77777777">
            <w:pPr>
              <w:rPr>
                <w:rFonts w:eastAsia="Times New Roman" w:cs="Times New Roman"/>
                <w:szCs w:val="24"/>
                <w:lang w:eastAsia="lv-LV"/>
              </w:rPr>
            </w:pPr>
            <w:r w:rsidRPr="009B601B">
              <w:rPr>
                <w:rFonts w:eastAsia="Times New Roman" w:cs="Times New Roman"/>
                <w:szCs w:val="24"/>
                <w:lang w:eastAsia="lv-LV"/>
              </w:rPr>
              <w:t>6.2. detalizēts izdevumu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610DB95" w14:textId="77777777">
            <w:pPr>
              <w:rPr>
                <w:rFonts w:eastAsia="Times New Roman" w:cs="Times New Roman"/>
                <w:strike/>
                <w:szCs w:val="24"/>
                <w:lang w:eastAsia="lv-LV"/>
              </w:rPr>
            </w:pPr>
          </w:p>
        </w:tc>
      </w:tr>
      <w:tr w14:paraId="2739D62E" w14:textId="77777777" w:rsidTr="00570E79">
        <w:tblPrEx>
          <w:tblW w:w="5000" w:type="pct"/>
          <w:jc w:val="center"/>
          <w:tblCellMar>
            <w:top w:w="30" w:type="dxa"/>
            <w:left w:w="30" w:type="dxa"/>
            <w:bottom w:w="30" w:type="dxa"/>
            <w:right w:w="30" w:type="dxa"/>
          </w:tblCellMar>
          <w:tblLook w:val="04A0"/>
        </w:tblPrEx>
        <w:trPr>
          <w:trHeight w:val="555"/>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4051DA0B" w14:textId="77777777">
            <w:pPr>
              <w:rPr>
                <w:rFonts w:eastAsia="Times New Roman" w:cs="Times New Roman"/>
                <w:szCs w:val="24"/>
                <w:lang w:eastAsia="lv-LV"/>
              </w:rPr>
            </w:pPr>
            <w:r w:rsidRPr="009B601B">
              <w:rPr>
                <w:rFonts w:eastAsia="Times New Roman" w:cs="Times New Roman"/>
                <w:szCs w:val="24"/>
                <w:lang w:eastAsia="lv-LV"/>
              </w:rPr>
              <w:t>7. Cita informācija</w:t>
            </w:r>
          </w:p>
        </w:tc>
        <w:tc>
          <w:tcPr>
            <w:tcW w:w="4076" w:type="pct"/>
            <w:gridSpan w:val="5"/>
            <w:tcBorders>
              <w:top w:val="outset" w:sz="6" w:space="0" w:color="auto"/>
              <w:left w:val="outset" w:sz="6" w:space="0" w:color="auto"/>
              <w:bottom w:val="outset" w:sz="6" w:space="0" w:color="auto"/>
              <w:right w:val="outset" w:sz="6" w:space="0" w:color="auto"/>
            </w:tcBorders>
            <w:hideMark/>
          </w:tcPr>
          <w:p w:rsidR="00996161" w:rsidRPr="009B601B" w:rsidP="00570E79" w14:paraId="1F269BF5" w14:textId="728CCFA9">
            <w:pPr>
              <w:ind w:right="142"/>
              <w:jc w:val="both"/>
              <w:rPr>
                <w:rFonts w:eastAsia="Times New Roman" w:cs="Times New Roman"/>
                <w:szCs w:val="24"/>
                <w:lang w:eastAsia="lv-LV"/>
              </w:rPr>
            </w:pPr>
            <w:r>
              <w:t>Noteikumu projektā paredzētos pasākumus Veselības ministrija nodrošinās tai piešķirto valsts budžeta līdzekļu ietvaros.</w:t>
            </w:r>
          </w:p>
        </w:tc>
      </w:tr>
    </w:tbl>
    <w:p w:rsidR="001D07A1" w:rsidP="00C462C3" w14:paraId="2B19092D" w14:textId="2C94268B"/>
    <w:p w:rsidR="001D07A1" w:rsidP="00C421D8" w14:paraId="4A975F90" w14:textId="77777777">
      <w:pPr>
        <w:ind w:right="-143"/>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774"/>
        <w:gridCol w:w="5750"/>
      </w:tblGrid>
      <w:tr w14:paraId="76CF3A32" w14:textId="77777777" w:rsidTr="006D6ED2">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DC27EA" w:rsidRPr="00857BA9" w:rsidP="004213D9" w14:paraId="5B1CB16B" w14:textId="77777777">
            <w:pPr>
              <w:jc w:val="center"/>
            </w:pPr>
            <w:r w:rsidRPr="00857BA9">
              <w:rPr>
                <w:b/>
                <w:bCs/>
              </w:rPr>
              <w:t>VI. Sabiedrības līdzdalība un komunikācijas aktivitātes</w:t>
            </w:r>
          </w:p>
        </w:tc>
      </w:tr>
      <w:tr w14:paraId="59EF17B9" w14:textId="77777777" w:rsidTr="00C462C3">
        <w:tblPrEx>
          <w:tblW w:w="5000" w:type="pct"/>
          <w:tblInd w:w="-5" w:type="dxa"/>
          <w:tblLook w:val="01E0"/>
        </w:tblPrEx>
        <w:tc>
          <w:tcPr>
            <w:tcW w:w="296" w:type="pct"/>
          </w:tcPr>
          <w:p w:rsidR="00B93183" w:rsidRPr="00857BA9" w:rsidP="00B93183" w14:paraId="06F898B0" w14:textId="77777777">
            <w:r w:rsidRPr="00857BA9">
              <w:t>1.</w:t>
            </w:r>
          </w:p>
        </w:tc>
        <w:tc>
          <w:tcPr>
            <w:tcW w:w="1531" w:type="pct"/>
          </w:tcPr>
          <w:p w:rsidR="00B93183" w:rsidRPr="00857BA9" w:rsidP="00B93183" w14:paraId="0A06499E" w14:textId="77777777">
            <w:r w:rsidRPr="00857BA9">
              <w:t>Plānotās sabiedrības līdzdalības un komunikācijas aktivitātes saistībā ar projektu</w:t>
            </w:r>
          </w:p>
        </w:tc>
        <w:tc>
          <w:tcPr>
            <w:tcW w:w="3173" w:type="pct"/>
          </w:tcPr>
          <w:p w:rsidR="00726431" w:rsidRPr="00CF4101" w:rsidP="00726431" w14:paraId="2E42F649" w14:textId="42C0E247">
            <w:pPr>
              <w:jc w:val="both"/>
            </w:pPr>
            <w:r w:rsidRPr="00CF4101">
              <w:t xml:space="preserve">2017.gada 17.maijā Veselības ministrijā notika sabiedriskā apspriede par Ministru kabineta noteikumu projektu </w:t>
            </w:r>
            <w:r>
              <w:t>“</w:t>
            </w:r>
            <w:r w:rsidRPr="00CF4101">
              <w:t xml:space="preserve">Grozījumi Ministru kabineta 2006.gada 31.oktobra noteikumos Nr.899 </w:t>
            </w:r>
            <w:r>
              <w:t>“</w:t>
            </w:r>
            <w:r w:rsidRPr="00CF4101">
              <w:t>Ambulatorajai ārstēšanai paredzēto zāļu un medicīnisko ierīču iegādes izdevumu kompensācijas kārtība</w:t>
            </w:r>
            <w:r>
              <w:t>””</w:t>
            </w:r>
            <w:r w:rsidRPr="00CF4101">
              <w:t xml:space="preserve">, kurā piedalījās pārstāvji no Starptautisko inovatīvo farmaceitisko firmu asociācijas, Biofarmaceitisko zāļu ražotāju asociācijas Latvijā, Latvijas Patentbrīvo medikamentu asociācijas, Aptieku īpašnieku asociācijas, Latvijas Aptiekāru asociācijas, Latvijas Pieaugušo Reimatoloģijas biedrības, Latvijas Krona un kolīta slimnieku biedrības. Minētās sabiedriskās apspriedes ietvaros izskatīti jautājumi par parenterāli ievadāmo zāļu iepirkuma organizēšanu, kas skatāms </w:t>
            </w:r>
            <w:r w:rsidRPr="00CF4101">
              <w:t>kontekstā ar noteikumu projektu un tajā paredzētajām normām, līdz ar to noteikumu projektam  netika organizēta atsevišķa sabiedriskā apspriede.</w:t>
            </w:r>
          </w:p>
        </w:tc>
      </w:tr>
      <w:tr w14:paraId="5FD681E3" w14:textId="77777777" w:rsidTr="00C462C3">
        <w:tblPrEx>
          <w:tblW w:w="5000" w:type="pct"/>
          <w:tblInd w:w="-5" w:type="dxa"/>
          <w:tblLook w:val="01E0"/>
        </w:tblPrEx>
        <w:tc>
          <w:tcPr>
            <w:tcW w:w="296" w:type="pct"/>
          </w:tcPr>
          <w:p w:rsidR="00B93183" w:rsidRPr="00857BA9" w:rsidP="00B93183" w14:paraId="446DFFCE" w14:textId="77777777">
            <w:r w:rsidRPr="00857BA9">
              <w:t>2.</w:t>
            </w:r>
          </w:p>
        </w:tc>
        <w:tc>
          <w:tcPr>
            <w:tcW w:w="1531" w:type="pct"/>
          </w:tcPr>
          <w:p w:rsidR="00B93183" w:rsidRPr="00CF4101" w:rsidP="00B93183" w14:paraId="4AFB5561" w14:textId="77777777">
            <w:r w:rsidRPr="00CF4101">
              <w:t>Sabiedrības līdzdalība projekta izstrādē</w:t>
            </w:r>
          </w:p>
        </w:tc>
        <w:tc>
          <w:tcPr>
            <w:tcW w:w="3173" w:type="pct"/>
          </w:tcPr>
          <w:p w:rsidR="00335730" w:rsidP="00B93183" w14:paraId="1C635599" w14:textId="3EACAC5C">
            <w:pPr>
              <w:jc w:val="both"/>
              <w:rPr>
                <w:color w:val="FF0000"/>
              </w:rPr>
            </w:pPr>
            <w:r w:rsidRPr="00CF4101">
              <w:t xml:space="preserve">Sabiedriskajā apspriedē par Ministru kabineta noteikumu projektu </w:t>
            </w:r>
            <w:r w:rsidRPr="005D36B5">
              <w:t>“</w:t>
            </w:r>
            <w:r w:rsidRPr="00CF4101">
              <w:t xml:space="preserve">Grozījumi Ministru kabineta 2006.gada 31.oktobra noteikumos Nr.899 </w:t>
            </w:r>
            <w:r w:rsidRPr="005D36B5">
              <w:t>“</w:t>
            </w:r>
            <w:r w:rsidRPr="00CF4101">
              <w:t>Ambulatorajai ārstēšanai paredzēto zāļu un medicīnisko ierīču iegādes izdevumu kompensācijas kārtība</w:t>
            </w:r>
            <w:r w:rsidRPr="005D36B5">
              <w:t>””</w:t>
            </w:r>
            <w:r w:rsidRPr="00CF4101">
              <w:t xml:space="preserve"> piedalījās pārstāvji no Starptautisko inovatīvo farmaceitisko firmu asociācijas, Biofarmaceitisko zāļu ražotāju asociācijas Latvijā, Latvijas Patentbrīvo medikamentu asociācijas, Aptieku īpašnieku asociācijas, Latvijas Aptiekāru asociācijas, Latvijas Pieaugušo Reimatoloģijas biedrības, Latvijas Krona un kolīta slimnieku biedrības.</w:t>
            </w:r>
          </w:p>
          <w:p w:rsidR="004846BB" w:rsidRPr="00CF4101" w:rsidP="00B93183" w14:paraId="27075862" w14:textId="55DD99CF">
            <w:pPr>
              <w:jc w:val="both"/>
            </w:pPr>
            <w:r w:rsidRPr="00C462C3">
              <w:t>Pēc projekta izsludināšanas</w:t>
            </w:r>
            <w:r w:rsidRPr="00C462C3">
              <w:rPr>
                <w:sz w:val="22"/>
              </w:rPr>
              <w:t xml:space="preserve"> </w:t>
            </w:r>
            <w:r w:rsidRPr="00C462C3">
              <w:rPr>
                <w:szCs w:val="28"/>
              </w:rPr>
              <w:t xml:space="preserve">Valsts sekretāru 2017. gada 25. maija sanāksmē (prot. Nr. 20. 18.§, VSS-557), viedokli par izstrādāto noteikumu projektu sniedza </w:t>
            </w:r>
            <w:r w:rsidRPr="00C462C3">
              <w:t>Latvijas Ārstu biedrība, VSIA “Rīgas Austrumu klīniskā universitātes slimnīca” un Aptieku īpašnieku asociācija. Gan Latvijas Ārstu biedrība, gan Aptieku īpašnieku asociācija sniedza Veselības ministrijai iebildumus par to, ka nav nepieciešams mainīt pašreizējo parenterālo zāļu apmaksas sistēmu, jo tā darbojas pacientu interesēs, papildus norādot, ka veicot parenterālo zāļu centralizētu iepirkumu, pastāv risks, ka pacientiem nepieciešamās zāles netiks nodrošinātas, jo Publisko iepirkuma likumā noteiktajā kārtībā šādu procedūru iespējams apstrīdēt, kas savukārt var būtiski paildzināt iepirkuma norises laiku. Savukārt VSIA “Rīgas Austrumu klīniskā universitātes slimnīca” sniedza priekšlikumus centralizēti iepērkamo parenterālo zāļu saraksta papildināšanai.</w:t>
            </w:r>
          </w:p>
        </w:tc>
      </w:tr>
      <w:tr w14:paraId="52ED7F2A" w14:textId="77777777" w:rsidTr="00C462C3">
        <w:tblPrEx>
          <w:tblW w:w="5000" w:type="pct"/>
          <w:tblInd w:w="-5" w:type="dxa"/>
          <w:tblLook w:val="01E0"/>
        </w:tblPrEx>
        <w:tc>
          <w:tcPr>
            <w:tcW w:w="296" w:type="pct"/>
          </w:tcPr>
          <w:p w:rsidR="009671F4" w:rsidRPr="00857BA9" w:rsidP="009671F4" w14:paraId="4341DCF2" w14:textId="77777777">
            <w:r w:rsidRPr="00857BA9">
              <w:t>3.</w:t>
            </w:r>
          </w:p>
        </w:tc>
        <w:tc>
          <w:tcPr>
            <w:tcW w:w="1531" w:type="pct"/>
          </w:tcPr>
          <w:p w:rsidR="009671F4" w:rsidRPr="00CF4101" w:rsidP="009671F4" w14:paraId="50C616F1" w14:textId="77777777">
            <w:r w:rsidRPr="00CF4101">
              <w:t>Sabiedrības līdzdalības rezultāti</w:t>
            </w:r>
          </w:p>
        </w:tc>
        <w:tc>
          <w:tcPr>
            <w:tcW w:w="3173" w:type="pct"/>
          </w:tcPr>
          <w:p w:rsidR="009671F4" w:rsidRPr="00CF4101" w:rsidP="009671F4" w14:paraId="5A6AEC06" w14:textId="747AA93F">
            <w:pPr>
              <w:jc w:val="both"/>
            </w:pPr>
            <w:r w:rsidRPr="00CF4101">
              <w:rPr>
                <w:rFonts w:eastAsia="Times New Roman" w:cs="Times New Roman"/>
                <w:szCs w:val="24"/>
                <w:lang w:eastAsia="lv-LV"/>
              </w:rPr>
              <w:t xml:space="preserve">Iesaistītās ārstniecības iestādes projektu atbalsta. Pret parenterālo zāļu centralizēto iepirkumu iebilst aptieku īpašnieki, tā kā zāļu izplatīšana, apejot </w:t>
            </w:r>
            <w:r w:rsidRPr="00C462C3">
              <w:rPr>
                <w:rFonts w:eastAsia="Times New Roman" w:cs="Times New Roman"/>
                <w:szCs w:val="24"/>
                <w:lang w:eastAsia="lv-LV"/>
              </w:rPr>
              <w:t>mazumtirdzniecību, samazina aptieku īpašnieku ienākumus.</w:t>
            </w:r>
            <w:r w:rsidRPr="00C462C3">
              <w:t xml:space="preserve"> </w:t>
            </w:r>
            <w:r w:rsidRPr="00C462C3">
              <w:rPr>
                <w:rFonts w:eastAsia="Times New Roman" w:cs="Times New Roman"/>
                <w:szCs w:val="24"/>
                <w:lang w:eastAsia="lv-LV"/>
              </w:rPr>
              <w:t xml:space="preserve">Papildus ievērojot </w:t>
            </w:r>
            <w:r w:rsidRPr="00C462C3">
              <w:t>Latvijas Ārstu biedrības un Aptieku īpašnieku asociācijas sniegtos iebildumus, precizēta noteikumu projekta un anotācija.</w:t>
            </w:r>
          </w:p>
        </w:tc>
      </w:tr>
      <w:tr w14:paraId="72A2C738" w14:textId="77777777" w:rsidTr="00C462C3">
        <w:tblPrEx>
          <w:tblW w:w="5000" w:type="pct"/>
          <w:tblInd w:w="-5" w:type="dxa"/>
          <w:tblLook w:val="01E0"/>
        </w:tblPrEx>
        <w:tc>
          <w:tcPr>
            <w:tcW w:w="296" w:type="pct"/>
          </w:tcPr>
          <w:p w:rsidR="009671F4" w:rsidRPr="00857BA9" w:rsidP="009671F4" w14:paraId="7C34580E" w14:textId="77777777">
            <w:r w:rsidRPr="00857BA9">
              <w:t>4.</w:t>
            </w:r>
          </w:p>
        </w:tc>
        <w:tc>
          <w:tcPr>
            <w:tcW w:w="1531" w:type="pct"/>
          </w:tcPr>
          <w:p w:rsidR="009671F4" w:rsidRPr="00857BA9" w:rsidP="009671F4" w14:paraId="7F22FD34" w14:textId="77777777">
            <w:r w:rsidRPr="00857BA9">
              <w:t>Cita informācija</w:t>
            </w:r>
          </w:p>
        </w:tc>
        <w:tc>
          <w:tcPr>
            <w:tcW w:w="3173" w:type="pct"/>
          </w:tcPr>
          <w:p w:rsidR="009671F4" w:rsidRPr="00857BA9" w:rsidP="009671F4" w14:paraId="7C58B849" w14:textId="77777777">
            <w:r>
              <w:t>Nav.</w:t>
            </w:r>
          </w:p>
        </w:tc>
      </w:tr>
    </w:tbl>
    <w:p w:rsidR="00DC27EA" w14:paraId="69C1B58A" w14:textId="5E21800A"/>
    <w:p w:rsidR="006F5815" w14:paraId="4639E9A8" w14:textId="77777777"/>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9"/>
        <w:gridCol w:w="4252"/>
        <w:gridCol w:w="4384"/>
      </w:tblGrid>
      <w:tr w14:paraId="08F9B4EC" w14:textId="77777777" w:rsidTr="00C462C3">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P="004213D9" w14:paraId="475E5543" w14:textId="77777777">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14:paraId="60FD3C2E" w14:textId="77777777" w:rsidTr="00C462C3">
        <w:tblPrEx>
          <w:tblW w:w="5000" w:type="pct"/>
          <w:jc w:val="center"/>
          <w:tblCellMar>
            <w:top w:w="30" w:type="dxa"/>
            <w:left w:w="30" w:type="dxa"/>
            <w:bottom w:w="30" w:type="dxa"/>
            <w:right w:w="30" w:type="dxa"/>
          </w:tblCellMar>
          <w:tblLook w:val="04A0"/>
        </w:tblPrEx>
        <w:trPr>
          <w:trHeight w:val="42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14:paraId="6E9E8372" w14:textId="77777777">
            <w:pPr>
              <w:rPr>
                <w:rFonts w:eastAsia="Times New Roman" w:cs="Times New Roman"/>
                <w:szCs w:val="24"/>
                <w:lang w:eastAsia="lv-LV"/>
              </w:rPr>
            </w:pPr>
            <w:r w:rsidRPr="006D1F1C">
              <w:rPr>
                <w:rFonts w:eastAsia="Times New Roman" w:cs="Times New Roman"/>
                <w:szCs w:val="24"/>
                <w:lang w:eastAsia="lv-LV"/>
              </w:rPr>
              <w:t>1.</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14:paraId="522591B7" w14:textId="77777777">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A4116C" w14:paraId="06540981" w14:textId="5FEF85A6">
            <w:pPr>
              <w:rPr>
                <w:rFonts w:eastAsia="Times New Roman" w:cs="Times New Roman"/>
                <w:szCs w:val="24"/>
                <w:lang w:eastAsia="lv-LV"/>
              </w:rPr>
            </w:pPr>
            <w:r>
              <w:rPr>
                <w:rFonts w:eastAsia="Times New Roman" w:cs="Times New Roman"/>
                <w:szCs w:val="24"/>
                <w:lang w:eastAsia="lv-LV"/>
              </w:rPr>
              <w:t>Nacionālais veselības dienests, ārstniecības iestādes.</w:t>
            </w:r>
          </w:p>
        </w:tc>
      </w:tr>
      <w:tr w14:paraId="11509920" w14:textId="77777777" w:rsidTr="00C462C3">
        <w:tblPrEx>
          <w:tblW w:w="5000" w:type="pct"/>
          <w:jc w:val="center"/>
          <w:tblCellMar>
            <w:top w:w="30" w:type="dxa"/>
            <w:left w:w="30" w:type="dxa"/>
            <w:bottom w:w="30" w:type="dxa"/>
            <w:right w:w="30" w:type="dxa"/>
          </w:tblCellMar>
          <w:tblLook w:val="04A0"/>
        </w:tblPrEx>
        <w:trPr>
          <w:trHeight w:val="45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14:paraId="6DFA91E4" w14:textId="77777777">
            <w:pPr>
              <w:rPr>
                <w:rFonts w:eastAsia="Times New Roman" w:cs="Times New Roman"/>
                <w:szCs w:val="24"/>
                <w:lang w:eastAsia="lv-LV"/>
              </w:rPr>
            </w:pPr>
            <w:r w:rsidRPr="006D1F1C">
              <w:rPr>
                <w:rFonts w:eastAsia="Times New Roman" w:cs="Times New Roman"/>
                <w:szCs w:val="24"/>
                <w:lang w:eastAsia="lv-LV"/>
              </w:rPr>
              <w:t>2.</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14:paraId="40BBC839" w14:textId="77777777">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P="00C462C3" w14:paraId="7EFCF7DD" w14:textId="77777777">
            <w:pPr>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4213D9" w14:paraId="49BDCC3A" w14:textId="77777777">
            <w:pPr>
              <w:spacing w:before="75" w:after="75"/>
              <w:rPr>
                <w:rFonts w:eastAsia="Times New Roman" w:cs="Times New Roman"/>
                <w:szCs w:val="24"/>
                <w:lang w:eastAsia="lv-LV"/>
              </w:rPr>
            </w:pPr>
            <w:r>
              <w:rPr>
                <w:rFonts w:eastAsia="Times New Roman" w:cs="Times New Roman"/>
                <w:szCs w:val="24"/>
                <w:lang w:eastAsia="lv-LV"/>
              </w:rPr>
              <w:t>Nav.</w:t>
            </w:r>
          </w:p>
        </w:tc>
      </w:tr>
      <w:tr w14:paraId="1C598607" w14:textId="77777777" w:rsidTr="00C462C3">
        <w:tblPrEx>
          <w:tblW w:w="5000" w:type="pct"/>
          <w:jc w:val="center"/>
          <w:tblCellMar>
            <w:top w:w="30" w:type="dxa"/>
            <w:left w:w="30" w:type="dxa"/>
            <w:bottom w:w="30" w:type="dxa"/>
            <w:right w:w="30" w:type="dxa"/>
          </w:tblCellMar>
          <w:tblLook w:val="04A0"/>
        </w:tblPrEx>
        <w:trPr>
          <w:trHeight w:val="30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14:paraId="5C0F221C" w14:textId="77777777">
            <w:pPr>
              <w:rPr>
                <w:rFonts w:eastAsia="Times New Roman" w:cs="Times New Roman"/>
                <w:szCs w:val="24"/>
                <w:lang w:eastAsia="lv-LV"/>
              </w:rPr>
            </w:pPr>
            <w:r w:rsidRPr="006D1F1C">
              <w:rPr>
                <w:rFonts w:eastAsia="Times New Roman" w:cs="Times New Roman"/>
                <w:szCs w:val="24"/>
                <w:lang w:eastAsia="lv-LV"/>
              </w:rPr>
              <w:t>3.</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14:paraId="4B9C82EF" w14:textId="77777777">
            <w:pPr>
              <w:rPr>
                <w:rFonts w:eastAsia="Times New Roman" w:cs="Times New Roman"/>
                <w:szCs w:val="24"/>
                <w:lang w:eastAsia="lv-LV"/>
              </w:rPr>
            </w:pPr>
            <w:r w:rsidRPr="006D1F1C">
              <w:rPr>
                <w:rFonts w:eastAsia="Times New Roman" w:cs="Times New Roman"/>
                <w:szCs w:val="24"/>
                <w:lang w:eastAsia="lv-LV"/>
              </w:rPr>
              <w:t>Cita informācija</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4213D9" w14:paraId="4E57E0D7" w14:textId="77777777">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6F5815" w:rsidP="00C462C3" w14:paraId="47672ACA" w14:textId="77777777">
      <w:pPr>
        <w:spacing w:before="960" w:after="840"/>
        <w:contextualSpacing/>
        <w:rPr>
          <w:rFonts w:cs="Times New Roman"/>
          <w:szCs w:val="24"/>
        </w:rPr>
      </w:pPr>
    </w:p>
    <w:p w:rsidR="00DC27EA" w:rsidP="00C462C3" w14:paraId="31777FEE" w14:textId="4AB2C61D">
      <w:pPr>
        <w:spacing w:before="960" w:after="84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DC27EA" w:rsidRPr="00DD3994" w:rsidP="00C462C3" w14:paraId="7B4B7BAA" w14:textId="3C9D13C2">
      <w:pPr>
        <w:spacing w:after="720"/>
        <w:contextualSpacing/>
        <w:rPr>
          <w:rFonts w:cs="Times New Roman"/>
        </w:rPr>
      </w:pPr>
    </w:p>
    <w:p w:rsidR="00C462C3" w:rsidP="00C462C3" w14:paraId="065FB978" w14:textId="77777777">
      <w:pPr>
        <w:tabs>
          <w:tab w:val="right" w:pos="9072"/>
          <w:tab w:val="right" w:pos="9638"/>
        </w:tabs>
        <w:spacing w:after="720"/>
        <w:ind w:right="-1"/>
        <w:contextualSpacing/>
        <w:rPr>
          <w:rFonts w:eastAsia="Calibri" w:cs="Times New Roman"/>
          <w:sz w:val="28"/>
          <w:szCs w:val="28"/>
        </w:rPr>
      </w:pPr>
    </w:p>
    <w:p w:rsidR="00C462C3" w:rsidP="00C462C3" w14:paraId="0F3F0BF8" w14:textId="77777777">
      <w:pPr>
        <w:tabs>
          <w:tab w:val="right" w:pos="9072"/>
          <w:tab w:val="right" w:pos="9638"/>
        </w:tabs>
        <w:spacing w:after="720"/>
        <w:ind w:right="-1"/>
        <w:contextualSpacing/>
        <w:rPr>
          <w:rFonts w:eastAsia="Calibri" w:cs="Times New Roman"/>
          <w:sz w:val="28"/>
          <w:szCs w:val="28"/>
        </w:rPr>
      </w:pPr>
    </w:p>
    <w:p w:rsidR="00DC27EA" w:rsidP="00C462C3" w14:paraId="19D42A29" w14:textId="62310FFB">
      <w:pPr>
        <w:tabs>
          <w:tab w:val="right" w:pos="9072"/>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Pr>
          <w:rFonts w:eastAsia="Calibri" w:cs="Times New Roman"/>
          <w:sz w:val="28"/>
          <w:szCs w:val="28"/>
        </w:rPr>
        <w:t>e</w:t>
      </w:r>
      <w:r>
        <w:rPr>
          <w:rFonts w:eastAsia="Calibri" w:cs="Times New Roman"/>
          <w:sz w:val="28"/>
          <w:szCs w:val="28"/>
        </w:rPr>
        <w:tab/>
        <w:t>Anda Čakša</w:t>
      </w:r>
      <w:r>
        <w:rPr>
          <w:rFonts w:eastAsia="Calibri" w:cs="Times New Roman"/>
          <w:sz w:val="28"/>
          <w:szCs w:val="28"/>
        </w:rPr>
        <w:tab/>
      </w:r>
    </w:p>
    <w:p w:rsidR="00DC27EA" w:rsidRPr="00CF0941" w:rsidP="00DC27EA" w14:paraId="7B62350B" w14:textId="77777777">
      <w:pPr>
        <w:tabs>
          <w:tab w:val="left" w:pos="7230"/>
          <w:tab w:val="right" w:pos="9072"/>
        </w:tabs>
        <w:spacing w:after="720"/>
        <w:ind w:right="-766"/>
        <w:contextualSpacing/>
        <w:rPr>
          <w:rFonts w:eastAsia="Calibri" w:cs="Times New Roman"/>
          <w:sz w:val="48"/>
          <w:szCs w:val="28"/>
        </w:rPr>
      </w:pPr>
    </w:p>
    <w:p w:rsidR="009D270E" w:rsidRPr="00E810D3" w:rsidP="00E810D3" w14:paraId="0199D226" w14:textId="77777777">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Pr>
          <w:rFonts w:eastAsia="Calibri" w:cs="Times New Roman"/>
          <w:sz w:val="28"/>
          <w:szCs w:val="28"/>
        </w:rPr>
        <w:t>s</w:t>
      </w:r>
      <w:r>
        <w:rPr>
          <w:rFonts w:eastAsia="Calibri" w:cs="Times New Roman"/>
          <w:sz w:val="28"/>
          <w:szCs w:val="28"/>
        </w:rPr>
        <w:tab/>
        <w:t>Kārlis Ketners</w:t>
      </w:r>
    </w:p>
    <w:p w:rsidR="00A24136" w:rsidP="00DC27EA" w14:paraId="747D2971" w14:textId="5ECD31BD">
      <w:pPr>
        <w:ind w:right="-3228"/>
        <w:contextualSpacing/>
        <w:rPr>
          <w:rFonts w:eastAsia="Calibri" w:cs="Times New Roman"/>
          <w:sz w:val="20"/>
          <w:szCs w:val="20"/>
        </w:rPr>
      </w:pPr>
    </w:p>
    <w:p w:rsidR="00733CA3" w:rsidP="00C462C3" w14:paraId="00F9F60F" w14:textId="3F51D67F">
      <w:pPr>
        <w:widowControl w:val="0"/>
        <w:rPr>
          <w:rFonts w:eastAsia="Calibri" w:cs="Times New Roman"/>
          <w:sz w:val="20"/>
          <w:szCs w:val="20"/>
        </w:rPr>
      </w:pPr>
    </w:p>
    <w:p w:rsidR="00740CC2" w:rsidP="00C462C3" w14:paraId="419EA2AC" w14:textId="63E2E470">
      <w:pPr>
        <w:widowControl w:val="0"/>
        <w:rPr>
          <w:rFonts w:eastAsia="Calibri" w:cs="Times New Roman"/>
          <w:sz w:val="20"/>
          <w:szCs w:val="20"/>
        </w:rPr>
      </w:pPr>
    </w:p>
    <w:p w:rsidR="00740CC2" w:rsidP="00C462C3" w14:paraId="1262989F" w14:textId="55E2CDE7">
      <w:pPr>
        <w:widowControl w:val="0"/>
        <w:rPr>
          <w:rFonts w:eastAsia="Calibri" w:cs="Times New Roman"/>
          <w:sz w:val="20"/>
          <w:szCs w:val="20"/>
        </w:rPr>
      </w:pPr>
    </w:p>
    <w:p w:rsidR="00740CC2" w:rsidP="00C462C3" w14:paraId="79020A3B" w14:textId="53757E36">
      <w:pPr>
        <w:widowControl w:val="0"/>
        <w:rPr>
          <w:rFonts w:eastAsia="Calibri" w:cs="Times New Roman"/>
          <w:sz w:val="20"/>
          <w:szCs w:val="20"/>
        </w:rPr>
      </w:pPr>
    </w:p>
    <w:p w:rsidR="00740CC2" w:rsidP="00C462C3" w14:paraId="5D77BFFF" w14:textId="7AE093FF">
      <w:pPr>
        <w:widowControl w:val="0"/>
        <w:rPr>
          <w:rFonts w:eastAsia="Calibri" w:cs="Times New Roman"/>
          <w:sz w:val="20"/>
          <w:szCs w:val="20"/>
        </w:rPr>
      </w:pPr>
    </w:p>
    <w:p w:rsidR="00740CC2" w:rsidP="00C462C3" w14:paraId="149AA988" w14:textId="70979E5A">
      <w:pPr>
        <w:widowControl w:val="0"/>
        <w:rPr>
          <w:rFonts w:eastAsia="Calibri" w:cs="Times New Roman"/>
          <w:sz w:val="20"/>
          <w:szCs w:val="20"/>
        </w:rPr>
      </w:pPr>
    </w:p>
    <w:p w:rsidR="00740CC2" w:rsidP="00C462C3" w14:paraId="03A2D185" w14:textId="77777777">
      <w:pPr>
        <w:widowControl w:val="0"/>
        <w:rPr>
          <w:rFonts w:eastAsia="Calibri" w:cs="Times New Roman"/>
          <w:sz w:val="20"/>
          <w:szCs w:val="20"/>
        </w:rPr>
      </w:pPr>
    </w:p>
    <w:p w:rsidR="00A52912" w:rsidP="00A52912" w14:paraId="4F48A138" w14:textId="77777777">
      <w:pPr>
        <w:widowControl w:val="0"/>
        <w:rPr>
          <w:rFonts w:eastAsia="Calibri" w:cs="Times New Roman"/>
          <w:szCs w:val="24"/>
        </w:rPr>
      </w:pPr>
      <w:r>
        <w:rPr>
          <w:rFonts w:eastAsia="Calibri" w:cs="Times New Roman"/>
          <w:szCs w:val="24"/>
        </w:rPr>
        <w:t>Bless 67876122</w:t>
      </w:r>
    </w:p>
    <w:p w:rsidR="00D14B79" w:rsidP="00A1654C" w14:paraId="305DC23A" w14:textId="24C864D7">
      <w:pPr>
        <w:widowControl w:val="0"/>
        <w:rPr>
          <w:rFonts w:eastAsia="Calibri" w:cs="Times New Roman"/>
          <w:szCs w:val="24"/>
        </w:rPr>
      </w:pPr>
      <w:r w:rsidRPr="00740CC2">
        <w:rPr>
          <w:rFonts w:eastAsia="Calibri" w:cs="Times New Roman"/>
          <w:szCs w:val="24"/>
        </w:rPr>
        <w:t>alvis.bless@vm.gov.lv</w:t>
      </w:r>
    </w:p>
    <w:p w:rsidR="00740CC2" w:rsidP="00A1654C" w14:paraId="01D86437" w14:textId="77777777">
      <w:pPr>
        <w:widowControl w:val="0"/>
        <w:rPr>
          <w:rFonts w:eastAsia="Calibri" w:cs="Times New Roman"/>
          <w:sz w:val="20"/>
          <w:szCs w:val="20"/>
        </w:rPr>
      </w:pPr>
    </w:p>
    <w:p w:rsidR="00A1654C" w:rsidRPr="00E84490" w:rsidP="00A1654C" w14:paraId="286A06DD" w14:textId="1831A139">
      <w:pPr>
        <w:widowControl w:val="0"/>
        <w:rPr>
          <w:rFonts w:eastAsia="Calibri" w:cs="Times New Roman"/>
          <w:szCs w:val="24"/>
        </w:rPr>
      </w:pPr>
      <w:r w:rsidRPr="00E84490">
        <w:rPr>
          <w:rFonts w:eastAsia="Calibri" w:cs="Times New Roman"/>
          <w:szCs w:val="24"/>
        </w:rPr>
        <w:t>Skuja 67876189</w:t>
      </w:r>
    </w:p>
    <w:p w:rsidR="00A1654C" w:rsidRPr="00E84490" w:rsidP="00CF4101" w14:paraId="1C00713E" w14:textId="64F7E35C">
      <w:pPr>
        <w:widowControl w:val="0"/>
        <w:rPr>
          <w:rFonts w:eastAsia="Calibri" w:cs="Times New Roman"/>
          <w:szCs w:val="24"/>
        </w:rPr>
      </w:pPr>
      <w:r>
        <w:fldChar w:fldCharType="begin"/>
      </w:r>
      <w:r>
        <w:instrText xml:space="preserve"> HYPERLINK "mailto:liene.skuja@vm.gov.lv" </w:instrText>
      </w:r>
      <w:r>
        <w:fldChar w:fldCharType="separate"/>
      </w:r>
      <w:r w:rsidRPr="00E84490" w:rsidR="00C3710B">
        <w:rPr>
          <w:rFonts w:eastAsia="Calibri" w:cs="Times New Roman"/>
          <w:szCs w:val="24"/>
        </w:rPr>
        <w:t>liene.skuja@vm.gov.lv</w:t>
      </w:r>
      <w:r>
        <w:fldChar w:fldCharType="end"/>
      </w:r>
    </w:p>
    <w:sectPr w:rsidSect="00DC1F10">
      <w:headerReference w:type="default" r:id="rId5"/>
      <w:footerReference w:type="default" r:id="rId6"/>
      <w:footerReference w:type="first" r:id="rId7"/>
      <w:pgSz w:w="11906" w:h="16838"/>
      <w:pgMar w:top="1418" w:right="1134" w:bottom="1134" w:left="1701" w:header="567"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altName w:val="Arial"/>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rsidRPr="007B4882" w:rsidP="007B4882" w14:paraId="3895D9A5" w14:textId="04701AF4">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6F6F23">
      <w:rPr>
        <w:rFonts w:ascii="Times New Roman" w:hAnsi="Times New Roman" w:cs="Times New Roman"/>
        <w:sz w:val="20"/>
        <w:szCs w:val="24"/>
      </w:rPr>
      <w:t>0307</w:t>
    </w:r>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rsidRPr="005D1666" w:rsidP="005D1666" w14:paraId="7E8256EA" w14:textId="4D809D6B">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6F6F23">
      <w:rPr>
        <w:rFonts w:ascii="Times New Roman" w:hAnsi="Times New Roman" w:cs="Times New Roman"/>
        <w:sz w:val="20"/>
        <w:szCs w:val="24"/>
      </w:rPr>
      <w:t>0307</w:t>
    </w:r>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14:paraId="5923E448" w14:textId="2842B23A">
    <w:pPr>
      <w:pStyle w:val="Header"/>
      <w:jc w:val="center"/>
    </w:pPr>
    <w:sdt>
      <w:sdtPr>
        <w:id w:val="1146356306"/>
        <w:docPartObj>
          <w:docPartGallery w:val="Page Numbers (Top of Page)"/>
          <w:docPartUnique/>
        </w:docPartObj>
      </w:sdtPr>
      <w:sdtContent>
        <w:r w:rsidRPr="00495F5A" w:rsidR="00C3710B">
          <w:rPr>
            <w:rFonts w:ascii="Times New Roman" w:hAnsi="Times New Roman" w:cs="Times New Roman"/>
            <w:sz w:val="24"/>
          </w:rPr>
          <w:fldChar w:fldCharType="begin"/>
        </w:r>
        <w:r w:rsidRPr="00495F5A" w:rsidR="00C3710B">
          <w:rPr>
            <w:rFonts w:ascii="Times New Roman" w:hAnsi="Times New Roman" w:cs="Times New Roman"/>
            <w:sz w:val="24"/>
          </w:rPr>
          <w:instrText xml:space="preserve"> PAGE   \* MERGEFORMAT </w:instrText>
        </w:r>
        <w:r w:rsidRPr="00495F5A" w:rsidR="00C3710B">
          <w:rPr>
            <w:rFonts w:ascii="Times New Roman" w:hAnsi="Times New Roman" w:cs="Times New Roman"/>
            <w:sz w:val="24"/>
          </w:rPr>
          <w:fldChar w:fldCharType="separate"/>
        </w:r>
        <w:r>
          <w:rPr>
            <w:rFonts w:ascii="Times New Roman" w:hAnsi="Times New Roman" w:cs="Times New Roman"/>
            <w:noProof/>
            <w:sz w:val="24"/>
          </w:rPr>
          <w:t>12</w:t>
        </w:r>
        <w:r w:rsidRPr="00495F5A" w:rsidR="00C3710B">
          <w:rPr>
            <w:rFonts w:ascii="Times New Roman" w:hAnsi="Times New Roman" w:cs="Times New Roman"/>
            <w:sz w:val="24"/>
          </w:rPr>
          <w:fldChar w:fldCharType="end"/>
        </w:r>
      </w:sdtContent>
    </w:sdt>
  </w:p>
  <w:p w:rsidR="005055FA" w14:paraId="50F98ACD"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6127C"/>
    <w:multiLevelType w:val="hybridMultilevel"/>
    <w:tmpl w:val="4C04C6FA"/>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EA1DF2"/>
    <w:multiLevelType w:val="hybridMultilevel"/>
    <w:tmpl w:val="99A6E6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BD4F4C"/>
    <w:multiLevelType w:val="hybridMultilevel"/>
    <w:tmpl w:val="501CC134"/>
    <w:lvl w:ilvl="0">
      <w:start w:val="1"/>
      <w:numFmt w:val="decimal"/>
      <w:lvlText w:val="%1."/>
      <w:lvlJc w:val="left"/>
      <w:pPr>
        <w:ind w:left="519" w:hanging="360"/>
      </w:pPr>
      <w:rPr>
        <w:rFonts w:hint="default"/>
      </w:rPr>
    </w:lvl>
    <w:lvl w:ilvl="1" w:tentative="1">
      <w:start w:val="1"/>
      <w:numFmt w:val="lowerLetter"/>
      <w:lvlText w:val="%2."/>
      <w:lvlJc w:val="left"/>
      <w:pPr>
        <w:ind w:left="1239" w:hanging="360"/>
      </w:pPr>
    </w:lvl>
    <w:lvl w:ilvl="2" w:tentative="1">
      <w:start w:val="1"/>
      <w:numFmt w:val="lowerRoman"/>
      <w:lvlText w:val="%3."/>
      <w:lvlJc w:val="right"/>
      <w:pPr>
        <w:ind w:left="1959" w:hanging="180"/>
      </w:pPr>
    </w:lvl>
    <w:lvl w:ilvl="3" w:tentative="1">
      <w:start w:val="1"/>
      <w:numFmt w:val="decimal"/>
      <w:lvlText w:val="%4."/>
      <w:lvlJc w:val="left"/>
      <w:pPr>
        <w:ind w:left="2679" w:hanging="360"/>
      </w:pPr>
    </w:lvl>
    <w:lvl w:ilvl="4" w:tentative="1">
      <w:start w:val="1"/>
      <w:numFmt w:val="lowerLetter"/>
      <w:lvlText w:val="%5."/>
      <w:lvlJc w:val="left"/>
      <w:pPr>
        <w:ind w:left="3399" w:hanging="360"/>
      </w:pPr>
    </w:lvl>
    <w:lvl w:ilvl="5" w:tentative="1">
      <w:start w:val="1"/>
      <w:numFmt w:val="lowerRoman"/>
      <w:lvlText w:val="%6."/>
      <w:lvlJc w:val="right"/>
      <w:pPr>
        <w:ind w:left="4119" w:hanging="180"/>
      </w:pPr>
    </w:lvl>
    <w:lvl w:ilvl="6" w:tentative="1">
      <w:start w:val="1"/>
      <w:numFmt w:val="decimal"/>
      <w:lvlText w:val="%7."/>
      <w:lvlJc w:val="left"/>
      <w:pPr>
        <w:ind w:left="4839" w:hanging="360"/>
      </w:pPr>
    </w:lvl>
    <w:lvl w:ilvl="7" w:tentative="1">
      <w:start w:val="1"/>
      <w:numFmt w:val="lowerLetter"/>
      <w:lvlText w:val="%8."/>
      <w:lvlJc w:val="left"/>
      <w:pPr>
        <w:ind w:left="5559" w:hanging="360"/>
      </w:pPr>
    </w:lvl>
    <w:lvl w:ilvl="8" w:tentative="1">
      <w:start w:val="1"/>
      <w:numFmt w:val="lowerRoman"/>
      <w:lvlText w:val="%9."/>
      <w:lvlJc w:val="right"/>
      <w:pPr>
        <w:ind w:left="6279" w:hanging="180"/>
      </w:pPr>
    </w:lvl>
  </w:abstractNum>
  <w:abstractNum w:abstractNumId="3">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3C93474"/>
    <w:multiLevelType w:val="hybridMultilevel"/>
    <w:tmpl w:val="6924133C"/>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970BF8"/>
    <w:multiLevelType w:val="hybridMultilevel"/>
    <w:tmpl w:val="70B689C4"/>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DEE48E1"/>
    <w:multiLevelType w:val="hybridMultilevel"/>
    <w:tmpl w:val="23A275BE"/>
    <w:lvl w:ilvl="0">
      <w:start w:val="1"/>
      <w:numFmt w:val="decimal"/>
      <w:lvlText w:val="%1."/>
      <w:lvlJc w:val="left"/>
      <w:pPr>
        <w:ind w:left="786" w:hanging="360"/>
      </w:pPr>
      <w:rPr>
        <w:rFonts w:hint="default"/>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7">
    <w:nsid w:val="5E1C25BC"/>
    <w:multiLevelType w:val="hybridMultilevel"/>
    <w:tmpl w:val="480AF49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F73141B"/>
    <w:multiLevelType w:val="hybridMultilevel"/>
    <w:tmpl w:val="BB64855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302800"/>
    <w:multiLevelType w:val="hybridMultilevel"/>
    <w:tmpl w:val="1130E1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9FE7C3A"/>
    <w:multiLevelType w:val="hybridMultilevel"/>
    <w:tmpl w:val="7B0C0E6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A9221AB"/>
    <w:multiLevelType w:val="hybridMultilevel"/>
    <w:tmpl w:val="7108B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C913AF1"/>
    <w:multiLevelType w:val="hybridMultilevel"/>
    <w:tmpl w:val="94F04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CA29CF"/>
    <w:multiLevelType w:val="hybridMultilevel"/>
    <w:tmpl w:val="B5D8A13E"/>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6AB4539"/>
    <w:multiLevelType w:val="hybridMultilevel"/>
    <w:tmpl w:val="44FA8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7"/>
  </w:num>
  <w:num w:numId="10">
    <w:abstractNumId w:val="10"/>
  </w:num>
  <w:num w:numId="11">
    <w:abstractNumId w:val="8"/>
  </w:num>
  <w:num w:numId="12">
    <w:abstractNumId w:val="1"/>
  </w:num>
  <w:num w:numId="13">
    <w:abstractNumId w:val="5"/>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F39C6"/>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table" w:customStyle="1" w:styleId="TableGrid3">
    <w:name w:val="Table Grid3"/>
    <w:basedOn w:val="TableNormal"/>
    <w:next w:val="TableGrid"/>
    <w:rsid w:val="00D47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5A013-3258-43B7-B575-23A971AA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15988</Words>
  <Characters>9114</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Liene Skuja</dc:creator>
  <dc:description>Skuja 67876189_x000D_
liene.skuja@vm.gov.lv</dc:description>
  <cp:lastModifiedBy>Alvis Bless</cp:lastModifiedBy>
  <cp:revision>4</cp:revision>
  <cp:lastPrinted>2017-01-26T13:11:00Z</cp:lastPrinted>
  <dcterms:created xsi:type="dcterms:W3CDTF">2017-07-03T08:33:00Z</dcterms:created>
  <dcterms:modified xsi:type="dcterms:W3CDTF">2017-07-03T10:05:00Z</dcterms:modified>
</cp:coreProperties>
</file>