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EFD65" w14:textId="04FC69E9" w:rsidR="00154DBA" w:rsidRDefault="00154DBA" w:rsidP="00154DBA">
      <w:pPr>
        <w:pStyle w:val="naislab"/>
        <w:spacing w:before="0" w:after="0"/>
        <w:jc w:val="center"/>
        <w:rPr>
          <w:b/>
          <w:sz w:val="28"/>
          <w:szCs w:val="28"/>
        </w:rPr>
      </w:pPr>
      <w:bookmarkStart w:id="0" w:name="_GoBack"/>
      <w:bookmarkEnd w:id="0"/>
      <w:r>
        <w:rPr>
          <w:b/>
          <w:sz w:val="28"/>
          <w:szCs w:val="28"/>
        </w:rPr>
        <w:t>Likum</w:t>
      </w:r>
      <w:r w:rsidRPr="007C0F2C">
        <w:rPr>
          <w:b/>
          <w:sz w:val="28"/>
          <w:szCs w:val="28"/>
        </w:rPr>
        <w:t xml:space="preserve">projekta </w:t>
      </w:r>
      <w:r>
        <w:rPr>
          <w:b/>
          <w:sz w:val="28"/>
          <w:szCs w:val="28"/>
        </w:rPr>
        <w:t xml:space="preserve">„Grozījumi likumā „Par nodokļiem un nodevām”” </w:t>
      </w:r>
      <w:r w:rsidRPr="007C0F2C">
        <w:rPr>
          <w:b/>
          <w:sz w:val="28"/>
          <w:szCs w:val="28"/>
        </w:rPr>
        <w:t>sākotnējās ietekmes novērtējuma ziņojums (anotācija)</w:t>
      </w:r>
    </w:p>
    <w:p w14:paraId="41EBF2A5" w14:textId="77777777" w:rsidR="00154DBA" w:rsidRPr="001D166B" w:rsidRDefault="00154DBA" w:rsidP="00154DBA">
      <w:pPr>
        <w:pStyle w:val="naislab"/>
        <w:spacing w:before="0" w:after="0"/>
        <w:jc w:val="center"/>
        <w:rPr>
          <w:sz w:val="28"/>
          <w:szCs w:val="28"/>
        </w:rPr>
      </w:pP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6662"/>
      </w:tblGrid>
      <w:tr w:rsidR="00154DBA" w:rsidRPr="007E2C13" w14:paraId="0B1B8F86" w14:textId="77777777" w:rsidTr="00392F30">
        <w:tc>
          <w:tcPr>
            <w:tcW w:w="9361" w:type="dxa"/>
            <w:gridSpan w:val="3"/>
            <w:vAlign w:val="center"/>
          </w:tcPr>
          <w:p w14:paraId="13C86D73" w14:textId="77777777" w:rsidR="00154DBA" w:rsidRPr="007E2C13" w:rsidRDefault="00154DBA" w:rsidP="009A51BF">
            <w:pPr>
              <w:pStyle w:val="naisnod"/>
              <w:spacing w:before="0" w:after="0"/>
            </w:pPr>
            <w:r w:rsidRPr="007E2C13">
              <w:t>I. Tiesību akta projekta izstrādes nepieciešamība</w:t>
            </w:r>
          </w:p>
        </w:tc>
      </w:tr>
      <w:tr w:rsidR="00154DBA" w:rsidRPr="007E2C13" w14:paraId="0E49EE88" w14:textId="77777777" w:rsidTr="00392F30">
        <w:trPr>
          <w:trHeight w:val="267"/>
        </w:trPr>
        <w:tc>
          <w:tcPr>
            <w:tcW w:w="550" w:type="dxa"/>
          </w:tcPr>
          <w:p w14:paraId="3B5DCABE" w14:textId="77777777" w:rsidR="00154DBA" w:rsidRPr="007E2C13" w:rsidRDefault="00154DBA" w:rsidP="009A51BF">
            <w:pPr>
              <w:pStyle w:val="naiskr"/>
              <w:spacing w:before="0" w:after="0"/>
            </w:pPr>
            <w:r w:rsidRPr="007E2C13">
              <w:t>1.</w:t>
            </w:r>
          </w:p>
        </w:tc>
        <w:tc>
          <w:tcPr>
            <w:tcW w:w="2149" w:type="dxa"/>
          </w:tcPr>
          <w:p w14:paraId="1837A44E" w14:textId="77777777" w:rsidR="00154DBA" w:rsidRPr="007E2C13" w:rsidRDefault="00154DBA" w:rsidP="009A51BF">
            <w:pPr>
              <w:pStyle w:val="naiskr"/>
              <w:spacing w:before="0" w:after="0"/>
              <w:ind w:hanging="10"/>
            </w:pPr>
            <w:r w:rsidRPr="007E2C13">
              <w:t>Pamatojums</w:t>
            </w:r>
          </w:p>
          <w:p w14:paraId="29A7108A" w14:textId="77777777" w:rsidR="00154DBA" w:rsidRPr="007E2C13" w:rsidRDefault="00154DBA" w:rsidP="009A51BF"/>
          <w:p w14:paraId="09324D8F" w14:textId="77777777" w:rsidR="00154DBA" w:rsidRPr="007E2C13" w:rsidRDefault="00154DBA" w:rsidP="009A51BF">
            <w:pPr>
              <w:ind w:firstLine="720"/>
            </w:pPr>
          </w:p>
        </w:tc>
        <w:tc>
          <w:tcPr>
            <w:tcW w:w="6662" w:type="dxa"/>
          </w:tcPr>
          <w:p w14:paraId="69D62F1A" w14:textId="6493779C" w:rsidR="00510AAF" w:rsidRDefault="00A718AD" w:rsidP="005F4307">
            <w:pPr>
              <w:ind w:right="142" w:firstLine="283"/>
              <w:jc w:val="both"/>
            </w:pPr>
            <w:r>
              <w:t xml:space="preserve">Ar </w:t>
            </w:r>
            <w:r w:rsidRPr="00A718AD">
              <w:t>M</w:t>
            </w:r>
            <w:r w:rsidR="00922E76">
              <w:t>inistru kabineta 2017.gada 15.</w:t>
            </w:r>
            <w:r w:rsidRPr="00A718AD">
              <w:t>mart</w:t>
            </w:r>
            <w:r>
              <w:t>a</w:t>
            </w:r>
            <w:r w:rsidRPr="00A718AD">
              <w:t xml:space="preserve"> rīkojum</w:t>
            </w:r>
            <w:r>
              <w:t>u</w:t>
            </w:r>
            <w:r w:rsidRPr="00A718AD">
              <w:t xml:space="preserve"> Nr.125</w:t>
            </w:r>
            <w:r>
              <w:t xml:space="preserve"> apstiprinātā </w:t>
            </w:r>
            <w:r w:rsidRPr="00A718AD">
              <w:t>Uzņēmējdarbības vid</w:t>
            </w:r>
            <w:r>
              <w:t>es pilnveidošanas pasākumu plāna 3.5.2.pasākums.</w:t>
            </w:r>
          </w:p>
          <w:p w14:paraId="58D9F593" w14:textId="2420112C" w:rsidR="00510AAF" w:rsidRPr="00A718AD" w:rsidRDefault="00510AAF" w:rsidP="005F4307">
            <w:pPr>
              <w:ind w:right="142" w:firstLine="283"/>
              <w:jc w:val="both"/>
            </w:pPr>
            <w:r>
              <w:t xml:space="preserve">Ministru kabineta 2016.gada </w:t>
            </w:r>
            <w:bookmarkStart w:id="1" w:name="35"/>
            <w:r>
              <w:t xml:space="preserve">5.janvāra protokollēmums (Protokols Nr.1, </w:t>
            </w:r>
            <w:r w:rsidRPr="000B208D">
              <w:t>35.§</w:t>
            </w:r>
            <w:bookmarkEnd w:id="1"/>
            <w:r w:rsidR="000B208D">
              <w:t xml:space="preserve"> 2.-5.punkts), kas paredz a</w:t>
            </w:r>
            <w:r w:rsidR="000B208D" w:rsidRPr="000B208D">
              <w:t>tbalstīt uzkrājuma principa ieviešanu Valsts ieņēmumu dienesta</w:t>
            </w:r>
            <w:r w:rsidR="008D4F72">
              <w:t xml:space="preserve"> (turpmāk – VID)</w:t>
            </w:r>
            <w:r w:rsidR="000B208D" w:rsidRPr="000B208D">
              <w:t xml:space="preserve"> administrēto valst</w:t>
            </w:r>
            <w:r w:rsidR="000B208D">
              <w:t xml:space="preserve">s budžeta ieņēmumu uzskaitē. </w:t>
            </w:r>
            <w:r w:rsidR="000B208D" w:rsidRPr="000B208D">
              <w:t xml:space="preserve">Atbalstīt valsts budžeta ieņēmumu kontu skaita samazināšanu </w:t>
            </w:r>
            <w:r w:rsidR="008D4F72">
              <w:t>VID</w:t>
            </w:r>
            <w:r w:rsidR="000B208D" w:rsidRPr="000B208D">
              <w:t xml:space="preserve"> administrētajie</w:t>
            </w:r>
            <w:r w:rsidR="000B208D">
              <w:t>m valsts budžeta ieņēmumiem.</w:t>
            </w:r>
            <w:r w:rsidR="00392F30">
              <w:t xml:space="preserve"> </w:t>
            </w:r>
            <w:r w:rsidR="000B208D" w:rsidRPr="000B208D">
              <w:t xml:space="preserve">Atbalstīt jaunas paaudzes informācijas sistēmas </w:t>
            </w:r>
            <w:r w:rsidR="002F525F">
              <w:t>“</w:t>
            </w:r>
            <w:r w:rsidR="000B208D" w:rsidRPr="000B208D">
              <w:t>Maksājumu administrēšanas informācijas</w:t>
            </w:r>
            <w:r w:rsidR="00A01D09">
              <w:t xml:space="preserve"> sistēma”</w:t>
            </w:r>
            <w:r w:rsidR="002D4C32">
              <w:t xml:space="preserve"> (turpmāk – MAIS)</w:t>
            </w:r>
            <w:r w:rsidR="000B208D">
              <w:t xml:space="preserve"> izveidi.</w:t>
            </w:r>
            <w:r w:rsidR="00392F30">
              <w:t xml:space="preserve"> </w:t>
            </w:r>
            <w:r w:rsidR="000B208D" w:rsidRPr="000B208D">
              <w:t xml:space="preserve">Atbalstīt un prioritārajā secībā virzīt </w:t>
            </w:r>
            <w:r w:rsidR="008D4F72">
              <w:t>VID</w:t>
            </w:r>
            <w:r w:rsidR="00A01D09">
              <w:t xml:space="preserve"> projekta “</w:t>
            </w:r>
            <w:r w:rsidR="000B208D" w:rsidRPr="000B208D">
              <w:t>Nodokļu informācijas pakalpojumu modernizācija</w:t>
            </w:r>
            <w:r w:rsidR="00A01D09">
              <w:t>”</w:t>
            </w:r>
            <w:r w:rsidR="000B208D" w:rsidRPr="000B208D">
              <w:t xml:space="preserve"> kārtas līdzfinansēšanai no darbības programmas </w:t>
            </w:r>
            <w:r w:rsidR="00A01D09">
              <w:t>“Izaugsme un nodarbinātība”</w:t>
            </w:r>
            <w:r w:rsidR="000B208D" w:rsidRPr="000B208D">
              <w:t xml:space="preserve"> 2.2.1.specifiskā </w:t>
            </w:r>
            <w:r w:rsidR="00A01D09">
              <w:t>atbalsta mērķa “</w:t>
            </w:r>
            <w:r w:rsidR="000B208D" w:rsidRPr="000B208D">
              <w:t xml:space="preserve">Nodrošināt publisko datu atkalizmantošanas pieaugumu un efektīvu publiskās pārvaldes un privātā sektora </w:t>
            </w:r>
            <w:r w:rsidR="00A01D09">
              <w:t>mijiedarbību” 2.2.1.1.pasākuma “</w:t>
            </w:r>
            <w:r w:rsidR="000B208D" w:rsidRPr="000B208D">
              <w:t>Centralizētu publiskās pārvaldes IKT platformu izveide, publiskās pārvaldes procesu optimizēšana un attīstība</w:t>
            </w:r>
            <w:r w:rsidR="00A01D09">
              <w:t>”</w:t>
            </w:r>
            <w:r w:rsidR="000B208D" w:rsidRPr="000B208D">
              <w:t>, ja projekta iesniegums atbildīs projektu iesniegumu vērtēšanas kritērijiem un Ministru kabineta 2015.gada 17.novembra noteikum</w:t>
            </w:r>
            <w:r w:rsidR="00A01D09">
              <w:t>os Nr.653 “Darbības programmas “</w:t>
            </w:r>
            <w:r w:rsidR="000B208D" w:rsidRPr="000B208D">
              <w:t>Izaugsme un nodarbinātība</w:t>
            </w:r>
            <w:r w:rsidR="00A01D09">
              <w:t>”</w:t>
            </w:r>
            <w:r w:rsidR="000B208D" w:rsidRPr="000B208D">
              <w:t xml:space="preserve"> 2.2.1. specifiskā atbalsta mērķa </w:t>
            </w:r>
            <w:r w:rsidR="00A01D09">
              <w:t>“</w:t>
            </w:r>
            <w:r w:rsidR="000B208D" w:rsidRPr="000B208D">
              <w:t>Nodrošināt publisko datu atkalizmantošanas pieaugumu un efektīvu publiskās pārvaldes un privātā sektora m</w:t>
            </w:r>
            <w:r w:rsidR="00A01D09">
              <w:t>ijiedarbību” 2.2.1.1. pasākuma “</w:t>
            </w:r>
            <w:r w:rsidR="000B208D" w:rsidRPr="000B208D">
              <w:t>Centralizētu publiskās pārvaldes IKT platformu izveide, publiskās pārvaldes procesu optimizēšana un attīstība</w:t>
            </w:r>
            <w:r w:rsidR="002F525F">
              <w:t>”</w:t>
            </w:r>
            <w:r w:rsidR="000B208D" w:rsidRPr="000B208D">
              <w:t xml:space="preserve"> īstenošanas noteikumi</w:t>
            </w:r>
            <w:r w:rsidR="00A01D09">
              <w:t>”</w:t>
            </w:r>
            <w:r w:rsidR="000B208D" w:rsidRPr="000B208D">
              <w:t xml:space="preserve"> ieviešanas nosacījumiem.</w:t>
            </w:r>
            <w:r w:rsidR="000B208D">
              <w:t xml:space="preserve"> </w:t>
            </w:r>
          </w:p>
          <w:p w14:paraId="33B126A6" w14:textId="77777777" w:rsidR="00154DBA" w:rsidRDefault="00E41654" w:rsidP="005F4307">
            <w:pPr>
              <w:ind w:right="142" w:firstLine="283"/>
              <w:jc w:val="both"/>
            </w:pPr>
            <w:r>
              <w:t xml:space="preserve">Valdības rīcības plāna Deklarācijas par Māra Kučinska vadītā Ministru kabineta iecerēto darbību īstenošanai </w:t>
            </w:r>
            <w:r w:rsidRPr="00E41654">
              <w:t xml:space="preserve">35.2.pasākums </w:t>
            </w:r>
            <w:r>
              <w:t>“</w:t>
            </w:r>
            <w:r w:rsidRPr="00E41654">
              <w:t>Maksājumu uzskaitē ieviests uzkrājuma princips, vienotais konts un optimizēti darbības procesi, līdz 30.12.2018. tiks īstenoti 20% no plānotajiem projekta pasākumiem</w:t>
            </w:r>
            <w:r>
              <w:t>”.</w:t>
            </w:r>
          </w:p>
          <w:p w14:paraId="1E1E5FB2" w14:textId="0C5D1C8B" w:rsidR="00493205" w:rsidRPr="007E2C13" w:rsidRDefault="00493205" w:rsidP="00493205">
            <w:pPr>
              <w:ind w:right="142" w:firstLine="283"/>
              <w:jc w:val="both"/>
            </w:pPr>
            <w:r>
              <w:t>Ministru kabineta Ministru kabineta 2017. gada 28. marta rīkojuma Nr. 141 ( protokols Nr.15 1. §) “Par likumprojekta "Par vidēja termiņa budžeta ietvaru 2018., 2019. un 2020. gadam" un likumprojekta "Par valsts budžetu 2018. gadam" sagatavošanas grafiku” pielikuma “Likumprojekta "Par vidēja termiņa budžeta ietvaru 2018., 2019. un 2020. gadam" un likumprojekta "Par valsts budžetu 2018. gadam" sagatavošanas grafiks” 15.punkts.</w:t>
            </w:r>
          </w:p>
        </w:tc>
      </w:tr>
      <w:tr w:rsidR="00154DBA" w:rsidRPr="007E2C13" w14:paraId="1C7FFFF6" w14:textId="77777777" w:rsidTr="00392F30">
        <w:trPr>
          <w:trHeight w:val="472"/>
        </w:trPr>
        <w:tc>
          <w:tcPr>
            <w:tcW w:w="550" w:type="dxa"/>
          </w:tcPr>
          <w:p w14:paraId="45509A18" w14:textId="77777777" w:rsidR="00154DBA" w:rsidRPr="007E2C13" w:rsidRDefault="00154DBA" w:rsidP="009A51BF">
            <w:pPr>
              <w:pStyle w:val="naiskr"/>
              <w:spacing w:before="0" w:after="0"/>
            </w:pPr>
            <w:r w:rsidRPr="007E2C13">
              <w:t>2.</w:t>
            </w:r>
          </w:p>
        </w:tc>
        <w:tc>
          <w:tcPr>
            <w:tcW w:w="2149" w:type="dxa"/>
          </w:tcPr>
          <w:p w14:paraId="40345785" w14:textId="77777777" w:rsidR="00154DBA" w:rsidRDefault="00154DBA" w:rsidP="009A51BF">
            <w:pPr>
              <w:pStyle w:val="naiskr"/>
              <w:tabs>
                <w:tab w:val="left" w:pos="170"/>
              </w:tabs>
              <w:spacing w:before="0" w:after="0"/>
            </w:pPr>
            <w:r w:rsidRPr="007E2C13">
              <w:t>Pašreizējā situācija un problēmas, kuru risināšanai tiesību akta projekts izstrādāts, tiesiskā regulējuma mērķis un būtība</w:t>
            </w:r>
          </w:p>
          <w:p w14:paraId="330E6A20" w14:textId="77777777" w:rsidR="00154DBA" w:rsidRDefault="00154DBA" w:rsidP="009A51BF">
            <w:pPr>
              <w:ind w:firstLine="720"/>
            </w:pPr>
          </w:p>
          <w:p w14:paraId="4B0A1B2D" w14:textId="77777777" w:rsidR="00154DBA" w:rsidRPr="007F290E" w:rsidRDefault="00154DBA" w:rsidP="009A51BF"/>
        </w:tc>
        <w:tc>
          <w:tcPr>
            <w:tcW w:w="6662" w:type="dxa"/>
          </w:tcPr>
          <w:p w14:paraId="5DC1671C" w14:textId="07C08FC0" w:rsidR="009F1F1B" w:rsidRDefault="005B7879" w:rsidP="005F4307">
            <w:pPr>
              <w:ind w:right="142" w:firstLine="283"/>
              <w:jc w:val="both"/>
            </w:pPr>
            <w:r>
              <w:lastRenderedPageBreak/>
              <w:t xml:space="preserve">Ministru kabineta </w:t>
            </w:r>
            <w:r w:rsidRPr="005B7879">
              <w:t xml:space="preserve">2012.gada 5.jūnija </w:t>
            </w:r>
            <w:r>
              <w:t>noteikumu Nr.387</w:t>
            </w:r>
            <w:r w:rsidR="00A3251C">
              <w:t xml:space="preserve"> “</w:t>
            </w:r>
            <w:r w:rsidR="00A3251C" w:rsidRPr="00A3251C">
              <w:t>Kārtība, kādā Valsts kase nodrošina maksājumu pakalpojumu sniegšanu</w:t>
            </w:r>
            <w:r w:rsidR="00A3251C">
              <w:t>”</w:t>
            </w:r>
            <w:r>
              <w:t xml:space="preserve"> 4.</w:t>
            </w:r>
            <w:r w:rsidR="007548DA">
              <w:t>punktā noteikt</w:t>
            </w:r>
            <w:r w:rsidR="00230687">
              <w:t>s</w:t>
            </w:r>
            <w:r>
              <w:t xml:space="preserve">, ka </w:t>
            </w:r>
            <w:r w:rsidRPr="009F1F1B">
              <w:t>Valsts kase atver kontu šo noteikumu 3.1.apakšpunktā minētajam mērķim</w:t>
            </w:r>
            <w:r>
              <w:t xml:space="preserve"> (t.i., </w:t>
            </w:r>
            <w:r w:rsidRPr="005B7879">
              <w:t>valsts budžeta ieņēmumu uzskaitei</w:t>
            </w:r>
            <w:r>
              <w:t>)</w:t>
            </w:r>
            <w:r w:rsidRPr="009F1F1B">
              <w:t>, pamatojoties uz valsts budžeta likumu kārtējam gadam un normatīvajiem aktiem par budžeta ieņēmumu klasifikāciju</w:t>
            </w:r>
            <w:r>
              <w:t>. Ņemot vērā minēto un i</w:t>
            </w:r>
            <w:r w:rsidR="00C257D5">
              <w:t xml:space="preserve">zvērtējot situāciju ar nodokļu </w:t>
            </w:r>
            <w:r w:rsidR="00C257D5">
              <w:lastRenderedPageBreak/>
              <w:t>maksāšanas sistēmu</w:t>
            </w:r>
            <w:r w:rsidR="00A3251C">
              <w:t>,</w:t>
            </w:r>
            <w:r w:rsidR="00C257D5">
              <w:t xml:space="preserve"> konstatēts, ka pašlaik</w:t>
            </w:r>
            <w:r w:rsidR="00C257D5" w:rsidRPr="00C257D5">
              <w:t xml:space="preserve"> </w:t>
            </w:r>
            <w:r w:rsidR="00C257D5">
              <w:t>nodokļu maksātājs (fiziskās un juridiskās personas)</w:t>
            </w:r>
            <w:r w:rsidR="00C257D5" w:rsidRPr="00C257D5">
              <w:t xml:space="preserve"> veic nodokļu </w:t>
            </w:r>
            <w:r w:rsidR="00C65472">
              <w:t>iemaksu</w:t>
            </w:r>
            <w:r w:rsidR="00C257D5">
              <w:t xml:space="preserve"> </w:t>
            </w:r>
            <w:r w:rsidR="008661D6">
              <w:t>49</w:t>
            </w:r>
            <w:r w:rsidR="008661D6" w:rsidRPr="00C257D5">
              <w:t xml:space="preserve"> </w:t>
            </w:r>
            <w:r w:rsidR="00C257D5">
              <w:t>nodokļu</w:t>
            </w:r>
            <w:r w:rsidR="00C257D5" w:rsidRPr="00C257D5">
              <w:t xml:space="preserve"> </w:t>
            </w:r>
            <w:r w:rsidR="00C65472">
              <w:t>kontos (</w:t>
            </w:r>
            <w:r w:rsidR="009F1F1B">
              <w:t>v</w:t>
            </w:r>
            <w:r w:rsidR="00C257D5" w:rsidRPr="00C257D5">
              <w:t xml:space="preserve">alsts </w:t>
            </w:r>
            <w:r w:rsidR="00C257D5">
              <w:t>budžeta</w:t>
            </w:r>
            <w:r w:rsidR="00207739">
              <w:t xml:space="preserve"> ieņēmumu </w:t>
            </w:r>
            <w:r w:rsidR="00C257D5">
              <w:t>kontos</w:t>
            </w:r>
            <w:r w:rsidR="00C257D5" w:rsidRPr="00C257D5">
              <w:t xml:space="preserve"> Valsts kasē</w:t>
            </w:r>
            <w:r w:rsidR="00C65472">
              <w:t>)</w:t>
            </w:r>
            <w:r w:rsidR="00C257D5">
              <w:t>.</w:t>
            </w:r>
            <w:r w:rsidR="00C65472">
              <w:t xml:space="preserve"> </w:t>
            </w:r>
          </w:p>
          <w:p w14:paraId="5F9D8E3D" w14:textId="21EDEB44" w:rsidR="00C257D5" w:rsidRDefault="007D7336" w:rsidP="005F4307">
            <w:pPr>
              <w:ind w:right="142" w:firstLine="283"/>
              <w:jc w:val="both"/>
            </w:pPr>
            <w:r w:rsidRPr="00151102">
              <w:t>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w:t>
            </w:r>
            <w:r>
              <w:t xml:space="preserve"> </w:t>
            </w:r>
            <w:r w:rsidR="00C65472" w:rsidRPr="00C65472">
              <w:t xml:space="preserve">Sarežģīts nodokļu nomaksas process rada administratīvo slogu un izmaksas </w:t>
            </w:r>
            <w:r w:rsidR="00C65472">
              <w:t>nodokļu maksātājiem. Turklāt k</w:t>
            </w:r>
            <w:r w:rsidR="00C65472" w:rsidRPr="00C65472">
              <w:t>ļūdaini veikt</w:t>
            </w:r>
            <w:r w:rsidR="00C65472">
              <w:t>o</w:t>
            </w:r>
            <w:r w:rsidR="00C65472" w:rsidRPr="00C65472">
              <w:t xml:space="preserve"> maksājum</w:t>
            </w:r>
            <w:r w:rsidR="00C65472">
              <w:t>u atgūšana arī nav vienkāršs process, jo ir saistīts ar normatīvajos aktos noteiktā procesa</w:t>
            </w:r>
            <w:r w:rsidR="00C65472" w:rsidRPr="00C65472">
              <w:t xml:space="preserve"> </w:t>
            </w:r>
            <w:r w:rsidR="00C65472">
              <w:t xml:space="preserve">ievērošanu, proti, </w:t>
            </w:r>
            <w:r w:rsidR="00F10D62">
              <w:t xml:space="preserve">vispārējā kārtībā </w:t>
            </w:r>
            <w:r w:rsidR="00C65472">
              <w:t>nodokļu maksātājam triju gadu laikā (ne vēlāk)</w:t>
            </w:r>
            <w:r w:rsidR="00F10D62">
              <w:t xml:space="preserve"> pēc likumā noteiktā maksāšanas termiņa</w:t>
            </w:r>
            <w:r w:rsidR="00C65472">
              <w:t xml:space="preserve"> ir jāvēršas nodokļu administrācijā ar lūgumu veikt </w:t>
            </w:r>
            <w:r w:rsidR="00B8641C">
              <w:t>kļūdaini ieskaitītās summas</w:t>
            </w:r>
            <w:r w:rsidR="00C65472">
              <w:t xml:space="preserve"> atmaksu, nodokļu administrācijai pirms pieprasītās </w:t>
            </w:r>
            <w:r w:rsidR="00B8641C">
              <w:t>summas</w:t>
            </w:r>
            <w:r w:rsidR="00C65472">
              <w:t xml:space="preserve"> atmaksas jāpārbauda pieprasījuma pamatotība un citu parādu neesamība, kas prasa laiku. </w:t>
            </w:r>
            <w:r w:rsidR="00C65472" w:rsidRPr="00C65472">
              <w:t>T</w:t>
            </w:r>
            <w:r w:rsidR="00F10D62">
              <w:t xml:space="preserve">urklāt maksājumam, kas par visu periodu </w:t>
            </w:r>
            <w:r w:rsidR="005B7879">
              <w:t xml:space="preserve">nav </w:t>
            </w:r>
            <w:r w:rsidR="00F10D62">
              <w:t>samaksāts</w:t>
            </w:r>
            <w:r w:rsidR="005B7879">
              <w:t>,</w:t>
            </w:r>
            <w:r w:rsidR="00F10D62">
              <w:t xml:space="preserve"> </w:t>
            </w:r>
            <w:r w:rsidR="00C65472" w:rsidRPr="00C65472">
              <w:t>rēķina nokavējuma</w:t>
            </w:r>
            <w:r w:rsidR="00AD283B">
              <w:t xml:space="preserve"> </w:t>
            </w:r>
            <w:r w:rsidR="007548DA">
              <w:t>naudu</w:t>
            </w:r>
            <w:r w:rsidR="00AD283B">
              <w:t>.</w:t>
            </w:r>
            <w:r w:rsidR="00F10D62">
              <w:t xml:space="preserve"> Tajā pat laikā</w:t>
            </w:r>
            <w:r w:rsidR="007548DA">
              <w:t>,</w:t>
            </w:r>
            <w:r w:rsidR="00F10D62">
              <w:t xml:space="preserve"> šobrīd</w:t>
            </w:r>
            <w:r w:rsidR="007548DA">
              <w:t>,</w:t>
            </w:r>
            <w:r w:rsidR="00F10D62">
              <w:t xml:space="preserve"> nodokļu maksātājs patstāvīgi </w:t>
            </w:r>
            <w:r w:rsidR="00F10D62" w:rsidRPr="00F10D62">
              <w:t>izvēlas, kurus nodokļus maksāt</w:t>
            </w:r>
            <w:r w:rsidR="00F10D62">
              <w:t>,</w:t>
            </w:r>
            <w:r w:rsidR="00F10D62" w:rsidRPr="00F10D62">
              <w:t xml:space="preserve"> </w:t>
            </w:r>
            <w:r w:rsidR="007548DA">
              <w:t>ievērojot</w:t>
            </w:r>
            <w:r w:rsidR="00F10D62" w:rsidRPr="00F10D62">
              <w:t xml:space="preserve"> </w:t>
            </w:r>
            <w:r w:rsidR="007548DA" w:rsidRPr="00F10D62">
              <w:t>sav</w:t>
            </w:r>
            <w:r w:rsidR="00CF6C0F">
              <w:t>a</w:t>
            </w:r>
            <w:r w:rsidR="007548DA">
              <w:t>s</w:t>
            </w:r>
            <w:r w:rsidR="007548DA" w:rsidRPr="00F10D62">
              <w:t xml:space="preserve"> prioritāt</w:t>
            </w:r>
            <w:r w:rsidR="007548DA">
              <w:t>es</w:t>
            </w:r>
            <w:r w:rsidR="00F10D62" w:rsidRPr="00F10D62">
              <w:t xml:space="preserve">, ja </w:t>
            </w:r>
            <w:r w:rsidR="00F10D62">
              <w:t xml:space="preserve">finanšu situācijas dēļ </w:t>
            </w:r>
            <w:r w:rsidR="00F10D62" w:rsidRPr="00F10D62">
              <w:t>nav iespējams samaksāt visus nodokļu maksājumus</w:t>
            </w:r>
            <w:r w:rsidR="00AE16AA">
              <w:t xml:space="preserve"> pilnā apmērā.</w:t>
            </w:r>
            <w:r w:rsidR="009A5997">
              <w:t xml:space="preserve"> Savukārt katram nodoklim ir savs samaksas termiņš, kur</w:t>
            </w:r>
            <w:r w:rsidR="002F525F">
              <w:t>š</w:t>
            </w:r>
            <w:r w:rsidR="009A5997">
              <w:t xml:space="preserve"> </w:t>
            </w:r>
            <w:r w:rsidR="002F525F">
              <w:t xml:space="preserve">jāievēro </w:t>
            </w:r>
            <w:r w:rsidR="009A5997">
              <w:t>grāmatvedim vai uzņēmuma vadītājam, lai nenokavētu maksājuma veikšanu.</w:t>
            </w:r>
          </w:p>
          <w:p w14:paraId="3A6697AC" w14:textId="10819B6B" w:rsidR="005B7879" w:rsidRDefault="00AE16AA" w:rsidP="005F4307">
            <w:pPr>
              <w:ind w:right="142" w:firstLine="283"/>
              <w:jc w:val="both"/>
            </w:pPr>
            <w:r>
              <w:t xml:space="preserve">Lai atrisinātu minētās problēmas un samazinātu resursus nodokļu samaksai un </w:t>
            </w:r>
            <w:r w:rsidRPr="005B7879">
              <w:t xml:space="preserve">administrēšanai, ir nepieciešams ieviest vienoto </w:t>
            </w:r>
            <w:r w:rsidR="00A3251C">
              <w:t xml:space="preserve">nodokļu </w:t>
            </w:r>
            <w:r w:rsidR="00922E76">
              <w:t>kontu</w:t>
            </w:r>
            <w:r w:rsidRPr="005B7879">
              <w:t>.</w:t>
            </w:r>
          </w:p>
          <w:p w14:paraId="0CD56F57" w14:textId="36295DAE" w:rsidR="00AE16AA" w:rsidRDefault="005B7879" w:rsidP="005F4307">
            <w:pPr>
              <w:ind w:right="142" w:firstLine="283"/>
              <w:jc w:val="both"/>
            </w:pPr>
            <w:r w:rsidRPr="005B7879">
              <w:t xml:space="preserve">Vienotā </w:t>
            </w:r>
            <w:r w:rsidR="00A3251C">
              <w:t xml:space="preserve">nodokļu </w:t>
            </w:r>
            <w:r w:rsidR="00922E76">
              <w:t>konta</w:t>
            </w:r>
            <w:r w:rsidRPr="005B7879">
              <w:t xml:space="preserve"> risinājumam ir jābūt tādam, lai samazināt</w:t>
            </w:r>
            <w:r w:rsidR="007548DA">
              <w:t>u</w:t>
            </w:r>
            <w:r w:rsidRPr="005B7879">
              <w:rPr>
                <w:bCs/>
              </w:rPr>
              <w:t xml:space="preserve"> </w:t>
            </w:r>
            <w:r w:rsidR="007548DA" w:rsidRPr="005B7879">
              <w:rPr>
                <w:bCs/>
              </w:rPr>
              <w:t>administratīv</w:t>
            </w:r>
            <w:r w:rsidR="007548DA">
              <w:rPr>
                <w:bCs/>
              </w:rPr>
              <w:t>o</w:t>
            </w:r>
            <w:r w:rsidR="007548DA" w:rsidRPr="005B7879">
              <w:rPr>
                <w:bCs/>
              </w:rPr>
              <w:t xml:space="preserve"> slog</w:t>
            </w:r>
            <w:r w:rsidR="007548DA">
              <w:rPr>
                <w:bCs/>
              </w:rPr>
              <w:t>u</w:t>
            </w:r>
            <w:r w:rsidR="007548DA" w:rsidRPr="005B7879">
              <w:rPr>
                <w:bCs/>
              </w:rPr>
              <w:t xml:space="preserve"> </w:t>
            </w:r>
            <w:r w:rsidRPr="005B7879">
              <w:rPr>
                <w:bCs/>
              </w:rPr>
              <w:t>nodokļu maksātājam (t.i., tiktu s</w:t>
            </w:r>
            <w:r w:rsidRPr="005B7879">
              <w:t>amazināts veicamo maksājumu skaits, izmaksas un maksājumu sagatav</w:t>
            </w:r>
            <w:r w:rsidR="00922E76">
              <w:t xml:space="preserve">ošanas laiks), tajā pašā laikā </w:t>
            </w:r>
            <w:r w:rsidRPr="005B7879">
              <w:t>vienotā</w:t>
            </w:r>
            <w:r w:rsidR="00A3251C">
              <w:t xml:space="preserve"> nodokļu</w:t>
            </w:r>
            <w:r w:rsidR="00922E76">
              <w:t xml:space="preserve"> konta</w:t>
            </w:r>
            <w:r w:rsidRPr="005B7879">
              <w:t xml:space="preserve"> risinājums</w:t>
            </w:r>
            <w:r w:rsidRPr="005B7879">
              <w:rPr>
                <w:bCs/>
              </w:rPr>
              <w:t xml:space="preserve"> nedrīkst palielināt slogu nodokļu maksājumu administrētājiem, kā arī ir jāsamazina kļūdaini veikto nodokļu maksājumu skaits un jānodrošina valstij </w:t>
            </w:r>
            <w:r w:rsidR="002F525F">
              <w:rPr>
                <w:bCs/>
              </w:rPr>
              <w:t xml:space="preserve">iespēja </w:t>
            </w:r>
            <w:r w:rsidRPr="005B7879">
              <w:rPr>
                <w:bCs/>
              </w:rPr>
              <w:t xml:space="preserve">noteikt/izvēlēties nodokļu prioritātes </w:t>
            </w:r>
            <w:r w:rsidRPr="005B7879">
              <w:t>(t.i., kuri nodokļu aprēķini / nodokļu saistības sedzamas vispirms).</w:t>
            </w:r>
          </w:p>
          <w:p w14:paraId="411917AA" w14:textId="0ACD4C0E" w:rsidR="00392F30" w:rsidRDefault="00A14AA9" w:rsidP="005F4307">
            <w:pPr>
              <w:ind w:right="142" w:firstLine="283"/>
              <w:jc w:val="both"/>
            </w:pPr>
            <w:r w:rsidRPr="005B7879">
              <w:t>Vienotā</w:t>
            </w:r>
            <w:r w:rsidR="00A3251C">
              <w:t xml:space="preserve"> nodokļu</w:t>
            </w:r>
            <w:r w:rsidR="00922E76">
              <w:t xml:space="preserve"> konta</w:t>
            </w:r>
            <w:r w:rsidRPr="005B7879">
              <w:t xml:space="preserve"> </w:t>
            </w:r>
            <w:r w:rsidR="007548DA" w:rsidRPr="005B7879">
              <w:t>risin</w:t>
            </w:r>
            <w:r w:rsidR="007548DA">
              <w:t xml:space="preserve">ājumu paredzēts </w:t>
            </w:r>
            <w:r>
              <w:t>ieviest VID administrētajiem</w:t>
            </w:r>
            <w:r w:rsidR="00394ADA">
              <w:t xml:space="preserve"> </w:t>
            </w:r>
            <w:r w:rsidR="00394ADA" w:rsidRPr="00394ADA">
              <w:t>nodokļ</w:t>
            </w:r>
            <w:r w:rsidR="00394ADA">
              <w:t>iem, uzņēmējdarbības riska valsts nodevai</w:t>
            </w:r>
            <w:r w:rsidR="00394ADA" w:rsidRPr="00394ADA">
              <w:t xml:space="preserve">, </w:t>
            </w:r>
            <w:r w:rsidR="002F525F" w:rsidRPr="005C6C12">
              <w:t>valsts nodev</w:t>
            </w:r>
            <w:r w:rsidR="002F525F">
              <w:t>ai</w:t>
            </w:r>
            <w:r w:rsidR="002F525F" w:rsidRPr="005C6C12">
              <w:t xml:space="preserve"> par numerācijas lietošanas tiesībām</w:t>
            </w:r>
            <w:r w:rsidR="002F525F">
              <w:t>,</w:t>
            </w:r>
            <w:r w:rsidR="002F525F" w:rsidRPr="005C6C12">
              <w:t xml:space="preserve"> </w:t>
            </w:r>
            <w:r w:rsidR="00394ADA" w:rsidRPr="00394ADA">
              <w:t>cit</w:t>
            </w:r>
            <w:r w:rsidR="00394ADA">
              <w:t>iem</w:t>
            </w:r>
            <w:r w:rsidR="00394ADA" w:rsidRPr="00394ADA">
              <w:t xml:space="preserve"> valsts noteikt</w:t>
            </w:r>
            <w:r w:rsidR="00394ADA">
              <w:t>ajiem</w:t>
            </w:r>
            <w:r w:rsidR="00394ADA" w:rsidRPr="00394ADA">
              <w:t xml:space="preserve"> maksājum</w:t>
            </w:r>
            <w:r w:rsidR="00394ADA">
              <w:t>iem</w:t>
            </w:r>
            <w:r w:rsidR="002F525F">
              <w:t>,</w:t>
            </w:r>
            <w:r w:rsidR="00394ADA" w:rsidRPr="00394ADA">
              <w:t xml:space="preserve"> </w:t>
            </w:r>
            <w:r w:rsidR="002F525F">
              <w:t>piemēram, patentmaksai, maksājumiem par valsts kapitāla izmantošanu,</w:t>
            </w:r>
            <w:r w:rsidR="002F525F" w:rsidRPr="00C43BBF">
              <w:rPr>
                <w:sz w:val="28"/>
                <w:szCs w:val="20"/>
              </w:rPr>
              <w:t xml:space="preserve"> </w:t>
            </w:r>
            <w:r w:rsidR="002F525F">
              <w:t>m</w:t>
            </w:r>
            <w:r w:rsidR="002F525F" w:rsidRPr="00C43BBF">
              <w:t>aksājumi</w:t>
            </w:r>
            <w:r w:rsidR="002F525F">
              <w:t>em</w:t>
            </w:r>
            <w:r w:rsidR="002F525F" w:rsidRPr="00C43BBF">
              <w:t xml:space="preserve"> par Eiropas Savienības dalībvalstu un citu valstu nodokļu administrāciju iesniegtajiem pieprasījumiem par nodokļu parādu piedziņu</w:t>
            </w:r>
            <w:r w:rsidR="002F525F">
              <w:t xml:space="preserve">, </w:t>
            </w:r>
            <w:r w:rsidR="00394ADA" w:rsidRPr="00394ADA">
              <w:t>un ar tiem saistīt</w:t>
            </w:r>
            <w:r w:rsidR="00394ADA">
              <w:t>iem maksājumiem</w:t>
            </w:r>
            <w:r w:rsidR="00392F30">
              <w:t xml:space="preserve"> (turpmāk – VID administrētie nodokļu maksājumi)</w:t>
            </w:r>
            <w:r>
              <w:t xml:space="preserve">, izņemot </w:t>
            </w:r>
            <w:r w:rsidRPr="00A14AA9">
              <w:t>nekustamā īpašuma nodok</w:t>
            </w:r>
            <w:r>
              <w:t xml:space="preserve">ļa, </w:t>
            </w:r>
            <w:r w:rsidRPr="005B7879">
              <w:t>transportlīdzekļa ekspluatācijas nodok</w:t>
            </w:r>
            <w:r>
              <w:t xml:space="preserve">ļa, </w:t>
            </w:r>
            <w:r w:rsidRPr="00A14AA9">
              <w:t>uzņēmumu vieglo transportlīdzekļu nodok</w:t>
            </w:r>
            <w:r>
              <w:t xml:space="preserve">ļa maksājumiem, jo šo nodokļu ieņēmumu uzskaiti un administrēšanu nodrošina attiecīgi pašvaldības un VAS “Ceļu satiksmes drošības </w:t>
            </w:r>
            <w:r w:rsidR="002F525F">
              <w:t>direkcija</w:t>
            </w:r>
            <w:r w:rsidR="007548DA">
              <w:t>”.</w:t>
            </w:r>
            <w:r w:rsidR="00392F30">
              <w:t xml:space="preserve"> </w:t>
            </w:r>
            <w:r w:rsidR="002D4C32" w:rsidRPr="002D4C32">
              <w:t xml:space="preserve">Attiecībā uz VID muitas iestāžu administrētajiem maksājumiem </w:t>
            </w:r>
            <w:r w:rsidR="002D4C32" w:rsidRPr="002D4C32">
              <w:lastRenderedPageBreak/>
              <w:t>(ievedmuitas nodoklis, pievienotās vērtības nodoklis, izlaižot preces brīvam apgrozījumam, un akcīzes nodoklis (importējot)) vienotā nodokļu konta risinājum</w:t>
            </w:r>
            <w:r w:rsidR="007548DA">
              <w:t>u</w:t>
            </w:r>
            <w:r w:rsidR="002D4C32" w:rsidRPr="002D4C32">
              <w:t xml:space="preserve"> piemēros ar brīdi, kad Centrāl</w:t>
            </w:r>
            <w:r w:rsidR="007548DA">
              <w:t>o</w:t>
            </w:r>
            <w:r w:rsidR="002D4C32" w:rsidRPr="002D4C32">
              <w:t xml:space="preserve"> muitas informācijas sistēm</w:t>
            </w:r>
            <w:r w:rsidR="007548DA">
              <w:t xml:space="preserve">u </w:t>
            </w:r>
            <w:r w:rsidR="002F525F">
              <w:t>integrēs MAIS</w:t>
            </w:r>
            <w:r w:rsidR="002D4C32" w:rsidRPr="002D4C32">
              <w:t>, t.i., MAIS</w:t>
            </w:r>
            <w:r w:rsidR="005A28E2">
              <w:t xml:space="preserve"> </w:t>
            </w:r>
            <w:r w:rsidR="002D4C32" w:rsidRPr="002D4C32">
              <w:t>tiks nodrošināta arī VID muitas iestāžu administrēto maksājumu uzskaite.</w:t>
            </w:r>
            <w:r w:rsidR="00392F30">
              <w:t xml:space="preserve"> </w:t>
            </w:r>
          </w:p>
          <w:p w14:paraId="58685BDA" w14:textId="550522E9" w:rsidR="00AE16AA" w:rsidRPr="00AE16AA" w:rsidRDefault="00AE16AA" w:rsidP="005F4307">
            <w:pPr>
              <w:ind w:right="142" w:firstLine="283"/>
              <w:jc w:val="both"/>
              <w:rPr>
                <w:u w:val="single"/>
              </w:rPr>
            </w:pPr>
            <w:r w:rsidRPr="00AE16AA">
              <w:rPr>
                <w:u w:val="single"/>
              </w:rPr>
              <w:t>Vienotā</w:t>
            </w:r>
            <w:r w:rsidR="00A3251C">
              <w:rPr>
                <w:u w:val="single"/>
              </w:rPr>
              <w:t xml:space="preserve"> nodokļu</w:t>
            </w:r>
            <w:r w:rsidRPr="00AE16AA">
              <w:rPr>
                <w:u w:val="single"/>
              </w:rPr>
              <w:t xml:space="preserve"> konta būtība</w:t>
            </w:r>
            <w:r w:rsidR="009A5997">
              <w:rPr>
                <w:u w:val="single"/>
              </w:rPr>
              <w:t>, īpatnības</w:t>
            </w:r>
            <w:r w:rsidRPr="00AE16AA">
              <w:rPr>
                <w:u w:val="single"/>
              </w:rPr>
              <w:t xml:space="preserve"> un priekšrocības</w:t>
            </w:r>
          </w:p>
          <w:p w14:paraId="3698A74B" w14:textId="0CFD6A82" w:rsidR="00261DBA" w:rsidRDefault="00AE16AA" w:rsidP="005F4307">
            <w:pPr>
              <w:ind w:right="142" w:firstLine="283"/>
              <w:jc w:val="both"/>
            </w:pPr>
            <w:r>
              <w:t>Vienotais</w:t>
            </w:r>
            <w:r w:rsidR="00A3251C">
              <w:t xml:space="preserve"> nodokļu</w:t>
            </w:r>
            <w:r>
              <w:t xml:space="preserve"> konts ir viens konts, kurā vei</w:t>
            </w:r>
            <w:r w:rsidR="00157E9D">
              <w:t>c</w:t>
            </w:r>
            <w:r>
              <w:t xml:space="preserve"> </w:t>
            </w:r>
            <w:r w:rsidR="00B8641C">
              <w:t>visu</w:t>
            </w:r>
            <w:r w:rsidR="005B7879">
              <w:t xml:space="preserve"> </w:t>
            </w:r>
            <w:r w:rsidR="00CF37EC">
              <w:t xml:space="preserve">VID administrēto </w:t>
            </w:r>
            <w:r>
              <w:t xml:space="preserve">nodokļu </w:t>
            </w:r>
            <w:r w:rsidR="00157E9D">
              <w:t>iemaksu</w:t>
            </w:r>
            <w:r w:rsidR="00CF37EC">
              <w:t xml:space="preserve">. Savukārt saņemto maksājumu </w:t>
            </w:r>
            <w:r w:rsidR="00157E9D">
              <w:t xml:space="preserve">attiecināšanu </w:t>
            </w:r>
            <w:r w:rsidR="00CF37EC">
              <w:t xml:space="preserve">pa valsts budžeta </w:t>
            </w:r>
            <w:r w:rsidR="00887F18">
              <w:t>ieņēmumu veidie</w:t>
            </w:r>
            <w:r w:rsidR="00157E9D">
              <w:t xml:space="preserve">m </w:t>
            </w:r>
            <w:r w:rsidR="00CF37EC">
              <w:t>veik</w:t>
            </w:r>
            <w:r w:rsidR="00157E9D">
              <w:t>s</w:t>
            </w:r>
            <w:r w:rsidR="00CF37EC">
              <w:t>,</w:t>
            </w:r>
            <w:r w:rsidR="00261DBA">
              <w:t xml:space="preserve"> izmantojot </w:t>
            </w:r>
            <w:r w:rsidR="00261DBA" w:rsidRPr="004955B1">
              <w:rPr>
                <w:i/>
              </w:rPr>
              <w:t>FIFO</w:t>
            </w:r>
            <w:r w:rsidR="008C19DF" w:rsidRPr="004955B1">
              <w:rPr>
                <w:i/>
              </w:rPr>
              <w:t xml:space="preserve"> </w:t>
            </w:r>
            <w:r w:rsidR="00381412" w:rsidRPr="004955B1">
              <w:rPr>
                <w:i/>
              </w:rPr>
              <w:t>metodi</w:t>
            </w:r>
            <w:r>
              <w:t xml:space="preserve">. </w:t>
            </w:r>
          </w:p>
          <w:p w14:paraId="405F415D" w14:textId="05A31D71" w:rsidR="00394ADA" w:rsidRDefault="009A5997" w:rsidP="005F4307">
            <w:pPr>
              <w:ind w:right="142" w:firstLine="283"/>
              <w:jc w:val="both"/>
            </w:pPr>
            <w:r>
              <w:t xml:space="preserve">1) </w:t>
            </w:r>
            <w:r w:rsidRPr="001F21B5">
              <w:rPr>
                <w:i/>
                <w:u w:val="single"/>
              </w:rPr>
              <w:t>FIFO</w:t>
            </w:r>
            <w:r w:rsidR="006A436F" w:rsidRPr="001F21B5">
              <w:rPr>
                <w:i/>
                <w:u w:val="single"/>
              </w:rPr>
              <w:t xml:space="preserve"> </w:t>
            </w:r>
            <w:r w:rsidR="00381412" w:rsidRPr="001F21B5">
              <w:rPr>
                <w:i/>
                <w:u w:val="single"/>
              </w:rPr>
              <w:t>metode</w:t>
            </w:r>
            <w:r w:rsidR="006A436F">
              <w:t xml:space="preserve"> </w:t>
            </w:r>
            <w:r w:rsidR="008C19DF">
              <w:t xml:space="preserve">(pirmais iekšā – pirmais ārā) </w:t>
            </w:r>
            <w:r w:rsidR="006A436F">
              <w:t xml:space="preserve">– </w:t>
            </w:r>
            <w:r w:rsidR="00394ADA">
              <w:t>v</w:t>
            </w:r>
            <w:r w:rsidR="00394ADA" w:rsidRPr="00394ADA">
              <w:t xml:space="preserve">ienotajā nodokļu kontā saņemtie maksājumi, izņemot Ministru kabineta noteiktos </w:t>
            </w:r>
            <w:r w:rsidR="00922E76">
              <w:t xml:space="preserve">izņēmuma </w:t>
            </w:r>
            <w:r w:rsidR="00394ADA" w:rsidRPr="00394ADA">
              <w:t xml:space="preserve">gadījumus, tiek novirzīti </w:t>
            </w:r>
            <w:r w:rsidR="00394ADA">
              <w:t>VID administrēto nodokļu</w:t>
            </w:r>
            <w:r w:rsidR="00394ADA" w:rsidRPr="00394ADA">
              <w:t xml:space="preserve"> maksājumu</w:t>
            </w:r>
            <w:r w:rsidR="00394ADA">
              <w:t xml:space="preserve"> saistību </w:t>
            </w:r>
            <w:r w:rsidR="00394ADA" w:rsidRPr="00394ADA">
              <w:t>segšanai to maksājuma termiņa iestāšanās dienā atbilstoši nodokļu deklarācijas iesniegšanas termiņam vai atbilstoši maksājuma termiņam, ja valsts budžeta maksājums noteikts ar citu dokumentu, kas nav nodokļu deklarācija.</w:t>
            </w:r>
          </w:p>
          <w:p w14:paraId="5B5477FE" w14:textId="5709646E" w:rsidR="00394F6C" w:rsidRDefault="008C19DF" w:rsidP="005F4307">
            <w:pPr>
              <w:pStyle w:val="ListParagraph"/>
              <w:ind w:left="0" w:right="142" w:firstLine="720"/>
              <w:jc w:val="both"/>
            </w:pPr>
            <w:r w:rsidRPr="004955B1">
              <w:rPr>
                <w:i/>
              </w:rPr>
              <w:t>FIFO</w:t>
            </w:r>
            <w:r w:rsidR="00CF37EC" w:rsidRPr="00CF37EC">
              <w:rPr>
                <w:i/>
              </w:rPr>
              <w:t xml:space="preserve"> metode</w:t>
            </w:r>
            <w:r w:rsidR="00CF37EC">
              <w:t xml:space="preserve"> </w:t>
            </w:r>
            <w:r>
              <w:t>nozīmē, ka</w:t>
            </w:r>
            <w:r w:rsidR="00D90CE7">
              <w:t xml:space="preserve"> nodokļu</w:t>
            </w:r>
            <w:r>
              <w:t xml:space="preserve"> </w:t>
            </w:r>
            <w:r w:rsidR="00157E9D">
              <w:t>maksājum</w:t>
            </w:r>
            <w:r w:rsidR="00922E76">
              <w:t>u</w:t>
            </w:r>
            <w:r>
              <w:t>, kuram pirmaj</w:t>
            </w:r>
            <w:r w:rsidR="00CF37EC">
              <w:t>a</w:t>
            </w:r>
            <w:r w:rsidR="00394F6C">
              <w:t>m iestāji</w:t>
            </w:r>
            <w:r w:rsidR="00157E9D">
              <w:t>es</w:t>
            </w:r>
            <w:r w:rsidR="00D90CE7">
              <w:t xml:space="preserve"> nodokļu deklarācijas iesniegšanas </w:t>
            </w:r>
            <w:r>
              <w:t>termiņš</w:t>
            </w:r>
            <w:r w:rsidR="00CF37EC">
              <w:t>,</w:t>
            </w:r>
            <w:r>
              <w:t xml:space="preserve"> </w:t>
            </w:r>
            <w:r w:rsidR="00157E9D">
              <w:t xml:space="preserve">paredzēts </w:t>
            </w:r>
            <w:r>
              <w:t>segt pirm</w:t>
            </w:r>
            <w:r w:rsidR="00157E9D">
              <w:t>o</w:t>
            </w:r>
            <w:r>
              <w:t xml:space="preserve">. </w:t>
            </w:r>
            <w:r w:rsidR="00D90CE7">
              <w:t>VID administrēt</w:t>
            </w:r>
            <w:r w:rsidR="00394F6C">
              <w:t>o</w:t>
            </w:r>
            <w:r w:rsidR="00D90CE7">
              <w:t xml:space="preserve"> nodokļu maksājumu saistības tiks sarindotas atbilstoši nodokļu deklarāciju iesniegšanas termiņam</w:t>
            </w:r>
            <w:r w:rsidR="00394F6C">
              <w:t>. VID administrēto nodokļu maksājumu saistības</w:t>
            </w:r>
            <w:r w:rsidR="00D90CE7">
              <w:t xml:space="preserve"> nav iespējams </w:t>
            </w:r>
            <w:r w:rsidR="00394F6C">
              <w:t>sarindot</w:t>
            </w:r>
            <w:r w:rsidR="00D90CE7">
              <w:t xml:space="preserve"> pēc nodokļu saistību maksāšanas termiņa, jo paredzēts vienādot VID administrēto nodokļu maksāšanas termiņus, paredzot, ka </w:t>
            </w:r>
            <w:r w:rsidR="00394F6C">
              <w:t>regulāri maksājamie (</w:t>
            </w:r>
            <w:r w:rsidR="00394F6C" w:rsidRPr="00154D53">
              <w:t xml:space="preserve">t.i., reizi mēnesī, reizi ceturksnī un reizi pusgadā </w:t>
            </w:r>
            <w:r w:rsidR="00394F6C">
              <w:t>maksājamie</w:t>
            </w:r>
            <w:r w:rsidR="00394F6C" w:rsidRPr="00154D53">
              <w:t>)</w:t>
            </w:r>
            <w:r w:rsidR="00394F6C">
              <w:t xml:space="preserve"> VID administrētie nodokļi</w:t>
            </w:r>
            <w:r w:rsidR="00B00234">
              <w:t>,</w:t>
            </w:r>
            <w:r w:rsidR="00B00234" w:rsidRPr="00F71CC9">
              <w:t xml:space="preserve"> </w:t>
            </w:r>
            <w:r w:rsidR="00394F6C" w:rsidRPr="00F71CC9">
              <w:t>uzņēmējdarbības riska valsts nodev</w:t>
            </w:r>
            <w:r w:rsidR="00394F6C">
              <w:t>a</w:t>
            </w:r>
            <w:r w:rsidR="00B00234">
              <w:t xml:space="preserve">, </w:t>
            </w:r>
            <w:r w:rsidR="00B00234" w:rsidRPr="005C6C12">
              <w:t>valsts nodev</w:t>
            </w:r>
            <w:r w:rsidR="00B00234">
              <w:t>a</w:t>
            </w:r>
            <w:r w:rsidR="00B00234" w:rsidRPr="005C6C12">
              <w:t xml:space="preserve"> par numerācijas lietošanas tiesībām</w:t>
            </w:r>
            <w:r w:rsidR="00B00234">
              <w:t>,</w:t>
            </w:r>
            <w:r w:rsidR="00394F6C">
              <w:t xml:space="preserve"> budžetā </w:t>
            </w:r>
            <w:r w:rsidR="00394F6C" w:rsidRPr="00154D53">
              <w:t>ir samaksājam</w:t>
            </w:r>
            <w:r w:rsidR="00394F6C">
              <w:t>a</w:t>
            </w:r>
            <w:r w:rsidR="00394F6C" w:rsidRPr="00154D53">
              <w:t xml:space="preserve"> ne vēlāk kā līdz pārskata iesniegšanas mēneša 23.datumam</w:t>
            </w:r>
            <w:r w:rsidR="00394F6C">
              <w:t>. Tādējādi, vienādojot maksāšanas termiņu regulāri maksājamiem VID administrētiem nodokļiem</w:t>
            </w:r>
            <w:r w:rsidR="00B00234">
              <w:t>,</w:t>
            </w:r>
            <w:r w:rsidR="00394F6C">
              <w:t xml:space="preserve"> </w:t>
            </w:r>
            <w:r w:rsidR="00394F6C" w:rsidRPr="00F71CC9">
              <w:t>uzņēmējdarbības riska valsts nodev</w:t>
            </w:r>
            <w:r w:rsidR="00394F6C">
              <w:t>ai</w:t>
            </w:r>
            <w:r w:rsidR="00B00234">
              <w:t xml:space="preserve"> un </w:t>
            </w:r>
            <w:r w:rsidR="00B00234" w:rsidRPr="005C6C12">
              <w:t xml:space="preserve"> valsts nodev</w:t>
            </w:r>
            <w:r w:rsidR="00B00234">
              <w:t>ai</w:t>
            </w:r>
            <w:r w:rsidR="00B00234" w:rsidRPr="005C6C12">
              <w:t xml:space="preserve"> par numerācijas lietošanas tiesībām</w:t>
            </w:r>
            <w:r w:rsidR="00394F6C">
              <w:t xml:space="preserve">, tiek radīta iespēja nodokļu maksātājam minētos maksājumus samaksāt vienotajā nodokļu kontā vienā vai vairākos maksājumos līdz vienotajam gala termiņam - </w:t>
            </w:r>
            <w:r w:rsidR="00394F6C" w:rsidRPr="00154D53">
              <w:t>pārskata</w:t>
            </w:r>
            <w:r w:rsidR="00394F6C">
              <w:t xml:space="preserve"> iesniegšanas mēneša 23.datumam.</w:t>
            </w:r>
            <w:r w:rsidR="00B00234">
              <w:t xml:space="preserve"> </w:t>
            </w:r>
          </w:p>
          <w:p w14:paraId="1B8CFEE1" w14:textId="314653C4" w:rsidR="004955B1" w:rsidRPr="00BC32B0" w:rsidRDefault="006A436F" w:rsidP="00922E76">
            <w:pPr>
              <w:ind w:right="142" w:firstLine="283"/>
              <w:jc w:val="both"/>
            </w:pPr>
            <w:r>
              <w:t>M</w:t>
            </w:r>
            <w:r w:rsidRPr="006A436F">
              <w:t xml:space="preserve">aksājumu </w:t>
            </w:r>
            <w:r w:rsidR="00157E9D" w:rsidRPr="006A436F">
              <w:t>attiecināšan</w:t>
            </w:r>
            <w:r w:rsidR="00157E9D">
              <w:t>u</w:t>
            </w:r>
            <w:r w:rsidR="00157E9D" w:rsidRPr="006A436F">
              <w:t xml:space="preserve"> </w:t>
            </w:r>
            <w:r w:rsidR="00AD283B">
              <w:t>MAIS</w:t>
            </w:r>
            <w:r w:rsidR="004955B1">
              <w:t xml:space="preserve"> </w:t>
            </w:r>
            <w:r w:rsidR="00DD6091">
              <w:t xml:space="preserve">paredzēts </w:t>
            </w:r>
            <w:r w:rsidR="004955B1">
              <w:t>veik</w:t>
            </w:r>
            <w:r w:rsidR="00DD6091">
              <w:t>t</w:t>
            </w:r>
            <w:r w:rsidR="004955B1">
              <w:t xml:space="preserve"> </w:t>
            </w:r>
            <w:r w:rsidRPr="006A436F">
              <w:t>automātisk</w:t>
            </w:r>
            <w:r>
              <w:t>i</w:t>
            </w:r>
            <w:r w:rsidRPr="006A436F">
              <w:t xml:space="preserve">, </w:t>
            </w:r>
            <w:r>
              <w:t>līdz ar to</w:t>
            </w:r>
            <w:r w:rsidR="004955B1">
              <w:t xml:space="preserve"> vienotajā </w:t>
            </w:r>
            <w:r w:rsidR="00A3251C">
              <w:t xml:space="preserve">nodokļu </w:t>
            </w:r>
            <w:r w:rsidR="004955B1">
              <w:t xml:space="preserve">kontā </w:t>
            </w:r>
            <w:r w:rsidR="00157E9D" w:rsidRPr="00BC32B0">
              <w:t xml:space="preserve">saņemto naudu paredzēts </w:t>
            </w:r>
            <w:r w:rsidR="004955B1" w:rsidRPr="00BC32B0">
              <w:t>attiecināt</w:t>
            </w:r>
            <w:r w:rsidR="00DD6091" w:rsidRPr="00BC32B0">
              <w:t xml:space="preserve"> </w:t>
            </w:r>
            <w:r w:rsidR="004955B1" w:rsidRPr="00BC32B0">
              <w:t xml:space="preserve">pa valsts budžeta ieņēmumu veidiem automātiski, ņemot vērā </w:t>
            </w:r>
            <w:r w:rsidR="00394F6C" w:rsidRPr="00BC32B0">
              <w:rPr>
                <w:i/>
              </w:rPr>
              <w:t>FIFO metodi</w:t>
            </w:r>
            <w:r w:rsidR="004955B1" w:rsidRPr="00BC32B0">
              <w:t xml:space="preserve">. Tāpat arī situācijās, kad kādā no valsts budžeta ieņēmumu veidiem izveidosies pārmaksa (pēc apstiprinātas deklarācijas, vai precizējot deklarāciju), </w:t>
            </w:r>
            <w:r w:rsidR="009631EF" w:rsidRPr="00BC32B0">
              <w:t>MAIS</w:t>
            </w:r>
            <w:r w:rsidR="004955B1" w:rsidRPr="00BC32B0">
              <w:t xml:space="preserve"> automātiski </w:t>
            </w:r>
            <w:r w:rsidR="00DD6091" w:rsidRPr="00BC32B0">
              <w:t xml:space="preserve">paredzēts veikt </w:t>
            </w:r>
            <w:r w:rsidR="004955B1" w:rsidRPr="00BC32B0">
              <w:t xml:space="preserve">pārmaksātās summas novirzīšanu uz nodokļu </w:t>
            </w:r>
            <w:r w:rsidR="00DD6091" w:rsidRPr="00BC32B0">
              <w:t>saistību izpildi</w:t>
            </w:r>
            <w:r w:rsidR="00012460">
              <w:t xml:space="preserve"> </w:t>
            </w:r>
            <w:r w:rsidR="00BC32B0" w:rsidRPr="00BC32B0">
              <w:t xml:space="preserve">saskaņā </w:t>
            </w:r>
            <w:r w:rsidR="004955B1" w:rsidRPr="00BC32B0">
              <w:t xml:space="preserve">ar </w:t>
            </w:r>
            <w:r w:rsidR="004955B1" w:rsidRPr="00BC32B0">
              <w:rPr>
                <w:i/>
              </w:rPr>
              <w:t>FIFO metodi</w:t>
            </w:r>
            <w:r w:rsidR="004955B1" w:rsidRPr="00BC32B0">
              <w:t>.</w:t>
            </w:r>
          </w:p>
          <w:p w14:paraId="1D82B4D3" w14:textId="4DC7EE48" w:rsidR="004955B1" w:rsidRDefault="004955B1" w:rsidP="005F4307">
            <w:pPr>
              <w:ind w:right="142" w:firstLine="283"/>
              <w:jc w:val="both"/>
            </w:pPr>
            <w:r w:rsidRPr="00BC32B0">
              <w:t xml:space="preserve">Vienotā </w:t>
            </w:r>
            <w:r w:rsidR="00857021" w:rsidRPr="00BC32B0">
              <w:t xml:space="preserve">nodokļu </w:t>
            </w:r>
            <w:r w:rsidRPr="00BC32B0">
              <w:t>konta r</w:t>
            </w:r>
            <w:r w:rsidR="00B8641C" w:rsidRPr="00BC32B0">
              <w:t>isinājuma apspriešanas laikā secināts, ka atsevišķ</w:t>
            </w:r>
            <w:r w:rsidRPr="00BC32B0">
              <w:t>ām nodokļu un ar to saistīto maksājumu saistībām</w:t>
            </w:r>
            <w:r w:rsidR="00857021">
              <w:t xml:space="preserve"> nevar piemērot </w:t>
            </w:r>
            <w:r w:rsidRPr="004955B1">
              <w:rPr>
                <w:i/>
              </w:rPr>
              <w:t>FIFO metodi</w:t>
            </w:r>
            <w:r>
              <w:t xml:space="preserve"> un ir jāparedz risinājums, kas ļauj šādas saistības segt tieši.</w:t>
            </w:r>
            <w:r w:rsidR="009B31A2">
              <w:t xml:space="preserve"> Piemēram, </w:t>
            </w:r>
            <w:r w:rsidR="00857021">
              <w:t>z</w:t>
            </w:r>
            <w:r w:rsidR="009B31A2">
              <w:t>vērinātu tiesu izpildītāju iekasēt</w:t>
            </w:r>
            <w:r w:rsidR="00857021">
              <w:t>ie</w:t>
            </w:r>
            <w:r w:rsidR="009B31A2">
              <w:t xml:space="preserve"> un budžetā pārskaitītie maksājumi par nodokļu saistībām, pievienotās vērtības nodokļa īpašā režīma </w:t>
            </w:r>
            <w:r w:rsidR="007323CF" w:rsidRPr="007323CF">
              <w:t xml:space="preserve">vienas pieturas aģentūras </w:t>
            </w:r>
            <w:r w:rsidR="007323CF" w:rsidRPr="007323CF">
              <w:lastRenderedPageBreak/>
              <w:t>minishēmu</w:t>
            </w:r>
            <w:r w:rsidR="007323CF" w:rsidRPr="007323CF" w:rsidDel="007323CF">
              <w:t xml:space="preserve"> </w:t>
            </w:r>
            <w:r w:rsidR="009B31A2">
              <w:t>maksājumi</w:t>
            </w:r>
            <w:r w:rsidR="00394F6C">
              <w:t>, m</w:t>
            </w:r>
            <w:r w:rsidR="002D4C32" w:rsidRPr="002D4C32">
              <w:t xml:space="preserve">uitas iestāžu administrētie maksājumi </w:t>
            </w:r>
            <w:r w:rsidR="009B31A2">
              <w:t xml:space="preserve"> u.c.</w:t>
            </w:r>
          </w:p>
          <w:p w14:paraId="3A5FB262" w14:textId="62A127C6" w:rsidR="004955B1" w:rsidRDefault="004955B1" w:rsidP="00922E76">
            <w:pPr>
              <w:ind w:right="142" w:firstLine="283"/>
              <w:jc w:val="both"/>
            </w:pPr>
            <w:r>
              <w:t xml:space="preserve">Tādējādi </w:t>
            </w:r>
            <w:r w:rsidR="00DD6091">
              <w:t xml:space="preserve">normatīvajā regulējumā </w:t>
            </w:r>
            <w:r>
              <w:t>paredzēt</w:t>
            </w:r>
            <w:r w:rsidR="00394F6C">
              <w:t>s, ka Ministru kabinets noteiks</w:t>
            </w:r>
            <w:r>
              <w:t xml:space="preserve"> </w:t>
            </w:r>
            <w:r w:rsidR="00B8641C">
              <w:t>izņēmum</w:t>
            </w:r>
            <w:r w:rsidR="00394F6C">
              <w:t>us</w:t>
            </w:r>
            <w:r w:rsidR="00B8641C">
              <w:t xml:space="preserve"> no vispārējā </w:t>
            </w:r>
            <w:r w:rsidR="00261DBA">
              <w:t xml:space="preserve">vienotā </w:t>
            </w:r>
            <w:r w:rsidR="00A3251C">
              <w:t xml:space="preserve">nodokļu </w:t>
            </w:r>
            <w:r w:rsidR="00261DBA">
              <w:t>konta principa</w:t>
            </w:r>
            <w:r>
              <w:t xml:space="preserve"> un maksājumu attiecināšanas pa valsts budžeta ieņēmumu veidiem pēc </w:t>
            </w:r>
            <w:r w:rsidRPr="004955B1">
              <w:rPr>
                <w:i/>
              </w:rPr>
              <w:t>FIFO metodes</w:t>
            </w:r>
            <w:r w:rsidR="00261DBA">
              <w:t>. Līdz ar to atsevišķ</w:t>
            </w:r>
            <w:r w:rsidR="0065398C">
              <w:t>u</w:t>
            </w:r>
            <w:r>
              <w:t xml:space="preserve"> nodokļu un ar tiem saistīto maksājumu </w:t>
            </w:r>
            <w:r w:rsidR="00DD6091">
              <w:t xml:space="preserve">saistību izpildi </w:t>
            </w:r>
            <w:r>
              <w:t xml:space="preserve">būs iespējams </w:t>
            </w:r>
            <w:r w:rsidR="0065398C">
              <w:t>nodrošināt (</w:t>
            </w:r>
            <w:r>
              <w:t>samaksā</w:t>
            </w:r>
            <w:r w:rsidR="0065398C">
              <w:t>jot)</w:t>
            </w:r>
            <w:r>
              <w:t xml:space="preserve"> tieši – t.i., maksājuma</w:t>
            </w:r>
            <w:r w:rsidR="00857021">
              <w:t xml:space="preserve"> dokumenta</w:t>
            </w:r>
            <w:r>
              <w:t xml:space="preserve"> mērķa </w:t>
            </w:r>
            <w:r w:rsidR="00DD6091">
              <w:t xml:space="preserve">laukā </w:t>
            </w:r>
            <w:r>
              <w:t>norād</w:t>
            </w:r>
            <w:r w:rsidR="009B31A2">
              <w:t>īt konkrēto</w:t>
            </w:r>
            <w:r>
              <w:t xml:space="preserve"> saistību identificējoš</w:t>
            </w:r>
            <w:r w:rsidR="009B31A2">
              <w:t>u</w:t>
            </w:r>
            <w:r>
              <w:t xml:space="preserve"> inform</w:t>
            </w:r>
            <w:r w:rsidR="00922E76">
              <w:t xml:space="preserve">āciju, un šādos gadījumos </w:t>
            </w:r>
            <w:r w:rsidR="009B31A2">
              <w:t>vienotajā</w:t>
            </w:r>
            <w:r w:rsidR="00A3251C">
              <w:t xml:space="preserve"> nodokļu</w:t>
            </w:r>
            <w:r w:rsidR="00922E76">
              <w:t xml:space="preserve"> kontā</w:t>
            </w:r>
            <w:r w:rsidR="009B31A2">
              <w:t xml:space="preserve"> </w:t>
            </w:r>
            <w:r w:rsidR="00DD6091">
              <w:t>saņemto maksājumu pa</w:t>
            </w:r>
            <w:r w:rsidR="00394F6C">
              <w:t>r</w:t>
            </w:r>
            <w:r w:rsidR="00DD6091">
              <w:t xml:space="preserve">edzēts </w:t>
            </w:r>
            <w:r w:rsidR="009B31A2">
              <w:t xml:space="preserve">attiecināt tieši uz maksājuma mērķī norādīto nodokli </w:t>
            </w:r>
            <w:r w:rsidR="00394F6C">
              <w:t>vai</w:t>
            </w:r>
            <w:r w:rsidR="009B31A2">
              <w:t xml:space="preserve"> ar to saistīto maksājumu.</w:t>
            </w:r>
            <w:r w:rsidR="00424C01" w:rsidRPr="00424C01">
              <w:t xml:space="preserve"> </w:t>
            </w:r>
            <w:r w:rsidR="00857021">
              <w:t xml:space="preserve">Ministru kabinets noteiks izņēmuma gadījumus, kādos gadījumos </w:t>
            </w:r>
            <w:r w:rsidR="00857021" w:rsidRPr="00A01D09">
              <w:rPr>
                <w:i/>
              </w:rPr>
              <w:t>FIFO metode</w:t>
            </w:r>
            <w:r w:rsidR="00857021">
              <w:t xml:space="preserve"> nav piem</w:t>
            </w:r>
            <w:r w:rsidR="00922E76">
              <w:t xml:space="preserve">ērojama un saņemtais maksājums </w:t>
            </w:r>
            <w:r w:rsidR="00857021">
              <w:t xml:space="preserve">vienotajā nodokļu kontā attiecināms pret konkrētu saistību. </w:t>
            </w:r>
          </w:p>
          <w:p w14:paraId="5BD60E67" w14:textId="77777777" w:rsidR="00857021" w:rsidRDefault="00857021" w:rsidP="005F4307">
            <w:pPr>
              <w:ind w:right="142" w:firstLine="283"/>
              <w:jc w:val="both"/>
            </w:pPr>
          </w:p>
          <w:p w14:paraId="524F3B40" w14:textId="3629F028" w:rsidR="009A5997" w:rsidRPr="001F21B5" w:rsidRDefault="009A5997" w:rsidP="005F4307">
            <w:pPr>
              <w:ind w:right="142" w:firstLine="283"/>
              <w:jc w:val="both"/>
              <w:rPr>
                <w:i/>
                <w:u w:val="single"/>
              </w:rPr>
            </w:pPr>
            <w:r>
              <w:t xml:space="preserve">2) </w:t>
            </w:r>
            <w:r w:rsidR="002D4C32" w:rsidRPr="001F21B5">
              <w:rPr>
                <w:i/>
                <w:u w:val="single"/>
              </w:rPr>
              <w:t>vienotais maksāšanas termiņš</w:t>
            </w:r>
          </w:p>
          <w:p w14:paraId="44A0E81B" w14:textId="195FDE0A" w:rsidR="009A5997" w:rsidRDefault="009A5997" w:rsidP="005F4307">
            <w:pPr>
              <w:ind w:right="142" w:firstLine="283"/>
              <w:jc w:val="both"/>
            </w:pPr>
            <w:r>
              <w:t>Lai samazinātu nodokļu maksātājiem ne tikai nodokļu kontu, bet arī pārskaitījumu veikšanas skaitu</w:t>
            </w:r>
            <w:r w:rsidR="009B31A2">
              <w:t>,</w:t>
            </w:r>
            <w:r>
              <w:t xml:space="preserve"> </w:t>
            </w:r>
            <w:r w:rsidR="009B31A2">
              <w:t xml:space="preserve">ir </w:t>
            </w:r>
            <w:r>
              <w:t>nepieciešam</w:t>
            </w:r>
            <w:r w:rsidR="009B31A2">
              <w:t>s</w:t>
            </w:r>
            <w:r>
              <w:t xml:space="preserve"> </w:t>
            </w:r>
            <w:r w:rsidR="00394F6C">
              <w:t>vienādot</w:t>
            </w:r>
            <w:r w:rsidRPr="009A5997">
              <w:t xml:space="preserve"> nodokļu maksāšanas termiņus, t.i., no</w:t>
            </w:r>
            <w:r>
              <w:t>teik</w:t>
            </w:r>
            <w:r w:rsidRPr="009A5997">
              <w:t>t vienu termiņu</w:t>
            </w:r>
            <w:r w:rsidR="0065398C">
              <w:t>,</w:t>
            </w:r>
            <w:r w:rsidR="00857021" w:rsidRPr="009A5997">
              <w:t xml:space="preserve"> līdz kuram veicami </w:t>
            </w:r>
            <w:r w:rsidR="00394F6C">
              <w:t>regulāri maksājamie (</w:t>
            </w:r>
            <w:r w:rsidR="00394F6C" w:rsidRPr="00154D53">
              <w:t xml:space="preserve">t.i., reizi mēnesī, reizi ceturksnī un reizi pusgadā </w:t>
            </w:r>
            <w:r w:rsidR="00394F6C">
              <w:t>maksājamie</w:t>
            </w:r>
            <w:r w:rsidR="00394F6C" w:rsidRPr="00154D53">
              <w:t>)</w:t>
            </w:r>
            <w:r w:rsidR="00394F6C">
              <w:t xml:space="preserve"> </w:t>
            </w:r>
            <w:r w:rsidR="00CF1AF4">
              <w:t>VID administrētie nodokļu maksājumi</w:t>
            </w:r>
            <w:r>
              <w:t>. Viena samaksas termiņa noteikšana</w:t>
            </w:r>
            <w:r w:rsidRPr="009A5997">
              <w:t xml:space="preserve"> </w:t>
            </w:r>
            <w:r w:rsidR="009B31A2">
              <w:t xml:space="preserve">ļaus nodokļu maksātājam </w:t>
            </w:r>
            <w:r w:rsidRPr="009A5997">
              <w:t xml:space="preserve">vairākus nodokļu maksājumus apvienot </w:t>
            </w:r>
            <w:r w:rsidR="009B31A2">
              <w:t xml:space="preserve">un samaksāt </w:t>
            </w:r>
            <w:r w:rsidRPr="009A5997">
              <w:t>vienā maksājumā un ar vienu maksājumu ieskaitīt valsts budžeta kontā.</w:t>
            </w:r>
            <w:r w:rsidR="00394F6C">
              <w:t xml:space="preserve"> </w:t>
            </w:r>
            <w:r w:rsidR="002F525F" w:rsidRPr="002F525F">
              <w:t>Vienotais maksāšanas termiņš nav attiecināms uz nodokļ</w:t>
            </w:r>
            <w:r w:rsidR="002F525F">
              <w:t xml:space="preserve">u kontroles pasākumu rezultātā </w:t>
            </w:r>
            <w:r w:rsidR="002F525F" w:rsidRPr="002F525F">
              <w:t>pieņemtajos lēmu</w:t>
            </w:r>
            <w:r w:rsidR="002F525F">
              <w:t>mos norādīto maksāšanas termiņu.</w:t>
            </w:r>
          </w:p>
          <w:p w14:paraId="48086B86" w14:textId="0E75523D" w:rsidR="00CF1AF4" w:rsidRDefault="00CF1AF4" w:rsidP="005F4307">
            <w:pPr>
              <w:ind w:right="142" w:firstLine="283"/>
              <w:jc w:val="both"/>
            </w:pPr>
            <w:r>
              <w:t>Likumprojektam papildus sagatavotais Ministru kabineta protokollēmuma projekts paredz, l</w:t>
            </w:r>
            <w:r w:rsidRPr="00154D53">
              <w:t>ai mazinātu administratīvo slogu nodokļu maksātājiem un nodrošinātu iesp</w:t>
            </w:r>
            <w:r>
              <w:t xml:space="preserve">ēju vairākus nodokļu maksājumus, kā arī </w:t>
            </w:r>
            <w:r w:rsidR="00B00234" w:rsidRPr="005C6C12">
              <w:t>valsts nodev</w:t>
            </w:r>
            <w:r w:rsidR="00B00234">
              <w:t>u</w:t>
            </w:r>
            <w:r w:rsidR="00B00234" w:rsidRPr="005C6C12">
              <w:t xml:space="preserve"> par numerācijas lietošanas tiesībām</w:t>
            </w:r>
            <w:r w:rsidRPr="00F71CC9">
              <w:t xml:space="preserve"> </w:t>
            </w:r>
            <w:r w:rsidRPr="00154D53">
              <w:t xml:space="preserve">vienotajā nodokļu kontā samaksāt vienā maksājumā, Finanšu ministrijai, </w:t>
            </w:r>
            <w:r w:rsidR="006F4402">
              <w:t xml:space="preserve">Satiksmes ministrijai, </w:t>
            </w:r>
            <w:r w:rsidRPr="00154D53">
              <w:t>Ekonomikas ministrijai, Labklājības ministrijai</w:t>
            </w:r>
            <w:r w:rsidR="00B00234">
              <w:t xml:space="preserve"> </w:t>
            </w:r>
            <w:r w:rsidRPr="00154D53">
              <w:t xml:space="preserve">un Vides aizsardzības un reģionālās attīstības ministrijai izvērtēt kompetencē esošos normatīvos aktus un pārskatīt nodokļu deklarāciju iesniegšanas un nodokļu </w:t>
            </w:r>
            <w:r>
              <w:t>(t.sk.</w:t>
            </w:r>
            <w:r w:rsidR="00B00234" w:rsidRPr="005C6C12">
              <w:t xml:space="preserve"> valsts nodev</w:t>
            </w:r>
            <w:r w:rsidR="00B00234">
              <w:t>u</w:t>
            </w:r>
            <w:r w:rsidR="00B00234" w:rsidRPr="005C6C12">
              <w:t xml:space="preserve"> par numerācijas lietošanas tiesībām</w:t>
            </w:r>
            <w:r>
              <w:t xml:space="preserve">) </w:t>
            </w:r>
            <w:r w:rsidRPr="00154D53">
              <w:t xml:space="preserve">maksāšanas termiņus, un vienlaikus ar nākamajiem grozījumiem attiecīgajos normatīvajos aktos, bet ne vēlāk kā līdz 2018.gada </w:t>
            </w:r>
            <w:r>
              <w:t>1.martam</w:t>
            </w:r>
            <w:r w:rsidRPr="00154D53">
              <w:t xml:space="preserve"> iesniegt Ministru kabinetā normatīvo aktu </w:t>
            </w:r>
            <w:r>
              <w:t>projektus, kas paredz</w:t>
            </w:r>
            <w:r w:rsidRPr="00154D53">
              <w:t>, ka</w:t>
            </w:r>
            <w:r>
              <w:t xml:space="preserve"> regulāri maksājamie (</w:t>
            </w:r>
            <w:r w:rsidRPr="00154D53">
              <w:t xml:space="preserve">t.i., reizi mēnesī, reizi ceturksnī un reizi pusgadā </w:t>
            </w:r>
            <w:r>
              <w:t>maksājamie</w:t>
            </w:r>
            <w:r w:rsidRPr="00154D53">
              <w:t>)</w:t>
            </w:r>
            <w:r>
              <w:t xml:space="preserve"> </w:t>
            </w:r>
            <w:r w:rsidR="00CD6E60">
              <w:t>VID</w:t>
            </w:r>
            <w:r>
              <w:t xml:space="preserve"> </w:t>
            </w:r>
            <w:r w:rsidR="00012460">
              <w:t xml:space="preserve">administrētie </w:t>
            </w:r>
            <w:r>
              <w:t>nodokļi</w:t>
            </w:r>
            <w:r w:rsidRPr="00154D53">
              <w:t xml:space="preserve"> </w:t>
            </w:r>
            <w:r>
              <w:t>un</w:t>
            </w:r>
            <w:r w:rsidRPr="00F71CC9">
              <w:t xml:space="preserve"> </w:t>
            </w:r>
            <w:r w:rsidR="00B00234" w:rsidRPr="005C6C12">
              <w:t>valsts nodev</w:t>
            </w:r>
            <w:r w:rsidR="00B00234">
              <w:t>a</w:t>
            </w:r>
            <w:r w:rsidR="00B00234" w:rsidRPr="005C6C12">
              <w:t xml:space="preserve"> par numerācijas lietošanas tiesībām</w:t>
            </w:r>
            <w:r w:rsidR="00B00234" w:rsidRPr="00F71CC9">
              <w:t xml:space="preserve"> </w:t>
            </w:r>
            <w:r>
              <w:t xml:space="preserve">budžetā </w:t>
            </w:r>
            <w:r w:rsidRPr="00154D53">
              <w:t>ir samaksājam</w:t>
            </w:r>
            <w:r>
              <w:t>a</w:t>
            </w:r>
            <w:r w:rsidRPr="00154D53">
              <w:t xml:space="preserve"> ne vēlāk kā līdz pārskata iesniegšanas mēneša 23.datumam</w:t>
            </w:r>
            <w:r>
              <w:t xml:space="preserve">. Mēneša 23.datums ir vienotais regulāri maksājamo nodokļu un </w:t>
            </w:r>
            <w:r w:rsidR="00B00234" w:rsidRPr="005C6C12">
              <w:t>valsts nodev</w:t>
            </w:r>
            <w:r w:rsidR="00B00234">
              <w:t>as</w:t>
            </w:r>
            <w:r w:rsidR="00B00234" w:rsidRPr="005C6C12">
              <w:t xml:space="preserve"> par numerācijas lietošanas tiesībām</w:t>
            </w:r>
            <w:r w:rsidR="00B00234" w:rsidRPr="00F71CC9" w:rsidDel="00B00234">
              <w:t xml:space="preserve"> </w:t>
            </w:r>
            <w:r>
              <w:t xml:space="preserve">gala termiņš. Tādējādi, vienādojot maksāšanas termiņu regulāri maksājamiem </w:t>
            </w:r>
            <w:r w:rsidR="00CD6E60">
              <w:t>VID</w:t>
            </w:r>
            <w:r>
              <w:t xml:space="preserve"> administrētiem nodokļiem</w:t>
            </w:r>
            <w:r w:rsidR="00012460">
              <w:t>,</w:t>
            </w:r>
            <w:r w:rsidR="00012460" w:rsidRPr="005C6C12">
              <w:t xml:space="preserve"> valsts nodev</w:t>
            </w:r>
            <w:r w:rsidR="00012460">
              <w:t>ai</w:t>
            </w:r>
            <w:r w:rsidR="00012460" w:rsidRPr="005C6C12">
              <w:t xml:space="preserve"> par numerācijas lietošanas tiesībām</w:t>
            </w:r>
            <w:r>
              <w:t xml:space="preserve">, tiek radīta iespēja nodokļu maksātājam minētos maksājumus samaksāt vienotajā nodokļu kontā vienā vai vairākos maksājumos līdz </w:t>
            </w:r>
            <w:r w:rsidRPr="00C07DB4">
              <w:rPr>
                <w:u w:val="single"/>
              </w:rPr>
              <w:t>vienotajam gala termiņam</w:t>
            </w:r>
            <w:r>
              <w:t xml:space="preserve"> - </w:t>
            </w:r>
            <w:r w:rsidRPr="00154D53">
              <w:t xml:space="preserve">pārskata iesniegšanas </w:t>
            </w:r>
            <w:r w:rsidRPr="00154D53">
              <w:lastRenderedPageBreak/>
              <w:t>mēneša 23.datumam</w:t>
            </w:r>
            <w:r w:rsidR="00B00234">
              <w:t>. Vienlaikus likumprojektam papildus sagatavotais Ministru kabineta protokollēmuma projekts paredz, l</w:t>
            </w:r>
            <w:r w:rsidR="00B00234" w:rsidRPr="00876CC7">
              <w:t>ai mazinātu administratīvo slogu nodokļu maksātājiem un nodrošinātu iespēju arī uzņēmējdarbības riska valsts nodevu vienotajā nodokļu kontā samaksāt vienā maksājumā</w:t>
            </w:r>
            <w:r w:rsidR="00B00234" w:rsidRPr="004F648E">
              <w:t xml:space="preserve"> </w:t>
            </w:r>
            <w:r w:rsidR="00B00234">
              <w:t>ar citiem nodokļu maksājumiem</w:t>
            </w:r>
            <w:r w:rsidR="00B00234" w:rsidRPr="00876CC7">
              <w:t xml:space="preserve">, Tieslietu ministrijai </w:t>
            </w:r>
            <w:r w:rsidR="00B00234">
              <w:t xml:space="preserve">pārskatīt </w:t>
            </w:r>
            <w:r w:rsidR="00B00234" w:rsidRPr="00876CC7">
              <w:t>uzņēmējdarbības riska valsts nodev</w:t>
            </w:r>
            <w:r w:rsidR="00B00234">
              <w:t xml:space="preserve">as maksāšanas termiņu un ne vēlāk kā līdz 2020.gada 1.septembrim iesniegt </w:t>
            </w:r>
            <w:r w:rsidR="00B00234" w:rsidRPr="00876CC7">
              <w:t xml:space="preserve">Ministru kabinetā </w:t>
            </w:r>
            <w:r w:rsidR="00B00234">
              <w:t>noteikumu</w:t>
            </w:r>
            <w:r w:rsidR="00B00234" w:rsidRPr="00876CC7">
              <w:t xml:space="preserve"> projektu</w:t>
            </w:r>
            <w:r w:rsidR="00B00234">
              <w:t xml:space="preserve">, nosakot, ka </w:t>
            </w:r>
            <w:r w:rsidR="00B00234" w:rsidRPr="00876CC7">
              <w:t>uzņēmējdarbības riska valsts nodev</w:t>
            </w:r>
            <w:r w:rsidR="00B00234">
              <w:t xml:space="preserve">u </w:t>
            </w:r>
            <w:r w:rsidR="00B00234" w:rsidRPr="004F648E">
              <w:t xml:space="preserve">par pārskata mēnesi darba devējs samaksā </w:t>
            </w:r>
            <w:r w:rsidR="00B00234" w:rsidRPr="00876CC7">
              <w:t xml:space="preserve">ne vēlāk kā līdz </w:t>
            </w:r>
            <w:r w:rsidR="00B00234">
              <w:t>nākamā</w:t>
            </w:r>
            <w:r w:rsidR="00B00234" w:rsidRPr="00876CC7">
              <w:t xml:space="preserve"> mēneša 23.datumam</w:t>
            </w:r>
            <w:r w:rsidR="00B00234">
              <w:t>.</w:t>
            </w:r>
          </w:p>
          <w:p w14:paraId="3834E2B0" w14:textId="4B9B824A" w:rsidR="00CF1AF4" w:rsidRDefault="009A5997" w:rsidP="005F4307">
            <w:pPr>
              <w:ind w:right="142" w:firstLine="283"/>
              <w:jc w:val="both"/>
            </w:pPr>
            <w:r>
              <w:t xml:space="preserve">Vienotā </w:t>
            </w:r>
            <w:r w:rsidR="00A3251C">
              <w:t xml:space="preserve">nodokļu </w:t>
            </w:r>
            <w:r>
              <w:t>konta risinājum</w:t>
            </w:r>
            <w:r w:rsidR="009B31A2">
              <w:t>s</w:t>
            </w:r>
            <w:r>
              <w:t xml:space="preserve"> ļaus ietaup</w:t>
            </w:r>
            <w:r w:rsidR="00CF1AF4">
              <w:t>ī</w:t>
            </w:r>
            <w:r>
              <w:t>t gan uz pārskaitījumu veikšanas izdevumiem, gan uz ar pārskaitījuma veikšanu saistītajām darbībām</w:t>
            </w:r>
            <w:r w:rsidR="009B31A2">
              <w:t>, t.sk. laiku maksājuma sagatavošanai</w:t>
            </w:r>
            <w:r>
              <w:t xml:space="preserve">. </w:t>
            </w:r>
            <w:r w:rsidR="00424C01" w:rsidRPr="00424C01">
              <w:t xml:space="preserve">Vienlaikus </w:t>
            </w:r>
            <w:r w:rsidR="00867089">
              <w:t xml:space="preserve">nodokļu maksātājam </w:t>
            </w:r>
            <w:r w:rsidR="00424C01" w:rsidRPr="00424C01">
              <w:t>arī netiek lieg</w:t>
            </w:r>
            <w:r w:rsidR="00AC49EA">
              <w:t>t</w:t>
            </w:r>
            <w:r w:rsidR="00424C01" w:rsidRPr="00424C01">
              <w:t>s</w:t>
            </w:r>
            <w:r w:rsidR="00867089">
              <w:t xml:space="preserve"> nodokļu samaksu</w:t>
            </w:r>
            <w:r w:rsidR="00424C01" w:rsidRPr="00424C01">
              <w:t xml:space="preserve"> </w:t>
            </w:r>
            <w:r w:rsidR="00867089">
              <w:t>veikt</w:t>
            </w:r>
            <w:r w:rsidR="00424C01" w:rsidRPr="00424C01">
              <w:t xml:space="preserve"> vairākos maksājumos līdz noteiktajam termiņam, ja tas būs ērtāk no nodokļu maksātāja finanšu plūsmas organizācijas viedokļa.</w:t>
            </w:r>
          </w:p>
          <w:p w14:paraId="392CBC3C" w14:textId="45E09546" w:rsidR="008C19DF" w:rsidRPr="00BC32B0" w:rsidRDefault="00394F6C" w:rsidP="005F4307">
            <w:pPr>
              <w:ind w:right="142" w:firstLine="283"/>
              <w:jc w:val="both"/>
            </w:pPr>
            <w:r w:rsidRPr="009C3E91">
              <w:t>Attiecībā uz VID muitas iestāžu administrētajiem maksājumiem (ievedmuitas nodoklis, pievienotās vērtības nodoklis, izlaižot preces brīvam apgrozījumam, un</w:t>
            </w:r>
            <w:r>
              <w:t xml:space="preserve"> akcīzes nodoklis (importējot) </w:t>
            </w:r>
            <w:r w:rsidRPr="009C3E91">
              <w:t xml:space="preserve">nodokļu maksāšanas termiņus </w:t>
            </w:r>
            <w:r>
              <w:t>vienādot</w:t>
            </w:r>
            <w:r w:rsidRPr="009C3E91">
              <w:t xml:space="preserve"> nebūs iespējams, jo</w:t>
            </w:r>
            <w:r>
              <w:t xml:space="preserve"> muitas deklarācijā aprēķinātajiem nodokļiem </w:t>
            </w:r>
            <w:r w:rsidRPr="004E666E">
              <w:t>preču muitošanas brīd</w:t>
            </w:r>
            <w:r w:rsidR="00B8035B">
              <w:t>ī</w:t>
            </w:r>
            <w:r w:rsidRPr="004E666E">
              <w:t xml:space="preserve"> jābūt vienlaicīgi samaksātiem un attiecinātiem uz konkrēto muitas deklarāciju (konkrēto </w:t>
            </w:r>
            <w:r w:rsidRPr="00BC32B0">
              <w:t>darījumu)</w:t>
            </w:r>
            <w:r w:rsidR="00307583">
              <w:t>.</w:t>
            </w:r>
            <w:r w:rsidRPr="00BC32B0">
              <w:t xml:space="preserve"> Padomes Regula (ES) 952/2013 ar ko izveido Savienības Muitas kodeksu 195.pants</w:t>
            </w:r>
            <w:r w:rsidR="00F308C8">
              <w:t>)</w:t>
            </w:r>
            <w:r w:rsidRPr="00BC32B0">
              <w:t>.</w:t>
            </w:r>
          </w:p>
          <w:p w14:paraId="27E22E05" w14:textId="33A2E972" w:rsidR="00AC49EA" w:rsidRDefault="00AC49EA" w:rsidP="00BC32B0">
            <w:pPr>
              <w:pStyle w:val="ListParagraph"/>
              <w:tabs>
                <w:tab w:val="left" w:pos="0"/>
              </w:tabs>
              <w:ind w:left="0"/>
              <w:jc w:val="both"/>
            </w:pPr>
            <w:r w:rsidRPr="00BC32B0">
              <w:t>Lai nodrošinātu, ka vienotajā nodokļu kontā saņemto maksājumu ir iespējams attiecināt pret VID administrēto nodokļu maksājumu saistībā</w:t>
            </w:r>
            <w:r w:rsidR="00BC32B0" w:rsidRPr="00BC32B0">
              <w:t>m</w:t>
            </w:r>
            <w:r w:rsidRPr="00BC32B0">
              <w:t xml:space="preserve">, normatīvajos aktos ir jānosaka, ka nodokļu deklarācija ir iesniedzama pirms nodokļa maksāšanas, </w:t>
            </w:r>
            <w:r w:rsidR="00BC32B0" w:rsidRPr="00BC32B0">
              <w:t>tādējādi ir</w:t>
            </w:r>
            <w:r w:rsidRPr="00BC32B0">
              <w:t xml:space="preserve"> uzskaitīta </w:t>
            </w:r>
            <w:r w:rsidR="00BC32B0" w:rsidRPr="00BC32B0">
              <w:t>VID administrēto nodokļu maksājum</w:t>
            </w:r>
            <w:r w:rsidR="0065398C">
              <w:t>u</w:t>
            </w:r>
            <w:r w:rsidR="00BC32B0" w:rsidRPr="00BC32B0">
              <w:t xml:space="preserve"> </w:t>
            </w:r>
            <w:r w:rsidRPr="00BC32B0">
              <w:t>saistība un</w:t>
            </w:r>
            <w:r w:rsidR="00CD270A">
              <w:t xml:space="preserve"> vienotajā nodokļu kontā</w:t>
            </w:r>
            <w:r w:rsidRPr="00BC32B0">
              <w:t xml:space="preserve"> saņemto maksājumu ir iespējams pret to attiecināt. Savukārt situācijā, kad nodokli maksā pirms nodokļu deklarācijas iesniegšanas, vienotajā</w:t>
            </w:r>
            <w:r>
              <w:t xml:space="preserve"> nodokļu kontā var veidoties nodokļa pārmaksa un tā var tikt novirzīta citu nodokļu maksājumu saistību segšanai, ne tā nodokļa maksājuma saistību segšanai, attiecībā uz kuru normatīvais akts paredz nodokli maksāt pirms nodokļu deklarācijas. Tādējādi normatīvajos aktos ir jānosaka, ka nodokļu deklarācija ir iesniedzama pirms nodokļa maksāšanas un attiecībā uz šo likumprojektam papildus sagatavotais Ministru kabineta protokollēmums paredz </w:t>
            </w:r>
            <w:r w:rsidRPr="00154D53">
              <w:t xml:space="preserve">līdz 2018.gada </w:t>
            </w:r>
            <w:r>
              <w:t>1.martam</w:t>
            </w:r>
            <w:r w:rsidRPr="00154D53">
              <w:t xml:space="preserve"> iesniegt Ministru kabinetā normatīvo aktu </w:t>
            </w:r>
            <w:r>
              <w:t>projektus, kas paredz</w:t>
            </w:r>
            <w:r w:rsidRPr="00154D53">
              <w:t>, ka, nodokļu deklarācijas iesniegšanas termiņ</w:t>
            </w:r>
            <w:r w:rsidR="001F21B5">
              <w:t>š</w:t>
            </w:r>
            <w:r w:rsidRPr="00154D53">
              <w:t xml:space="preserve"> nosak</w:t>
            </w:r>
            <w:r w:rsidR="005A28E2">
              <w:t>āms</w:t>
            </w:r>
            <w:r w:rsidRPr="00154D53">
              <w:t xml:space="preserve"> ne mazāk kā trīs dienas pirms nodokļu maksāšanas </w:t>
            </w:r>
            <w:r w:rsidR="00C07DB4">
              <w:t xml:space="preserve">vienotā </w:t>
            </w:r>
            <w:r>
              <w:t xml:space="preserve">gala </w:t>
            </w:r>
            <w:r w:rsidRPr="00154D53">
              <w:t>termiņa</w:t>
            </w:r>
            <w:r>
              <w:t xml:space="preserve"> iestāšanās. Ņemot vērā, ka </w:t>
            </w:r>
            <w:r w:rsidRPr="00154D53">
              <w:t>nodok</w:t>
            </w:r>
            <w:r>
              <w:t xml:space="preserve">ļa maksāšanas termiņš tiek vienādots regulāri maksājamiem </w:t>
            </w:r>
            <w:r w:rsidR="00CD6E60">
              <w:t>VID</w:t>
            </w:r>
            <w:r>
              <w:t xml:space="preserve"> administrētiem nodokļiem</w:t>
            </w:r>
            <w:r w:rsidR="00012460">
              <w:t>,</w:t>
            </w:r>
            <w:r>
              <w:t xml:space="preserve"> </w:t>
            </w:r>
            <w:r w:rsidRPr="00F71CC9">
              <w:t>uzņēmējdarbības riska valsts nodev</w:t>
            </w:r>
            <w:r>
              <w:t>ai</w:t>
            </w:r>
            <w:r w:rsidR="00012460">
              <w:t xml:space="preserve"> un</w:t>
            </w:r>
            <w:r>
              <w:t xml:space="preserve"> </w:t>
            </w:r>
            <w:r w:rsidR="00B00234" w:rsidRPr="005C6C12">
              <w:t>valsts nodev</w:t>
            </w:r>
            <w:r w:rsidR="00B00234">
              <w:t>ai</w:t>
            </w:r>
            <w:r w:rsidR="00B00234" w:rsidRPr="005C6C12">
              <w:t xml:space="preserve"> par numerācijas lietošanas tiesībām</w:t>
            </w:r>
            <w:r w:rsidR="00B00234">
              <w:t xml:space="preserve"> </w:t>
            </w:r>
            <w:r>
              <w:t xml:space="preserve">un tas tiek noteikts vienots - </w:t>
            </w:r>
            <w:r w:rsidRPr="00154D53">
              <w:t>ne vēlāk kā līdz pārskata iesniegšanas mēneša 23.datumam</w:t>
            </w:r>
            <w:r>
              <w:t xml:space="preserve">, tad </w:t>
            </w:r>
            <w:r w:rsidRPr="00154D53">
              <w:t xml:space="preserve">regulāri iesniedzamās nodokļu deklarācijas </w:t>
            </w:r>
            <w:r>
              <w:t>iesniegšanas termiņš nevar pārsniegt pārskata iesniegšanas mēneša 20.datumu.</w:t>
            </w:r>
          </w:p>
          <w:p w14:paraId="2EE6DC1C" w14:textId="77777777" w:rsidR="00CF1AF4" w:rsidRDefault="00CF1AF4" w:rsidP="005F4307">
            <w:pPr>
              <w:ind w:right="142" w:firstLine="283"/>
              <w:jc w:val="both"/>
            </w:pPr>
          </w:p>
          <w:p w14:paraId="043E19C0" w14:textId="0CB7086A" w:rsidR="008C19DF" w:rsidRDefault="008C19DF" w:rsidP="005F4307">
            <w:pPr>
              <w:ind w:right="142" w:firstLine="283"/>
              <w:jc w:val="both"/>
            </w:pPr>
            <w:r>
              <w:lastRenderedPageBreak/>
              <w:t xml:space="preserve">3) </w:t>
            </w:r>
            <w:r w:rsidRPr="00CB473C">
              <w:rPr>
                <w:i/>
                <w:u w:val="single"/>
              </w:rPr>
              <w:t xml:space="preserve">vienotais </w:t>
            </w:r>
            <w:r w:rsidR="00085799" w:rsidRPr="00CB473C">
              <w:rPr>
                <w:i/>
                <w:u w:val="single"/>
              </w:rPr>
              <w:t xml:space="preserve">saņemto maksājumu attiecināšanas pa valsts budžeta ieņēmumiem </w:t>
            </w:r>
            <w:r w:rsidRPr="00CB473C">
              <w:rPr>
                <w:i/>
                <w:u w:val="single"/>
              </w:rPr>
              <w:t>princips</w:t>
            </w:r>
          </w:p>
          <w:p w14:paraId="5D6E86F5" w14:textId="11F2E1DE" w:rsidR="009B31A2" w:rsidRDefault="008C19DF" w:rsidP="005F4307">
            <w:pPr>
              <w:ind w:right="142" w:firstLine="283"/>
              <w:jc w:val="both"/>
            </w:pPr>
            <w:r>
              <w:t xml:space="preserve">Ņemot vērā šobrīd </w:t>
            </w:r>
            <w:r w:rsidR="00867089">
              <w:t xml:space="preserve">noteikto </w:t>
            </w:r>
            <w:r w:rsidR="009B31A2">
              <w:t xml:space="preserve">sistēmu un sadrumstaloto valsts budžeta ieņēmumu kontu skaitu, nodokļu maksātājam, ja nav iespējas samaksāt visus nodokļus, ir </w:t>
            </w:r>
            <w:r>
              <w:t>iespēj</w:t>
            </w:r>
            <w:r w:rsidR="00A87613">
              <w:t>a</w:t>
            </w:r>
            <w:r>
              <w:t xml:space="preserve"> izvēlēties, kuru</w:t>
            </w:r>
            <w:r w:rsidR="009B31A2">
              <w:t>s</w:t>
            </w:r>
            <w:r>
              <w:t xml:space="preserve"> nodok</w:t>
            </w:r>
            <w:r w:rsidR="009B31A2">
              <w:t>ļus</w:t>
            </w:r>
            <w:r>
              <w:t xml:space="preserve"> samaksāt</w:t>
            </w:r>
            <w:r w:rsidR="00085799">
              <w:t xml:space="preserve"> </w:t>
            </w:r>
            <w:r>
              <w:t>vispirms</w:t>
            </w:r>
            <w:r w:rsidR="00085799">
              <w:t xml:space="preserve"> un kurus vēlāk.</w:t>
            </w:r>
            <w:r>
              <w:t xml:space="preserve"> </w:t>
            </w:r>
            <w:r w:rsidR="009B31A2">
              <w:t>N</w:t>
            </w:r>
            <w:r>
              <w:t xml:space="preserve">odokļu maksātāji </w:t>
            </w:r>
            <w:r w:rsidR="009B31A2">
              <w:t>mē</w:t>
            </w:r>
            <w:r w:rsidR="00CD6E60">
              <w:t>d</w:t>
            </w:r>
            <w:r w:rsidR="009B31A2">
              <w:t xml:space="preserve">z izmantot </w:t>
            </w:r>
            <w:r w:rsidR="00085799">
              <w:t>esošo</w:t>
            </w:r>
            <w:r w:rsidR="009B31A2">
              <w:t xml:space="preserve"> sistēmu un veikt, piemēram, akcīzes nodokļa vai muitas iestāžu administrēto </w:t>
            </w:r>
            <w:r w:rsidR="00085799">
              <w:t>nodokļu maksājumus primāri, jo parādi šajos nodokļos var radīt sekas, piemēram, licences anulēšanu, ierobežotas iespējas veikt muitas procedūras. Savukārt attiecībā uz pārējo nodokļu saistību segšanu, ja nodokļu maksātājam ir grūtības veikt visu nodokļu nomaksu, minētās sekas neiestājas</w:t>
            </w:r>
            <w:r w:rsidR="00424C01">
              <w:t>, tādējādi kopējā</w:t>
            </w:r>
            <w:r w:rsidR="00085799">
              <w:t xml:space="preserve"> nodokļu nomaksas disciplīna ir sliktāka. </w:t>
            </w:r>
            <w:r w:rsidR="00B14175">
              <w:t>Ņ</w:t>
            </w:r>
            <w:r w:rsidR="00B14175" w:rsidRPr="00B14175">
              <w:t xml:space="preserve">emot vērā, ka nodokļi </w:t>
            </w:r>
            <w:r w:rsidR="00B8035B">
              <w:t>rada</w:t>
            </w:r>
            <w:r w:rsidR="00B8035B" w:rsidRPr="00B14175">
              <w:t xml:space="preserve"> </w:t>
            </w:r>
            <w:r w:rsidR="00B14175">
              <w:t>nodokļu maksātāja</w:t>
            </w:r>
            <w:r w:rsidR="00B14175" w:rsidRPr="00B14175">
              <w:t xml:space="preserve"> saistības pret valsti, valsts pilnā mērā var prasīt visu saistību izpildi un veikt nodokļu ieņēmumu sadali pa budžeta ieņēmumu veidiem atbilstoši valsts prioritātēm</w:t>
            </w:r>
            <w:r w:rsidR="00B14175">
              <w:t>.</w:t>
            </w:r>
            <w:r w:rsidR="00B14175" w:rsidRPr="00B14175" w:rsidDel="00424C01">
              <w:t xml:space="preserve"> </w:t>
            </w:r>
          </w:p>
          <w:p w14:paraId="743C4549" w14:textId="2C18E240" w:rsidR="008C19DF" w:rsidRPr="008C19DF" w:rsidRDefault="00085799" w:rsidP="005F4307">
            <w:pPr>
              <w:ind w:right="142" w:firstLine="283"/>
              <w:jc w:val="both"/>
            </w:pPr>
            <w:r>
              <w:t xml:space="preserve">Vienotā saņemto maksājumu attiecināšanas pa valsts budžeta ieņēmumiem </w:t>
            </w:r>
            <w:r w:rsidR="0020386A">
              <w:t>principa ieviešana p</w:t>
            </w:r>
            <w:r w:rsidR="0020386A" w:rsidRPr="0020386A">
              <w:t xml:space="preserve">alielinās </w:t>
            </w:r>
            <w:r w:rsidR="0020386A">
              <w:t>nodokļu maksātāju</w:t>
            </w:r>
            <w:r w:rsidR="0020386A" w:rsidRPr="0020386A">
              <w:t xml:space="preserve"> disciplīn</w:t>
            </w:r>
            <w:r w:rsidR="0020386A">
              <w:t>u</w:t>
            </w:r>
            <w:r w:rsidR="0020386A" w:rsidRPr="0020386A">
              <w:t xml:space="preserve">, jo </w:t>
            </w:r>
            <w:r>
              <w:t xml:space="preserve">nodokļu maksātājam </w:t>
            </w:r>
            <w:r w:rsidR="0020386A">
              <w:t>vairs</w:t>
            </w:r>
            <w:r w:rsidR="0020386A" w:rsidRPr="0020386A">
              <w:t xml:space="preserve"> nebūs iespēja pašam izvēlēties pieeju/secību nodokļu nomaksai</w:t>
            </w:r>
            <w:r>
              <w:t xml:space="preserve"> situācijā, kad nav iespējams veikt visu nodokļu nomaksu</w:t>
            </w:r>
            <w:r w:rsidR="00CF1AF4">
              <w:t>,</w:t>
            </w:r>
            <w:r w:rsidR="00424C01" w:rsidRPr="00424C01">
              <w:t xml:space="preserve"> vai </w:t>
            </w:r>
            <w:r w:rsidR="007323CF">
              <w:t>pašam noteikt</w:t>
            </w:r>
            <w:r w:rsidR="00424C01" w:rsidRPr="00424C01">
              <w:t xml:space="preserve"> prioritātes finanšu plūsmas novirzīšanai.</w:t>
            </w:r>
          </w:p>
          <w:p w14:paraId="473AEB05" w14:textId="77777777" w:rsidR="0020386A" w:rsidRDefault="0020386A" w:rsidP="005F4307">
            <w:pPr>
              <w:ind w:right="142" w:firstLine="283"/>
              <w:jc w:val="both"/>
            </w:pPr>
          </w:p>
          <w:p w14:paraId="3A56EF11" w14:textId="2DCFAF95" w:rsidR="00B8641C" w:rsidRDefault="0020386A" w:rsidP="005F4307">
            <w:pPr>
              <w:ind w:right="142" w:firstLine="283"/>
              <w:jc w:val="both"/>
            </w:pPr>
            <w:r>
              <w:t xml:space="preserve">4) </w:t>
            </w:r>
            <w:r w:rsidR="00CD6E60" w:rsidRPr="00CB473C">
              <w:rPr>
                <w:i/>
                <w:u w:val="single"/>
              </w:rPr>
              <w:t>p</w:t>
            </w:r>
            <w:r w:rsidRPr="00CB473C">
              <w:rPr>
                <w:i/>
                <w:u w:val="single"/>
              </w:rPr>
              <w:t>arādu struktūra</w:t>
            </w:r>
            <w:r>
              <w:t xml:space="preserve"> – v</w:t>
            </w:r>
            <w:r w:rsidRPr="0020386A">
              <w:t>alstī</w:t>
            </w:r>
            <w:r>
              <w:t xml:space="preserve"> </w:t>
            </w:r>
            <w:r w:rsidRPr="0020386A">
              <w:t>veido</w:t>
            </w:r>
            <w:r>
              <w:t>sies</w:t>
            </w:r>
            <w:r w:rsidRPr="0020386A">
              <w:t xml:space="preserve"> jaunāka parādu struktūra, jo, pateicoties </w:t>
            </w:r>
            <w:r w:rsidRPr="00085799">
              <w:rPr>
                <w:i/>
              </w:rPr>
              <w:t xml:space="preserve">FIFO </w:t>
            </w:r>
            <w:r w:rsidR="00381412" w:rsidRPr="00085799">
              <w:rPr>
                <w:i/>
              </w:rPr>
              <w:t>metodei</w:t>
            </w:r>
            <w:r w:rsidRPr="0020386A">
              <w:t>, neveidos</w:t>
            </w:r>
            <w:r>
              <w:t>ies</w:t>
            </w:r>
            <w:r w:rsidRPr="0020386A">
              <w:t xml:space="preserve"> nodokļu veidi, kuriem uzkrājušies seni parādi</w:t>
            </w:r>
            <w:r>
              <w:t>.</w:t>
            </w:r>
          </w:p>
          <w:p w14:paraId="03D4DEC7" w14:textId="560D9638" w:rsidR="00584AD7" w:rsidRDefault="00857021" w:rsidP="005F4307">
            <w:pPr>
              <w:ind w:right="142" w:firstLine="283"/>
              <w:jc w:val="both"/>
            </w:pPr>
            <w:r>
              <w:t>Vienotā nodokļu konta r</w:t>
            </w:r>
            <w:r w:rsidR="00584AD7">
              <w:t>isinājuma izstrādes laikā sadarbībā ar</w:t>
            </w:r>
            <w:r w:rsidR="00085799">
              <w:t xml:space="preserve"> Rīgas </w:t>
            </w:r>
            <w:r w:rsidR="00CD6E60">
              <w:t>T</w:t>
            </w:r>
            <w:r w:rsidR="00085799">
              <w:t xml:space="preserve">ehniskās universitātes zinātniekiem un </w:t>
            </w:r>
            <w:r w:rsidR="00085799" w:rsidRPr="00085799">
              <w:t>SIA Ernst &amp; Young Baltic</w:t>
            </w:r>
            <w:r w:rsidR="00584AD7">
              <w:t xml:space="preserve"> veikts izvērtējums, kā mainītos </w:t>
            </w:r>
            <w:r>
              <w:t xml:space="preserve">valsts budžeta ieņēmumu </w:t>
            </w:r>
            <w:r w:rsidR="00584AD7">
              <w:t>struktūra pa nodokļiem, ja 2015.gadā iemaksāto summu sadale notiktu pēc klasiskā</w:t>
            </w:r>
            <w:r w:rsidR="00085799">
              <w:t>s</w:t>
            </w:r>
            <w:r w:rsidR="00584AD7">
              <w:t xml:space="preserve"> </w:t>
            </w:r>
            <w:r w:rsidR="00584AD7" w:rsidRPr="00857021">
              <w:rPr>
                <w:i/>
              </w:rPr>
              <w:t xml:space="preserve">FIFO </w:t>
            </w:r>
            <w:r w:rsidR="00085799" w:rsidRPr="00857021">
              <w:rPr>
                <w:i/>
              </w:rPr>
              <w:t>metodes</w:t>
            </w:r>
            <w:r w:rsidR="00085799">
              <w:t xml:space="preserve"> </w:t>
            </w:r>
            <w:r w:rsidR="00584AD7">
              <w:t xml:space="preserve">un secināts, ka </w:t>
            </w:r>
            <w:r w:rsidR="00085799">
              <w:t xml:space="preserve">iedzīvotāju ienākuma nodoklis </w:t>
            </w:r>
            <w:r w:rsidR="009631EF">
              <w:t>nesamazinātos</w:t>
            </w:r>
            <w:r w:rsidR="00584AD7">
              <w:t xml:space="preserve">, bet </w:t>
            </w:r>
            <w:r w:rsidR="00085799">
              <w:t>valsts sociālās apdrošināšanas obligātās</w:t>
            </w:r>
            <w:r w:rsidR="009631EF">
              <w:t xml:space="preserve"> iemaksas</w:t>
            </w:r>
            <w:r w:rsidR="00085799">
              <w:t xml:space="preserve"> (turpmāk – VSAOI) </w:t>
            </w:r>
            <w:r w:rsidR="009631EF">
              <w:t xml:space="preserve">samazinātos </w:t>
            </w:r>
            <w:r w:rsidR="00584AD7">
              <w:t>par 0,377%.</w:t>
            </w:r>
          </w:p>
          <w:p w14:paraId="18733CEE" w14:textId="64F6F793" w:rsidR="00085799" w:rsidRDefault="00584AD7" w:rsidP="005F4307">
            <w:pPr>
              <w:ind w:right="142" w:firstLine="283"/>
              <w:jc w:val="both"/>
            </w:pPr>
            <w:r>
              <w:t>Izvērtēt</w:t>
            </w:r>
            <w:r w:rsidR="00381412">
              <w:t>a</w:t>
            </w:r>
            <w:r w:rsidR="00F32B9D">
              <w:t>s</w:t>
            </w:r>
            <w:r w:rsidR="00085799">
              <w:t xml:space="preserve"> arī</w:t>
            </w:r>
            <w:r>
              <w:t xml:space="preserve"> </w:t>
            </w:r>
            <w:r w:rsidRPr="00857021">
              <w:rPr>
                <w:i/>
              </w:rPr>
              <w:t xml:space="preserve">FIFO </w:t>
            </w:r>
            <w:r w:rsidR="00381412" w:rsidRPr="00857021">
              <w:rPr>
                <w:i/>
              </w:rPr>
              <w:t>metodes</w:t>
            </w:r>
            <w:r w:rsidR="00085799">
              <w:t xml:space="preserve"> variācijas</w:t>
            </w:r>
            <w:r>
              <w:t xml:space="preserve">, </w:t>
            </w:r>
            <w:r w:rsidR="00F32B9D">
              <w:t xml:space="preserve">kurās </w:t>
            </w:r>
            <w:r>
              <w:t xml:space="preserve">kā pilnīga prioritāte </w:t>
            </w:r>
            <w:r w:rsidR="00085799">
              <w:t>pret citu nodokļu saistībā</w:t>
            </w:r>
            <w:r w:rsidR="009631EF">
              <w:t>m</w:t>
            </w:r>
            <w:r w:rsidR="00085799">
              <w:t xml:space="preserve"> ir </w:t>
            </w:r>
            <w:r>
              <w:t>noteikta</w:t>
            </w:r>
            <w:r w:rsidR="00085799">
              <w:t>s</w:t>
            </w:r>
            <w:r>
              <w:t xml:space="preserve"> VSA</w:t>
            </w:r>
            <w:r w:rsidR="00A87613">
              <w:t>O</w:t>
            </w:r>
            <w:r>
              <w:t>I</w:t>
            </w:r>
            <w:r w:rsidR="009631EF">
              <w:t xml:space="preserve">, </w:t>
            </w:r>
            <w:r w:rsidR="00085799">
              <w:t xml:space="preserve">VSAOI noteikta kā prioritāte, ja vienā dienā </w:t>
            </w:r>
            <w:r w:rsidR="003E38F7">
              <w:t>vairākiem nodokļu maksājumiem iestājas maksāšanas termiņš, kā arī izvērtēta</w:t>
            </w:r>
            <w:r w:rsidR="003E38F7" w:rsidRPr="00735BFD">
              <w:rPr>
                <w:i/>
              </w:rPr>
              <w:t xml:space="preserve"> FIFO metodes</w:t>
            </w:r>
            <w:r w:rsidR="003E38F7">
              <w:t xml:space="preserve"> variācija, ņemot vērā Igaunijas </w:t>
            </w:r>
            <w:r w:rsidR="003E38F7" w:rsidRPr="00CF1AF4">
              <w:rPr>
                <w:i/>
              </w:rPr>
              <w:t>FIFO metodi</w:t>
            </w:r>
            <w:r w:rsidR="003E38F7">
              <w:t xml:space="preserve"> – nodokļu saistības, kurām vienā dienā iestājas maksāšanas termiņš, se</w:t>
            </w:r>
            <w:r w:rsidR="00F32B9D">
              <w:t>dz</w:t>
            </w:r>
            <w:r w:rsidR="003E38F7">
              <w:t xml:space="preserve"> atbilstoši likumā noteiktai secībai.</w:t>
            </w:r>
          </w:p>
          <w:p w14:paraId="63E1947A" w14:textId="1B4FED22" w:rsidR="008E2DEE" w:rsidRDefault="008E2DEE" w:rsidP="005F4307">
            <w:pPr>
              <w:ind w:right="142" w:firstLine="283"/>
              <w:jc w:val="both"/>
            </w:pPr>
            <w:r w:rsidRPr="008E2DEE">
              <w:rPr>
                <w:i/>
              </w:rPr>
              <w:t>FIFO metode</w:t>
            </w:r>
            <w:r>
              <w:rPr>
                <w:i/>
              </w:rPr>
              <w:t>s</w:t>
            </w:r>
            <w:r w:rsidRPr="008E2DEE">
              <w:t xml:space="preserve">, kad VSAOI vienmēr ir prioritārs pret pārējām saistībām, </w:t>
            </w:r>
            <w:r>
              <w:t xml:space="preserve">rezultāti atspoguļo, ka šādā situācijā </w:t>
            </w:r>
            <w:r w:rsidRPr="008E2DEE">
              <w:t>būtiski samazin</w:t>
            </w:r>
            <w:r>
              <w:t>ās</w:t>
            </w:r>
            <w:r w:rsidRPr="008E2DEE">
              <w:t xml:space="preserve"> citu nodokļu ieņēmum</w:t>
            </w:r>
            <w:r>
              <w:t>i</w:t>
            </w:r>
            <w:r w:rsidR="00CE0A25">
              <w:t>,</w:t>
            </w:r>
            <w:r>
              <w:t xml:space="preserve"> līdz ar to ietekme uz citiem valsts budžeta ieņēmumiem ir vislielākā</w:t>
            </w:r>
            <w:r w:rsidR="00493205">
              <w:t>.</w:t>
            </w:r>
          </w:p>
          <w:p w14:paraId="7A8798C3" w14:textId="77777777" w:rsidR="00493205" w:rsidRPr="00493205" w:rsidRDefault="00493205" w:rsidP="00493205">
            <w:pPr>
              <w:ind w:right="142" w:firstLine="283"/>
              <w:jc w:val="both"/>
            </w:pPr>
            <w:r w:rsidRPr="00493205">
              <w:t xml:space="preserve">Minētā izvērtējuma rezultāti atspoguļo, ja maksājumu attiecināšanā pa budžeta ieņēmumu veidiem VSAOI tiktu noteikta kā prioritāte, ievērojami samazinās citu nodokļu veidu ieņēmumi, piemēram, PVN par </w:t>
            </w:r>
            <w:r w:rsidRPr="00493205">
              <w:rPr>
                <w:rFonts w:cs="Arial"/>
                <w:bCs/>
                <w:szCs w:val="16"/>
              </w:rPr>
              <w:t>0.758%, UIN par 0.281%, IIN par 0.767%</w:t>
            </w:r>
            <w:r w:rsidRPr="00493205">
              <w:t xml:space="preserve">. Tādējādi </w:t>
            </w:r>
            <w:r w:rsidRPr="00493205">
              <w:rPr>
                <w:i/>
              </w:rPr>
              <w:t>FIFO metodes</w:t>
            </w:r>
            <w:r w:rsidRPr="00493205">
              <w:t xml:space="preserve">, kad VSAOI vienmēr ir prioritārs pret pārējām saistībām, rezultāti atspoguļo, ka šādā situācijā būtiski </w:t>
            </w:r>
            <w:r w:rsidRPr="00493205">
              <w:lastRenderedPageBreak/>
              <w:t>samazinās citu nodokļu ieņēmumi, līdz ar to ietekme uz citiem valsts budžeta ieņēmumiem ir vislielākā, t.i.,</w:t>
            </w:r>
          </w:p>
          <w:p w14:paraId="3EFC6B33" w14:textId="77777777" w:rsidR="00493205" w:rsidRPr="00493205" w:rsidRDefault="00493205" w:rsidP="00493205">
            <w:pPr>
              <w:ind w:right="142" w:firstLine="283"/>
              <w:jc w:val="both"/>
            </w:pPr>
            <w:r w:rsidRPr="00493205">
              <w:t>- samazinās iekasētais neprioritāro nodokļu veidu ieņēmumu apjoms;</w:t>
            </w:r>
          </w:p>
          <w:p w14:paraId="74A94ED4" w14:textId="77777777" w:rsidR="00493205" w:rsidRPr="00493205" w:rsidRDefault="00493205" w:rsidP="00493205">
            <w:pPr>
              <w:ind w:firstLine="283"/>
              <w:jc w:val="both"/>
            </w:pPr>
            <w:r w:rsidRPr="00493205">
              <w:t>- pastāv risks, ka ilgtermiņā ievērojami palielinās kopējais aprēķinātais nokavējuma naudu apjoms par neprioritāro nodokļu veidu saistību kavētu apmaksu un tas nelabvēlīgi ietekmēs nodokļu maksātājus.</w:t>
            </w:r>
          </w:p>
          <w:p w14:paraId="2EB05B54" w14:textId="1603B28E" w:rsidR="00493205" w:rsidRDefault="00493205" w:rsidP="005F4307">
            <w:pPr>
              <w:ind w:right="142" w:firstLine="283"/>
              <w:jc w:val="both"/>
            </w:pPr>
            <w:r>
              <w:t>Turklāt nosakot, ka kāds nodoklis ir prioritārs pret pārējiem nodokļiem</w:t>
            </w:r>
            <w:r w:rsidR="002B13C4">
              <w:t>,</w:t>
            </w:r>
            <w:r>
              <w:t xml:space="preserve"> radīs situāciju, ka ieņēmumi pārējos nodokļos, kas nav prioritāri</w:t>
            </w:r>
            <w:r w:rsidR="002B13C4">
              <w:t>,</w:t>
            </w:r>
            <w:r>
              <w:t xml:space="preserve"> tiks ieskaitīti tikai tad, kad prioritāri noteiktās saistības būs segtas </w:t>
            </w:r>
            <w:r w:rsidRPr="002B13C4">
              <w:rPr>
                <w:b/>
              </w:rPr>
              <w:t>pilnībā</w:t>
            </w:r>
            <w:r>
              <w:t xml:space="preserve">. Šādā </w:t>
            </w:r>
            <w:r w:rsidR="002B13C4">
              <w:t>gadījumā</w:t>
            </w:r>
            <w:r>
              <w:t xml:space="preserve"> var veidoties situācija, ka nodokļu maksātājam</w:t>
            </w:r>
            <w:r w:rsidR="002B13C4">
              <w:t xml:space="preserve"> uzkrāsies nodokļu parādi citos nodokļu veidos, tiks rēķinātas nokavējuma naudas un</w:t>
            </w:r>
            <w:r>
              <w:t xml:space="preserve"> nebūs iespējams veikt saimniecisko darbību, </w:t>
            </w:r>
            <w:r w:rsidR="002B13C4">
              <w:t>jo</w:t>
            </w:r>
            <w:r w:rsidR="009A7425">
              <w:t>, piemēram,</w:t>
            </w:r>
            <w:r w:rsidR="002B13C4">
              <w:t xml:space="preserve"> netiks pagarināta s</w:t>
            </w:r>
            <w:r w:rsidR="002B13C4" w:rsidRPr="002B13C4">
              <w:t>peciālā</w:t>
            </w:r>
            <w:r w:rsidR="002B13C4">
              <w:t xml:space="preserve"> atļauja (licence</w:t>
            </w:r>
            <w:r w:rsidR="002B13C4" w:rsidRPr="002B13C4">
              <w:t>)</w:t>
            </w:r>
            <w:r>
              <w:t xml:space="preserve"> </w:t>
            </w:r>
            <w:r w:rsidR="002B13C4">
              <w:t>komercdarbības veikšanai akcīzes pre</w:t>
            </w:r>
            <w:r w:rsidR="00E41B7D">
              <w:t>č</w:t>
            </w:r>
            <w:r w:rsidR="002B13C4">
              <w:t xml:space="preserve">u aprites jomā, jo nodokļu maksātājam veidosies akcīzes nodokļa parādi. Vienlaikus nosakot, ka kāds nodoklis ir prioritārs pret pārējiem nodokļiem, </w:t>
            </w:r>
            <w:r w:rsidR="009A7425">
              <w:t xml:space="preserve">tiks </w:t>
            </w:r>
            <w:r w:rsidR="002B13C4">
              <w:t>radī</w:t>
            </w:r>
            <w:r w:rsidR="009A7425">
              <w:t>ta</w:t>
            </w:r>
            <w:r w:rsidR="002B13C4">
              <w:t xml:space="preserve"> situācij</w:t>
            </w:r>
            <w:r w:rsidR="009A7425">
              <w:t>a</w:t>
            </w:r>
            <w:r w:rsidR="002B13C4">
              <w:t>, ka nodokļu maksātājam veidosies senāki par</w:t>
            </w:r>
            <w:r w:rsidR="009A7425">
              <w:t>ādi</w:t>
            </w:r>
            <w:r w:rsidR="00B500A4">
              <w:t xml:space="preserve"> neprioritārajos nodokļu veidos</w:t>
            </w:r>
            <w:r w:rsidR="009A7425">
              <w:t xml:space="preserve"> un arī nodokļu</w:t>
            </w:r>
            <w:r w:rsidR="002B13C4">
              <w:t xml:space="preserve"> </w:t>
            </w:r>
            <w:r w:rsidR="009A7425">
              <w:t>piedziņas darbības pret šiem nodokļu maksātājiem būs aktīvākas, jo piedziņas darbības tiek veiktas, ievērojot normatīvajos aktos noteiktos termiņus un to ietekmē arī parādu veidošanās laiks. Turklāt attiecībā uz jaunākiem nodokļu parādiem nodokļu maksātājam normatīvie akti piedāvā dažādus risinājumus saistību labprātīgai nomaksai, savukārt tādi rīki nepastāv un nav piemērojami seniem nodokļu parādiem.</w:t>
            </w:r>
          </w:p>
          <w:p w14:paraId="6E23FDBB" w14:textId="2F7EEB2E" w:rsidR="009A7425" w:rsidRDefault="009A7425" w:rsidP="005F4307">
            <w:pPr>
              <w:ind w:right="142" w:firstLine="283"/>
              <w:jc w:val="both"/>
            </w:pPr>
            <w:r>
              <w:t xml:space="preserve">Izvēloties risinājumu, kad nodokļu saistības tiek segtas pēc to izveidošanās datuma un nenosakot prioritātes </w:t>
            </w:r>
            <w:r w:rsidRPr="009A7425">
              <w:rPr>
                <w:i/>
              </w:rPr>
              <w:t>(klasiskā FIFO metode)</w:t>
            </w:r>
            <w:r w:rsidR="00B500A4">
              <w:rPr>
                <w:i/>
              </w:rPr>
              <w:t>,</w:t>
            </w:r>
            <w:r>
              <w:t xml:space="preserve"> </w:t>
            </w:r>
            <w:r w:rsidR="00E41B7D">
              <w:t xml:space="preserve">tas </w:t>
            </w:r>
            <w:r>
              <w:t xml:space="preserve">ir svarīgs tieši situācijās, kad nodokļu maksātāji nespēj visas savas saistības segt savlaicīgi un pilnā apmērā, un šādā situācijā </w:t>
            </w:r>
            <w:r w:rsidRPr="009A7425">
              <w:rPr>
                <w:i/>
              </w:rPr>
              <w:t>klasiskā FIFO metode</w:t>
            </w:r>
            <w:r>
              <w:rPr>
                <w:i/>
              </w:rPr>
              <w:t xml:space="preserve"> </w:t>
            </w:r>
            <w:r>
              <w:t>ir labvēlīgāka nodokļu maksātājam un rada iespēju savas saistības nokārtot īsāk</w:t>
            </w:r>
            <w:r w:rsidR="00E41B7D">
              <w:t>ā</w:t>
            </w:r>
            <w:r>
              <w:t xml:space="preserve"> laik</w:t>
            </w:r>
            <w:r w:rsidR="00B500A4">
              <w:t>ā</w:t>
            </w:r>
            <w:r>
              <w:t>, izmantojot normatīvajos aktos paredzētos rīkus saistību labprātīgai nomaksai.</w:t>
            </w:r>
          </w:p>
          <w:p w14:paraId="79E6ACC6" w14:textId="0BE28472" w:rsidR="009A7425" w:rsidRDefault="009A7425" w:rsidP="005F4307">
            <w:pPr>
              <w:ind w:right="142" w:firstLine="283"/>
              <w:jc w:val="both"/>
            </w:pPr>
            <w:r>
              <w:t>Vienlaikus situācijā, kad nodokļu maksātājam</w:t>
            </w:r>
            <w:r w:rsidR="00E41B7D">
              <w:t>, ņemot vērā</w:t>
            </w:r>
            <w:r>
              <w:t xml:space="preserve"> VSAOI prioritāt</w:t>
            </w:r>
            <w:r w:rsidR="00E41B7D">
              <w:t>i,</w:t>
            </w:r>
            <w:r>
              <w:t xml:space="preserve"> veidosies parāds akcīzes nodoklī un </w:t>
            </w:r>
            <w:r w:rsidR="00E41B7D">
              <w:t>tiks</w:t>
            </w:r>
            <w:r w:rsidR="005E5F9E">
              <w:t xml:space="preserve"> zaudēta s</w:t>
            </w:r>
            <w:r w:rsidR="005E5F9E" w:rsidRPr="002B13C4">
              <w:t>peciālā</w:t>
            </w:r>
            <w:r w:rsidR="005E5F9E">
              <w:t xml:space="preserve"> atļauja (licence</w:t>
            </w:r>
            <w:r w:rsidR="005E5F9E" w:rsidRPr="002B13C4">
              <w:t>)</w:t>
            </w:r>
            <w:r w:rsidR="005E5F9E">
              <w:t xml:space="preserve"> komercdarbības veikšanai akcīzes pre</w:t>
            </w:r>
            <w:r w:rsidR="00CE0A25">
              <w:t>č</w:t>
            </w:r>
            <w:r w:rsidR="005E5F9E">
              <w:t>u aprites jomā (t.i., zaudēt</w:t>
            </w:r>
            <w:r w:rsidR="00B500A4">
              <w:t>a</w:t>
            </w:r>
            <w:r w:rsidR="005E5F9E">
              <w:t xml:space="preserve"> iespēj</w:t>
            </w:r>
            <w:r w:rsidR="00B500A4">
              <w:t>a</w:t>
            </w:r>
            <w:r w:rsidR="005E5F9E">
              <w:t xml:space="preserve"> veikt saimniecisko darbību), </w:t>
            </w:r>
            <w:r w:rsidR="00E41B7D">
              <w:t>tas</w:t>
            </w:r>
            <w:r w:rsidR="005E5F9E">
              <w:t xml:space="preserve"> var izvēlēties daļu sava biznesa pārnest “pelēkajā zonā” un neuzrādīt darbiniekiem aprēķinātās algas pilnā apmērā, bet daļu izmaksāt “aploksnē”. Līdz ar to viena nodokļa noteikšana kā prioritāte attiecībā pret citu nodokļu saistībām nevar tikt atbalstīta.</w:t>
            </w:r>
          </w:p>
          <w:p w14:paraId="0301AD24" w14:textId="031EA09A" w:rsidR="00B500A4" w:rsidRDefault="00B500A4" w:rsidP="005F4307">
            <w:pPr>
              <w:ind w:right="142" w:firstLine="283"/>
              <w:jc w:val="both"/>
            </w:pPr>
            <w:r>
              <w:t>Saistībā ar sociālo pakalpojumu nodrošināšanu darba ņēmējiem norādām, ka f</w:t>
            </w:r>
            <w:r w:rsidRPr="00D53EDA">
              <w:t>aktisko VSAOI princips ir ieviests tikai ilgtermiņa sociālajiem pakalpojumiem - pensiju apdrošināšanā, kas dod iespēju personai savlaicīgi sekot līdzi VSAOI nomaksai tāpat kā līdz šim</w:t>
            </w:r>
            <w:r>
              <w:t>. Turklāt arī līdz šim personai bija jāseko līdzi VSAOI nomaksai, jo tas, ka darba devējs ieturēja VSAOI no darba ņēmēja, nebūt nenozīmēja, ka VSAOI tika iemaksāts arī budžetā</w:t>
            </w:r>
            <w:r w:rsidR="00691C43">
              <w:t xml:space="preserve"> un netika izmantos citu nodokļu saistību segšanai</w:t>
            </w:r>
            <w:r>
              <w:t>, to apliecina arī nodokļu parādi VSAOI – ievērojot VID sagatavoto informāciju “</w:t>
            </w:r>
            <w:r w:rsidRPr="00B500A4">
              <w:t>Ziņas par nodokļu parādu struktūru uz 2017.gada 1.augustu</w:t>
            </w:r>
            <w:r>
              <w:t>”</w:t>
            </w:r>
            <w:r w:rsidR="00691C43">
              <w:t>,</w:t>
            </w:r>
            <w:r>
              <w:t xml:space="preserve"> </w:t>
            </w:r>
            <w:r w:rsidR="00691C43">
              <w:t>s</w:t>
            </w:r>
            <w:r w:rsidR="00691C43" w:rsidRPr="00B500A4">
              <w:t xml:space="preserve">askaņā ar </w:t>
            </w:r>
            <w:r w:rsidR="00691C43" w:rsidRPr="00B500A4">
              <w:lastRenderedPageBreak/>
              <w:t>normatīvajiem aktiem piedzenam</w:t>
            </w:r>
            <w:r w:rsidR="00691C43">
              <w:t xml:space="preserve">o </w:t>
            </w:r>
            <w:r>
              <w:t>VSAOI parāds sastāda 118 285 </w:t>
            </w:r>
            <w:r w:rsidRPr="00B500A4">
              <w:t>26</w:t>
            </w:r>
            <w:r>
              <w:t xml:space="preserve">0 </w:t>
            </w:r>
            <w:r w:rsidRPr="00B500A4">
              <w:rPr>
                <w:i/>
              </w:rPr>
              <w:t>euro</w:t>
            </w:r>
            <w:r w:rsidR="00691C43">
              <w:t xml:space="preserve">. </w:t>
            </w:r>
            <w:r w:rsidR="00691C43">
              <w:rPr>
                <w:rStyle w:val="FootnoteReference"/>
              </w:rPr>
              <w:footnoteReference w:id="1"/>
            </w:r>
          </w:p>
          <w:p w14:paraId="7BDD0A5E" w14:textId="47225EDA" w:rsidR="008E2DEE" w:rsidRDefault="008E2DEE" w:rsidP="005F4307">
            <w:pPr>
              <w:ind w:right="142" w:firstLine="283"/>
              <w:jc w:val="both"/>
            </w:pPr>
            <w:r w:rsidRPr="008E2DEE">
              <w:t>Savukārt, ja netiek noteikta ieņēmumu attiecināšanas secība visām saistībām, kuru izpildes termiņš iestājas vienas dienas ietvaros, saistības, izņemot par prioritāti noteiktās, se</w:t>
            </w:r>
            <w:r w:rsidR="00F32B9D">
              <w:t>dz</w:t>
            </w:r>
            <w:r w:rsidRPr="008E2DEE">
              <w:t xml:space="preserve"> maksājumu operāciju secībā (gadījuma faktors).</w:t>
            </w:r>
          </w:p>
          <w:p w14:paraId="1A913CCA" w14:textId="430F62F5" w:rsidR="008E2DEE" w:rsidRDefault="008E2DEE" w:rsidP="005F4307">
            <w:pPr>
              <w:ind w:right="142" w:firstLine="283"/>
              <w:jc w:val="both"/>
            </w:pPr>
            <w:r>
              <w:t>Ņemot vērā minēto izvērtējumu</w:t>
            </w:r>
            <w:r w:rsidR="00CE0A25">
              <w:t>,</w:t>
            </w:r>
            <w:r>
              <w:t xml:space="preserve"> </w:t>
            </w:r>
            <w:r w:rsidR="00F32B9D">
              <w:t>secināms</w:t>
            </w:r>
            <w:r>
              <w:t>, ka maksājumi, k</w:t>
            </w:r>
            <w:r w:rsidR="00F32B9D">
              <w:t>urus</w:t>
            </w:r>
            <w:r>
              <w:t xml:space="preserve"> </w:t>
            </w:r>
            <w:r w:rsidR="00F32B9D">
              <w:t xml:space="preserve"> ieskaita </w:t>
            </w:r>
            <w:r w:rsidR="00F01391">
              <w:t>v</w:t>
            </w:r>
            <w:r>
              <w:t>ienot</w:t>
            </w:r>
            <w:r w:rsidR="00F01391">
              <w:t>aj</w:t>
            </w:r>
            <w:r>
              <w:t xml:space="preserve">ā nodokļu </w:t>
            </w:r>
            <w:r w:rsidR="009631EF">
              <w:t>kontā</w:t>
            </w:r>
            <w:r w:rsidR="00CE0A25">
              <w:t>,</w:t>
            </w:r>
            <w:r>
              <w:t xml:space="preserve"> pa valsts budžeta ieņēmumu veidiem attiecināmi, izmantojot klasisko </w:t>
            </w:r>
            <w:r w:rsidRPr="008E2DEE">
              <w:rPr>
                <w:i/>
              </w:rPr>
              <w:t xml:space="preserve">FIFO </w:t>
            </w:r>
            <w:r w:rsidR="00DA42C3">
              <w:rPr>
                <w:i/>
              </w:rPr>
              <w:t>metodi</w:t>
            </w:r>
            <w:r w:rsidR="00DA42C3" w:rsidRPr="00DA42C3">
              <w:t xml:space="preserve"> (</w:t>
            </w:r>
            <w:r w:rsidR="00CF1AF4">
              <w:t>v</w:t>
            </w:r>
            <w:r w:rsidR="00CF1AF4" w:rsidRPr="00394ADA">
              <w:t xml:space="preserve">ienotajā nodokļu kontā saņemtie maksājumi, izņemot Ministru kabineta noteiktos gadījumus, tiek novirzīti </w:t>
            </w:r>
            <w:r w:rsidR="00CF1AF4">
              <w:t>VID administrēto nodokļu</w:t>
            </w:r>
            <w:r w:rsidR="00CF1AF4" w:rsidRPr="00394ADA">
              <w:t xml:space="preserve"> maksājumu</w:t>
            </w:r>
            <w:r w:rsidR="00CF1AF4">
              <w:t xml:space="preserve"> saistību </w:t>
            </w:r>
            <w:r w:rsidR="00CF1AF4" w:rsidRPr="00394ADA">
              <w:t>segšanai to maksājuma termiņa iestāšanās dienā atbilstoši nodokļu deklarācijas iesniegšanas termiņam vai atbilstoši maksājuma termiņam, ja valsts budžeta maksājums noteikts ar citu dokumentu, kas nav nodokļu deklarācija</w:t>
            </w:r>
            <w:r w:rsidR="00CF1AF4">
              <w:t>)</w:t>
            </w:r>
            <w:r w:rsidR="00CF1AF4" w:rsidRPr="00394ADA">
              <w:t>.</w:t>
            </w:r>
            <w:r w:rsidR="00CF1AF4">
              <w:t xml:space="preserve"> S</w:t>
            </w:r>
            <w:r>
              <w:t xml:space="preserve">avukārt Ministru kabinetam jānosaka kārtība, kādā secībā </w:t>
            </w:r>
            <w:r w:rsidR="00F32B9D">
              <w:t xml:space="preserve">paredzēts </w:t>
            </w:r>
            <w:r>
              <w:t xml:space="preserve">segt nodokļu saistības, kurām saistību izpildes termiņš </w:t>
            </w:r>
            <w:r w:rsidR="00CF1AF4">
              <w:t xml:space="preserve">un nodokļu deklarācijas iesniegšanas termiņš </w:t>
            </w:r>
            <w:r>
              <w:t xml:space="preserve">iestājas vienā dienā. Izvērtējot </w:t>
            </w:r>
            <w:r w:rsidRPr="00735BFD">
              <w:rPr>
                <w:i/>
              </w:rPr>
              <w:t>FIFO metodes</w:t>
            </w:r>
            <w:r>
              <w:rPr>
                <w:i/>
              </w:rPr>
              <w:t xml:space="preserve"> </w:t>
            </w:r>
            <w:r w:rsidRPr="008E2DEE">
              <w:t xml:space="preserve">variāciju ietekmi, </w:t>
            </w:r>
            <w:r>
              <w:t xml:space="preserve">secināts, ja ir vairākas saistības ar vienādu maksāšanas termiņu (mēneša ietvaros), tad nosakot kārtību, kādā </w:t>
            </w:r>
            <w:r w:rsidR="00F32B9D">
              <w:t xml:space="preserve">paredzēts </w:t>
            </w:r>
            <w:r>
              <w:t>segt nodokļu saistības, kurām saistību izpild</w:t>
            </w:r>
            <w:r w:rsidR="009D7EF6">
              <w:t>es termiņš iestājas vienā dienā</w:t>
            </w:r>
            <w:r w:rsidR="00DA42C3">
              <w:t>,</w:t>
            </w:r>
            <w:r w:rsidR="009D7EF6">
              <w:t xml:space="preserve"> </w:t>
            </w:r>
            <w:r>
              <w:t xml:space="preserve">kā prioritāte </w:t>
            </w:r>
            <w:r w:rsidR="009D7EF6">
              <w:t>ir nosakāma VSAOI</w:t>
            </w:r>
            <w:r w:rsidR="00DA42C3">
              <w:t xml:space="preserve"> segšana </w:t>
            </w:r>
            <w:r w:rsidR="00DA42C3" w:rsidRPr="001C06FD">
              <w:t>(</w:t>
            </w:r>
            <w:r w:rsidR="00DA42C3" w:rsidRPr="00C03CE7">
              <w:t>Igaunijas</w:t>
            </w:r>
            <w:r w:rsidR="00DA42C3" w:rsidRPr="00DA42C3">
              <w:rPr>
                <w:i/>
              </w:rPr>
              <w:t xml:space="preserve"> </w:t>
            </w:r>
            <w:r w:rsidR="00C03CE7" w:rsidRPr="00C03CE7">
              <w:t>vienotā nodokļu konta modelis</w:t>
            </w:r>
            <w:r w:rsidR="00DA42C3" w:rsidRPr="001C06FD">
              <w:t>)</w:t>
            </w:r>
            <w:r w:rsidR="009D7EF6" w:rsidRPr="001C06FD">
              <w:t>.</w:t>
            </w:r>
          </w:p>
          <w:p w14:paraId="6ED541F5" w14:textId="77777777" w:rsidR="00A11C25" w:rsidRDefault="00A11C25" w:rsidP="00A11C25">
            <w:pPr>
              <w:ind w:right="142" w:firstLine="283"/>
              <w:jc w:val="both"/>
            </w:pPr>
            <w:r>
              <w:t>Šobrīd gadskārtējā valsts budžeta likumā tiek paredzēts, ka pašvaldībām iedzīvotāju ienākuma nodokļa neizpilde par iepriekšējo mēnesi tiek kompensēta, ja tiek konstatēta iedzīvotāju ienākuma nodokļa ieņēmumu neizpilde (no gada sākuma) salīdzinājumā ar prognozēto atbilstoši noteiktajam procentuālajam sadalījumam (viena trešā daļa no ceturkšņa prognozes). Ja pašvaldībām tiek izmaksāta kompensācija, bet turpmākajā periodā prognoze tiek pārpildīta, Finanšu ministrijai ir tiesības no pārpildes ieturēt izmaksāto kompensāciju un pārskaitīt to valsts budžetā.</w:t>
            </w:r>
          </w:p>
          <w:p w14:paraId="7DFC8996" w14:textId="535C3FC2" w:rsidR="00A11C25" w:rsidRDefault="00A11C25" w:rsidP="00A11C25">
            <w:pPr>
              <w:ind w:right="142" w:firstLine="283"/>
              <w:jc w:val="both"/>
            </w:pPr>
            <w:r>
              <w:t>Ņemot vērā likumprojektā paredzēto, ka tiek ieviests vienotais nodokļu konts, kā arī plānotas izmaiņas iedzīvotāju ienākumu nodokļa maksāšanas kārtībā, Finanšu ministrija, sagatavojot likumprojektu “Par valsts budžetu 2021. gadam”, paredzēs kompensācijas mehānismu pašvaldībām iedzīvotāju ienākumu nodokļa ieņēmumu neizpildes gadījumā vienu reizi nedēļā mēneša ietvaros (no gada sākuma), lai vienotā nodokļu konta ieviešanas gadā, pārejas periodā no 2021.gada 1.janvāra līdz 2021.gada 31.martam, nodrošinātu vienmērīgu iedzīvotāju ienākuma nodokļa ieņēmumu plūsmu pašvaldību budžetos.</w:t>
            </w:r>
          </w:p>
          <w:p w14:paraId="158A25CE" w14:textId="1DDACC8E" w:rsidR="00154DBA" w:rsidRDefault="006340A7" w:rsidP="005F4307">
            <w:pPr>
              <w:ind w:right="142" w:firstLine="283"/>
              <w:jc w:val="both"/>
            </w:pPr>
            <w:r>
              <w:t>Vienotā nodokļu konta r</w:t>
            </w:r>
            <w:r w:rsidR="00A718AD">
              <w:t>i</w:t>
            </w:r>
            <w:r>
              <w:t>sinājuma</w:t>
            </w:r>
            <w:r w:rsidR="00A718AD">
              <w:t xml:space="preserve"> izstrādes laikā, konstatētas problēmas saistībā ar </w:t>
            </w:r>
            <w:r w:rsidR="00F01391">
              <w:t>vienotā nodokļu konta</w:t>
            </w:r>
            <w:r>
              <w:t xml:space="preserve"> </w:t>
            </w:r>
            <w:r w:rsidR="00A718AD">
              <w:t>risinājuma ieviešanas tehnisko pusi, jo pašlaik</w:t>
            </w:r>
            <w:r w:rsidR="002D4C32" w:rsidRPr="002D4C32">
              <w:t xml:space="preserve"> VID muitas iestāžu administrēt</w:t>
            </w:r>
            <w:r w:rsidR="00F32B9D">
              <w:t>os</w:t>
            </w:r>
            <w:r w:rsidR="002D4C32" w:rsidRPr="002D4C32">
              <w:t xml:space="preserve"> maksājum</w:t>
            </w:r>
            <w:r w:rsidR="00F32B9D">
              <w:t>us</w:t>
            </w:r>
            <w:r w:rsidR="00A718AD">
              <w:t xml:space="preserve"> </w:t>
            </w:r>
            <w:r w:rsidR="00CB2849">
              <w:t xml:space="preserve">uzskaita </w:t>
            </w:r>
            <w:r w:rsidR="00A718AD">
              <w:t xml:space="preserve">VID </w:t>
            </w:r>
            <w:r>
              <w:t xml:space="preserve">Centrālajā muitas informācijas </w:t>
            </w:r>
            <w:r w:rsidR="00A718AD">
              <w:t>sistēmā</w:t>
            </w:r>
            <w:r>
              <w:t xml:space="preserve">. Attiecībā uz muitas nodokli un VID muitas iestāžu administrētajiem maksājumiem “vienotā nodokļu konta” </w:t>
            </w:r>
            <w:r w:rsidR="00CB2849">
              <w:t xml:space="preserve">risinājumu paredzēts </w:t>
            </w:r>
            <w:r>
              <w:t>piemērot</w:t>
            </w:r>
            <w:r w:rsidR="00CB2849">
              <w:t xml:space="preserve"> </w:t>
            </w:r>
            <w:r>
              <w:t>ar brīdi, kad MAIS integrē</w:t>
            </w:r>
            <w:r w:rsidR="00CB2849">
              <w:t>s</w:t>
            </w:r>
            <w:r>
              <w:t xml:space="preserve"> Centrāl</w:t>
            </w:r>
            <w:r w:rsidR="00B8035B">
              <w:t>o</w:t>
            </w:r>
            <w:r>
              <w:t xml:space="preserve"> muitas informācijas </w:t>
            </w:r>
            <w:r w:rsidR="00CB2849">
              <w:t xml:space="preserve">sistēmu </w:t>
            </w:r>
            <w:r>
              <w:t xml:space="preserve">un </w:t>
            </w:r>
            <w:r w:rsidR="00CB2849">
              <w:t>M</w:t>
            </w:r>
            <w:r>
              <w:t xml:space="preserve">AIS </w:t>
            </w:r>
            <w:r w:rsidR="00CB2849">
              <w:t xml:space="preserve">nodrošinās </w:t>
            </w:r>
            <w:r>
              <w:t xml:space="preserve">arī VID muitas </w:t>
            </w:r>
            <w:r>
              <w:lastRenderedPageBreak/>
              <w:t xml:space="preserve">iestāžu </w:t>
            </w:r>
            <w:r w:rsidR="002D4C32">
              <w:t xml:space="preserve">administrēto </w:t>
            </w:r>
            <w:r>
              <w:t xml:space="preserve">maksājumu </w:t>
            </w:r>
            <w:r w:rsidR="00CB2849">
              <w:t>uzskaiti</w:t>
            </w:r>
            <w:r w:rsidR="005F4307">
              <w:t>.</w:t>
            </w:r>
          </w:p>
          <w:p w14:paraId="230B8886" w14:textId="713DC5EA" w:rsidR="00555533" w:rsidRPr="00350958" w:rsidRDefault="005624B2" w:rsidP="00853BA4">
            <w:pPr>
              <w:ind w:right="142" w:firstLine="283"/>
              <w:jc w:val="both"/>
            </w:pPr>
            <w:r w:rsidRPr="00350958">
              <w:t>Ar vienotā nodokļu konta ieviešanu nav paredzēts mainīt normatīvajos noteikto kārtību attiecībā uz to, kā VSAOI tiek ieskaitītas speciālo budžetu kontos. Vienlaikus ar vienotā nodokļa konta ieviešanu nav paredzēts mainīt dabas resursa nodokļa sadali starp valsts pamatbudžetu un pašvaldību budžetu, minēto procesu tāpat kā līdz šim, ievērojot normatīvos aktus, veiks VID, nodrošinot arī informācijas sagatavošanu par dabas resursu nodokļa ieņēmumiem</w:t>
            </w:r>
            <w:r w:rsidR="00555533" w:rsidRPr="00350958">
              <w:t xml:space="preserve">. </w:t>
            </w:r>
          </w:p>
          <w:p w14:paraId="4420F196" w14:textId="3256ECB9" w:rsidR="005F4307" w:rsidRDefault="005F4307" w:rsidP="00F01391">
            <w:pPr>
              <w:ind w:firstLine="283"/>
              <w:jc w:val="both"/>
            </w:pPr>
            <w:r>
              <w:t>Likumprojektā ir noteikta vienotā nodokļ</w:t>
            </w:r>
            <w:r w:rsidR="00CD6E60">
              <w:t>u</w:t>
            </w:r>
            <w:r>
              <w:t xml:space="preserve"> konta definīcija, kā arī, lai nodrošinātu, ka regulējums ir skaidrs, likumprojektā ir uzskaitīti tie nodokļi, nodevas, citi valsts noteiktie maksājumi, kurus administrē VID un kas iemaksājami vienotajā nodokļu kontā.</w:t>
            </w:r>
          </w:p>
          <w:p w14:paraId="76974E03" w14:textId="2CFE174F" w:rsidR="00DF2B37" w:rsidRPr="00DF2B37" w:rsidRDefault="005F4307" w:rsidP="006A75EF">
            <w:pPr>
              <w:ind w:firstLine="283"/>
              <w:jc w:val="both"/>
            </w:pPr>
            <w:r>
              <w:t xml:space="preserve">Tāpat likumprojekts paredz precizēt regulējumu </w:t>
            </w:r>
            <w:r w:rsidR="00DF2B37">
              <w:t>attiecībā uz</w:t>
            </w:r>
            <w:r>
              <w:t xml:space="preserve"> to, kad valsts budžeta maksājums uzskatāms par saņemtu valsts budžetā, </w:t>
            </w:r>
            <w:r w:rsidR="00DF2B37">
              <w:t xml:space="preserve">nosakot, ka valsts budžeta maksājumu </w:t>
            </w:r>
            <w:r w:rsidR="00DF2B37" w:rsidRPr="00DF2B37">
              <w:t xml:space="preserve">atzīst par saņemtu valsts budžetā atbilstoši normatīvajiem aktiem, kas nosaka kārtību, kā veicami maksājumi valsts budžetā un tie atzīstami par saņemtiem. </w:t>
            </w:r>
          </w:p>
          <w:p w14:paraId="541DA299" w14:textId="77777777" w:rsidR="00DF2B37" w:rsidRDefault="00DF2B37" w:rsidP="00DF2B37">
            <w:pPr>
              <w:ind w:right="142" w:firstLine="283"/>
              <w:jc w:val="both"/>
            </w:pPr>
            <w:r>
              <w:t>Likumprojekts paredz deleģējumu Ministru kabinetam noteikt:</w:t>
            </w:r>
          </w:p>
          <w:p w14:paraId="62916839" w14:textId="1F577FA1" w:rsidR="00DF2B37" w:rsidRDefault="00DF2B37" w:rsidP="00DF2B37">
            <w:pPr>
              <w:ind w:right="142" w:firstLine="283"/>
              <w:jc w:val="both"/>
            </w:pPr>
            <w:r>
              <w:t xml:space="preserve">- izņēmuma gadījumus </w:t>
            </w:r>
            <w:r w:rsidR="00AA7125">
              <w:t xml:space="preserve">no likumprojektā noteiktās vispārējās </w:t>
            </w:r>
            <w:r>
              <w:t>kārtība</w:t>
            </w:r>
            <w:r w:rsidR="00AA7125">
              <w:t>s</w:t>
            </w:r>
            <w:r>
              <w:t>, kādā vienotajā nodokļu kontā saņemtie maksājumi tiek novirzīti nodokļu</w:t>
            </w:r>
            <w:r w:rsidR="00AA7125">
              <w:t xml:space="preserve"> maksājumu saistību segšanai;</w:t>
            </w:r>
          </w:p>
          <w:p w14:paraId="087DB9B2" w14:textId="4BC440A9" w:rsidR="00AA7125" w:rsidRDefault="00DF2B37" w:rsidP="00DF2B37">
            <w:pPr>
              <w:ind w:right="142" w:firstLine="283"/>
              <w:jc w:val="both"/>
            </w:pPr>
            <w:r>
              <w:t xml:space="preserve">- kārtību, kādā VID administrē nodokļu maksātāja vienotajā nodokļu kontā ieskaitītos maksājumus, kārtību, kādā tos novirza konkrēta nodokļa, nodevas, citu valsts noteikto maksājumu vai ar tiem saistīto maksājumu saistību segšanai, un vienotajā nodokļu kontā saņemto </w:t>
            </w:r>
            <w:r w:rsidR="00AA7125">
              <w:t>maksājumu ieskaitīšanas kārtību;</w:t>
            </w:r>
          </w:p>
          <w:p w14:paraId="443BED0F" w14:textId="77777777" w:rsidR="00DF2B37" w:rsidRDefault="00AA7125" w:rsidP="00AA7125">
            <w:pPr>
              <w:ind w:right="142" w:firstLine="283"/>
              <w:jc w:val="both"/>
            </w:pPr>
            <w:r>
              <w:t>- </w:t>
            </w:r>
            <w:r w:rsidR="00DF2B37">
              <w:t>no</w:t>
            </w:r>
            <w:r>
              <w:t>teikt</w:t>
            </w:r>
            <w:r w:rsidR="00DF2B37">
              <w:t xml:space="preserve"> kārtību, kādā saskaņā ar nodokļu likumiem tiek ieskaitīti budžetā kārtējie nodokļu maksājumi un nokavētie nodokļu maksājumi, kas nav maksājami vienotajā nodokļu kontā</w:t>
            </w:r>
            <w:r>
              <w:t>.</w:t>
            </w:r>
          </w:p>
          <w:p w14:paraId="1FA45E23" w14:textId="60F51EEE" w:rsidR="008A0EB0" w:rsidRDefault="008A0EB0" w:rsidP="008A0EB0">
            <w:pPr>
              <w:ind w:firstLine="283"/>
              <w:jc w:val="both"/>
            </w:pPr>
            <w:r>
              <w:t>Likumprojekts stājas spēkā 2018.gada 1.janvārī, paredzot pārejas posmu vienotā nodokļu konta ieviešanai ar 2021.gada 1.janvāri.</w:t>
            </w:r>
          </w:p>
          <w:p w14:paraId="2A7FDF5A" w14:textId="42F169DD" w:rsidR="00A80AB2" w:rsidRPr="00660A92" w:rsidRDefault="00A80AB2" w:rsidP="00A80AB2">
            <w:pPr>
              <w:ind w:firstLine="283"/>
              <w:jc w:val="both"/>
              <w:rPr>
                <w:color w:val="000000"/>
              </w:rPr>
            </w:pPr>
            <w:r w:rsidRPr="00327B1D">
              <w:t xml:space="preserve">Likumprojekts </w:t>
            </w:r>
            <w:r>
              <w:t>paredz ieviest vienoto nodokļu kontu</w:t>
            </w:r>
            <w:r w:rsidRPr="00327B1D">
              <w:t xml:space="preserve"> ar 2021.gada 1.janvāri, t.i., ar 2021.gada 1.janvāri </w:t>
            </w:r>
            <w:r>
              <w:t>VID administrētos nodokļu maksājumus būs iespējams veikt vienotajā nodokļu kontā</w:t>
            </w:r>
            <w:r w:rsidRPr="00327B1D">
              <w:t xml:space="preserve">. Ņemot vērā minēto, VID savlaicīgi jāveic sagatavošanās darbi, tai skaitā jānodrošina informācijas sistēmas atbalsts </w:t>
            </w:r>
            <w:r>
              <w:t>vienotā nodokļ</w:t>
            </w:r>
            <w:r w:rsidR="00CD6E60">
              <w:t>u</w:t>
            </w:r>
            <w:r>
              <w:t xml:space="preserve"> konta ieviešanai</w:t>
            </w:r>
            <w:r w:rsidRPr="00327B1D">
              <w:t xml:space="preserve"> (t.i., jānodrošina maksājumu administrēšanas informācijas sistēma</w:t>
            </w:r>
            <w:r>
              <w:t xml:space="preserve">s (turpmāk – MAIS) izstrāde), jo esošajā VID informācijas sistēmā vienotā nodokļu konta risinājumu nav iespējams ieviest. </w:t>
            </w:r>
            <w:r w:rsidRPr="00660A92">
              <w:rPr>
                <w:color w:val="000000"/>
              </w:rPr>
              <w:t xml:space="preserve">Ņemot vērā minēto, normatīvajos aktos jānosaka, ka nodokļu maksātājs </w:t>
            </w:r>
            <w:r w:rsidRPr="00A80AB2">
              <w:rPr>
                <w:color w:val="000000"/>
              </w:rPr>
              <w:t>veic VID administrēto nodokļu maksājumu iemaksu vienotajā nodokļu kontā, kā arī jānosaka kārtība, kādā saņemtie maksājumi tiek novirzīti</w:t>
            </w:r>
            <w:r w:rsidRPr="00660A92">
              <w:rPr>
                <w:color w:val="000000"/>
              </w:rPr>
              <w:t xml:space="preserve"> nodokļu saistību segšanai. </w:t>
            </w:r>
          </w:p>
          <w:p w14:paraId="16EE44C9" w14:textId="6C6BFFE7" w:rsidR="00A80AB2" w:rsidRDefault="00A80AB2" w:rsidP="00A80AB2">
            <w:pPr>
              <w:pStyle w:val="CommentText"/>
              <w:ind w:firstLine="360"/>
              <w:jc w:val="both"/>
              <w:rPr>
                <w:sz w:val="24"/>
                <w:szCs w:val="24"/>
              </w:rPr>
            </w:pPr>
            <w:r w:rsidRPr="008F0ABE">
              <w:rPr>
                <w:sz w:val="24"/>
                <w:szCs w:val="24"/>
              </w:rPr>
              <w:t xml:space="preserve">Normatīvais regulējums ir pamats MAIS prasību detalizēšanai un tikai pēc normatīvā regulējuma izstrādes iespējams uzsākt MAIS izstrādi, savukārt MAIS ir jābūt izstrādātai </w:t>
            </w:r>
            <w:r w:rsidR="00B8035B">
              <w:rPr>
                <w:sz w:val="24"/>
                <w:szCs w:val="24"/>
              </w:rPr>
              <w:t xml:space="preserve">un ieviestai </w:t>
            </w:r>
            <w:r w:rsidRPr="008F0ABE">
              <w:rPr>
                <w:sz w:val="24"/>
                <w:szCs w:val="24"/>
              </w:rPr>
              <w:t xml:space="preserve">līdz 2020.gada 31.decembrim, lai no 2021.gada 1.janvāra </w:t>
            </w:r>
            <w:r>
              <w:rPr>
                <w:sz w:val="24"/>
                <w:szCs w:val="24"/>
              </w:rPr>
              <w:t xml:space="preserve">nodokļu maksātājam būtu iespējams </w:t>
            </w:r>
            <w:r w:rsidRPr="00A80AB2">
              <w:rPr>
                <w:sz w:val="24"/>
                <w:szCs w:val="24"/>
              </w:rPr>
              <w:t xml:space="preserve">VID administrētos nodokļu maksājumus </w:t>
            </w:r>
            <w:r>
              <w:rPr>
                <w:sz w:val="24"/>
                <w:szCs w:val="24"/>
              </w:rPr>
              <w:t>maksāt</w:t>
            </w:r>
            <w:r w:rsidRPr="00A80AB2">
              <w:rPr>
                <w:sz w:val="24"/>
                <w:szCs w:val="24"/>
              </w:rPr>
              <w:t xml:space="preserve"> vienotajā nodokļu kontā</w:t>
            </w:r>
            <w:r>
              <w:rPr>
                <w:sz w:val="24"/>
                <w:szCs w:val="24"/>
              </w:rPr>
              <w:t>.</w:t>
            </w:r>
          </w:p>
          <w:p w14:paraId="2DF7F508" w14:textId="2B93B61E" w:rsidR="00AF1651" w:rsidRPr="00AF1651" w:rsidRDefault="00A80AB2" w:rsidP="006E070D">
            <w:pPr>
              <w:pStyle w:val="CommentText"/>
              <w:ind w:firstLine="360"/>
              <w:jc w:val="both"/>
              <w:rPr>
                <w:color w:val="000000"/>
              </w:rPr>
            </w:pPr>
            <w:r w:rsidRPr="008F0ABE">
              <w:rPr>
                <w:sz w:val="24"/>
                <w:szCs w:val="24"/>
              </w:rPr>
              <w:t xml:space="preserve">Ņemot vērā ievērojamās izmaiņas, lai nodrošinātu, ka MAIS tiek izstrādāta plānotajos termiņos, t.i., līdz 2020.gada 31.decembrim, </w:t>
            </w:r>
            <w:r w:rsidRPr="008F0ABE">
              <w:rPr>
                <w:sz w:val="24"/>
                <w:szCs w:val="24"/>
              </w:rPr>
              <w:lastRenderedPageBreak/>
              <w:t xml:space="preserve">MAIS izstrāde ir jāuzsāk ne vēlāk kā 2018.gada 1.jūnijā. </w:t>
            </w:r>
            <w:r w:rsidRPr="00AF1651">
              <w:rPr>
                <w:sz w:val="24"/>
                <w:szCs w:val="24"/>
                <w:u w:val="single"/>
              </w:rPr>
              <w:t>Ņemot vērā minēto, regulējums likumprojektā tiek virzīts apstiprināšanai 2017.gadā</w:t>
            </w:r>
            <w:r w:rsidR="00AF1651" w:rsidRPr="00AF1651">
              <w:rPr>
                <w:sz w:val="24"/>
                <w:szCs w:val="24"/>
                <w:u w:val="single"/>
              </w:rPr>
              <w:t xml:space="preserve"> - </w:t>
            </w:r>
            <w:r w:rsidR="006E070D" w:rsidRPr="00AF1651">
              <w:rPr>
                <w:sz w:val="24"/>
                <w:szCs w:val="24"/>
                <w:u w:val="single"/>
              </w:rPr>
              <w:t xml:space="preserve">valsts budžeta </w:t>
            </w:r>
            <w:r w:rsidR="00AF1651" w:rsidRPr="00AF1651">
              <w:rPr>
                <w:sz w:val="24"/>
                <w:szCs w:val="24"/>
                <w:u w:val="single"/>
              </w:rPr>
              <w:t>2018.gada</w:t>
            </w:r>
            <w:r w:rsidR="006E070D">
              <w:rPr>
                <w:sz w:val="24"/>
                <w:szCs w:val="24"/>
                <w:u w:val="single"/>
              </w:rPr>
              <w:t>m</w:t>
            </w:r>
            <w:r w:rsidR="00AF1651" w:rsidRPr="00AF1651">
              <w:rPr>
                <w:sz w:val="24"/>
                <w:szCs w:val="24"/>
                <w:u w:val="single"/>
              </w:rPr>
              <w:t xml:space="preserve"> likumprojektu paketē</w:t>
            </w:r>
            <w:r w:rsidRPr="00AF1651">
              <w:rPr>
                <w:sz w:val="24"/>
                <w:szCs w:val="24"/>
                <w:u w:val="single"/>
              </w:rPr>
              <w:t>, lai savlaicīgi noteiktu vienotā nodokļu konta regulējumu un būtu iespējams uzsākt MAIS izstrādi</w:t>
            </w:r>
            <w:r w:rsidR="006E070D">
              <w:rPr>
                <w:sz w:val="24"/>
                <w:szCs w:val="24"/>
                <w:u w:val="single"/>
              </w:rPr>
              <w:t>.</w:t>
            </w:r>
          </w:p>
        </w:tc>
      </w:tr>
      <w:tr w:rsidR="00154DBA" w:rsidRPr="007E2C13" w14:paraId="059C25CF" w14:textId="77777777" w:rsidTr="00392F30">
        <w:trPr>
          <w:trHeight w:val="476"/>
        </w:trPr>
        <w:tc>
          <w:tcPr>
            <w:tcW w:w="550" w:type="dxa"/>
            <w:tcBorders>
              <w:top w:val="single" w:sz="4" w:space="0" w:color="auto"/>
            </w:tcBorders>
          </w:tcPr>
          <w:p w14:paraId="758B41DA" w14:textId="3EAC7EC1" w:rsidR="00154DBA" w:rsidRPr="007E2C13" w:rsidRDefault="00154DBA" w:rsidP="009A51BF">
            <w:pPr>
              <w:pStyle w:val="naiskr"/>
              <w:spacing w:before="0" w:after="0"/>
            </w:pPr>
            <w:r w:rsidRPr="007E2C13">
              <w:lastRenderedPageBreak/>
              <w:t>3.</w:t>
            </w:r>
          </w:p>
        </w:tc>
        <w:tc>
          <w:tcPr>
            <w:tcW w:w="2149" w:type="dxa"/>
            <w:tcBorders>
              <w:top w:val="single" w:sz="4" w:space="0" w:color="auto"/>
            </w:tcBorders>
          </w:tcPr>
          <w:p w14:paraId="7A6A3EF4" w14:textId="77777777" w:rsidR="00154DBA" w:rsidRPr="007E2C13" w:rsidRDefault="00154DBA" w:rsidP="009A51BF">
            <w:pPr>
              <w:pStyle w:val="naiskr"/>
              <w:spacing w:before="0" w:after="0"/>
            </w:pPr>
            <w:r w:rsidRPr="007E2C13">
              <w:t>Projekta izstrādē iesaistītās institūcijas</w:t>
            </w:r>
          </w:p>
        </w:tc>
        <w:tc>
          <w:tcPr>
            <w:tcW w:w="6662" w:type="dxa"/>
            <w:tcBorders>
              <w:top w:val="single" w:sz="4" w:space="0" w:color="auto"/>
            </w:tcBorders>
          </w:tcPr>
          <w:p w14:paraId="58FE1318" w14:textId="36DBE38C" w:rsidR="00A718AD" w:rsidRDefault="00A718AD" w:rsidP="00A718AD">
            <w:pPr>
              <w:jc w:val="both"/>
            </w:pPr>
            <w:r>
              <w:t>Finanšu ministrija, VID</w:t>
            </w:r>
            <w:r w:rsidR="006A75EF">
              <w:t>, Valsts kase</w:t>
            </w:r>
            <w:r>
              <w:t>.</w:t>
            </w:r>
          </w:p>
          <w:p w14:paraId="262F74AF" w14:textId="77777777" w:rsidR="00154DBA" w:rsidRPr="007E2C13" w:rsidRDefault="00154DBA" w:rsidP="009A51BF">
            <w:pPr>
              <w:pStyle w:val="naiskr"/>
              <w:spacing w:before="0" w:after="0"/>
              <w:contextualSpacing/>
              <w:jc w:val="both"/>
            </w:pPr>
          </w:p>
        </w:tc>
      </w:tr>
      <w:tr w:rsidR="00154DBA" w:rsidRPr="007C0F2C" w14:paraId="65D9AF1F" w14:textId="77777777" w:rsidTr="00392F30">
        <w:tc>
          <w:tcPr>
            <w:tcW w:w="550" w:type="dxa"/>
          </w:tcPr>
          <w:p w14:paraId="52632D92" w14:textId="77777777" w:rsidR="00154DBA" w:rsidRPr="00286C11" w:rsidRDefault="00154DBA" w:rsidP="009A51BF">
            <w:pPr>
              <w:pStyle w:val="naiskr"/>
              <w:spacing w:before="0" w:after="0"/>
            </w:pPr>
            <w:r w:rsidRPr="00286C11">
              <w:t>4.</w:t>
            </w:r>
          </w:p>
        </w:tc>
        <w:tc>
          <w:tcPr>
            <w:tcW w:w="2149" w:type="dxa"/>
          </w:tcPr>
          <w:p w14:paraId="41D81CCB" w14:textId="77777777" w:rsidR="00154DBA" w:rsidRPr="00286C11" w:rsidRDefault="00154DBA" w:rsidP="009A51BF">
            <w:pPr>
              <w:pStyle w:val="naiskr"/>
              <w:spacing w:before="0" w:after="0"/>
            </w:pPr>
            <w:r w:rsidRPr="00286C11">
              <w:t>Cita informācija</w:t>
            </w:r>
          </w:p>
        </w:tc>
        <w:tc>
          <w:tcPr>
            <w:tcW w:w="6662" w:type="dxa"/>
          </w:tcPr>
          <w:p w14:paraId="0BC37E87" w14:textId="064524A7" w:rsidR="00154DBA" w:rsidRPr="00E253EB" w:rsidRDefault="00A718AD" w:rsidP="00B8035B">
            <w:pPr>
              <w:pStyle w:val="naiskr"/>
              <w:spacing w:before="0" w:after="0"/>
              <w:jc w:val="both"/>
            </w:pPr>
            <w:r w:rsidRPr="00A718AD">
              <w:t xml:space="preserve">2014.gada 31.jūlijā </w:t>
            </w:r>
            <w:r w:rsidR="00CB2849">
              <w:t xml:space="preserve">Finanšu ministrija </w:t>
            </w:r>
            <w:r>
              <w:t>ar mērķi vienoties par</w:t>
            </w:r>
            <w:r w:rsidRPr="00A718AD">
              <w:t xml:space="preserve"> risinājum</w:t>
            </w:r>
            <w:r>
              <w:t>u</w:t>
            </w:r>
            <w:r w:rsidRPr="00A718AD">
              <w:t xml:space="preserve"> VID administrēto valsts budžeta ieņēm</w:t>
            </w:r>
            <w:r>
              <w:t xml:space="preserve">umu kontu skaita samazināšanai </w:t>
            </w:r>
            <w:r w:rsidRPr="00A718AD">
              <w:t>izveido</w:t>
            </w:r>
            <w:r w:rsidR="00CB2849">
              <w:t>ja</w:t>
            </w:r>
            <w:r w:rsidRPr="00A718AD">
              <w:t xml:space="preserve"> </w:t>
            </w:r>
            <w:r>
              <w:t>D</w:t>
            </w:r>
            <w:r w:rsidRPr="00A718AD">
              <w:t xml:space="preserve">arba </w:t>
            </w:r>
            <w:r w:rsidR="00CB2849" w:rsidRPr="00A718AD">
              <w:t>grup</w:t>
            </w:r>
            <w:r w:rsidR="00CB2849">
              <w:t>u</w:t>
            </w:r>
            <w:r w:rsidRPr="00A718AD">
              <w:t xml:space="preserve">, kuras sastāvā </w:t>
            </w:r>
            <w:r>
              <w:t>iekļauti</w:t>
            </w:r>
            <w:r w:rsidRPr="00A718AD">
              <w:t xml:space="preserve"> F</w:t>
            </w:r>
            <w:r w:rsidR="00B8035B">
              <w:t>inanšu ministrijas</w:t>
            </w:r>
            <w:r w:rsidRPr="00A718AD">
              <w:t xml:space="preserve">, VID un Valsts kases pārstāvji. </w:t>
            </w:r>
            <w:r>
              <w:t xml:space="preserve">Vienotā </w:t>
            </w:r>
            <w:r w:rsidR="00A3251C">
              <w:t xml:space="preserve">nodokļu </w:t>
            </w:r>
            <w:r>
              <w:t>konta ieviešana likumprojektā</w:t>
            </w:r>
            <w:r w:rsidR="00CB2849">
              <w:t xml:space="preserve"> “Grozījumi likumā “Par nodokļiem un nodevām”</w:t>
            </w:r>
            <w:r>
              <w:t xml:space="preserve"> piedāvātajā variantā ir konceptuāli a</w:t>
            </w:r>
            <w:r w:rsidR="006340A7">
              <w:t>tbalstīta minētajā Darba grupā.</w:t>
            </w:r>
          </w:p>
        </w:tc>
      </w:tr>
    </w:tbl>
    <w:p w14:paraId="6B202D4C" w14:textId="4B7C5FB5" w:rsidR="00154DBA" w:rsidRPr="007C0F2C" w:rsidRDefault="00154DBA" w:rsidP="00154DBA">
      <w:pPr>
        <w:pStyle w:val="naisf"/>
        <w:spacing w:before="0" w:after="0"/>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131"/>
        <w:gridCol w:w="6663"/>
      </w:tblGrid>
      <w:tr w:rsidR="00154DBA" w:rsidRPr="007C0F2C" w14:paraId="009E1BAE" w14:textId="77777777" w:rsidTr="005F4307">
        <w:tc>
          <w:tcPr>
            <w:tcW w:w="9503" w:type="dxa"/>
            <w:gridSpan w:val="3"/>
            <w:vAlign w:val="center"/>
          </w:tcPr>
          <w:p w14:paraId="4C76B22C" w14:textId="77777777" w:rsidR="00154DBA" w:rsidRPr="007C0F2C" w:rsidRDefault="00154DBA" w:rsidP="009A51BF">
            <w:pPr>
              <w:pStyle w:val="naisnod"/>
              <w:spacing w:before="0" w:after="0"/>
            </w:pPr>
            <w:r w:rsidRPr="007C0F2C">
              <w:t>II. Tiesību akta projekta ietekme uz sabiedrību</w:t>
            </w:r>
            <w:r>
              <w:t>, tautsaimniecības attīstību un administratīvo slogu</w:t>
            </w:r>
          </w:p>
        </w:tc>
      </w:tr>
      <w:tr w:rsidR="00154DBA" w:rsidRPr="007C0F2C" w14:paraId="5EF1086F" w14:textId="77777777" w:rsidTr="005F4307">
        <w:trPr>
          <w:trHeight w:val="467"/>
        </w:trPr>
        <w:tc>
          <w:tcPr>
            <w:tcW w:w="709" w:type="dxa"/>
          </w:tcPr>
          <w:p w14:paraId="4C987F95" w14:textId="77777777" w:rsidR="00154DBA" w:rsidRPr="00E253EB" w:rsidRDefault="00154DBA" w:rsidP="009A51BF">
            <w:pPr>
              <w:pStyle w:val="naiskr"/>
              <w:spacing w:before="0" w:after="0"/>
            </w:pPr>
            <w:r w:rsidRPr="00E253EB">
              <w:t>1.</w:t>
            </w:r>
          </w:p>
        </w:tc>
        <w:tc>
          <w:tcPr>
            <w:tcW w:w="2131" w:type="dxa"/>
          </w:tcPr>
          <w:p w14:paraId="116358C4" w14:textId="77777777" w:rsidR="00154DBA" w:rsidRPr="00E253EB" w:rsidRDefault="00154DBA" w:rsidP="009A51BF">
            <w:pPr>
              <w:pStyle w:val="naiskr"/>
              <w:spacing w:before="0" w:after="0"/>
            </w:pPr>
            <w:r w:rsidRPr="00E253EB">
              <w:t>Sabiedrības mērķgrupa</w:t>
            </w:r>
            <w:r>
              <w:t>s,</w:t>
            </w:r>
            <w:r w:rsidRPr="00E253EB">
              <w:t xml:space="preserve"> kuras tiesiskais regulējums ietekmē vai varētu ietekmēt</w:t>
            </w:r>
          </w:p>
        </w:tc>
        <w:tc>
          <w:tcPr>
            <w:tcW w:w="6663" w:type="dxa"/>
          </w:tcPr>
          <w:p w14:paraId="2B5109C8" w14:textId="77777777" w:rsidR="00154DBA" w:rsidRPr="00E253EB" w:rsidRDefault="00584AD7" w:rsidP="009A51BF">
            <w:pPr>
              <w:jc w:val="both"/>
            </w:pPr>
            <w:r>
              <w:t>Nodokļu maksātāji (juridiskās un fiziskās personas).</w:t>
            </w:r>
            <w:r w:rsidR="00154DBA">
              <w:t xml:space="preserve"> </w:t>
            </w:r>
          </w:p>
        </w:tc>
      </w:tr>
      <w:tr w:rsidR="00154DBA" w:rsidRPr="007C0F2C" w14:paraId="2ED77163" w14:textId="77777777" w:rsidTr="005F4307">
        <w:trPr>
          <w:trHeight w:val="523"/>
        </w:trPr>
        <w:tc>
          <w:tcPr>
            <w:tcW w:w="709" w:type="dxa"/>
          </w:tcPr>
          <w:p w14:paraId="5FDD6ECD" w14:textId="77777777" w:rsidR="00154DBA" w:rsidRPr="00E253EB" w:rsidRDefault="00154DBA" w:rsidP="009A51BF">
            <w:pPr>
              <w:pStyle w:val="naiskr"/>
              <w:spacing w:before="0" w:after="0"/>
            </w:pPr>
            <w:r w:rsidRPr="00E253EB">
              <w:t>2.</w:t>
            </w:r>
          </w:p>
        </w:tc>
        <w:tc>
          <w:tcPr>
            <w:tcW w:w="2131" w:type="dxa"/>
          </w:tcPr>
          <w:p w14:paraId="4CF09E91" w14:textId="77777777" w:rsidR="00154DBA" w:rsidRPr="00E253EB" w:rsidRDefault="00154DBA" w:rsidP="009A51BF">
            <w:pPr>
              <w:pStyle w:val="naiskr"/>
              <w:spacing w:before="0" w:after="0"/>
            </w:pPr>
            <w:r w:rsidRPr="00E253EB">
              <w:t>Tiesiskā regulējuma ietekme</w:t>
            </w:r>
            <w:r>
              <w:t xml:space="preserve"> uz tautsaimniecību un administratīvo slogu</w:t>
            </w:r>
          </w:p>
        </w:tc>
        <w:tc>
          <w:tcPr>
            <w:tcW w:w="6663" w:type="dxa"/>
          </w:tcPr>
          <w:p w14:paraId="06B37D38" w14:textId="47F690D4" w:rsidR="00154DBA" w:rsidRDefault="00154DBA" w:rsidP="009B061D">
            <w:pPr>
              <w:ind w:right="142"/>
              <w:jc w:val="both"/>
            </w:pPr>
            <w:r w:rsidRPr="00ED28EF">
              <w:t>Likumprojektā ietvertajam tiesiskajam regulējumam ir pozitīva ietekme uz tautsaimniecību.</w:t>
            </w:r>
            <w:r>
              <w:t xml:space="preserve"> Ieviešot praksē a</w:t>
            </w:r>
            <w:r w:rsidRPr="00F7522D">
              <w:t xml:space="preserve">r likumprojektu </w:t>
            </w:r>
            <w:r>
              <w:t>paredzēto kārtību,</w:t>
            </w:r>
            <w:r w:rsidRPr="00F7522D">
              <w:t xml:space="preserve"> </w:t>
            </w:r>
            <w:r>
              <w:t xml:space="preserve">paredzams, ka </w:t>
            </w:r>
            <w:r w:rsidR="00584AD7">
              <w:t>samazināsies administratīvais slogs</w:t>
            </w:r>
            <w:r w:rsidR="00584AD7" w:rsidRPr="00584AD7">
              <w:t xml:space="preserve"> nodokļu nomaksā</w:t>
            </w:r>
            <w:r>
              <w:t>.</w:t>
            </w:r>
            <w:r w:rsidR="00584AD7">
              <w:t xml:space="preserve"> Turpmāk nodokļu </w:t>
            </w:r>
            <w:r w:rsidR="00546027">
              <w:t>maksātāji</w:t>
            </w:r>
            <w:r w:rsidR="00321152">
              <w:t xml:space="preserve"> likumprojektā noteiktos VID administrētos nodokļu maksājumus varēs maksāt vienā nodokļu kontā.</w:t>
            </w:r>
          </w:p>
        </w:tc>
      </w:tr>
      <w:tr w:rsidR="00154DBA" w:rsidRPr="007C0F2C" w14:paraId="1BEA98C5" w14:textId="77777777" w:rsidTr="005F4307">
        <w:trPr>
          <w:trHeight w:val="517"/>
        </w:trPr>
        <w:tc>
          <w:tcPr>
            <w:tcW w:w="709" w:type="dxa"/>
          </w:tcPr>
          <w:p w14:paraId="1A25A49B" w14:textId="77777777" w:rsidR="00154DBA" w:rsidRPr="00E253EB" w:rsidRDefault="00154DBA" w:rsidP="009A51BF">
            <w:pPr>
              <w:pStyle w:val="naiskr"/>
              <w:spacing w:before="0" w:after="0"/>
            </w:pPr>
            <w:r w:rsidRPr="00E253EB">
              <w:t>3.</w:t>
            </w:r>
          </w:p>
        </w:tc>
        <w:tc>
          <w:tcPr>
            <w:tcW w:w="2131" w:type="dxa"/>
          </w:tcPr>
          <w:p w14:paraId="31288648" w14:textId="77777777" w:rsidR="00154DBA" w:rsidRPr="00E253EB" w:rsidRDefault="00154DBA" w:rsidP="009A51BF">
            <w:pPr>
              <w:pStyle w:val="naiskr"/>
              <w:spacing w:before="0" w:after="0"/>
            </w:pPr>
            <w:r w:rsidRPr="00E253EB">
              <w:t xml:space="preserve">Administratīvo izmaksu monetārs novērtējums </w:t>
            </w:r>
          </w:p>
        </w:tc>
        <w:tc>
          <w:tcPr>
            <w:tcW w:w="6663" w:type="dxa"/>
          </w:tcPr>
          <w:p w14:paraId="7AB445EE" w14:textId="77777777" w:rsidR="00154DBA" w:rsidRPr="00E768B9" w:rsidRDefault="00154DBA" w:rsidP="009A51BF">
            <w:pPr>
              <w:jc w:val="both"/>
            </w:pPr>
            <w:r w:rsidRPr="00E768B9">
              <w:t xml:space="preserve">Administratīvo izmaksu monetāru aprēķinu nav iespējams </w:t>
            </w:r>
            <w:r>
              <w:t>veikt</w:t>
            </w:r>
            <w:r w:rsidRPr="00E768B9">
              <w:t xml:space="preserve">. </w:t>
            </w:r>
          </w:p>
          <w:p w14:paraId="70EBAA21" w14:textId="77777777" w:rsidR="00154DBA" w:rsidRDefault="00154DBA" w:rsidP="009A51BF">
            <w:pPr>
              <w:jc w:val="both"/>
            </w:pPr>
          </w:p>
        </w:tc>
      </w:tr>
      <w:tr w:rsidR="00154DBA" w:rsidRPr="007C0F2C" w14:paraId="196988DB" w14:textId="77777777" w:rsidTr="005F4307">
        <w:tc>
          <w:tcPr>
            <w:tcW w:w="709" w:type="dxa"/>
          </w:tcPr>
          <w:p w14:paraId="11F37CE2" w14:textId="77777777" w:rsidR="00154DBA" w:rsidRPr="00E253EB" w:rsidRDefault="00154DBA" w:rsidP="009A51BF">
            <w:pPr>
              <w:pStyle w:val="naiskr"/>
              <w:spacing w:before="0" w:after="0"/>
            </w:pPr>
            <w:r>
              <w:t>4</w:t>
            </w:r>
            <w:r w:rsidRPr="00E253EB">
              <w:t>.</w:t>
            </w:r>
          </w:p>
        </w:tc>
        <w:tc>
          <w:tcPr>
            <w:tcW w:w="2131" w:type="dxa"/>
          </w:tcPr>
          <w:p w14:paraId="450AB03C" w14:textId="77777777" w:rsidR="00154DBA" w:rsidRPr="00E253EB" w:rsidRDefault="00154DBA" w:rsidP="009A51BF">
            <w:pPr>
              <w:pStyle w:val="naiskr"/>
              <w:spacing w:before="0" w:after="0"/>
            </w:pPr>
            <w:r w:rsidRPr="00E253EB">
              <w:t>Cita informācija</w:t>
            </w:r>
          </w:p>
        </w:tc>
        <w:tc>
          <w:tcPr>
            <w:tcW w:w="6663" w:type="dxa"/>
          </w:tcPr>
          <w:p w14:paraId="4617C83C" w14:textId="77777777" w:rsidR="00154DBA" w:rsidRDefault="00154DBA" w:rsidP="009A51BF">
            <w:r>
              <w:t>Nav.</w:t>
            </w:r>
          </w:p>
        </w:tc>
      </w:tr>
    </w:tbl>
    <w:p w14:paraId="00B3F1FC" w14:textId="77777777" w:rsidR="00154DBA" w:rsidRDefault="00154DBA" w:rsidP="00154DBA">
      <w:pPr>
        <w:pStyle w:val="naisf"/>
        <w:spacing w:before="0" w:after="0"/>
      </w:pPr>
    </w:p>
    <w:p w14:paraId="1256FB69" w14:textId="77777777" w:rsidR="00154DBA" w:rsidRDefault="00154DBA" w:rsidP="00154DBA">
      <w:pPr>
        <w:pStyle w:val="naisf"/>
        <w:spacing w:before="0" w:after="0"/>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8"/>
      </w:tblGrid>
      <w:tr w:rsidR="00154DBA" w:rsidRPr="00DF6E70" w14:paraId="0EF79DAA" w14:textId="77777777" w:rsidTr="00922E76">
        <w:trPr>
          <w:trHeight w:val="652"/>
          <w:jc w:val="center"/>
        </w:trPr>
        <w:tc>
          <w:tcPr>
            <w:tcW w:w="9308" w:type="dxa"/>
          </w:tcPr>
          <w:p w14:paraId="2DF79ABA" w14:textId="77777777" w:rsidR="00154DBA" w:rsidRPr="00DF6E70" w:rsidRDefault="00154DBA" w:rsidP="009A51BF">
            <w:pPr>
              <w:jc w:val="center"/>
              <w:rPr>
                <w:b/>
                <w:bCs/>
                <w:i/>
                <w:sz w:val="22"/>
                <w:szCs w:val="22"/>
              </w:rPr>
            </w:pPr>
            <w:r w:rsidRPr="00DF6E70">
              <w:rPr>
                <w:b/>
                <w:bCs/>
                <w:sz w:val="22"/>
                <w:szCs w:val="22"/>
              </w:rPr>
              <w:t>III. Tiesību akta projekta ietekme uz valsts budžetu un pašvaldību budžetiem</w:t>
            </w:r>
            <w:r w:rsidRPr="00DF6E70" w:rsidDel="00DA7A25">
              <w:rPr>
                <w:b/>
                <w:bCs/>
                <w:sz w:val="22"/>
                <w:szCs w:val="22"/>
              </w:rPr>
              <w:t xml:space="preserve"> </w:t>
            </w:r>
          </w:p>
        </w:tc>
      </w:tr>
      <w:tr w:rsidR="00154DBA" w:rsidRPr="00DF6E70" w14:paraId="65A32DBA" w14:textId="77777777" w:rsidTr="00922E76">
        <w:trPr>
          <w:trHeight w:val="508"/>
          <w:jc w:val="center"/>
        </w:trPr>
        <w:tc>
          <w:tcPr>
            <w:tcW w:w="9308" w:type="dxa"/>
            <w:tcBorders>
              <w:top w:val="single" w:sz="4" w:space="0" w:color="auto"/>
              <w:left w:val="single" w:sz="4" w:space="0" w:color="auto"/>
              <w:bottom w:val="single" w:sz="4" w:space="0" w:color="auto"/>
              <w:right w:val="single" w:sz="4" w:space="0" w:color="auto"/>
            </w:tcBorders>
          </w:tcPr>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154DBA" w:rsidRPr="00DF6E70" w14:paraId="54B4C061" w14:textId="77777777" w:rsidTr="009A51BF">
              <w:trPr>
                <w:trHeight w:val="652"/>
                <w:jc w:val="center"/>
              </w:trPr>
              <w:tc>
                <w:tcPr>
                  <w:tcW w:w="10023" w:type="dxa"/>
                </w:tcPr>
                <w:p w14:paraId="4C68348C" w14:textId="77777777" w:rsidR="00154DBA" w:rsidRPr="00DF6E70" w:rsidRDefault="00154DBA" w:rsidP="009A51BF">
                  <w:pPr>
                    <w:jc w:val="center"/>
                    <w:rPr>
                      <w:b/>
                      <w:bCs/>
                      <w:i/>
                      <w:sz w:val="22"/>
                      <w:szCs w:val="22"/>
                    </w:rPr>
                  </w:pPr>
                </w:p>
              </w:tc>
            </w:tr>
            <w:tr w:rsidR="00154DBA" w:rsidRPr="00DF6E70" w14:paraId="0BEBB26B" w14:textId="77777777" w:rsidTr="009A51BF">
              <w:trPr>
                <w:trHeight w:val="508"/>
                <w:jc w:val="center"/>
              </w:trPr>
              <w:tc>
                <w:tcPr>
                  <w:tcW w:w="10023" w:type="dxa"/>
                  <w:tcBorders>
                    <w:top w:val="single" w:sz="4" w:space="0" w:color="auto"/>
                    <w:left w:val="single" w:sz="4" w:space="0" w:color="auto"/>
                    <w:bottom w:val="single" w:sz="4" w:space="0" w:color="auto"/>
                    <w:right w:val="single" w:sz="4" w:space="0" w:color="auto"/>
                  </w:tcBorders>
                </w:tcPr>
                <w:tbl>
                  <w:tblPr>
                    <w:tblW w:w="9386" w:type="dxa"/>
                    <w:tblInd w:w="36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148"/>
                    <w:gridCol w:w="1843"/>
                    <w:gridCol w:w="1080"/>
                    <w:gridCol w:w="1385"/>
                    <w:gridCol w:w="1526"/>
                    <w:gridCol w:w="1404"/>
                  </w:tblGrid>
                  <w:tr w:rsidR="00154DBA" w:rsidRPr="00DF6E70" w14:paraId="1BCF310F" w14:textId="77777777" w:rsidTr="009A7491">
                    <w:tc>
                      <w:tcPr>
                        <w:tcW w:w="2148" w:type="dxa"/>
                        <w:vMerge w:val="restart"/>
                        <w:tcBorders>
                          <w:top w:val="outset" w:sz="6" w:space="0" w:color="000000"/>
                          <w:left w:val="outset" w:sz="6" w:space="0" w:color="000000"/>
                          <w:bottom w:val="outset" w:sz="6" w:space="0" w:color="000000"/>
                          <w:right w:val="outset" w:sz="6" w:space="0" w:color="000000"/>
                        </w:tcBorders>
                        <w:vAlign w:val="center"/>
                      </w:tcPr>
                      <w:p w14:paraId="35451F68" w14:textId="77777777" w:rsidR="00154DBA" w:rsidRPr="00DF6E70" w:rsidRDefault="00154DBA" w:rsidP="009A51BF">
                        <w:pPr>
                          <w:spacing w:before="100" w:beforeAutospacing="1" w:after="100" w:afterAutospacing="1"/>
                          <w:jc w:val="center"/>
                          <w:rPr>
                            <w:b/>
                            <w:bCs/>
                          </w:rPr>
                        </w:pPr>
                        <w:r w:rsidRPr="00DF6E70">
                          <w:rPr>
                            <w:b/>
                            <w:bCs/>
                          </w:rPr>
                          <w:t>Rādītāji</w:t>
                        </w:r>
                      </w:p>
                    </w:tc>
                    <w:tc>
                      <w:tcPr>
                        <w:tcW w:w="2923" w:type="dxa"/>
                        <w:gridSpan w:val="2"/>
                        <w:vMerge w:val="restart"/>
                        <w:tcBorders>
                          <w:top w:val="outset" w:sz="6" w:space="0" w:color="000000"/>
                          <w:left w:val="outset" w:sz="6" w:space="0" w:color="000000"/>
                          <w:bottom w:val="outset" w:sz="6" w:space="0" w:color="000000"/>
                          <w:right w:val="outset" w:sz="6" w:space="0" w:color="000000"/>
                        </w:tcBorders>
                        <w:vAlign w:val="center"/>
                      </w:tcPr>
                      <w:p w14:paraId="37D2AE46" w14:textId="77777777" w:rsidR="00154DBA" w:rsidRPr="00DF6E70" w:rsidRDefault="00154DBA" w:rsidP="00CA4F78">
                        <w:pPr>
                          <w:spacing w:before="100" w:beforeAutospacing="1" w:after="100" w:afterAutospacing="1"/>
                          <w:jc w:val="center"/>
                          <w:rPr>
                            <w:b/>
                            <w:bCs/>
                          </w:rPr>
                        </w:pPr>
                        <w:r w:rsidRPr="00DF6E70">
                          <w:rPr>
                            <w:b/>
                            <w:bCs/>
                          </w:rPr>
                          <w:t>201</w:t>
                        </w:r>
                        <w:r w:rsidR="00CA4F78">
                          <w:rPr>
                            <w:b/>
                            <w:bCs/>
                          </w:rPr>
                          <w:t>7</w:t>
                        </w:r>
                        <w:r w:rsidRPr="00DF6E70">
                          <w:rPr>
                            <w:b/>
                            <w:bCs/>
                          </w:rPr>
                          <w:t>. gads</w:t>
                        </w:r>
                      </w:p>
                    </w:tc>
                    <w:tc>
                      <w:tcPr>
                        <w:tcW w:w="4315" w:type="dxa"/>
                        <w:gridSpan w:val="3"/>
                        <w:tcBorders>
                          <w:top w:val="outset" w:sz="6" w:space="0" w:color="000000"/>
                          <w:left w:val="outset" w:sz="6" w:space="0" w:color="000000"/>
                          <w:bottom w:val="outset" w:sz="6" w:space="0" w:color="000000"/>
                          <w:right w:val="outset" w:sz="6" w:space="0" w:color="000000"/>
                        </w:tcBorders>
                        <w:vAlign w:val="center"/>
                      </w:tcPr>
                      <w:p w14:paraId="287496F0" w14:textId="77777777" w:rsidR="00154DBA" w:rsidRPr="00DF6E70" w:rsidRDefault="00154DBA" w:rsidP="009A51BF">
                        <w:pPr>
                          <w:spacing w:before="100" w:beforeAutospacing="1" w:after="100" w:afterAutospacing="1"/>
                          <w:jc w:val="center"/>
                        </w:pPr>
                        <w:r w:rsidRPr="00DF6E70">
                          <w:t>Turpmākie trīs gadi (</w:t>
                        </w:r>
                        <w:r w:rsidRPr="00DF6E70">
                          <w:rPr>
                            <w:i/>
                          </w:rPr>
                          <w:t>euro</w:t>
                        </w:r>
                        <w:r w:rsidRPr="00DF6E70">
                          <w:t>)</w:t>
                        </w:r>
                      </w:p>
                    </w:tc>
                  </w:tr>
                  <w:tr w:rsidR="00154DBA" w:rsidRPr="00DF6E70" w14:paraId="28CA826D" w14:textId="77777777" w:rsidTr="009A7491">
                    <w:tc>
                      <w:tcPr>
                        <w:tcW w:w="2148" w:type="dxa"/>
                        <w:vMerge/>
                        <w:tcBorders>
                          <w:top w:val="outset" w:sz="6" w:space="0" w:color="000000"/>
                          <w:left w:val="outset" w:sz="6" w:space="0" w:color="000000"/>
                          <w:bottom w:val="outset" w:sz="6" w:space="0" w:color="000000"/>
                          <w:right w:val="outset" w:sz="6" w:space="0" w:color="000000"/>
                        </w:tcBorders>
                        <w:vAlign w:val="center"/>
                      </w:tcPr>
                      <w:p w14:paraId="7699C4F1" w14:textId="77777777" w:rsidR="00154DBA" w:rsidRPr="00DF6E70" w:rsidRDefault="00154DBA" w:rsidP="009A51BF">
                        <w:pPr>
                          <w:rPr>
                            <w:b/>
                            <w:bCs/>
                          </w:rPr>
                        </w:pPr>
                      </w:p>
                    </w:tc>
                    <w:tc>
                      <w:tcPr>
                        <w:tcW w:w="2923" w:type="dxa"/>
                        <w:gridSpan w:val="2"/>
                        <w:vMerge/>
                        <w:tcBorders>
                          <w:top w:val="outset" w:sz="6" w:space="0" w:color="000000"/>
                          <w:left w:val="outset" w:sz="6" w:space="0" w:color="000000"/>
                          <w:bottom w:val="outset" w:sz="6" w:space="0" w:color="000000"/>
                          <w:right w:val="outset" w:sz="6" w:space="0" w:color="000000"/>
                        </w:tcBorders>
                        <w:vAlign w:val="center"/>
                      </w:tcPr>
                      <w:p w14:paraId="0425501C" w14:textId="77777777" w:rsidR="00154DBA" w:rsidRPr="00DF6E70" w:rsidRDefault="00154DBA" w:rsidP="009A51BF">
                        <w:pPr>
                          <w:rPr>
                            <w:b/>
                            <w:bCs/>
                          </w:rPr>
                        </w:pPr>
                      </w:p>
                    </w:tc>
                    <w:tc>
                      <w:tcPr>
                        <w:tcW w:w="1385" w:type="dxa"/>
                        <w:tcBorders>
                          <w:top w:val="outset" w:sz="6" w:space="0" w:color="000000"/>
                          <w:left w:val="outset" w:sz="6" w:space="0" w:color="000000"/>
                          <w:bottom w:val="outset" w:sz="6" w:space="0" w:color="000000"/>
                          <w:right w:val="outset" w:sz="6" w:space="0" w:color="000000"/>
                        </w:tcBorders>
                        <w:vAlign w:val="center"/>
                      </w:tcPr>
                      <w:p w14:paraId="267EEDB5" w14:textId="77777777" w:rsidR="00154DBA" w:rsidRPr="00DF6E70" w:rsidRDefault="00154DBA" w:rsidP="00CA4F78">
                        <w:pPr>
                          <w:spacing w:before="100" w:beforeAutospacing="1" w:after="100" w:afterAutospacing="1"/>
                          <w:jc w:val="center"/>
                          <w:rPr>
                            <w:b/>
                            <w:bCs/>
                          </w:rPr>
                        </w:pPr>
                        <w:r w:rsidRPr="00DF6E70">
                          <w:rPr>
                            <w:b/>
                            <w:bCs/>
                          </w:rPr>
                          <w:t>201</w:t>
                        </w:r>
                        <w:r w:rsidR="00CA4F78">
                          <w:rPr>
                            <w:b/>
                            <w:bCs/>
                          </w:rPr>
                          <w:t>8</w:t>
                        </w:r>
                      </w:p>
                    </w:tc>
                    <w:tc>
                      <w:tcPr>
                        <w:tcW w:w="1526" w:type="dxa"/>
                        <w:tcBorders>
                          <w:top w:val="outset" w:sz="6" w:space="0" w:color="000000"/>
                          <w:left w:val="outset" w:sz="6" w:space="0" w:color="000000"/>
                          <w:bottom w:val="outset" w:sz="6" w:space="0" w:color="000000"/>
                          <w:right w:val="outset" w:sz="6" w:space="0" w:color="000000"/>
                        </w:tcBorders>
                        <w:vAlign w:val="center"/>
                      </w:tcPr>
                      <w:p w14:paraId="6E7200AF" w14:textId="77777777" w:rsidR="00154DBA" w:rsidRPr="00DF6E70" w:rsidRDefault="00154DBA" w:rsidP="00CA4F78">
                        <w:pPr>
                          <w:spacing w:before="100" w:beforeAutospacing="1" w:after="100" w:afterAutospacing="1"/>
                          <w:jc w:val="center"/>
                          <w:rPr>
                            <w:b/>
                            <w:bCs/>
                          </w:rPr>
                        </w:pPr>
                        <w:r w:rsidRPr="00DF6E70">
                          <w:rPr>
                            <w:b/>
                            <w:bCs/>
                          </w:rPr>
                          <w:t>201</w:t>
                        </w:r>
                        <w:r w:rsidR="00CA4F78">
                          <w:rPr>
                            <w:b/>
                            <w:bCs/>
                          </w:rPr>
                          <w:t>9</w:t>
                        </w:r>
                      </w:p>
                    </w:tc>
                    <w:tc>
                      <w:tcPr>
                        <w:tcW w:w="1404" w:type="dxa"/>
                        <w:tcBorders>
                          <w:top w:val="outset" w:sz="6" w:space="0" w:color="000000"/>
                          <w:left w:val="outset" w:sz="6" w:space="0" w:color="000000"/>
                          <w:bottom w:val="outset" w:sz="6" w:space="0" w:color="000000"/>
                          <w:right w:val="outset" w:sz="6" w:space="0" w:color="000000"/>
                        </w:tcBorders>
                        <w:vAlign w:val="center"/>
                      </w:tcPr>
                      <w:p w14:paraId="269121CD" w14:textId="77777777" w:rsidR="00154DBA" w:rsidRPr="00DF6E70" w:rsidRDefault="00154DBA" w:rsidP="00CA4F78">
                        <w:pPr>
                          <w:spacing w:before="100" w:beforeAutospacing="1" w:after="100" w:afterAutospacing="1"/>
                          <w:jc w:val="center"/>
                          <w:rPr>
                            <w:b/>
                            <w:bCs/>
                          </w:rPr>
                        </w:pPr>
                        <w:r w:rsidRPr="00DF6E70">
                          <w:rPr>
                            <w:b/>
                            <w:bCs/>
                          </w:rPr>
                          <w:t>20</w:t>
                        </w:r>
                        <w:r w:rsidR="00CA4F78">
                          <w:rPr>
                            <w:b/>
                            <w:bCs/>
                          </w:rPr>
                          <w:t>20</w:t>
                        </w:r>
                      </w:p>
                    </w:tc>
                  </w:tr>
                  <w:tr w:rsidR="00154DBA" w:rsidRPr="00DF6E70" w14:paraId="44E04790" w14:textId="77777777" w:rsidTr="009A7491">
                    <w:tc>
                      <w:tcPr>
                        <w:tcW w:w="2148" w:type="dxa"/>
                        <w:vMerge/>
                        <w:tcBorders>
                          <w:top w:val="outset" w:sz="6" w:space="0" w:color="000000"/>
                          <w:left w:val="outset" w:sz="6" w:space="0" w:color="000000"/>
                          <w:bottom w:val="outset" w:sz="6" w:space="0" w:color="000000"/>
                          <w:right w:val="outset" w:sz="6" w:space="0" w:color="000000"/>
                        </w:tcBorders>
                        <w:vAlign w:val="center"/>
                      </w:tcPr>
                      <w:p w14:paraId="7BFA57FA" w14:textId="77777777" w:rsidR="00154DBA" w:rsidRPr="00DF6E70" w:rsidRDefault="00154DBA" w:rsidP="009A51BF">
                        <w:pPr>
                          <w:rPr>
                            <w:b/>
                            <w:bCs/>
                          </w:rPr>
                        </w:pPr>
                      </w:p>
                    </w:tc>
                    <w:tc>
                      <w:tcPr>
                        <w:tcW w:w="1843" w:type="dxa"/>
                        <w:tcBorders>
                          <w:top w:val="outset" w:sz="6" w:space="0" w:color="000000"/>
                          <w:left w:val="outset" w:sz="6" w:space="0" w:color="000000"/>
                          <w:bottom w:val="outset" w:sz="6" w:space="0" w:color="000000"/>
                          <w:right w:val="outset" w:sz="6" w:space="0" w:color="000000"/>
                        </w:tcBorders>
                        <w:vAlign w:val="center"/>
                      </w:tcPr>
                      <w:p w14:paraId="4E0DFD7E" w14:textId="77777777" w:rsidR="00154DBA" w:rsidRPr="00DF6E70" w:rsidRDefault="00154DBA" w:rsidP="009A51BF">
                        <w:pPr>
                          <w:spacing w:before="100" w:beforeAutospacing="1" w:after="100" w:afterAutospacing="1"/>
                          <w:jc w:val="center"/>
                        </w:pPr>
                        <w:r w:rsidRPr="00DF6E70">
                          <w:t>Saskaņā ar valsts budžetu kārtējam gadam</w:t>
                        </w:r>
                      </w:p>
                    </w:tc>
                    <w:tc>
                      <w:tcPr>
                        <w:tcW w:w="1080" w:type="dxa"/>
                        <w:tcBorders>
                          <w:top w:val="outset" w:sz="6" w:space="0" w:color="000000"/>
                          <w:left w:val="outset" w:sz="6" w:space="0" w:color="000000"/>
                          <w:bottom w:val="outset" w:sz="6" w:space="0" w:color="000000"/>
                          <w:right w:val="outset" w:sz="6" w:space="0" w:color="000000"/>
                        </w:tcBorders>
                        <w:vAlign w:val="center"/>
                      </w:tcPr>
                      <w:p w14:paraId="09C2A55E" w14:textId="77777777" w:rsidR="00154DBA" w:rsidRPr="00DF6E70" w:rsidRDefault="00154DBA" w:rsidP="009A51BF">
                        <w:pPr>
                          <w:spacing w:before="100" w:beforeAutospacing="1" w:after="100" w:afterAutospacing="1"/>
                          <w:jc w:val="center"/>
                        </w:pPr>
                        <w:r w:rsidRPr="00DF6E70">
                          <w:t>Izmaiņas kārtējā gadā, salīdzinot ar budžetu kārtējam gadam</w:t>
                        </w:r>
                      </w:p>
                    </w:tc>
                    <w:tc>
                      <w:tcPr>
                        <w:tcW w:w="1385" w:type="dxa"/>
                        <w:tcBorders>
                          <w:top w:val="outset" w:sz="6" w:space="0" w:color="000000"/>
                          <w:left w:val="outset" w:sz="6" w:space="0" w:color="000000"/>
                          <w:bottom w:val="outset" w:sz="6" w:space="0" w:color="000000"/>
                          <w:right w:val="outset" w:sz="6" w:space="0" w:color="000000"/>
                        </w:tcBorders>
                        <w:vAlign w:val="center"/>
                      </w:tcPr>
                      <w:p w14:paraId="0B4EAB6B" w14:textId="77777777" w:rsidR="00154DBA" w:rsidRPr="00DF6E70" w:rsidRDefault="00154DBA" w:rsidP="009A51BF">
                        <w:pPr>
                          <w:spacing w:before="100" w:beforeAutospacing="1" w:after="100" w:afterAutospacing="1"/>
                          <w:jc w:val="center"/>
                        </w:pPr>
                        <w:r w:rsidRPr="00DF6E70">
                          <w:t>Izmaiņas, salīdzinot ar kārtējo (n) gadu</w:t>
                        </w:r>
                      </w:p>
                    </w:tc>
                    <w:tc>
                      <w:tcPr>
                        <w:tcW w:w="1526" w:type="dxa"/>
                        <w:tcBorders>
                          <w:top w:val="outset" w:sz="6" w:space="0" w:color="000000"/>
                          <w:left w:val="outset" w:sz="6" w:space="0" w:color="000000"/>
                          <w:bottom w:val="outset" w:sz="6" w:space="0" w:color="000000"/>
                          <w:right w:val="outset" w:sz="6" w:space="0" w:color="000000"/>
                        </w:tcBorders>
                        <w:vAlign w:val="center"/>
                      </w:tcPr>
                      <w:p w14:paraId="6412D80C" w14:textId="77777777" w:rsidR="00154DBA" w:rsidRPr="00DF6E70" w:rsidRDefault="00154DBA" w:rsidP="009A51BF">
                        <w:pPr>
                          <w:spacing w:before="100" w:beforeAutospacing="1" w:after="100" w:afterAutospacing="1"/>
                          <w:jc w:val="center"/>
                        </w:pPr>
                        <w:r w:rsidRPr="00DF6E70">
                          <w:t>Izmaiņas, salīdzinot ar kārtējo (n) gadu</w:t>
                        </w:r>
                      </w:p>
                    </w:tc>
                    <w:tc>
                      <w:tcPr>
                        <w:tcW w:w="1404" w:type="dxa"/>
                        <w:tcBorders>
                          <w:top w:val="outset" w:sz="6" w:space="0" w:color="000000"/>
                          <w:left w:val="outset" w:sz="6" w:space="0" w:color="000000"/>
                          <w:bottom w:val="outset" w:sz="6" w:space="0" w:color="000000"/>
                          <w:right w:val="outset" w:sz="6" w:space="0" w:color="000000"/>
                        </w:tcBorders>
                        <w:vAlign w:val="center"/>
                      </w:tcPr>
                      <w:p w14:paraId="41F73CB2" w14:textId="77777777" w:rsidR="00154DBA" w:rsidRPr="00DF6E70" w:rsidRDefault="00154DBA" w:rsidP="009A7491">
                        <w:pPr>
                          <w:spacing w:before="100" w:beforeAutospacing="1" w:after="100" w:afterAutospacing="1"/>
                          <w:ind w:right="254"/>
                          <w:jc w:val="center"/>
                        </w:pPr>
                        <w:r w:rsidRPr="00DF6E70">
                          <w:t>Izmaiņas, salīdzinot ar kārtējo (n) gadu</w:t>
                        </w:r>
                      </w:p>
                    </w:tc>
                  </w:tr>
                  <w:tr w:rsidR="00154DBA" w:rsidRPr="00DF6E70" w14:paraId="5AFFD974" w14:textId="77777777" w:rsidTr="009A7491">
                    <w:tc>
                      <w:tcPr>
                        <w:tcW w:w="2148" w:type="dxa"/>
                        <w:tcBorders>
                          <w:top w:val="outset" w:sz="6" w:space="0" w:color="000000"/>
                          <w:left w:val="outset" w:sz="6" w:space="0" w:color="000000"/>
                          <w:bottom w:val="outset" w:sz="6" w:space="0" w:color="000000"/>
                          <w:right w:val="outset" w:sz="6" w:space="0" w:color="000000"/>
                        </w:tcBorders>
                        <w:vAlign w:val="center"/>
                      </w:tcPr>
                      <w:p w14:paraId="6B26436A" w14:textId="77777777" w:rsidR="00154DBA" w:rsidRPr="00DF6E70" w:rsidRDefault="00154DBA" w:rsidP="00922E76">
                        <w:pPr>
                          <w:spacing w:before="100" w:beforeAutospacing="1" w:after="100" w:afterAutospacing="1"/>
                          <w:ind w:firstLine="112"/>
                          <w:jc w:val="center"/>
                        </w:pPr>
                        <w:r w:rsidRPr="00DF6E70">
                          <w:t>1</w:t>
                        </w:r>
                      </w:p>
                    </w:tc>
                    <w:tc>
                      <w:tcPr>
                        <w:tcW w:w="1843" w:type="dxa"/>
                        <w:tcBorders>
                          <w:top w:val="outset" w:sz="6" w:space="0" w:color="000000"/>
                          <w:left w:val="outset" w:sz="6" w:space="0" w:color="000000"/>
                          <w:bottom w:val="outset" w:sz="6" w:space="0" w:color="000000"/>
                          <w:right w:val="outset" w:sz="6" w:space="0" w:color="000000"/>
                        </w:tcBorders>
                        <w:vAlign w:val="center"/>
                      </w:tcPr>
                      <w:p w14:paraId="35F52D20" w14:textId="77777777" w:rsidR="00154DBA" w:rsidRPr="00DF6E70" w:rsidRDefault="00154DBA" w:rsidP="009A51BF">
                        <w:pPr>
                          <w:spacing w:before="100" w:beforeAutospacing="1" w:after="100" w:afterAutospacing="1"/>
                          <w:jc w:val="center"/>
                        </w:pPr>
                        <w:r w:rsidRPr="00DF6E70">
                          <w:t>2</w:t>
                        </w:r>
                      </w:p>
                    </w:tc>
                    <w:tc>
                      <w:tcPr>
                        <w:tcW w:w="1080" w:type="dxa"/>
                        <w:tcBorders>
                          <w:top w:val="outset" w:sz="6" w:space="0" w:color="000000"/>
                          <w:left w:val="outset" w:sz="6" w:space="0" w:color="000000"/>
                          <w:bottom w:val="outset" w:sz="6" w:space="0" w:color="000000"/>
                          <w:right w:val="outset" w:sz="6" w:space="0" w:color="000000"/>
                        </w:tcBorders>
                        <w:vAlign w:val="center"/>
                      </w:tcPr>
                      <w:p w14:paraId="19D0E298" w14:textId="77777777" w:rsidR="00154DBA" w:rsidRPr="00DF6E70" w:rsidRDefault="00154DBA" w:rsidP="009A51BF">
                        <w:pPr>
                          <w:spacing w:before="100" w:beforeAutospacing="1" w:after="100" w:afterAutospacing="1"/>
                          <w:jc w:val="center"/>
                        </w:pPr>
                        <w:r w:rsidRPr="00DF6E70">
                          <w:t>3</w:t>
                        </w:r>
                      </w:p>
                    </w:tc>
                    <w:tc>
                      <w:tcPr>
                        <w:tcW w:w="1385" w:type="dxa"/>
                        <w:tcBorders>
                          <w:top w:val="outset" w:sz="6" w:space="0" w:color="000000"/>
                          <w:left w:val="outset" w:sz="6" w:space="0" w:color="000000"/>
                          <w:bottom w:val="outset" w:sz="6" w:space="0" w:color="000000"/>
                          <w:right w:val="outset" w:sz="6" w:space="0" w:color="000000"/>
                        </w:tcBorders>
                        <w:vAlign w:val="center"/>
                      </w:tcPr>
                      <w:p w14:paraId="7D919D02" w14:textId="77777777" w:rsidR="00154DBA" w:rsidRPr="00DF6E70" w:rsidRDefault="00154DBA" w:rsidP="009A51BF">
                        <w:pPr>
                          <w:spacing w:before="100" w:beforeAutospacing="1" w:after="100" w:afterAutospacing="1"/>
                          <w:jc w:val="center"/>
                        </w:pPr>
                        <w:r w:rsidRPr="00DF6E70">
                          <w:t>4</w:t>
                        </w:r>
                      </w:p>
                    </w:tc>
                    <w:tc>
                      <w:tcPr>
                        <w:tcW w:w="1526" w:type="dxa"/>
                        <w:tcBorders>
                          <w:top w:val="outset" w:sz="6" w:space="0" w:color="000000"/>
                          <w:left w:val="outset" w:sz="6" w:space="0" w:color="000000"/>
                          <w:bottom w:val="outset" w:sz="6" w:space="0" w:color="000000"/>
                          <w:right w:val="outset" w:sz="6" w:space="0" w:color="000000"/>
                        </w:tcBorders>
                        <w:vAlign w:val="center"/>
                      </w:tcPr>
                      <w:p w14:paraId="564153FB" w14:textId="77777777" w:rsidR="00154DBA" w:rsidRPr="00DF6E70" w:rsidRDefault="00154DBA" w:rsidP="009A51BF">
                        <w:pPr>
                          <w:spacing w:before="100" w:beforeAutospacing="1" w:after="100" w:afterAutospacing="1"/>
                          <w:jc w:val="center"/>
                        </w:pPr>
                        <w:r w:rsidRPr="00DF6E70">
                          <w:t>5</w:t>
                        </w:r>
                      </w:p>
                    </w:tc>
                    <w:tc>
                      <w:tcPr>
                        <w:tcW w:w="1404" w:type="dxa"/>
                        <w:tcBorders>
                          <w:top w:val="outset" w:sz="6" w:space="0" w:color="000000"/>
                          <w:left w:val="outset" w:sz="6" w:space="0" w:color="000000"/>
                          <w:bottom w:val="outset" w:sz="6" w:space="0" w:color="000000"/>
                          <w:right w:val="outset" w:sz="6" w:space="0" w:color="000000"/>
                        </w:tcBorders>
                        <w:vAlign w:val="center"/>
                      </w:tcPr>
                      <w:p w14:paraId="233FA092" w14:textId="77777777" w:rsidR="00154DBA" w:rsidRPr="00DF6E70" w:rsidRDefault="00154DBA" w:rsidP="009A51BF">
                        <w:pPr>
                          <w:spacing w:before="100" w:beforeAutospacing="1" w:after="100" w:afterAutospacing="1"/>
                          <w:jc w:val="center"/>
                        </w:pPr>
                        <w:r w:rsidRPr="00DF6E70">
                          <w:t>6</w:t>
                        </w:r>
                      </w:p>
                    </w:tc>
                  </w:tr>
                  <w:tr w:rsidR="00154DBA" w:rsidRPr="00DF6E70" w14:paraId="2CCEBB53"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24461DDF" w14:textId="77777777" w:rsidR="00154DBA" w:rsidRPr="00DF6E70" w:rsidRDefault="00154DBA" w:rsidP="00922E76">
                        <w:pPr>
                          <w:spacing w:before="100" w:beforeAutospacing="1" w:after="100" w:afterAutospacing="1"/>
                          <w:ind w:firstLine="112"/>
                        </w:pPr>
                        <w:r w:rsidRPr="00DF6E70">
                          <w:lastRenderedPageBreak/>
                          <w:t>1. Budžeta ieņēmumi:</w:t>
                        </w:r>
                      </w:p>
                    </w:tc>
                    <w:tc>
                      <w:tcPr>
                        <w:tcW w:w="1843" w:type="dxa"/>
                        <w:tcBorders>
                          <w:top w:val="outset" w:sz="6" w:space="0" w:color="000000"/>
                          <w:left w:val="outset" w:sz="6" w:space="0" w:color="000000"/>
                          <w:bottom w:val="outset" w:sz="6" w:space="0" w:color="000000"/>
                          <w:right w:val="outset" w:sz="6" w:space="0" w:color="000000"/>
                        </w:tcBorders>
                        <w:vAlign w:val="center"/>
                      </w:tcPr>
                      <w:p w14:paraId="30F4A89D" w14:textId="77777777" w:rsidR="00154DBA" w:rsidRPr="00DF6E70" w:rsidRDefault="00154DBA" w:rsidP="009A51BF">
                        <w:pPr>
                          <w:spacing w:line="270" w:lineRule="atLeast"/>
                          <w:jc w:val="center"/>
                          <w:rPr>
                            <w:b/>
                          </w:rPr>
                        </w:pPr>
                        <w:r w:rsidRPr="00DF6E70">
                          <w:rPr>
                            <w:b/>
                          </w:rPr>
                          <w:t>0</w:t>
                        </w:r>
                      </w:p>
                    </w:tc>
                    <w:tc>
                      <w:tcPr>
                        <w:tcW w:w="1080" w:type="dxa"/>
                        <w:tcBorders>
                          <w:top w:val="outset" w:sz="6" w:space="0" w:color="000000"/>
                          <w:left w:val="outset" w:sz="6" w:space="0" w:color="000000"/>
                          <w:bottom w:val="outset" w:sz="6" w:space="0" w:color="000000"/>
                          <w:right w:val="outset" w:sz="6" w:space="0" w:color="000000"/>
                        </w:tcBorders>
                        <w:vAlign w:val="center"/>
                      </w:tcPr>
                      <w:p w14:paraId="34F55625" w14:textId="77777777" w:rsidR="00154DBA" w:rsidRPr="00DF6E70" w:rsidRDefault="00154DBA" w:rsidP="009A51BF">
                        <w:pPr>
                          <w:spacing w:line="270" w:lineRule="atLeast"/>
                          <w:jc w:val="center"/>
                          <w:rPr>
                            <w:b/>
                          </w:rPr>
                        </w:pPr>
                        <w:r w:rsidRPr="00DF6E70">
                          <w:rPr>
                            <w:b/>
                          </w:rPr>
                          <w:t>0</w:t>
                        </w:r>
                      </w:p>
                    </w:tc>
                    <w:tc>
                      <w:tcPr>
                        <w:tcW w:w="1385" w:type="dxa"/>
                        <w:tcBorders>
                          <w:top w:val="outset" w:sz="6" w:space="0" w:color="000000"/>
                          <w:left w:val="outset" w:sz="6" w:space="0" w:color="000000"/>
                          <w:bottom w:val="outset" w:sz="6" w:space="0" w:color="000000"/>
                          <w:right w:val="outset" w:sz="6" w:space="0" w:color="000000"/>
                        </w:tcBorders>
                        <w:vAlign w:val="center"/>
                      </w:tcPr>
                      <w:p w14:paraId="42F68B61" w14:textId="77777777" w:rsidR="00154DBA" w:rsidRPr="00DF6E70" w:rsidRDefault="00154DBA" w:rsidP="009A51BF">
                        <w:pPr>
                          <w:spacing w:line="270" w:lineRule="atLeast"/>
                          <w:jc w:val="center"/>
                        </w:pPr>
                        <w:r w:rsidRPr="00DF6E70">
                          <w:rPr>
                            <w:b/>
                          </w:rPr>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074DDC16" w14:textId="77777777" w:rsidR="00154DBA" w:rsidRPr="00DF6E70" w:rsidRDefault="00154DBA" w:rsidP="009A51BF">
                        <w:pPr>
                          <w:spacing w:line="270" w:lineRule="atLeast"/>
                          <w:jc w:val="center"/>
                          <w:rPr>
                            <w:b/>
                          </w:rPr>
                        </w:pPr>
                        <w:r w:rsidRPr="00DF6E70">
                          <w:rPr>
                            <w:b/>
                          </w:rPr>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5100F548" w14:textId="77777777" w:rsidR="00154DBA" w:rsidRPr="00DF6E70" w:rsidRDefault="00154DBA" w:rsidP="009A51BF">
                        <w:pPr>
                          <w:spacing w:line="270" w:lineRule="atLeast"/>
                          <w:jc w:val="center"/>
                          <w:rPr>
                            <w:b/>
                          </w:rPr>
                        </w:pPr>
                        <w:r w:rsidRPr="00DF6E70">
                          <w:rPr>
                            <w:b/>
                          </w:rPr>
                          <w:t>0</w:t>
                        </w:r>
                      </w:p>
                    </w:tc>
                  </w:tr>
                  <w:tr w:rsidR="00154DBA" w:rsidRPr="00DF6E70" w14:paraId="70D41C4C"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11F535C6" w14:textId="77777777" w:rsidR="00154DBA" w:rsidRPr="00DF6E70" w:rsidRDefault="00154DBA" w:rsidP="00922E76">
                        <w:pPr>
                          <w:spacing w:before="100" w:beforeAutospacing="1" w:after="100" w:afterAutospacing="1"/>
                          <w:ind w:firstLine="112"/>
                        </w:pPr>
                        <w:r w:rsidRPr="00DF6E70">
                          <w:t>1.1. valsts pamatbudžets, tai skaitā ieņēmumi no maksas pakalpojumiem un citi pašu ieņēmumi</w:t>
                        </w:r>
                      </w:p>
                    </w:tc>
                    <w:tc>
                      <w:tcPr>
                        <w:tcW w:w="1843" w:type="dxa"/>
                        <w:tcBorders>
                          <w:top w:val="outset" w:sz="6" w:space="0" w:color="000000"/>
                          <w:left w:val="outset" w:sz="6" w:space="0" w:color="000000"/>
                          <w:bottom w:val="outset" w:sz="6" w:space="0" w:color="000000"/>
                          <w:right w:val="outset" w:sz="6" w:space="0" w:color="000000"/>
                        </w:tcBorders>
                        <w:vAlign w:val="center"/>
                      </w:tcPr>
                      <w:p w14:paraId="071C9F83" w14:textId="77777777" w:rsidR="00154DBA" w:rsidRPr="00DF6E70" w:rsidRDefault="00154DBA" w:rsidP="009A51BF">
                        <w:pPr>
                          <w:spacing w:line="270" w:lineRule="atLeast"/>
                          <w:jc w:val="center"/>
                        </w:pPr>
                        <w:r w:rsidRPr="00DF6E70">
                          <w:t>0</w:t>
                        </w:r>
                      </w:p>
                    </w:tc>
                    <w:tc>
                      <w:tcPr>
                        <w:tcW w:w="1080" w:type="dxa"/>
                        <w:tcBorders>
                          <w:top w:val="outset" w:sz="6" w:space="0" w:color="000000"/>
                          <w:left w:val="outset" w:sz="6" w:space="0" w:color="000000"/>
                          <w:bottom w:val="outset" w:sz="6" w:space="0" w:color="000000"/>
                          <w:right w:val="outset" w:sz="6" w:space="0" w:color="000000"/>
                        </w:tcBorders>
                        <w:vAlign w:val="center"/>
                      </w:tcPr>
                      <w:p w14:paraId="70200901" w14:textId="77777777" w:rsidR="00154DBA" w:rsidRPr="00DF6E70" w:rsidRDefault="00154DBA" w:rsidP="009A51BF">
                        <w:pPr>
                          <w:spacing w:line="270" w:lineRule="atLeast"/>
                          <w:jc w:val="center"/>
                        </w:pPr>
                        <w:r w:rsidRPr="00DF6E70">
                          <w:t>0</w:t>
                        </w:r>
                      </w:p>
                    </w:tc>
                    <w:tc>
                      <w:tcPr>
                        <w:tcW w:w="1385" w:type="dxa"/>
                        <w:tcBorders>
                          <w:top w:val="outset" w:sz="6" w:space="0" w:color="000000"/>
                          <w:left w:val="outset" w:sz="6" w:space="0" w:color="000000"/>
                          <w:bottom w:val="outset" w:sz="6" w:space="0" w:color="000000"/>
                          <w:right w:val="outset" w:sz="6" w:space="0" w:color="000000"/>
                        </w:tcBorders>
                        <w:vAlign w:val="center"/>
                      </w:tcPr>
                      <w:p w14:paraId="18064FD8" w14:textId="77777777" w:rsidR="00154DBA" w:rsidRPr="00DF6E70" w:rsidRDefault="00154DBA" w:rsidP="009A51BF">
                        <w:pPr>
                          <w:spacing w:line="270" w:lineRule="atLeast"/>
                          <w:jc w:val="center"/>
                        </w:pPr>
                        <w:r w:rsidRPr="00DF6E70">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4531DB46" w14:textId="77777777" w:rsidR="00154DBA" w:rsidRPr="00DF6E70" w:rsidRDefault="00154DBA" w:rsidP="009A51BF">
                        <w:pPr>
                          <w:spacing w:line="270" w:lineRule="atLeast"/>
                          <w:jc w:val="center"/>
                        </w:pPr>
                        <w:r w:rsidRPr="00DF6E70">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24B5E30C" w14:textId="77777777" w:rsidR="00154DBA" w:rsidRPr="00DF6E70" w:rsidRDefault="00154DBA" w:rsidP="009A51BF">
                        <w:pPr>
                          <w:spacing w:line="270" w:lineRule="atLeast"/>
                          <w:jc w:val="center"/>
                        </w:pPr>
                        <w:r w:rsidRPr="00DF6E70">
                          <w:t>0</w:t>
                        </w:r>
                      </w:p>
                    </w:tc>
                  </w:tr>
                  <w:tr w:rsidR="00154DBA" w:rsidRPr="00DF6E70" w14:paraId="60E9BA53"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144E80C1" w14:textId="77777777" w:rsidR="00154DBA" w:rsidRPr="00DF6E70" w:rsidRDefault="00154DBA" w:rsidP="00922E76">
                        <w:pPr>
                          <w:spacing w:before="100" w:beforeAutospacing="1" w:after="100" w:afterAutospacing="1"/>
                          <w:ind w:firstLine="112"/>
                        </w:pPr>
                        <w:r w:rsidRPr="00DF6E70">
                          <w:t>1.2. valsts speciālais budžets</w:t>
                        </w:r>
                      </w:p>
                    </w:tc>
                    <w:tc>
                      <w:tcPr>
                        <w:tcW w:w="1843" w:type="dxa"/>
                        <w:tcBorders>
                          <w:top w:val="outset" w:sz="6" w:space="0" w:color="000000"/>
                          <w:left w:val="outset" w:sz="6" w:space="0" w:color="000000"/>
                          <w:bottom w:val="outset" w:sz="6" w:space="0" w:color="000000"/>
                          <w:right w:val="outset" w:sz="6" w:space="0" w:color="000000"/>
                        </w:tcBorders>
                        <w:vAlign w:val="center"/>
                      </w:tcPr>
                      <w:p w14:paraId="22AE2A61" w14:textId="77777777" w:rsidR="00154DBA" w:rsidRPr="00DF6E70" w:rsidRDefault="00154DBA" w:rsidP="009A51BF">
                        <w:pPr>
                          <w:spacing w:line="270" w:lineRule="atLeast"/>
                          <w:jc w:val="center"/>
                        </w:pPr>
                        <w:r w:rsidRPr="00DF6E70">
                          <w:t>0</w:t>
                        </w:r>
                      </w:p>
                    </w:tc>
                    <w:tc>
                      <w:tcPr>
                        <w:tcW w:w="1080" w:type="dxa"/>
                        <w:tcBorders>
                          <w:top w:val="outset" w:sz="6" w:space="0" w:color="000000"/>
                          <w:left w:val="outset" w:sz="6" w:space="0" w:color="000000"/>
                          <w:bottom w:val="outset" w:sz="6" w:space="0" w:color="000000"/>
                          <w:right w:val="outset" w:sz="6" w:space="0" w:color="000000"/>
                        </w:tcBorders>
                        <w:vAlign w:val="center"/>
                      </w:tcPr>
                      <w:p w14:paraId="0E9CA2E8" w14:textId="77777777" w:rsidR="00154DBA" w:rsidRPr="00DF6E70" w:rsidRDefault="00154DBA" w:rsidP="009A51BF">
                        <w:pPr>
                          <w:spacing w:line="270" w:lineRule="atLeast"/>
                          <w:jc w:val="center"/>
                        </w:pPr>
                        <w:r w:rsidRPr="00DF6E70">
                          <w:t>0</w:t>
                        </w:r>
                      </w:p>
                    </w:tc>
                    <w:tc>
                      <w:tcPr>
                        <w:tcW w:w="1385" w:type="dxa"/>
                        <w:tcBorders>
                          <w:top w:val="outset" w:sz="6" w:space="0" w:color="000000"/>
                          <w:left w:val="outset" w:sz="6" w:space="0" w:color="000000"/>
                          <w:bottom w:val="outset" w:sz="6" w:space="0" w:color="000000"/>
                          <w:right w:val="outset" w:sz="6" w:space="0" w:color="000000"/>
                        </w:tcBorders>
                        <w:vAlign w:val="center"/>
                      </w:tcPr>
                      <w:p w14:paraId="2A2265B1" w14:textId="77777777" w:rsidR="00154DBA" w:rsidRPr="00DF6E70" w:rsidRDefault="00154DBA" w:rsidP="009A51BF">
                        <w:pPr>
                          <w:spacing w:line="270" w:lineRule="atLeast"/>
                          <w:jc w:val="center"/>
                        </w:pPr>
                        <w:r w:rsidRPr="00DF6E70">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04A3EEC0" w14:textId="77777777" w:rsidR="00154DBA" w:rsidRPr="00DF6E70" w:rsidRDefault="00154DBA" w:rsidP="009A51BF">
                        <w:pPr>
                          <w:spacing w:line="270" w:lineRule="atLeast"/>
                          <w:jc w:val="center"/>
                        </w:pPr>
                        <w:r w:rsidRPr="00DF6E70">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200AFF1D" w14:textId="77777777" w:rsidR="00154DBA" w:rsidRPr="00DF6E70" w:rsidRDefault="00154DBA" w:rsidP="009A51BF">
                        <w:pPr>
                          <w:spacing w:line="270" w:lineRule="atLeast"/>
                          <w:jc w:val="center"/>
                        </w:pPr>
                        <w:r w:rsidRPr="00DF6E70">
                          <w:t>0</w:t>
                        </w:r>
                      </w:p>
                    </w:tc>
                  </w:tr>
                  <w:tr w:rsidR="00154DBA" w:rsidRPr="00DF6E70" w14:paraId="671FFC19"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019DE43D" w14:textId="77777777" w:rsidR="00154DBA" w:rsidRPr="00DF6E70" w:rsidRDefault="00154DBA" w:rsidP="00922E76">
                        <w:pPr>
                          <w:spacing w:before="100" w:beforeAutospacing="1" w:after="100" w:afterAutospacing="1"/>
                          <w:ind w:firstLine="112"/>
                        </w:pPr>
                        <w:r w:rsidRPr="00DF6E70">
                          <w:t>1.3. pašvaldību budžets</w:t>
                        </w:r>
                      </w:p>
                    </w:tc>
                    <w:tc>
                      <w:tcPr>
                        <w:tcW w:w="1843" w:type="dxa"/>
                        <w:tcBorders>
                          <w:top w:val="outset" w:sz="6" w:space="0" w:color="000000"/>
                          <w:left w:val="outset" w:sz="6" w:space="0" w:color="000000"/>
                          <w:bottom w:val="outset" w:sz="6" w:space="0" w:color="000000"/>
                          <w:right w:val="outset" w:sz="6" w:space="0" w:color="000000"/>
                        </w:tcBorders>
                        <w:vAlign w:val="center"/>
                      </w:tcPr>
                      <w:p w14:paraId="2149A2B9" w14:textId="77777777" w:rsidR="00154DBA" w:rsidRPr="00DF6E70" w:rsidRDefault="00154DBA" w:rsidP="009A51BF">
                        <w:pPr>
                          <w:spacing w:line="270" w:lineRule="atLeast"/>
                          <w:jc w:val="center"/>
                        </w:pPr>
                      </w:p>
                    </w:tc>
                    <w:tc>
                      <w:tcPr>
                        <w:tcW w:w="1080" w:type="dxa"/>
                        <w:tcBorders>
                          <w:top w:val="outset" w:sz="6" w:space="0" w:color="000000"/>
                          <w:left w:val="outset" w:sz="6" w:space="0" w:color="000000"/>
                          <w:bottom w:val="outset" w:sz="6" w:space="0" w:color="000000"/>
                          <w:right w:val="outset" w:sz="6" w:space="0" w:color="000000"/>
                        </w:tcBorders>
                        <w:vAlign w:val="center"/>
                      </w:tcPr>
                      <w:p w14:paraId="20F44D48" w14:textId="77777777" w:rsidR="00154DBA" w:rsidRPr="00DF6E70"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vAlign w:val="center"/>
                      </w:tcPr>
                      <w:p w14:paraId="5745795E" w14:textId="77777777" w:rsidR="00154DBA" w:rsidRPr="00DF6E70" w:rsidRDefault="00154DBA" w:rsidP="009A51BF">
                        <w:pPr>
                          <w:spacing w:line="270" w:lineRule="atLeast"/>
                          <w:jc w:val="center"/>
                        </w:pPr>
                        <w:r w:rsidRPr="00DF6E70">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1F4DE1CE" w14:textId="77777777" w:rsidR="00154DBA" w:rsidRPr="00DF6E70" w:rsidRDefault="00154DBA" w:rsidP="009A51BF">
                        <w:pPr>
                          <w:spacing w:line="270" w:lineRule="atLeast"/>
                          <w:jc w:val="center"/>
                        </w:pPr>
                        <w:r w:rsidRPr="00DF6E70">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09DC651F" w14:textId="77777777" w:rsidR="00154DBA" w:rsidRPr="00DF6E70" w:rsidRDefault="00154DBA" w:rsidP="009A51BF">
                        <w:pPr>
                          <w:spacing w:line="270" w:lineRule="atLeast"/>
                          <w:jc w:val="center"/>
                        </w:pPr>
                        <w:r w:rsidRPr="00DF6E70">
                          <w:t>0</w:t>
                        </w:r>
                      </w:p>
                    </w:tc>
                  </w:tr>
                  <w:tr w:rsidR="00154DBA" w:rsidRPr="00DF6E70" w14:paraId="6733C6CB"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511740DE" w14:textId="77777777" w:rsidR="00154DBA" w:rsidRPr="00DF6E70" w:rsidRDefault="00154DBA" w:rsidP="00922E76">
                        <w:pPr>
                          <w:spacing w:before="100" w:beforeAutospacing="1" w:after="100" w:afterAutospacing="1"/>
                          <w:ind w:firstLine="112"/>
                        </w:pPr>
                        <w:r w:rsidRPr="00DF6E70">
                          <w:t>2. Budžeta izdevumi:</w:t>
                        </w:r>
                      </w:p>
                    </w:tc>
                    <w:tc>
                      <w:tcPr>
                        <w:tcW w:w="1843" w:type="dxa"/>
                        <w:tcBorders>
                          <w:top w:val="outset" w:sz="6" w:space="0" w:color="000000"/>
                          <w:left w:val="outset" w:sz="6" w:space="0" w:color="000000"/>
                          <w:bottom w:val="outset" w:sz="6" w:space="0" w:color="000000"/>
                          <w:right w:val="outset" w:sz="6" w:space="0" w:color="000000"/>
                        </w:tcBorders>
                        <w:vAlign w:val="center"/>
                      </w:tcPr>
                      <w:p w14:paraId="0420732C" w14:textId="77777777" w:rsidR="00154DBA" w:rsidRPr="00DF6E70" w:rsidRDefault="00154DBA" w:rsidP="009A51BF">
                        <w:pPr>
                          <w:spacing w:line="270" w:lineRule="atLeast"/>
                          <w:jc w:val="center"/>
                          <w:rPr>
                            <w:b/>
                          </w:rPr>
                        </w:pPr>
                        <w:r w:rsidRPr="00DF6E70">
                          <w:rPr>
                            <w:b/>
                          </w:rPr>
                          <w:t>0</w:t>
                        </w:r>
                      </w:p>
                    </w:tc>
                    <w:tc>
                      <w:tcPr>
                        <w:tcW w:w="1080" w:type="dxa"/>
                        <w:tcBorders>
                          <w:top w:val="outset" w:sz="6" w:space="0" w:color="000000"/>
                          <w:left w:val="outset" w:sz="6" w:space="0" w:color="000000"/>
                          <w:bottom w:val="outset" w:sz="6" w:space="0" w:color="000000"/>
                          <w:right w:val="outset" w:sz="6" w:space="0" w:color="000000"/>
                        </w:tcBorders>
                        <w:vAlign w:val="center"/>
                      </w:tcPr>
                      <w:p w14:paraId="6BEF0F63" w14:textId="77777777" w:rsidR="00154DBA" w:rsidRPr="00DF6E70" w:rsidRDefault="00154DBA" w:rsidP="009A51BF">
                        <w:pPr>
                          <w:spacing w:line="270" w:lineRule="atLeast"/>
                          <w:jc w:val="center"/>
                          <w:rPr>
                            <w:b/>
                          </w:rPr>
                        </w:pPr>
                        <w:r w:rsidRPr="00DF6E70">
                          <w:rPr>
                            <w:b/>
                          </w:rPr>
                          <w:t>0</w:t>
                        </w:r>
                      </w:p>
                    </w:tc>
                    <w:tc>
                      <w:tcPr>
                        <w:tcW w:w="1385" w:type="dxa"/>
                        <w:tcBorders>
                          <w:top w:val="outset" w:sz="6" w:space="0" w:color="000000"/>
                          <w:left w:val="outset" w:sz="6" w:space="0" w:color="000000"/>
                          <w:bottom w:val="outset" w:sz="6" w:space="0" w:color="000000"/>
                          <w:right w:val="outset" w:sz="6" w:space="0" w:color="000000"/>
                        </w:tcBorders>
                        <w:vAlign w:val="center"/>
                      </w:tcPr>
                      <w:p w14:paraId="4D2E2FD7" w14:textId="77777777" w:rsidR="00154DBA" w:rsidRPr="00DF6E70" w:rsidRDefault="00154DBA" w:rsidP="009A51BF">
                        <w:pPr>
                          <w:spacing w:line="270" w:lineRule="atLeast"/>
                          <w:jc w:val="center"/>
                          <w:rPr>
                            <w:b/>
                          </w:rPr>
                        </w:pPr>
                        <w:r w:rsidRPr="00DF6E70">
                          <w:rPr>
                            <w:b/>
                          </w:rPr>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7FEE3414" w14:textId="77777777" w:rsidR="00154DBA" w:rsidRPr="00DF6E70" w:rsidRDefault="00154DBA" w:rsidP="009A51BF">
                        <w:pPr>
                          <w:spacing w:line="270" w:lineRule="atLeast"/>
                          <w:jc w:val="center"/>
                          <w:rPr>
                            <w:b/>
                          </w:rPr>
                        </w:pPr>
                        <w:r w:rsidRPr="00DF6E70">
                          <w:rPr>
                            <w:b/>
                          </w:rPr>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7050CF76" w14:textId="77777777" w:rsidR="00154DBA" w:rsidRPr="00DF6E70" w:rsidRDefault="00154DBA" w:rsidP="009A51BF">
                        <w:pPr>
                          <w:spacing w:line="270" w:lineRule="atLeast"/>
                          <w:jc w:val="center"/>
                          <w:rPr>
                            <w:b/>
                          </w:rPr>
                        </w:pPr>
                        <w:r w:rsidRPr="00DF6E70">
                          <w:rPr>
                            <w:b/>
                          </w:rPr>
                          <w:t>0</w:t>
                        </w:r>
                      </w:p>
                    </w:tc>
                  </w:tr>
                  <w:tr w:rsidR="00154DBA" w:rsidRPr="00DF6E70" w14:paraId="7FC02706"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485E4D5C" w14:textId="77777777" w:rsidR="00154DBA" w:rsidRPr="00DF6E70" w:rsidRDefault="00154DBA" w:rsidP="00922E76">
                        <w:pPr>
                          <w:spacing w:before="100" w:beforeAutospacing="1" w:after="100" w:afterAutospacing="1"/>
                          <w:ind w:firstLine="112"/>
                        </w:pPr>
                        <w:r w:rsidRPr="00DF6E70">
                          <w:t>2.1. valsts pamatbudžets</w:t>
                        </w:r>
                      </w:p>
                    </w:tc>
                    <w:tc>
                      <w:tcPr>
                        <w:tcW w:w="1843" w:type="dxa"/>
                        <w:tcBorders>
                          <w:top w:val="outset" w:sz="6" w:space="0" w:color="000000"/>
                          <w:left w:val="outset" w:sz="6" w:space="0" w:color="000000"/>
                          <w:bottom w:val="outset" w:sz="6" w:space="0" w:color="000000"/>
                          <w:right w:val="outset" w:sz="6" w:space="0" w:color="000000"/>
                        </w:tcBorders>
                        <w:vAlign w:val="center"/>
                      </w:tcPr>
                      <w:p w14:paraId="64CAA6AD" w14:textId="77777777" w:rsidR="00154DBA" w:rsidRPr="00DF6E70" w:rsidRDefault="00154DBA" w:rsidP="009A51BF">
                        <w:pPr>
                          <w:spacing w:line="270" w:lineRule="atLeast"/>
                          <w:jc w:val="center"/>
                        </w:pPr>
                        <w:r w:rsidRPr="00DF6E70">
                          <w:t>0</w:t>
                        </w:r>
                      </w:p>
                    </w:tc>
                    <w:tc>
                      <w:tcPr>
                        <w:tcW w:w="1080" w:type="dxa"/>
                        <w:tcBorders>
                          <w:top w:val="outset" w:sz="6" w:space="0" w:color="000000"/>
                          <w:left w:val="outset" w:sz="6" w:space="0" w:color="000000"/>
                          <w:bottom w:val="outset" w:sz="6" w:space="0" w:color="000000"/>
                          <w:right w:val="outset" w:sz="6" w:space="0" w:color="000000"/>
                        </w:tcBorders>
                        <w:vAlign w:val="center"/>
                      </w:tcPr>
                      <w:p w14:paraId="4D691609" w14:textId="77777777" w:rsidR="00154DBA" w:rsidRPr="00DF6E70" w:rsidRDefault="00154DBA" w:rsidP="009A51BF">
                        <w:pPr>
                          <w:spacing w:line="270" w:lineRule="atLeast"/>
                          <w:jc w:val="center"/>
                        </w:pPr>
                        <w:r w:rsidRPr="00DF6E70">
                          <w:t>0</w:t>
                        </w:r>
                      </w:p>
                    </w:tc>
                    <w:tc>
                      <w:tcPr>
                        <w:tcW w:w="1385" w:type="dxa"/>
                        <w:tcBorders>
                          <w:top w:val="outset" w:sz="6" w:space="0" w:color="000000"/>
                          <w:left w:val="outset" w:sz="6" w:space="0" w:color="000000"/>
                          <w:bottom w:val="outset" w:sz="6" w:space="0" w:color="000000"/>
                          <w:right w:val="outset" w:sz="6" w:space="0" w:color="000000"/>
                        </w:tcBorders>
                        <w:vAlign w:val="center"/>
                      </w:tcPr>
                      <w:p w14:paraId="537F3348" w14:textId="77777777" w:rsidR="00154DBA" w:rsidRPr="00DF6E70" w:rsidRDefault="00154DBA" w:rsidP="009A51BF">
                        <w:pPr>
                          <w:spacing w:line="270" w:lineRule="atLeast"/>
                          <w:jc w:val="center"/>
                        </w:pPr>
                        <w:r w:rsidRPr="00DF6E70">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51DF2D18" w14:textId="77777777" w:rsidR="00154DBA" w:rsidRPr="00DF6E70" w:rsidRDefault="00154DBA" w:rsidP="009A51BF">
                        <w:pPr>
                          <w:spacing w:line="270" w:lineRule="atLeast"/>
                          <w:jc w:val="center"/>
                        </w:pPr>
                        <w:r w:rsidRPr="00DF6E70">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79D1C6AF" w14:textId="77777777" w:rsidR="00154DBA" w:rsidRPr="00DF6E70" w:rsidRDefault="00154DBA" w:rsidP="009A51BF">
                        <w:pPr>
                          <w:spacing w:line="270" w:lineRule="atLeast"/>
                          <w:jc w:val="center"/>
                        </w:pPr>
                        <w:r w:rsidRPr="00DF6E70">
                          <w:t>0</w:t>
                        </w:r>
                      </w:p>
                    </w:tc>
                  </w:tr>
                  <w:tr w:rsidR="00154DBA" w:rsidRPr="00DF6E70" w14:paraId="385DDB4D"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09A61056" w14:textId="77777777" w:rsidR="00154DBA" w:rsidRPr="00DF6E70" w:rsidRDefault="00154DBA" w:rsidP="00922E76">
                        <w:pPr>
                          <w:spacing w:before="100" w:beforeAutospacing="1" w:after="100" w:afterAutospacing="1"/>
                          <w:ind w:firstLine="112"/>
                        </w:pPr>
                        <w:r w:rsidRPr="00DF6E70">
                          <w:t>2.2. valsts speciālais budžets</w:t>
                        </w:r>
                      </w:p>
                    </w:tc>
                    <w:tc>
                      <w:tcPr>
                        <w:tcW w:w="1843" w:type="dxa"/>
                        <w:tcBorders>
                          <w:top w:val="outset" w:sz="6" w:space="0" w:color="000000"/>
                          <w:left w:val="outset" w:sz="6" w:space="0" w:color="000000"/>
                          <w:bottom w:val="outset" w:sz="6" w:space="0" w:color="000000"/>
                          <w:right w:val="outset" w:sz="6" w:space="0" w:color="000000"/>
                        </w:tcBorders>
                        <w:vAlign w:val="center"/>
                      </w:tcPr>
                      <w:p w14:paraId="42CD7029" w14:textId="77777777" w:rsidR="00154DBA" w:rsidRPr="00DF6E70" w:rsidRDefault="00154DBA" w:rsidP="009A51BF">
                        <w:pPr>
                          <w:spacing w:line="270" w:lineRule="atLeast"/>
                          <w:jc w:val="center"/>
                        </w:pPr>
                      </w:p>
                    </w:tc>
                    <w:tc>
                      <w:tcPr>
                        <w:tcW w:w="1080" w:type="dxa"/>
                        <w:tcBorders>
                          <w:top w:val="outset" w:sz="6" w:space="0" w:color="000000"/>
                          <w:left w:val="outset" w:sz="6" w:space="0" w:color="000000"/>
                          <w:bottom w:val="outset" w:sz="6" w:space="0" w:color="000000"/>
                          <w:right w:val="outset" w:sz="6" w:space="0" w:color="000000"/>
                        </w:tcBorders>
                        <w:vAlign w:val="center"/>
                      </w:tcPr>
                      <w:p w14:paraId="5E54A238" w14:textId="77777777" w:rsidR="00154DBA" w:rsidRPr="00DF6E70"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vAlign w:val="center"/>
                      </w:tcPr>
                      <w:p w14:paraId="6FE02990" w14:textId="77777777" w:rsidR="00154DBA" w:rsidRPr="00DF6E70" w:rsidRDefault="00154DBA" w:rsidP="009A51BF">
                        <w:pPr>
                          <w:spacing w:line="270" w:lineRule="atLeast"/>
                          <w:jc w:val="center"/>
                        </w:pPr>
                        <w:r w:rsidRPr="00DF6E70">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05A776BF" w14:textId="77777777" w:rsidR="00154DBA" w:rsidRPr="00DF6E70" w:rsidRDefault="00154DBA" w:rsidP="009A51BF">
                        <w:pPr>
                          <w:spacing w:line="270" w:lineRule="atLeast"/>
                          <w:jc w:val="center"/>
                        </w:pPr>
                        <w:r w:rsidRPr="00DF6E70">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04833390" w14:textId="77777777" w:rsidR="00154DBA" w:rsidRPr="00DF6E70" w:rsidRDefault="00154DBA" w:rsidP="009A51BF">
                        <w:pPr>
                          <w:spacing w:line="270" w:lineRule="atLeast"/>
                          <w:jc w:val="center"/>
                        </w:pPr>
                        <w:r w:rsidRPr="00DF6E70">
                          <w:t>0</w:t>
                        </w:r>
                      </w:p>
                    </w:tc>
                  </w:tr>
                  <w:tr w:rsidR="00154DBA" w:rsidRPr="00DF6E70" w14:paraId="22AC4824"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03B2F776" w14:textId="77777777" w:rsidR="00154DBA" w:rsidRPr="00DF6E70" w:rsidRDefault="00154DBA" w:rsidP="00922E76">
                        <w:pPr>
                          <w:spacing w:before="100" w:beforeAutospacing="1" w:after="100" w:afterAutospacing="1"/>
                          <w:ind w:firstLine="112"/>
                        </w:pPr>
                        <w:r w:rsidRPr="00DF6E70">
                          <w:t>2.3. pašvaldību budžets</w:t>
                        </w:r>
                      </w:p>
                    </w:tc>
                    <w:tc>
                      <w:tcPr>
                        <w:tcW w:w="1843" w:type="dxa"/>
                        <w:tcBorders>
                          <w:top w:val="outset" w:sz="6" w:space="0" w:color="000000"/>
                          <w:left w:val="outset" w:sz="6" w:space="0" w:color="000000"/>
                          <w:bottom w:val="outset" w:sz="6" w:space="0" w:color="000000"/>
                          <w:right w:val="outset" w:sz="6" w:space="0" w:color="000000"/>
                        </w:tcBorders>
                        <w:vAlign w:val="center"/>
                      </w:tcPr>
                      <w:p w14:paraId="03CC1F38" w14:textId="77777777" w:rsidR="00154DBA" w:rsidRPr="00DF6E70" w:rsidRDefault="00154DBA" w:rsidP="009A51BF">
                        <w:pPr>
                          <w:spacing w:line="270" w:lineRule="atLeast"/>
                          <w:jc w:val="center"/>
                        </w:pPr>
                      </w:p>
                    </w:tc>
                    <w:tc>
                      <w:tcPr>
                        <w:tcW w:w="1080" w:type="dxa"/>
                        <w:tcBorders>
                          <w:top w:val="outset" w:sz="6" w:space="0" w:color="000000"/>
                          <w:left w:val="outset" w:sz="6" w:space="0" w:color="000000"/>
                          <w:bottom w:val="outset" w:sz="6" w:space="0" w:color="000000"/>
                          <w:right w:val="outset" w:sz="6" w:space="0" w:color="000000"/>
                        </w:tcBorders>
                        <w:vAlign w:val="center"/>
                      </w:tcPr>
                      <w:p w14:paraId="48D66768" w14:textId="77777777" w:rsidR="00154DBA" w:rsidRPr="00DF6E70"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vAlign w:val="center"/>
                      </w:tcPr>
                      <w:p w14:paraId="6449E63B" w14:textId="77777777" w:rsidR="00154DBA" w:rsidRPr="00DF6E70" w:rsidRDefault="00154DBA" w:rsidP="009A51BF">
                        <w:pPr>
                          <w:spacing w:line="270" w:lineRule="atLeast"/>
                          <w:jc w:val="center"/>
                        </w:pPr>
                        <w:r w:rsidRPr="00DF6E70">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02126364" w14:textId="77777777" w:rsidR="00154DBA" w:rsidRPr="00DF6E70" w:rsidRDefault="00154DBA" w:rsidP="009A51BF">
                        <w:pPr>
                          <w:spacing w:line="270" w:lineRule="atLeast"/>
                          <w:jc w:val="center"/>
                        </w:pPr>
                        <w:r w:rsidRPr="00DF6E70">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167BB3C5" w14:textId="77777777" w:rsidR="00154DBA" w:rsidRPr="00DF6E70" w:rsidRDefault="00154DBA" w:rsidP="009A51BF">
                        <w:pPr>
                          <w:spacing w:line="270" w:lineRule="atLeast"/>
                          <w:jc w:val="center"/>
                        </w:pPr>
                        <w:r w:rsidRPr="00DF6E70">
                          <w:t>0</w:t>
                        </w:r>
                      </w:p>
                    </w:tc>
                  </w:tr>
                  <w:tr w:rsidR="00154DBA" w:rsidRPr="00DF6E70" w14:paraId="66D4366B"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465840B4" w14:textId="77777777" w:rsidR="00154DBA" w:rsidRPr="00DF6E70" w:rsidRDefault="00154DBA" w:rsidP="00922E76">
                        <w:pPr>
                          <w:spacing w:before="100" w:beforeAutospacing="1" w:after="100" w:afterAutospacing="1"/>
                          <w:ind w:firstLine="112"/>
                        </w:pPr>
                        <w:r w:rsidRPr="00DF6E70">
                          <w:t>3. Finansiālā ietekme:</w:t>
                        </w:r>
                      </w:p>
                    </w:tc>
                    <w:tc>
                      <w:tcPr>
                        <w:tcW w:w="1843" w:type="dxa"/>
                        <w:tcBorders>
                          <w:top w:val="outset" w:sz="6" w:space="0" w:color="000000"/>
                          <w:left w:val="outset" w:sz="6" w:space="0" w:color="000000"/>
                          <w:bottom w:val="outset" w:sz="6" w:space="0" w:color="000000"/>
                          <w:right w:val="outset" w:sz="6" w:space="0" w:color="000000"/>
                        </w:tcBorders>
                        <w:vAlign w:val="center"/>
                      </w:tcPr>
                      <w:p w14:paraId="42B71900" w14:textId="77777777" w:rsidR="00154DBA" w:rsidRPr="00DF6E70" w:rsidRDefault="00154DBA" w:rsidP="009A51BF">
                        <w:pPr>
                          <w:spacing w:line="270" w:lineRule="atLeast"/>
                          <w:jc w:val="center"/>
                        </w:pPr>
                        <w:r w:rsidRPr="00DF6E70">
                          <w:rPr>
                            <w:b/>
                          </w:rPr>
                          <w:t>0</w:t>
                        </w:r>
                      </w:p>
                    </w:tc>
                    <w:tc>
                      <w:tcPr>
                        <w:tcW w:w="1080" w:type="dxa"/>
                        <w:tcBorders>
                          <w:top w:val="outset" w:sz="6" w:space="0" w:color="000000"/>
                          <w:left w:val="outset" w:sz="6" w:space="0" w:color="000000"/>
                          <w:bottom w:val="outset" w:sz="6" w:space="0" w:color="000000"/>
                          <w:right w:val="outset" w:sz="6" w:space="0" w:color="000000"/>
                        </w:tcBorders>
                        <w:vAlign w:val="center"/>
                      </w:tcPr>
                      <w:p w14:paraId="0546E627" w14:textId="77777777" w:rsidR="00154DBA" w:rsidRPr="00DF6E70" w:rsidRDefault="00154DBA" w:rsidP="009A51BF">
                        <w:pPr>
                          <w:spacing w:line="270" w:lineRule="atLeast"/>
                          <w:jc w:val="center"/>
                          <w:rPr>
                            <w:b/>
                          </w:rPr>
                        </w:pPr>
                        <w:r w:rsidRPr="00DF6E70">
                          <w:rPr>
                            <w:b/>
                          </w:rPr>
                          <w:t>0</w:t>
                        </w:r>
                      </w:p>
                    </w:tc>
                    <w:tc>
                      <w:tcPr>
                        <w:tcW w:w="1385" w:type="dxa"/>
                        <w:tcBorders>
                          <w:top w:val="outset" w:sz="6" w:space="0" w:color="000000"/>
                          <w:left w:val="outset" w:sz="6" w:space="0" w:color="000000"/>
                          <w:bottom w:val="outset" w:sz="6" w:space="0" w:color="000000"/>
                          <w:right w:val="outset" w:sz="6" w:space="0" w:color="000000"/>
                        </w:tcBorders>
                        <w:vAlign w:val="center"/>
                      </w:tcPr>
                      <w:p w14:paraId="0BF80EC8" w14:textId="77777777" w:rsidR="00154DBA" w:rsidRPr="00DF6E70" w:rsidRDefault="00154DBA" w:rsidP="009A51BF">
                        <w:pPr>
                          <w:spacing w:line="270" w:lineRule="atLeast"/>
                          <w:jc w:val="center"/>
                          <w:rPr>
                            <w:b/>
                          </w:rPr>
                        </w:pPr>
                        <w:r w:rsidRPr="00DF6E70">
                          <w:rPr>
                            <w:b/>
                          </w:rPr>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465BD35E" w14:textId="77777777" w:rsidR="00154DBA" w:rsidRPr="00DF6E70" w:rsidRDefault="00154DBA" w:rsidP="009A51BF">
                        <w:pPr>
                          <w:spacing w:line="270" w:lineRule="atLeast"/>
                          <w:jc w:val="center"/>
                          <w:rPr>
                            <w:b/>
                          </w:rPr>
                        </w:pPr>
                        <w:r w:rsidRPr="00DF6E70">
                          <w:rPr>
                            <w:b/>
                          </w:rPr>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4BC88647" w14:textId="77777777" w:rsidR="00154DBA" w:rsidRPr="00DF6E70" w:rsidRDefault="00154DBA" w:rsidP="009A51BF">
                        <w:pPr>
                          <w:spacing w:line="270" w:lineRule="atLeast"/>
                          <w:jc w:val="center"/>
                          <w:rPr>
                            <w:b/>
                          </w:rPr>
                        </w:pPr>
                        <w:r w:rsidRPr="00DF6E70">
                          <w:rPr>
                            <w:b/>
                          </w:rPr>
                          <w:t>0</w:t>
                        </w:r>
                      </w:p>
                    </w:tc>
                  </w:tr>
                  <w:tr w:rsidR="00154DBA" w:rsidRPr="00DF6E70" w14:paraId="488D2C31"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7638A4E6" w14:textId="77777777" w:rsidR="00154DBA" w:rsidRPr="00DF6E70" w:rsidRDefault="00154DBA" w:rsidP="00922E76">
                        <w:pPr>
                          <w:spacing w:before="100" w:beforeAutospacing="1" w:after="100" w:afterAutospacing="1"/>
                          <w:ind w:firstLine="112"/>
                        </w:pPr>
                        <w:r w:rsidRPr="00DF6E70">
                          <w:t>3.1. valsts pamatbudžets</w:t>
                        </w:r>
                      </w:p>
                    </w:tc>
                    <w:tc>
                      <w:tcPr>
                        <w:tcW w:w="1843" w:type="dxa"/>
                        <w:tcBorders>
                          <w:top w:val="outset" w:sz="6" w:space="0" w:color="000000"/>
                          <w:left w:val="outset" w:sz="6" w:space="0" w:color="000000"/>
                          <w:bottom w:val="outset" w:sz="6" w:space="0" w:color="000000"/>
                          <w:right w:val="outset" w:sz="6" w:space="0" w:color="000000"/>
                        </w:tcBorders>
                        <w:vAlign w:val="center"/>
                      </w:tcPr>
                      <w:p w14:paraId="761AF952" w14:textId="77777777" w:rsidR="00154DBA" w:rsidRPr="00DF6E70" w:rsidRDefault="00154DBA" w:rsidP="009A51BF">
                        <w:pPr>
                          <w:spacing w:line="270" w:lineRule="atLeast"/>
                          <w:jc w:val="center"/>
                        </w:pPr>
                        <w:r w:rsidRPr="00DF6E70">
                          <w:t>0</w:t>
                        </w:r>
                      </w:p>
                    </w:tc>
                    <w:tc>
                      <w:tcPr>
                        <w:tcW w:w="1080" w:type="dxa"/>
                        <w:tcBorders>
                          <w:top w:val="outset" w:sz="6" w:space="0" w:color="000000"/>
                          <w:left w:val="outset" w:sz="6" w:space="0" w:color="000000"/>
                          <w:bottom w:val="outset" w:sz="6" w:space="0" w:color="000000"/>
                          <w:right w:val="outset" w:sz="6" w:space="0" w:color="000000"/>
                        </w:tcBorders>
                        <w:vAlign w:val="center"/>
                      </w:tcPr>
                      <w:p w14:paraId="03DBC30B" w14:textId="77777777" w:rsidR="00154DBA" w:rsidRPr="00DF6E70" w:rsidRDefault="00154DBA" w:rsidP="009A51BF">
                        <w:pPr>
                          <w:spacing w:line="270" w:lineRule="atLeast"/>
                          <w:jc w:val="center"/>
                        </w:pPr>
                        <w:r w:rsidRPr="00DF6E70">
                          <w:t>0</w:t>
                        </w:r>
                      </w:p>
                    </w:tc>
                    <w:tc>
                      <w:tcPr>
                        <w:tcW w:w="1385" w:type="dxa"/>
                        <w:tcBorders>
                          <w:top w:val="outset" w:sz="6" w:space="0" w:color="000000"/>
                          <w:left w:val="outset" w:sz="6" w:space="0" w:color="000000"/>
                          <w:bottom w:val="outset" w:sz="6" w:space="0" w:color="000000"/>
                          <w:right w:val="outset" w:sz="6" w:space="0" w:color="000000"/>
                        </w:tcBorders>
                        <w:vAlign w:val="center"/>
                      </w:tcPr>
                      <w:p w14:paraId="20D6210A" w14:textId="77777777" w:rsidR="00154DBA" w:rsidRPr="00DF6E70" w:rsidRDefault="00154DBA" w:rsidP="009A51BF">
                        <w:pPr>
                          <w:spacing w:line="270" w:lineRule="atLeast"/>
                          <w:jc w:val="center"/>
                        </w:pPr>
                        <w:r w:rsidRPr="00DF6E70">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51BE3E45" w14:textId="77777777" w:rsidR="00154DBA" w:rsidRPr="00DF6E70" w:rsidRDefault="00154DBA" w:rsidP="009A51BF">
                        <w:pPr>
                          <w:spacing w:line="270" w:lineRule="atLeast"/>
                          <w:jc w:val="center"/>
                        </w:pPr>
                        <w:r w:rsidRPr="00DF6E70">
                          <w:rPr>
                            <w:b/>
                          </w:rPr>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0A67BB68" w14:textId="77777777" w:rsidR="00154DBA" w:rsidRPr="00DF6E70" w:rsidRDefault="00154DBA" w:rsidP="009A51BF">
                        <w:pPr>
                          <w:spacing w:line="270" w:lineRule="atLeast"/>
                          <w:jc w:val="center"/>
                        </w:pPr>
                        <w:r w:rsidRPr="00DF6E70">
                          <w:rPr>
                            <w:b/>
                          </w:rPr>
                          <w:t>0</w:t>
                        </w:r>
                      </w:p>
                    </w:tc>
                  </w:tr>
                  <w:tr w:rsidR="00154DBA" w:rsidRPr="00DF6E70" w14:paraId="5199224B"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6AE54278" w14:textId="77777777" w:rsidR="00154DBA" w:rsidRPr="00DF6E70" w:rsidRDefault="00154DBA" w:rsidP="00922E76">
                        <w:pPr>
                          <w:spacing w:before="100" w:beforeAutospacing="1" w:after="100" w:afterAutospacing="1"/>
                          <w:ind w:firstLine="112"/>
                        </w:pPr>
                        <w:r w:rsidRPr="00DF6E70">
                          <w:t>3.2. speciālais budžets</w:t>
                        </w:r>
                      </w:p>
                    </w:tc>
                    <w:tc>
                      <w:tcPr>
                        <w:tcW w:w="1843" w:type="dxa"/>
                        <w:tcBorders>
                          <w:top w:val="outset" w:sz="6" w:space="0" w:color="000000"/>
                          <w:left w:val="outset" w:sz="6" w:space="0" w:color="000000"/>
                          <w:bottom w:val="outset" w:sz="6" w:space="0" w:color="000000"/>
                          <w:right w:val="outset" w:sz="6" w:space="0" w:color="000000"/>
                        </w:tcBorders>
                      </w:tcPr>
                      <w:p w14:paraId="7833DA4B" w14:textId="77777777" w:rsidR="00154DBA" w:rsidRPr="00DF6E70" w:rsidRDefault="00154DBA" w:rsidP="009A51BF">
                        <w:pPr>
                          <w:spacing w:line="270" w:lineRule="atLeast"/>
                        </w:pPr>
                        <w:r w:rsidRPr="00DF6E70">
                          <w:t> </w:t>
                        </w:r>
                      </w:p>
                    </w:tc>
                    <w:tc>
                      <w:tcPr>
                        <w:tcW w:w="1080" w:type="dxa"/>
                        <w:tcBorders>
                          <w:top w:val="outset" w:sz="6" w:space="0" w:color="000000"/>
                          <w:left w:val="outset" w:sz="6" w:space="0" w:color="000000"/>
                          <w:bottom w:val="outset" w:sz="6" w:space="0" w:color="000000"/>
                          <w:right w:val="outset" w:sz="6" w:space="0" w:color="000000"/>
                        </w:tcBorders>
                      </w:tcPr>
                      <w:p w14:paraId="784A743E" w14:textId="77777777" w:rsidR="00154DBA" w:rsidRPr="00DF6E70"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tcPr>
                      <w:p w14:paraId="5B5A583F" w14:textId="77777777" w:rsidR="00154DBA" w:rsidRPr="00DF6E70" w:rsidRDefault="00154DBA" w:rsidP="009A51BF">
                        <w:pPr>
                          <w:spacing w:line="270" w:lineRule="atLeast"/>
                          <w:jc w:val="center"/>
                        </w:pPr>
                        <w:r w:rsidRPr="00DF6E70">
                          <w:t>0</w:t>
                        </w:r>
                      </w:p>
                    </w:tc>
                    <w:tc>
                      <w:tcPr>
                        <w:tcW w:w="1526" w:type="dxa"/>
                        <w:tcBorders>
                          <w:top w:val="outset" w:sz="6" w:space="0" w:color="000000"/>
                          <w:left w:val="outset" w:sz="6" w:space="0" w:color="000000"/>
                          <w:bottom w:val="outset" w:sz="6" w:space="0" w:color="000000"/>
                          <w:right w:val="outset" w:sz="6" w:space="0" w:color="000000"/>
                        </w:tcBorders>
                      </w:tcPr>
                      <w:p w14:paraId="33F84E1E" w14:textId="77777777" w:rsidR="00154DBA" w:rsidRPr="00DF6E70" w:rsidRDefault="00154DBA" w:rsidP="009A51BF">
                        <w:pPr>
                          <w:spacing w:line="270" w:lineRule="atLeast"/>
                          <w:jc w:val="center"/>
                        </w:pPr>
                        <w:r w:rsidRPr="00DF6E70">
                          <w:t>0</w:t>
                        </w:r>
                      </w:p>
                    </w:tc>
                    <w:tc>
                      <w:tcPr>
                        <w:tcW w:w="1404" w:type="dxa"/>
                        <w:tcBorders>
                          <w:top w:val="outset" w:sz="6" w:space="0" w:color="000000"/>
                          <w:left w:val="outset" w:sz="6" w:space="0" w:color="000000"/>
                          <w:bottom w:val="outset" w:sz="6" w:space="0" w:color="000000"/>
                          <w:right w:val="outset" w:sz="6" w:space="0" w:color="000000"/>
                        </w:tcBorders>
                      </w:tcPr>
                      <w:p w14:paraId="57D99795" w14:textId="77777777" w:rsidR="00154DBA" w:rsidRPr="00DF6E70" w:rsidRDefault="00154DBA" w:rsidP="009A51BF">
                        <w:pPr>
                          <w:spacing w:line="270" w:lineRule="atLeast"/>
                          <w:jc w:val="center"/>
                        </w:pPr>
                        <w:r w:rsidRPr="00DF6E70">
                          <w:t>0</w:t>
                        </w:r>
                      </w:p>
                    </w:tc>
                  </w:tr>
                  <w:tr w:rsidR="00154DBA" w:rsidRPr="00DF6E70" w14:paraId="1A987900"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7AC5780D" w14:textId="77777777" w:rsidR="00154DBA" w:rsidRPr="00DF6E70" w:rsidRDefault="00154DBA" w:rsidP="00922E76">
                        <w:pPr>
                          <w:spacing w:before="100" w:beforeAutospacing="1" w:after="100" w:afterAutospacing="1"/>
                          <w:ind w:firstLine="112"/>
                        </w:pPr>
                        <w:r w:rsidRPr="00DF6E70">
                          <w:t>3.3. pašvaldību budžets</w:t>
                        </w:r>
                      </w:p>
                    </w:tc>
                    <w:tc>
                      <w:tcPr>
                        <w:tcW w:w="1843" w:type="dxa"/>
                        <w:tcBorders>
                          <w:top w:val="outset" w:sz="6" w:space="0" w:color="000000"/>
                          <w:left w:val="outset" w:sz="6" w:space="0" w:color="000000"/>
                          <w:bottom w:val="outset" w:sz="6" w:space="0" w:color="000000"/>
                          <w:right w:val="outset" w:sz="6" w:space="0" w:color="000000"/>
                        </w:tcBorders>
                      </w:tcPr>
                      <w:p w14:paraId="049B7EA4" w14:textId="77777777" w:rsidR="00154DBA" w:rsidRPr="00DF6E70" w:rsidRDefault="00154DBA" w:rsidP="009A51BF">
                        <w:pPr>
                          <w:spacing w:line="270" w:lineRule="atLeast"/>
                        </w:pPr>
                        <w:r w:rsidRPr="00DF6E70">
                          <w:t> </w:t>
                        </w:r>
                      </w:p>
                    </w:tc>
                    <w:tc>
                      <w:tcPr>
                        <w:tcW w:w="1080" w:type="dxa"/>
                        <w:tcBorders>
                          <w:top w:val="outset" w:sz="6" w:space="0" w:color="000000"/>
                          <w:left w:val="outset" w:sz="6" w:space="0" w:color="000000"/>
                          <w:bottom w:val="outset" w:sz="6" w:space="0" w:color="000000"/>
                          <w:right w:val="outset" w:sz="6" w:space="0" w:color="000000"/>
                        </w:tcBorders>
                      </w:tcPr>
                      <w:p w14:paraId="5C560D0D" w14:textId="77777777" w:rsidR="00154DBA" w:rsidRPr="00DF6E70" w:rsidRDefault="00154DBA" w:rsidP="009A51BF">
                        <w:pPr>
                          <w:spacing w:line="270" w:lineRule="atLeast"/>
                          <w:jc w:val="center"/>
                        </w:pPr>
                        <w:r w:rsidRPr="00DF6E70">
                          <w:t>0</w:t>
                        </w:r>
                      </w:p>
                    </w:tc>
                    <w:tc>
                      <w:tcPr>
                        <w:tcW w:w="1385" w:type="dxa"/>
                        <w:tcBorders>
                          <w:top w:val="outset" w:sz="6" w:space="0" w:color="000000"/>
                          <w:left w:val="outset" w:sz="6" w:space="0" w:color="000000"/>
                          <w:bottom w:val="outset" w:sz="6" w:space="0" w:color="000000"/>
                          <w:right w:val="outset" w:sz="6" w:space="0" w:color="000000"/>
                        </w:tcBorders>
                      </w:tcPr>
                      <w:p w14:paraId="6C3FA3C1" w14:textId="77777777" w:rsidR="00154DBA" w:rsidRPr="00DF6E70" w:rsidRDefault="00154DBA" w:rsidP="009A51BF">
                        <w:pPr>
                          <w:spacing w:line="270" w:lineRule="atLeast"/>
                          <w:jc w:val="center"/>
                        </w:pPr>
                        <w:r w:rsidRPr="00DF6E70">
                          <w:t>0</w:t>
                        </w:r>
                      </w:p>
                    </w:tc>
                    <w:tc>
                      <w:tcPr>
                        <w:tcW w:w="1526" w:type="dxa"/>
                        <w:tcBorders>
                          <w:top w:val="outset" w:sz="6" w:space="0" w:color="000000"/>
                          <w:left w:val="outset" w:sz="6" w:space="0" w:color="000000"/>
                          <w:bottom w:val="outset" w:sz="6" w:space="0" w:color="000000"/>
                          <w:right w:val="outset" w:sz="6" w:space="0" w:color="000000"/>
                        </w:tcBorders>
                      </w:tcPr>
                      <w:p w14:paraId="607A22DD" w14:textId="77777777" w:rsidR="00154DBA" w:rsidRPr="00DF6E70" w:rsidRDefault="00154DBA" w:rsidP="009A51BF">
                        <w:pPr>
                          <w:spacing w:line="270" w:lineRule="atLeast"/>
                          <w:jc w:val="center"/>
                        </w:pPr>
                        <w:r w:rsidRPr="00DF6E70">
                          <w:t>0</w:t>
                        </w:r>
                      </w:p>
                    </w:tc>
                    <w:tc>
                      <w:tcPr>
                        <w:tcW w:w="1404" w:type="dxa"/>
                        <w:tcBorders>
                          <w:top w:val="outset" w:sz="6" w:space="0" w:color="000000"/>
                          <w:left w:val="outset" w:sz="6" w:space="0" w:color="000000"/>
                          <w:bottom w:val="outset" w:sz="6" w:space="0" w:color="000000"/>
                          <w:right w:val="outset" w:sz="6" w:space="0" w:color="000000"/>
                        </w:tcBorders>
                      </w:tcPr>
                      <w:p w14:paraId="48986CF3" w14:textId="77777777" w:rsidR="00154DBA" w:rsidRPr="00DF6E70" w:rsidRDefault="00154DBA" w:rsidP="009A51BF">
                        <w:pPr>
                          <w:spacing w:line="270" w:lineRule="atLeast"/>
                          <w:jc w:val="center"/>
                        </w:pPr>
                        <w:r w:rsidRPr="00DF6E70">
                          <w:t>0</w:t>
                        </w:r>
                      </w:p>
                    </w:tc>
                  </w:tr>
                  <w:tr w:rsidR="00154DBA" w:rsidRPr="00DF6E70" w14:paraId="1A2AC62D" w14:textId="77777777" w:rsidTr="009A7491">
                    <w:tc>
                      <w:tcPr>
                        <w:tcW w:w="2148" w:type="dxa"/>
                        <w:vMerge w:val="restart"/>
                        <w:tcBorders>
                          <w:top w:val="outset" w:sz="6" w:space="0" w:color="000000"/>
                          <w:left w:val="outset" w:sz="6" w:space="0" w:color="000000"/>
                          <w:bottom w:val="outset" w:sz="6" w:space="0" w:color="000000"/>
                          <w:right w:val="outset" w:sz="6" w:space="0" w:color="000000"/>
                        </w:tcBorders>
                      </w:tcPr>
                      <w:p w14:paraId="6666BCDB" w14:textId="77777777" w:rsidR="00154DBA" w:rsidRPr="00DF6E70" w:rsidRDefault="00154DBA" w:rsidP="00922E76">
                        <w:pPr>
                          <w:spacing w:before="100" w:beforeAutospacing="1" w:after="100" w:afterAutospacing="1"/>
                          <w:ind w:firstLine="112"/>
                        </w:pPr>
                        <w:r w:rsidRPr="00DF6E70">
                          <w:t>4. Finanšu līdzekļi papildu izdevumu finansēšanai (kompensējošu izdevumu samazinājumu norāda ar "+" zīmi)</w:t>
                        </w:r>
                      </w:p>
                    </w:tc>
                    <w:tc>
                      <w:tcPr>
                        <w:tcW w:w="1843" w:type="dxa"/>
                        <w:vMerge w:val="restart"/>
                        <w:tcBorders>
                          <w:top w:val="outset" w:sz="6" w:space="0" w:color="000000"/>
                          <w:left w:val="outset" w:sz="6" w:space="0" w:color="000000"/>
                          <w:bottom w:val="outset" w:sz="6" w:space="0" w:color="000000"/>
                          <w:right w:val="outset" w:sz="6" w:space="0" w:color="000000"/>
                        </w:tcBorders>
                      </w:tcPr>
                      <w:p w14:paraId="0E67FED2" w14:textId="77777777" w:rsidR="00154DBA" w:rsidRPr="00DF6E70" w:rsidRDefault="00154DBA" w:rsidP="009A51BF">
                        <w:pPr>
                          <w:spacing w:before="100" w:beforeAutospacing="1" w:after="100" w:afterAutospacing="1"/>
                          <w:jc w:val="center"/>
                        </w:pPr>
                        <w:r w:rsidRPr="00DF6E70">
                          <w:t>X</w:t>
                        </w:r>
                      </w:p>
                    </w:tc>
                    <w:tc>
                      <w:tcPr>
                        <w:tcW w:w="1080" w:type="dxa"/>
                        <w:tcBorders>
                          <w:top w:val="outset" w:sz="6" w:space="0" w:color="000000"/>
                          <w:left w:val="outset" w:sz="6" w:space="0" w:color="000000"/>
                          <w:bottom w:val="outset" w:sz="6" w:space="0" w:color="000000"/>
                          <w:right w:val="outset" w:sz="6" w:space="0" w:color="000000"/>
                        </w:tcBorders>
                      </w:tcPr>
                      <w:p w14:paraId="46A768EC" w14:textId="77777777" w:rsidR="00154DBA" w:rsidRPr="00DF6E70" w:rsidRDefault="00154DBA" w:rsidP="009A51BF">
                        <w:pPr>
                          <w:spacing w:line="270" w:lineRule="atLeast"/>
                          <w:jc w:val="center"/>
                        </w:pPr>
                        <w:r w:rsidRPr="00DF6E70">
                          <w:t>0</w:t>
                        </w:r>
                      </w:p>
                    </w:tc>
                    <w:tc>
                      <w:tcPr>
                        <w:tcW w:w="1385" w:type="dxa"/>
                        <w:tcBorders>
                          <w:top w:val="outset" w:sz="6" w:space="0" w:color="000000"/>
                          <w:left w:val="outset" w:sz="6" w:space="0" w:color="000000"/>
                          <w:bottom w:val="outset" w:sz="6" w:space="0" w:color="000000"/>
                          <w:right w:val="outset" w:sz="6" w:space="0" w:color="000000"/>
                        </w:tcBorders>
                      </w:tcPr>
                      <w:p w14:paraId="1F710D23" w14:textId="77777777" w:rsidR="00154DBA" w:rsidRPr="00DF6E70" w:rsidRDefault="00154DBA" w:rsidP="009A51BF">
                        <w:pPr>
                          <w:spacing w:line="270" w:lineRule="atLeast"/>
                          <w:jc w:val="center"/>
                        </w:pPr>
                        <w:r w:rsidRPr="00DF6E70">
                          <w:t>0</w:t>
                        </w:r>
                      </w:p>
                    </w:tc>
                    <w:tc>
                      <w:tcPr>
                        <w:tcW w:w="1526" w:type="dxa"/>
                        <w:tcBorders>
                          <w:top w:val="outset" w:sz="6" w:space="0" w:color="000000"/>
                          <w:left w:val="outset" w:sz="6" w:space="0" w:color="000000"/>
                          <w:bottom w:val="outset" w:sz="6" w:space="0" w:color="000000"/>
                          <w:right w:val="outset" w:sz="6" w:space="0" w:color="000000"/>
                        </w:tcBorders>
                      </w:tcPr>
                      <w:p w14:paraId="4F11C4AA" w14:textId="77777777" w:rsidR="00154DBA" w:rsidRPr="00DF6E70" w:rsidRDefault="00154DBA" w:rsidP="009A51BF">
                        <w:pPr>
                          <w:spacing w:line="270" w:lineRule="atLeast"/>
                          <w:jc w:val="center"/>
                        </w:pPr>
                        <w:r w:rsidRPr="00DF6E70">
                          <w:t>0</w:t>
                        </w:r>
                      </w:p>
                    </w:tc>
                    <w:tc>
                      <w:tcPr>
                        <w:tcW w:w="1404" w:type="dxa"/>
                        <w:tcBorders>
                          <w:top w:val="outset" w:sz="6" w:space="0" w:color="000000"/>
                          <w:left w:val="outset" w:sz="6" w:space="0" w:color="000000"/>
                          <w:bottom w:val="outset" w:sz="6" w:space="0" w:color="000000"/>
                          <w:right w:val="outset" w:sz="6" w:space="0" w:color="000000"/>
                        </w:tcBorders>
                      </w:tcPr>
                      <w:p w14:paraId="77B29C80" w14:textId="77777777" w:rsidR="00154DBA" w:rsidRPr="00DF6E70" w:rsidRDefault="00154DBA" w:rsidP="009A51BF">
                        <w:pPr>
                          <w:spacing w:line="270" w:lineRule="atLeast"/>
                          <w:jc w:val="center"/>
                        </w:pPr>
                        <w:r w:rsidRPr="00DF6E70">
                          <w:t>0</w:t>
                        </w:r>
                      </w:p>
                    </w:tc>
                  </w:tr>
                  <w:tr w:rsidR="00154DBA" w:rsidRPr="00DF6E70" w14:paraId="67CC2953" w14:textId="77777777" w:rsidTr="009A7491">
                    <w:tc>
                      <w:tcPr>
                        <w:tcW w:w="2148" w:type="dxa"/>
                        <w:vMerge/>
                        <w:tcBorders>
                          <w:top w:val="outset" w:sz="6" w:space="0" w:color="000000"/>
                          <w:left w:val="outset" w:sz="6" w:space="0" w:color="000000"/>
                          <w:bottom w:val="outset" w:sz="6" w:space="0" w:color="000000"/>
                          <w:right w:val="outset" w:sz="6" w:space="0" w:color="000000"/>
                        </w:tcBorders>
                        <w:vAlign w:val="center"/>
                      </w:tcPr>
                      <w:p w14:paraId="76016092" w14:textId="77777777" w:rsidR="00154DBA" w:rsidRPr="00DF6E70" w:rsidRDefault="00154DBA" w:rsidP="00922E76">
                        <w:pPr>
                          <w:ind w:firstLine="112"/>
                        </w:pPr>
                      </w:p>
                    </w:tc>
                    <w:tc>
                      <w:tcPr>
                        <w:tcW w:w="1843" w:type="dxa"/>
                        <w:vMerge/>
                        <w:tcBorders>
                          <w:top w:val="outset" w:sz="6" w:space="0" w:color="000000"/>
                          <w:left w:val="outset" w:sz="6" w:space="0" w:color="000000"/>
                          <w:bottom w:val="outset" w:sz="6" w:space="0" w:color="000000"/>
                          <w:right w:val="outset" w:sz="6" w:space="0" w:color="000000"/>
                        </w:tcBorders>
                        <w:vAlign w:val="center"/>
                      </w:tcPr>
                      <w:p w14:paraId="2DE2B208" w14:textId="77777777" w:rsidR="00154DBA" w:rsidRPr="00DF6E70" w:rsidRDefault="00154DBA" w:rsidP="009A51BF"/>
                    </w:tc>
                    <w:tc>
                      <w:tcPr>
                        <w:tcW w:w="1080" w:type="dxa"/>
                        <w:tcBorders>
                          <w:top w:val="outset" w:sz="6" w:space="0" w:color="000000"/>
                          <w:left w:val="outset" w:sz="6" w:space="0" w:color="000000"/>
                          <w:bottom w:val="outset" w:sz="6" w:space="0" w:color="000000"/>
                          <w:right w:val="outset" w:sz="6" w:space="0" w:color="000000"/>
                        </w:tcBorders>
                      </w:tcPr>
                      <w:p w14:paraId="6CD4B372" w14:textId="77777777" w:rsidR="00154DBA" w:rsidRPr="00DF6E70"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tcPr>
                      <w:p w14:paraId="36F514C0" w14:textId="77777777" w:rsidR="00154DBA" w:rsidRPr="00DF6E70" w:rsidRDefault="00154DBA" w:rsidP="009A51BF">
                        <w:pPr>
                          <w:spacing w:line="270" w:lineRule="atLeast"/>
                          <w:jc w:val="center"/>
                        </w:pPr>
                      </w:p>
                    </w:tc>
                    <w:tc>
                      <w:tcPr>
                        <w:tcW w:w="1526" w:type="dxa"/>
                        <w:tcBorders>
                          <w:top w:val="outset" w:sz="6" w:space="0" w:color="000000"/>
                          <w:left w:val="outset" w:sz="6" w:space="0" w:color="000000"/>
                          <w:bottom w:val="outset" w:sz="6" w:space="0" w:color="000000"/>
                          <w:right w:val="outset" w:sz="6" w:space="0" w:color="000000"/>
                        </w:tcBorders>
                      </w:tcPr>
                      <w:p w14:paraId="7329D8CC" w14:textId="77777777" w:rsidR="00154DBA" w:rsidRPr="00DF6E70" w:rsidRDefault="00154DBA" w:rsidP="009A51BF">
                        <w:pPr>
                          <w:spacing w:line="270" w:lineRule="atLeast"/>
                          <w:jc w:val="center"/>
                        </w:pPr>
                      </w:p>
                    </w:tc>
                    <w:tc>
                      <w:tcPr>
                        <w:tcW w:w="1404" w:type="dxa"/>
                        <w:tcBorders>
                          <w:top w:val="outset" w:sz="6" w:space="0" w:color="000000"/>
                          <w:left w:val="outset" w:sz="6" w:space="0" w:color="000000"/>
                          <w:bottom w:val="outset" w:sz="6" w:space="0" w:color="000000"/>
                          <w:right w:val="outset" w:sz="6" w:space="0" w:color="000000"/>
                        </w:tcBorders>
                      </w:tcPr>
                      <w:p w14:paraId="276EFC27" w14:textId="77777777" w:rsidR="00154DBA" w:rsidRPr="00DF6E70" w:rsidRDefault="00154DBA" w:rsidP="009A51BF">
                        <w:pPr>
                          <w:spacing w:line="270" w:lineRule="atLeast"/>
                          <w:jc w:val="center"/>
                        </w:pPr>
                      </w:p>
                    </w:tc>
                  </w:tr>
                  <w:tr w:rsidR="00154DBA" w:rsidRPr="00DF6E70" w14:paraId="4AED72CB" w14:textId="77777777" w:rsidTr="009A7491">
                    <w:tc>
                      <w:tcPr>
                        <w:tcW w:w="2148" w:type="dxa"/>
                        <w:vMerge/>
                        <w:tcBorders>
                          <w:top w:val="outset" w:sz="6" w:space="0" w:color="000000"/>
                          <w:left w:val="outset" w:sz="6" w:space="0" w:color="000000"/>
                          <w:bottom w:val="outset" w:sz="6" w:space="0" w:color="000000"/>
                          <w:right w:val="outset" w:sz="6" w:space="0" w:color="000000"/>
                        </w:tcBorders>
                        <w:vAlign w:val="center"/>
                      </w:tcPr>
                      <w:p w14:paraId="1E5A4818" w14:textId="77777777" w:rsidR="00154DBA" w:rsidRPr="00DF6E70" w:rsidRDefault="00154DBA" w:rsidP="00922E76">
                        <w:pPr>
                          <w:ind w:firstLine="112"/>
                        </w:pPr>
                      </w:p>
                    </w:tc>
                    <w:tc>
                      <w:tcPr>
                        <w:tcW w:w="1843" w:type="dxa"/>
                        <w:vMerge/>
                        <w:tcBorders>
                          <w:top w:val="outset" w:sz="6" w:space="0" w:color="000000"/>
                          <w:left w:val="outset" w:sz="6" w:space="0" w:color="000000"/>
                          <w:bottom w:val="outset" w:sz="6" w:space="0" w:color="000000"/>
                          <w:right w:val="outset" w:sz="6" w:space="0" w:color="000000"/>
                        </w:tcBorders>
                        <w:vAlign w:val="center"/>
                      </w:tcPr>
                      <w:p w14:paraId="088C8CA0" w14:textId="77777777" w:rsidR="00154DBA" w:rsidRPr="00DF6E70" w:rsidRDefault="00154DBA" w:rsidP="009A51BF"/>
                    </w:tc>
                    <w:tc>
                      <w:tcPr>
                        <w:tcW w:w="1080" w:type="dxa"/>
                        <w:tcBorders>
                          <w:top w:val="outset" w:sz="6" w:space="0" w:color="000000"/>
                          <w:left w:val="outset" w:sz="6" w:space="0" w:color="000000"/>
                          <w:bottom w:val="outset" w:sz="6" w:space="0" w:color="000000"/>
                          <w:right w:val="outset" w:sz="6" w:space="0" w:color="000000"/>
                        </w:tcBorders>
                      </w:tcPr>
                      <w:p w14:paraId="12FB89AE" w14:textId="77777777" w:rsidR="00154DBA" w:rsidRPr="00DF6E70"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tcPr>
                      <w:p w14:paraId="56DD8A7D" w14:textId="77777777" w:rsidR="00154DBA" w:rsidRPr="00DF6E70" w:rsidRDefault="00154DBA" w:rsidP="009A51BF">
                        <w:pPr>
                          <w:spacing w:line="270" w:lineRule="atLeast"/>
                          <w:jc w:val="center"/>
                        </w:pPr>
                      </w:p>
                    </w:tc>
                    <w:tc>
                      <w:tcPr>
                        <w:tcW w:w="1526" w:type="dxa"/>
                        <w:tcBorders>
                          <w:top w:val="outset" w:sz="6" w:space="0" w:color="000000"/>
                          <w:left w:val="outset" w:sz="6" w:space="0" w:color="000000"/>
                          <w:bottom w:val="outset" w:sz="6" w:space="0" w:color="000000"/>
                          <w:right w:val="outset" w:sz="6" w:space="0" w:color="000000"/>
                        </w:tcBorders>
                      </w:tcPr>
                      <w:p w14:paraId="0C16B2AF" w14:textId="77777777" w:rsidR="00154DBA" w:rsidRPr="00DF6E70" w:rsidRDefault="00154DBA" w:rsidP="009A51BF">
                        <w:pPr>
                          <w:spacing w:line="270" w:lineRule="atLeast"/>
                          <w:jc w:val="center"/>
                        </w:pPr>
                      </w:p>
                    </w:tc>
                    <w:tc>
                      <w:tcPr>
                        <w:tcW w:w="1404" w:type="dxa"/>
                        <w:tcBorders>
                          <w:top w:val="outset" w:sz="6" w:space="0" w:color="000000"/>
                          <w:left w:val="outset" w:sz="6" w:space="0" w:color="000000"/>
                          <w:bottom w:val="outset" w:sz="6" w:space="0" w:color="000000"/>
                          <w:right w:val="outset" w:sz="6" w:space="0" w:color="000000"/>
                        </w:tcBorders>
                      </w:tcPr>
                      <w:p w14:paraId="5DD18BCF" w14:textId="77777777" w:rsidR="00154DBA" w:rsidRPr="00DF6E70" w:rsidRDefault="00154DBA" w:rsidP="009A51BF">
                        <w:pPr>
                          <w:spacing w:line="270" w:lineRule="atLeast"/>
                          <w:jc w:val="center"/>
                        </w:pPr>
                      </w:p>
                    </w:tc>
                  </w:tr>
                  <w:tr w:rsidR="00154DBA" w:rsidRPr="00DF6E70" w14:paraId="166415EE"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1259B37C" w14:textId="77777777" w:rsidR="00154DBA" w:rsidRPr="00DF6E70" w:rsidRDefault="00154DBA" w:rsidP="00922E76">
                        <w:pPr>
                          <w:spacing w:before="100" w:beforeAutospacing="1" w:after="100" w:afterAutospacing="1"/>
                          <w:ind w:firstLine="112"/>
                        </w:pPr>
                        <w:r w:rsidRPr="00DF6E70">
                          <w:t>5. Precizēta finansiālā ietekme:</w:t>
                        </w:r>
                      </w:p>
                    </w:tc>
                    <w:tc>
                      <w:tcPr>
                        <w:tcW w:w="1843" w:type="dxa"/>
                        <w:vMerge w:val="restart"/>
                        <w:tcBorders>
                          <w:top w:val="outset" w:sz="6" w:space="0" w:color="000000"/>
                          <w:left w:val="outset" w:sz="6" w:space="0" w:color="000000"/>
                          <w:bottom w:val="outset" w:sz="6" w:space="0" w:color="000000"/>
                          <w:right w:val="outset" w:sz="6" w:space="0" w:color="000000"/>
                        </w:tcBorders>
                      </w:tcPr>
                      <w:p w14:paraId="16475871" w14:textId="77777777" w:rsidR="00154DBA" w:rsidRPr="00DF6E70" w:rsidRDefault="00154DBA" w:rsidP="009A51BF">
                        <w:pPr>
                          <w:spacing w:before="100" w:beforeAutospacing="1" w:after="100" w:afterAutospacing="1"/>
                          <w:jc w:val="center"/>
                        </w:pPr>
                        <w:r w:rsidRPr="00DF6E70">
                          <w:t>X</w:t>
                        </w:r>
                      </w:p>
                    </w:tc>
                    <w:tc>
                      <w:tcPr>
                        <w:tcW w:w="1080" w:type="dxa"/>
                        <w:tcBorders>
                          <w:top w:val="outset" w:sz="6" w:space="0" w:color="000000"/>
                          <w:left w:val="outset" w:sz="6" w:space="0" w:color="000000"/>
                          <w:bottom w:val="outset" w:sz="6" w:space="0" w:color="000000"/>
                          <w:right w:val="outset" w:sz="6" w:space="0" w:color="000000"/>
                        </w:tcBorders>
                      </w:tcPr>
                      <w:p w14:paraId="4A18A9F6" w14:textId="77777777" w:rsidR="00154DBA" w:rsidRPr="00DF6E70" w:rsidRDefault="00154DBA" w:rsidP="009A51BF">
                        <w:pPr>
                          <w:spacing w:line="270" w:lineRule="atLeast"/>
                          <w:jc w:val="center"/>
                        </w:pPr>
                        <w:r w:rsidRPr="00DF6E70">
                          <w:t>0</w:t>
                        </w:r>
                      </w:p>
                    </w:tc>
                    <w:tc>
                      <w:tcPr>
                        <w:tcW w:w="1385" w:type="dxa"/>
                        <w:tcBorders>
                          <w:top w:val="outset" w:sz="6" w:space="0" w:color="000000"/>
                          <w:left w:val="outset" w:sz="6" w:space="0" w:color="000000"/>
                          <w:bottom w:val="outset" w:sz="6" w:space="0" w:color="000000"/>
                          <w:right w:val="outset" w:sz="6" w:space="0" w:color="000000"/>
                        </w:tcBorders>
                      </w:tcPr>
                      <w:p w14:paraId="2F3D2413" w14:textId="77777777" w:rsidR="00154DBA" w:rsidRPr="00DF6E70" w:rsidRDefault="00154DBA" w:rsidP="009A51BF">
                        <w:pPr>
                          <w:spacing w:line="270" w:lineRule="atLeast"/>
                          <w:jc w:val="center"/>
                        </w:pPr>
                        <w:r w:rsidRPr="00DF6E70">
                          <w:t>0</w:t>
                        </w:r>
                      </w:p>
                    </w:tc>
                    <w:tc>
                      <w:tcPr>
                        <w:tcW w:w="1526" w:type="dxa"/>
                        <w:tcBorders>
                          <w:top w:val="outset" w:sz="6" w:space="0" w:color="000000"/>
                          <w:left w:val="outset" w:sz="6" w:space="0" w:color="000000"/>
                          <w:bottom w:val="outset" w:sz="6" w:space="0" w:color="000000"/>
                          <w:right w:val="outset" w:sz="6" w:space="0" w:color="000000"/>
                        </w:tcBorders>
                      </w:tcPr>
                      <w:p w14:paraId="579DC158" w14:textId="77777777" w:rsidR="00154DBA" w:rsidRPr="00DF6E70" w:rsidRDefault="00154DBA" w:rsidP="009A51BF">
                        <w:pPr>
                          <w:spacing w:line="270" w:lineRule="atLeast"/>
                          <w:jc w:val="center"/>
                        </w:pPr>
                        <w:r w:rsidRPr="00DF6E70">
                          <w:t>0</w:t>
                        </w:r>
                      </w:p>
                    </w:tc>
                    <w:tc>
                      <w:tcPr>
                        <w:tcW w:w="1404" w:type="dxa"/>
                        <w:tcBorders>
                          <w:top w:val="outset" w:sz="6" w:space="0" w:color="000000"/>
                          <w:left w:val="outset" w:sz="6" w:space="0" w:color="000000"/>
                          <w:bottom w:val="outset" w:sz="6" w:space="0" w:color="000000"/>
                          <w:right w:val="outset" w:sz="6" w:space="0" w:color="000000"/>
                        </w:tcBorders>
                      </w:tcPr>
                      <w:p w14:paraId="5A0F4201" w14:textId="77777777" w:rsidR="00154DBA" w:rsidRPr="00DF6E70" w:rsidRDefault="00154DBA" w:rsidP="009A51BF">
                        <w:pPr>
                          <w:spacing w:line="270" w:lineRule="atLeast"/>
                          <w:jc w:val="center"/>
                        </w:pPr>
                        <w:r w:rsidRPr="00DF6E70">
                          <w:t>0</w:t>
                        </w:r>
                      </w:p>
                    </w:tc>
                  </w:tr>
                  <w:tr w:rsidR="00154DBA" w:rsidRPr="00DF6E70" w14:paraId="7501AD4B"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18A9FEB7" w14:textId="77777777" w:rsidR="00154DBA" w:rsidRPr="00DF6E70" w:rsidRDefault="00154DBA" w:rsidP="00922E76">
                        <w:pPr>
                          <w:spacing w:before="100" w:beforeAutospacing="1" w:after="100" w:afterAutospacing="1"/>
                          <w:ind w:firstLine="112"/>
                        </w:pPr>
                        <w:r w:rsidRPr="00DF6E70">
                          <w:t>5.1. valsts pamatbudžets</w:t>
                        </w:r>
                      </w:p>
                    </w:tc>
                    <w:tc>
                      <w:tcPr>
                        <w:tcW w:w="1843" w:type="dxa"/>
                        <w:vMerge/>
                        <w:tcBorders>
                          <w:top w:val="outset" w:sz="6" w:space="0" w:color="000000"/>
                          <w:left w:val="outset" w:sz="6" w:space="0" w:color="000000"/>
                          <w:bottom w:val="outset" w:sz="6" w:space="0" w:color="000000"/>
                          <w:right w:val="outset" w:sz="6" w:space="0" w:color="000000"/>
                        </w:tcBorders>
                        <w:vAlign w:val="center"/>
                      </w:tcPr>
                      <w:p w14:paraId="4C9D6F3F" w14:textId="77777777" w:rsidR="00154DBA" w:rsidRPr="00DF6E70" w:rsidRDefault="00154DBA" w:rsidP="009A51BF"/>
                    </w:tc>
                    <w:tc>
                      <w:tcPr>
                        <w:tcW w:w="1080" w:type="dxa"/>
                        <w:tcBorders>
                          <w:top w:val="outset" w:sz="6" w:space="0" w:color="000000"/>
                          <w:left w:val="outset" w:sz="6" w:space="0" w:color="000000"/>
                          <w:bottom w:val="outset" w:sz="6" w:space="0" w:color="000000"/>
                          <w:right w:val="outset" w:sz="6" w:space="0" w:color="000000"/>
                        </w:tcBorders>
                      </w:tcPr>
                      <w:p w14:paraId="4EC1A9A4" w14:textId="77777777" w:rsidR="00154DBA" w:rsidRPr="00DF6E70"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tcPr>
                      <w:p w14:paraId="7695C5AD" w14:textId="77777777" w:rsidR="00154DBA" w:rsidRPr="00DF6E70" w:rsidRDefault="00154DBA" w:rsidP="009A51BF">
                        <w:pPr>
                          <w:spacing w:line="270" w:lineRule="atLeast"/>
                          <w:jc w:val="center"/>
                        </w:pPr>
                        <w:r w:rsidRPr="00DF6E70">
                          <w:t>0</w:t>
                        </w:r>
                      </w:p>
                    </w:tc>
                    <w:tc>
                      <w:tcPr>
                        <w:tcW w:w="1526" w:type="dxa"/>
                        <w:tcBorders>
                          <w:top w:val="outset" w:sz="6" w:space="0" w:color="000000"/>
                          <w:left w:val="outset" w:sz="6" w:space="0" w:color="000000"/>
                          <w:bottom w:val="outset" w:sz="6" w:space="0" w:color="000000"/>
                          <w:right w:val="outset" w:sz="6" w:space="0" w:color="000000"/>
                        </w:tcBorders>
                      </w:tcPr>
                      <w:p w14:paraId="6ACD7A87" w14:textId="77777777" w:rsidR="00154DBA" w:rsidRPr="00DF6E70" w:rsidRDefault="00154DBA" w:rsidP="009A51BF">
                        <w:pPr>
                          <w:spacing w:line="270" w:lineRule="atLeast"/>
                          <w:jc w:val="center"/>
                        </w:pPr>
                        <w:r w:rsidRPr="00DF6E70">
                          <w:t>0</w:t>
                        </w:r>
                      </w:p>
                    </w:tc>
                    <w:tc>
                      <w:tcPr>
                        <w:tcW w:w="1404" w:type="dxa"/>
                        <w:tcBorders>
                          <w:top w:val="outset" w:sz="6" w:space="0" w:color="000000"/>
                          <w:left w:val="outset" w:sz="6" w:space="0" w:color="000000"/>
                          <w:bottom w:val="outset" w:sz="6" w:space="0" w:color="000000"/>
                          <w:right w:val="outset" w:sz="6" w:space="0" w:color="000000"/>
                        </w:tcBorders>
                      </w:tcPr>
                      <w:p w14:paraId="67E27079" w14:textId="77777777" w:rsidR="00154DBA" w:rsidRPr="00DF6E70" w:rsidRDefault="00154DBA" w:rsidP="009A51BF">
                        <w:pPr>
                          <w:spacing w:line="270" w:lineRule="atLeast"/>
                          <w:jc w:val="center"/>
                        </w:pPr>
                        <w:r w:rsidRPr="00DF6E70">
                          <w:t>0</w:t>
                        </w:r>
                      </w:p>
                    </w:tc>
                  </w:tr>
                  <w:tr w:rsidR="00154DBA" w:rsidRPr="00DF6E70" w14:paraId="771D416A"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5C620031" w14:textId="77777777" w:rsidR="00154DBA" w:rsidRPr="00DF6E70" w:rsidRDefault="00154DBA" w:rsidP="00922E76">
                        <w:pPr>
                          <w:spacing w:before="100" w:beforeAutospacing="1" w:after="100" w:afterAutospacing="1"/>
                          <w:ind w:firstLine="112"/>
                        </w:pPr>
                        <w:r w:rsidRPr="00DF6E70">
                          <w:t>5.2. speciālais budžets</w:t>
                        </w:r>
                      </w:p>
                    </w:tc>
                    <w:tc>
                      <w:tcPr>
                        <w:tcW w:w="1843" w:type="dxa"/>
                        <w:vMerge/>
                        <w:tcBorders>
                          <w:top w:val="outset" w:sz="6" w:space="0" w:color="000000"/>
                          <w:left w:val="outset" w:sz="6" w:space="0" w:color="000000"/>
                          <w:bottom w:val="outset" w:sz="6" w:space="0" w:color="000000"/>
                          <w:right w:val="outset" w:sz="6" w:space="0" w:color="000000"/>
                        </w:tcBorders>
                        <w:vAlign w:val="center"/>
                      </w:tcPr>
                      <w:p w14:paraId="36AE5202" w14:textId="77777777" w:rsidR="00154DBA" w:rsidRPr="00DF6E70" w:rsidRDefault="00154DBA" w:rsidP="009A51BF"/>
                    </w:tc>
                    <w:tc>
                      <w:tcPr>
                        <w:tcW w:w="1080" w:type="dxa"/>
                        <w:tcBorders>
                          <w:top w:val="outset" w:sz="6" w:space="0" w:color="000000"/>
                          <w:left w:val="outset" w:sz="6" w:space="0" w:color="000000"/>
                          <w:bottom w:val="outset" w:sz="6" w:space="0" w:color="000000"/>
                          <w:right w:val="outset" w:sz="6" w:space="0" w:color="000000"/>
                        </w:tcBorders>
                      </w:tcPr>
                      <w:p w14:paraId="588CFA61" w14:textId="77777777" w:rsidR="00154DBA" w:rsidRPr="00DF6E70"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tcPr>
                      <w:p w14:paraId="336E4B68" w14:textId="77777777" w:rsidR="00154DBA" w:rsidRPr="00DF6E70" w:rsidRDefault="00154DBA" w:rsidP="009A51BF">
                        <w:pPr>
                          <w:spacing w:line="270" w:lineRule="atLeast"/>
                          <w:jc w:val="center"/>
                        </w:pPr>
                        <w:r w:rsidRPr="00DF6E70">
                          <w:t>0</w:t>
                        </w:r>
                      </w:p>
                    </w:tc>
                    <w:tc>
                      <w:tcPr>
                        <w:tcW w:w="1526" w:type="dxa"/>
                        <w:tcBorders>
                          <w:top w:val="outset" w:sz="6" w:space="0" w:color="000000"/>
                          <w:left w:val="outset" w:sz="6" w:space="0" w:color="000000"/>
                          <w:bottom w:val="outset" w:sz="6" w:space="0" w:color="000000"/>
                          <w:right w:val="outset" w:sz="6" w:space="0" w:color="000000"/>
                        </w:tcBorders>
                      </w:tcPr>
                      <w:p w14:paraId="294FAB66" w14:textId="77777777" w:rsidR="00154DBA" w:rsidRPr="00DF6E70" w:rsidRDefault="00154DBA" w:rsidP="009A51BF">
                        <w:pPr>
                          <w:spacing w:line="270" w:lineRule="atLeast"/>
                          <w:jc w:val="center"/>
                        </w:pPr>
                        <w:r w:rsidRPr="00DF6E70">
                          <w:t>0</w:t>
                        </w:r>
                      </w:p>
                    </w:tc>
                    <w:tc>
                      <w:tcPr>
                        <w:tcW w:w="1404" w:type="dxa"/>
                        <w:tcBorders>
                          <w:top w:val="outset" w:sz="6" w:space="0" w:color="000000"/>
                          <w:left w:val="outset" w:sz="6" w:space="0" w:color="000000"/>
                          <w:bottom w:val="outset" w:sz="6" w:space="0" w:color="000000"/>
                          <w:right w:val="outset" w:sz="6" w:space="0" w:color="000000"/>
                        </w:tcBorders>
                      </w:tcPr>
                      <w:p w14:paraId="706F40FE" w14:textId="77777777" w:rsidR="00154DBA" w:rsidRPr="00DF6E70" w:rsidRDefault="00154DBA" w:rsidP="009A51BF">
                        <w:pPr>
                          <w:spacing w:line="270" w:lineRule="atLeast"/>
                          <w:jc w:val="center"/>
                        </w:pPr>
                        <w:r w:rsidRPr="00DF6E70">
                          <w:t>0</w:t>
                        </w:r>
                      </w:p>
                    </w:tc>
                  </w:tr>
                  <w:tr w:rsidR="00154DBA" w:rsidRPr="00DF6E70" w14:paraId="416E6B16"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38636423" w14:textId="77777777" w:rsidR="00154DBA" w:rsidRPr="00DF6E70" w:rsidRDefault="00154DBA" w:rsidP="00922E76">
                        <w:pPr>
                          <w:spacing w:before="100" w:beforeAutospacing="1" w:after="100" w:afterAutospacing="1"/>
                          <w:ind w:firstLine="112"/>
                        </w:pPr>
                        <w:r w:rsidRPr="00DF6E70">
                          <w:t>5.3. pašvaldību budžets</w:t>
                        </w:r>
                      </w:p>
                    </w:tc>
                    <w:tc>
                      <w:tcPr>
                        <w:tcW w:w="1843" w:type="dxa"/>
                        <w:vMerge/>
                        <w:tcBorders>
                          <w:top w:val="outset" w:sz="6" w:space="0" w:color="000000"/>
                          <w:left w:val="outset" w:sz="6" w:space="0" w:color="000000"/>
                          <w:bottom w:val="outset" w:sz="6" w:space="0" w:color="000000"/>
                          <w:right w:val="outset" w:sz="6" w:space="0" w:color="000000"/>
                        </w:tcBorders>
                        <w:vAlign w:val="center"/>
                      </w:tcPr>
                      <w:p w14:paraId="58056A74" w14:textId="77777777" w:rsidR="00154DBA" w:rsidRPr="00DF6E70" w:rsidRDefault="00154DBA" w:rsidP="009A51BF"/>
                    </w:tc>
                    <w:tc>
                      <w:tcPr>
                        <w:tcW w:w="1080" w:type="dxa"/>
                        <w:tcBorders>
                          <w:top w:val="outset" w:sz="6" w:space="0" w:color="000000"/>
                          <w:left w:val="outset" w:sz="6" w:space="0" w:color="000000"/>
                          <w:bottom w:val="outset" w:sz="6" w:space="0" w:color="000000"/>
                          <w:right w:val="outset" w:sz="6" w:space="0" w:color="000000"/>
                        </w:tcBorders>
                      </w:tcPr>
                      <w:p w14:paraId="62D1D8E1" w14:textId="77777777" w:rsidR="00154DBA" w:rsidRPr="00DF6E70"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tcPr>
                      <w:p w14:paraId="277A096E" w14:textId="77777777" w:rsidR="00154DBA" w:rsidRPr="00DF6E70" w:rsidRDefault="00154DBA" w:rsidP="009A51BF">
                        <w:pPr>
                          <w:spacing w:line="270" w:lineRule="atLeast"/>
                          <w:jc w:val="center"/>
                        </w:pPr>
                        <w:r w:rsidRPr="00DF6E70">
                          <w:t>0</w:t>
                        </w:r>
                      </w:p>
                    </w:tc>
                    <w:tc>
                      <w:tcPr>
                        <w:tcW w:w="1526" w:type="dxa"/>
                        <w:tcBorders>
                          <w:top w:val="outset" w:sz="6" w:space="0" w:color="000000"/>
                          <w:left w:val="outset" w:sz="6" w:space="0" w:color="000000"/>
                          <w:bottom w:val="outset" w:sz="6" w:space="0" w:color="000000"/>
                          <w:right w:val="outset" w:sz="6" w:space="0" w:color="000000"/>
                        </w:tcBorders>
                      </w:tcPr>
                      <w:p w14:paraId="0FC884B3" w14:textId="77777777" w:rsidR="00154DBA" w:rsidRPr="00DF6E70" w:rsidRDefault="00154DBA" w:rsidP="009A51BF">
                        <w:pPr>
                          <w:spacing w:line="270" w:lineRule="atLeast"/>
                          <w:jc w:val="center"/>
                        </w:pPr>
                        <w:r w:rsidRPr="00DF6E70">
                          <w:t>0</w:t>
                        </w:r>
                      </w:p>
                    </w:tc>
                    <w:tc>
                      <w:tcPr>
                        <w:tcW w:w="1404" w:type="dxa"/>
                        <w:tcBorders>
                          <w:top w:val="outset" w:sz="6" w:space="0" w:color="000000"/>
                          <w:left w:val="outset" w:sz="6" w:space="0" w:color="000000"/>
                          <w:bottom w:val="outset" w:sz="6" w:space="0" w:color="000000"/>
                          <w:right w:val="outset" w:sz="6" w:space="0" w:color="000000"/>
                        </w:tcBorders>
                      </w:tcPr>
                      <w:p w14:paraId="1A97824C" w14:textId="77777777" w:rsidR="00154DBA" w:rsidRPr="00DF6E70" w:rsidRDefault="00154DBA" w:rsidP="009A51BF">
                        <w:pPr>
                          <w:spacing w:line="270" w:lineRule="atLeast"/>
                          <w:jc w:val="center"/>
                        </w:pPr>
                        <w:r w:rsidRPr="00DF6E70">
                          <w:t>0</w:t>
                        </w:r>
                      </w:p>
                    </w:tc>
                  </w:tr>
                  <w:tr w:rsidR="00154DBA" w:rsidRPr="00DF6E70" w14:paraId="2240B764"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440EFDCA" w14:textId="77777777" w:rsidR="00154DBA" w:rsidRPr="00DF6E70" w:rsidRDefault="00154DBA" w:rsidP="00922E76">
                        <w:pPr>
                          <w:spacing w:before="100" w:beforeAutospacing="1" w:after="100" w:afterAutospacing="1"/>
                          <w:ind w:firstLine="112"/>
                        </w:pPr>
                        <w:r w:rsidRPr="00DF6E70">
                          <w:t xml:space="preserve">6. Detalizēts ieņēmumu un izdevumu aprēķins (ja nepieciešams, </w:t>
                        </w:r>
                        <w:r w:rsidRPr="00DF6E70">
                          <w:lastRenderedPageBreak/>
                          <w:t>detalizētu ieņēmumu un izdevumu aprēķinu var pievienot anotācijas pielikumā):</w:t>
                        </w:r>
                      </w:p>
                    </w:tc>
                    <w:tc>
                      <w:tcPr>
                        <w:tcW w:w="7238" w:type="dxa"/>
                        <w:gridSpan w:val="5"/>
                        <w:tcBorders>
                          <w:top w:val="single" w:sz="4" w:space="0" w:color="auto"/>
                          <w:left w:val="outset" w:sz="6" w:space="0" w:color="000000"/>
                          <w:bottom w:val="outset" w:sz="6" w:space="0" w:color="000000"/>
                          <w:right w:val="outset" w:sz="6" w:space="0" w:color="000000"/>
                        </w:tcBorders>
                      </w:tcPr>
                      <w:p w14:paraId="0E2AFD36" w14:textId="77777777" w:rsidR="00154DBA" w:rsidRPr="00DF6E70" w:rsidRDefault="00154DBA" w:rsidP="009A51BF">
                        <w:r w:rsidRPr="00DF6E70">
                          <w:rPr>
                            <w:sz w:val="22"/>
                            <w:szCs w:val="22"/>
                          </w:rPr>
                          <w:lastRenderedPageBreak/>
                          <w:t>Projekts šo jomu neskar.</w:t>
                        </w:r>
                      </w:p>
                    </w:tc>
                  </w:tr>
                  <w:tr w:rsidR="00154DBA" w:rsidRPr="00DF6E70" w14:paraId="5AB9FA5F" w14:textId="77777777" w:rsidTr="009A7491">
                    <w:tc>
                      <w:tcPr>
                        <w:tcW w:w="2148" w:type="dxa"/>
                        <w:tcBorders>
                          <w:top w:val="outset" w:sz="6" w:space="0" w:color="000000"/>
                          <w:left w:val="outset" w:sz="6" w:space="0" w:color="000000"/>
                          <w:bottom w:val="outset" w:sz="6" w:space="0" w:color="000000"/>
                          <w:right w:val="outset" w:sz="6" w:space="0" w:color="000000"/>
                        </w:tcBorders>
                      </w:tcPr>
                      <w:p w14:paraId="27C848B4" w14:textId="77777777" w:rsidR="00154DBA" w:rsidRPr="00DF6E70" w:rsidRDefault="00154DBA" w:rsidP="00922E76">
                        <w:pPr>
                          <w:spacing w:before="100" w:beforeAutospacing="1" w:after="100" w:afterAutospacing="1"/>
                          <w:ind w:firstLine="112"/>
                        </w:pPr>
                        <w:r w:rsidRPr="00DF6E70">
                          <w:t>7. Cita informācija</w:t>
                        </w:r>
                      </w:p>
                    </w:tc>
                    <w:tc>
                      <w:tcPr>
                        <w:tcW w:w="7238" w:type="dxa"/>
                        <w:gridSpan w:val="5"/>
                        <w:tcBorders>
                          <w:top w:val="outset" w:sz="6" w:space="0" w:color="000000"/>
                          <w:left w:val="outset" w:sz="6" w:space="0" w:color="000000"/>
                          <w:bottom w:val="outset" w:sz="6" w:space="0" w:color="000000"/>
                          <w:right w:val="outset" w:sz="6" w:space="0" w:color="000000"/>
                        </w:tcBorders>
                      </w:tcPr>
                      <w:p w14:paraId="4E07CB50" w14:textId="39F4160C" w:rsidR="009B061D" w:rsidRPr="00696FAD" w:rsidRDefault="009B061D" w:rsidP="009A7491">
                        <w:pPr>
                          <w:ind w:right="396" w:firstLine="309"/>
                          <w:jc w:val="both"/>
                        </w:pPr>
                        <w:r w:rsidRPr="008F0ABE">
                          <w:t xml:space="preserve">MAIS izstrādei ir nepieciešami finanšu resursi, kurus plānots piesaistīt ERAF projekta ietvaros. Ņemot vērā minēto, VID ir izstrādājis projektu “Nodokļu informācijas pakalpojumu modernizācija” (turpmāk – Projekts), lai ieviestu Uzkrājuma principu un vienoto nodokļu kontu. Projekta realizācija notiks trīs kārtās ar kopējām plānotajām izmaksām 16 995 620,00 EUR. Pagaidām vēl nav piešķirts pilns ES fondu finansējums VID </w:t>
                        </w:r>
                        <w:r w:rsidR="00B8035B">
                          <w:t>informācijas sistēmu</w:t>
                        </w:r>
                        <w:r w:rsidRPr="008F0ABE">
                          <w:t xml:space="preserve"> modernizācijai Projekta ietvaros, t.sk. uzkrāšanas principa un vienotā nodokļu konta ieviešanai. Pašlaik ir uzsākta ERAF līdzfinansētā Projekta 1.kārtas </w:t>
                        </w:r>
                        <w:r w:rsidRPr="00696FAD">
                          <w:t>realizācija ar kopējo finansējumu 4 500 000 EUR.</w:t>
                        </w:r>
                      </w:p>
                      <w:p w14:paraId="1DA308D5" w14:textId="63FE91FD" w:rsidR="009B061D" w:rsidRPr="00696FAD" w:rsidRDefault="009B061D" w:rsidP="009B061D">
                        <w:pPr>
                          <w:jc w:val="both"/>
                        </w:pPr>
                        <w:r w:rsidRPr="00696FAD">
                          <w:t>Vienotā nodokļ</w:t>
                        </w:r>
                        <w:r w:rsidR="00CD6E60">
                          <w:t>u</w:t>
                        </w:r>
                        <w:r w:rsidRPr="00696FAD">
                          <w:t xml:space="preserve"> konta ieviešana tiks īstenota projekta 2.un 3.kārtā. </w:t>
                        </w:r>
                      </w:p>
                      <w:p w14:paraId="12969BB0" w14:textId="77777777" w:rsidR="009B061D" w:rsidRPr="00696FAD" w:rsidRDefault="009B061D" w:rsidP="009B061D">
                        <w:pPr>
                          <w:jc w:val="both"/>
                        </w:pPr>
                      </w:p>
                      <w:tbl>
                        <w:tblPr>
                          <w:tblW w:w="7198" w:type="dxa"/>
                          <w:tblLayout w:type="fixed"/>
                          <w:tblCellMar>
                            <w:left w:w="0" w:type="dxa"/>
                            <w:right w:w="0" w:type="dxa"/>
                          </w:tblCellMar>
                          <w:tblLook w:val="04A0" w:firstRow="1" w:lastRow="0" w:firstColumn="1" w:lastColumn="0" w:noHBand="0" w:noVBand="1"/>
                        </w:tblPr>
                        <w:tblGrid>
                          <w:gridCol w:w="1291"/>
                          <w:gridCol w:w="850"/>
                          <w:gridCol w:w="941"/>
                          <w:gridCol w:w="993"/>
                          <w:gridCol w:w="992"/>
                          <w:gridCol w:w="992"/>
                          <w:gridCol w:w="1139"/>
                        </w:tblGrid>
                        <w:tr w:rsidR="00696FAD" w:rsidRPr="00696FAD" w14:paraId="7C82F372" w14:textId="77777777" w:rsidTr="009A7491">
                          <w:tc>
                            <w:tcPr>
                              <w:tcW w:w="1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F6D47" w14:textId="77777777" w:rsidR="009B061D" w:rsidRPr="00696FAD" w:rsidRDefault="009B061D" w:rsidP="009B061D">
                              <w:pPr>
                                <w:rPr>
                                  <w:sz w:val="18"/>
                                  <w:szCs w:val="18"/>
                                </w:rPr>
                              </w:pPr>
                              <w:r w:rsidRPr="00696FAD">
                                <w:rPr>
                                  <w:sz w:val="18"/>
                                  <w:szCs w:val="18"/>
                                </w:rPr>
                                <w:t>Projekts</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701B6E" w14:textId="77777777" w:rsidR="009B061D" w:rsidRPr="00696FAD" w:rsidRDefault="009B061D" w:rsidP="009B061D">
                              <w:pPr>
                                <w:rPr>
                                  <w:b/>
                                  <w:bCs/>
                                  <w:sz w:val="18"/>
                                  <w:szCs w:val="18"/>
                                </w:rPr>
                              </w:pPr>
                              <w:r w:rsidRPr="00696FAD">
                                <w:rPr>
                                  <w:b/>
                                  <w:bCs/>
                                  <w:sz w:val="18"/>
                                  <w:szCs w:val="18"/>
                                </w:rPr>
                                <w:t>2017</w:t>
                              </w:r>
                            </w:p>
                          </w:tc>
                          <w:tc>
                            <w:tcPr>
                              <w:tcW w:w="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D90E3F" w14:textId="77777777" w:rsidR="009B061D" w:rsidRPr="00696FAD" w:rsidRDefault="009B061D" w:rsidP="009B061D">
                              <w:pPr>
                                <w:rPr>
                                  <w:b/>
                                  <w:bCs/>
                                  <w:sz w:val="18"/>
                                  <w:szCs w:val="18"/>
                                </w:rPr>
                              </w:pPr>
                              <w:r w:rsidRPr="00696FAD">
                                <w:rPr>
                                  <w:b/>
                                  <w:bCs/>
                                  <w:sz w:val="18"/>
                                  <w:szCs w:val="18"/>
                                </w:rPr>
                                <w:t>2018</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46512" w14:textId="77777777" w:rsidR="009B061D" w:rsidRPr="00696FAD" w:rsidRDefault="009B061D" w:rsidP="009B061D">
                              <w:pPr>
                                <w:rPr>
                                  <w:b/>
                                  <w:bCs/>
                                  <w:sz w:val="18"/>
                                  <w:szCs w:val="18"/>
                                </w:rPr>
                              </w:pPr>
                              <w:r w:rsidRPr="00696FAD">
                                <w:rPr>
                                  <w:b/>
                                  <w:bCs/>
                                  <w:sz w:val="18"/>
                                  <w:szCs w:val="18"/>
                                </w:rPr>
                                <w:t>2019*</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649BF" w14:textId="77777777" w:rsidR="009B061D" w:rsidRPr="00696FAD" w:rsidRDefault="009B061D" w:rsidP="009B061D">
                              <w:pPr>
                                <w:rPr>
                                  <w:b/>
                                  <w:bCs/>
                                  <w:sz w:val="18"/>
                                  <w:szCs w:val="18"/>
                                </w:rPr>
                              </w:pPr>
                              <w:r w:rsidRPr="00696FAD">
                                <w:rPr>
                                  <w:b/>
                                  <w:bCs/>
                                  <w:sz w:val="18"/>
                                  <w:szCs w:val="18"/>
                                </w:rPr>
                                <w:t>2020**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67CE93" w14:textId="77777777" w:rsidR="009B061D" w:rsidRPr="00696FAD" w:rsidRDefault="009B061D" w:rsidP="009B061D">
                              <w:pPr>
                                <w:rPr>
                                  <w:b/>
                                  <w:bCs/>
                                  <w:sz w:val="18"/>
                                  <w:szCs w:val="18"/>
                                </w:rPr>
                              </w:pPr>
                              <w:r w:rsidRPr="00696FAD">
                                <w:rPr>
                                  <w:b/>
                                  <w:bCs/>
                                  <w:sz w:val="18"/>
                                  <w:szCs w:val="18"/>
                                </w:rPr>
                                <w:t>2021</w:t>
                              </w: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C9AFE" w14:textId="77777777" w:rsidR="009B061D" w:rsidRPr="00696FAD" w:rsidRDefault="009B061D" w:rsidP="009B061D">
                              <w:pPr>
                                <w:rPr>
                                  <w:b/>
                                  <w:bCs/>
                                  <w:sz w:val="18"/>
                                  <w:szCs w:val="18"/>
                                </w:rPr>
                              </w:pPr>
                              <w:r w:rsidRPr="00696FAD">
                                <w:rPr>
                                  <w:b/>
                                  <w:bCs/>
                                  <w:sz w:val="18"/>
                                  <w:szCs w:val="18"/>
                                </w:rPr>
                                <w:t>Kopā pa kārtām, EUR</w:t>
                              </w:r>
                            </w:p>
                          </w:tc>
                        </w:tr>
                        <w:tr w:rsidR="00696FAD" w:rsidRPr="00696FAD" w14:paraId="2849C09E" w14:textId="77777777" w:rsidTr="009A7491">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24FF4" w14:textId="77777777" w:rsidR="009B061D" w:rsidRPr="00696FAD" w:rsidRDefault="009B061D" w:rsidP="009B061D">
                              <w:pPr>
                                <w:rPr>
                                  <w:sz w:val="18"/>
                                  <w:szCs w:val="18"/>
                                </w:rPr>
                              </w:pPr>
                              <w:r w:rsidRPr="00696FAD">
                                <w:rPr>
                                  <w:sz w:val="18"/>
                                  <w:szCs w:val="18"/>
                                </w:rPr>
                                <w:t>1.kārta, t.sk:</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7822114" w14:textId="77777777" w:rsidR="009B061D" w:rsidRPr="00696FAD" w:rsidRDefault="009B061D" w:rsidP="009B061D">
                              <w:pPr>
                                <w:rPr>
                                  <w:sz w:val="18"/>
                                  <w:szCs w:val="18"/>
                                </w:rPr>
                              </w:pPr>
                              <w:r w:rsidRPr="00696FAD">
                                <w:rPr>
                                  <w:sz w:val="18"/>
                                  <w:szCs w:val="18"/>
                                </w:rPr>
                                <w:t>480 019</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14:paraId="463BC326" w14:textId="77777777" w:rsidR="009B061D" w:rsidRPr="00696FAD" w:rsidRDefault="009B061D" w:rsidP="009B061D">
                              <w:pPr>
                                <w:ind w:left="-250" w:firstLine="250"/>
                                <w:rPr>
                                  <w:sz w:val="18"/>
                                  <w:szCs w:val="18"/>
                                </w:rPr>
                              </w:pPr>
                              <w:r w:rsidRPr="00696FAD">
                                <w:rPr>
                                  <w:sz w:val="18"/>
                                  <w:szCs w:val="18"/>
                                </w:rPr>
                                <w:t>1 227 980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7DBA5C32" w14:textId="77777777" w:rsidR="009B061D" w:rsidRPr="00696FAD" w:rsidRDefault="009B061D" w:rsidP="009B061D">
                              <w:pPr>
                                <w:rPr>
                                  <w:sz w:val="18"/>
                                  <w:szCs w:val="18"/>
                                </w:rPr>
                              </w:pPr>
                              <w:r w:rsidRPr="00696FAD">
                                <w:rPr>
                                  <w:sz w:val="18"/>
                                  <w:szCs w:val="18"/>
                                </w:rPr>
                                <w:t>2 792 001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16FF0BC" w14:textId="728F160C" w:rsidR="009B061D" w:rsidRPr="00696FAD" w:rsidRDefault="009B061D" w:rsidP="009B061D">
                              <w:pPr>
                                <w:rPr>
                                  <w:sz w:val="18"/>
                                  <w:szCs w:val="18"/>
                                </w:rPr>
                              </w:pPr>
                              <w:r w:rsidRPr="00696FAD">
                                <w:rPr>
                                  <w:sz w:val="18"/>
                                  <w:szCs w:val="18"/>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E733ED3" w14:textId="77777777" w:rsidR="009B061D" w:rsidRPr="00696FAD" w:rsidRDefault="009B061D" w:rsidP="009B061D">
                              <w:pPr>
                                <w:rPr>
                                  <w:sz w:val="18"/>
                                  <w:szCs w:val="18"/>
                                </w:rPr>
                              </w:pPr>
                              <w:r w:rsidRPr="00696FAD">
                                <w:rPr>
                                  <w:sz w:val="18"/>
                                  <w:szCs w:val="18"/>
                                </w:rPr>
                                <w:t>0</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14:paraId="563E1F75" w14:textId="77777777" w:rsidR="009B061D" w:rsidRPr="00696FAD" w:rsidRDefault="009B061D" w:rsidP="009A7491">
                              <w:pPr>
                                <w:ind w:right="103"/>
                                <w:rPr>
                                  <w:sz w:val="18"/>
                                  <w:szCs w:val="18"/>
                                </w:rPr>
                              </w:pPr>
                              <w:r w:rsidRPr="00696FAD">
                                <w:rPr>
                                  <w:sz w:val="18"/>
                                  <w:szCs w:val="18"/>
                                </w:rPr>
                                <w:t>4 500 000</w:t>
                              </w:r>
                            </w:p>
                          </w:tc>
                        </w:tr>
                        <w:tr w:rsidR="00696FAD" w:rsidRPr="00696FAD" w14:paraId="2F8CBF2E" w14:textId="77777777" w:rsidTr="009A7491">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6F4391" w14:textId="77777777" w:rsidR="009B061D" w:rsidRPr="00696FAD" w:rsidRDefault="009B061D" w:rsidP="009B061D">
                              <w:pPr>
                                <w:rPr>
                                  <w:sz w:val="18"/>
                                  <w:szCs w:val="18"/>
                                </w:rPr>
                              </w:pPr>
                              <w:r w:rsidRPr="00696FAD">
                                <w:rPr>
                                  <w:sz w:val="18"/>
                                  <w:szCs w:val="18"/>
                                </w:rPr>
                                <w:t>Valsts budžets (15%)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tcPr>
                            <w:p w14:paraId="377FE72B" w14:textId="77777777" w:rsidR="009B061D" w:rsidRPr="00696FAD" w:rsidRDefault="009B061D" w:rsidP="009B061D">
                              <w:pPr>
                                <w:rPr>
                                  <w:sz w:val="18"/>
                                  <w:szCs w:val="18"/>
                                </w:rPr>
                              </w:pPr>
                              <w:r w:rsidRPr="00696FAD">
                                <w:rPr>
                                  <w:sz w:val="18"/>
                                  <w:szCs w:val="18"/>
                                </w:rPr>
                                <w:t>72 003</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bottom"/>
                            </w:tcPr>
                            <w:p w14:paraId="40D44020" w14:textId="77777777" w:rsidR="009B061D" w:rsidRPr="00696FAD" w:rsidRDefault="009B061D" w:rsidP="009B061D">
                              <w:pPr>
                                <w:rPr>
                                  <w:sz w:val="18"/>
                                  <w:szCs w:val="18"/>
                                </w:rPr>
                              </w:pPr>
                              <w:r w:rsidRPr="00696FAD">
                                <w:rPr>
                                  <w:sz w:val="18"/>
                                  <w:szCs w:val="18"/>
                                </w:rPr>
                                <w:t>184 197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tcPr>
                            <w:p w14:paraId="29ACEDDC" w14:textId="77777777" w:rsidR="009B061D" w:rsidRPr="00696FAD" w:rsidRDefault="009B061D" w:rsidP="009B061D">
                              <w:pPr>
                                <w:rPr>
                                  <w:sz w:val="18"/>
                                  <w:szCs w:val="18"/>
                                </w:rPr>
                              </w:pPr>
                              <w:r w:rsidRPr="00696FAD">
                                <w:rPr>
                                  <w:sz w:val="18"/>
                                  <w:szCs w:val="18"/>
                                </w:rPr>
                                <w:t>418 800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tcPr>
                            <w:p w14:paraId="6A2DC96A" w14:textId="77777777" w:rsidR="009B061D" w:rsidRPr="00696FAD" w:rsidRDefault="009B061D" w:rsidP="009B061D">
                              <w:pPr>
                                <w:rPr>
                                  <w:sz w:val="18"/>
                                  <w:szCs w:val="1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tcPr>
                            <w:p w14:paraId="7994E60F" w14:textId="77777777" w:rsidR="009B061D" w:rsidRPr="00696FAD" w:rsidRDefault="009B061D" w:rsidP="009B061D">
                              <w:pPr>
                                <w:rPr>
                                  <w:sz w:val="18"/>
                                  <w:szCs w:val="18"/>
                                </w:rPr>
                              </w:pP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bottom"/>
                            </w:tcPr>
                            <w:p w14:paraId="604AC5A2" w14:textId="77777777" w:rsidR="009B061D" w:rsidRPr="00696FAD" w:rsidRDefault="009B061D" w:rsidP="009B061D">
                              <w:pPr>
                                <w:rPr>
                                  <w:sz w:val="18"/>
                                  <w:szCs w:val="18"/>
                                </w:rPr>
                              </w:pPr>
                              <w:r w:rsidRPr="00696FAD">
                                <w:rPr>
                                  <w:sz w:val="18"/>
                                  <w:szCs w:val="18"/>
                                </w:rPr>
                                <w:t>675 000</w:t>
                              </w:r>
                            </w:p>
                          </w:tc>
                        </w:tr>
                        <w:tr w:rsidR="00696FAD" w:rsidRPr="00696FAD" w14:paraId="624E7059" w14:textId="77777777" w:rsidTr="009A7491">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8F0DB2" w14:textId="77777777" w:rsidR="009B061D" w:rsidRPr="00696FAD" w:rsidRDefault="009B061D" w:rsidP="009B061D">
                              <w:pPr>
                                <w:rPr>
                                  <w:sz w:val="18"/>
                                  <w:szCs w:val="18"/>
                                </w:rPr>
                              </w:pPr>
                              <w:r w:rsidRPr="00696FAD">
                                <w:rPr>
                                  <w:sz w:val="18"/>
                                  <w:szCs w:val="18"/>
                                </w:rPr>
                                <w:t>ERAF (85%)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tcPr>
                            <w:p w14:paraId="1C0D322B" w14:textId="77777777" w:rsidR="009B061D" w:rsidRPr="00696FAD" w:rsidRDefault="009B061D" w:rsidP="009B061D">
                              <w:pPr>
                                <w:rPr>
                                  <w:sz w:val="18"/>
                                  <w:szCs w:val="18"/>
                                </w:rPr>
                              </w:pPr>
                              <w:r w:rsidRPr="00696FAD">
                                <w:rPr>
                                  <w:sz w:val="18"/>
                                  <w:szCs w:val="18"/>
                                </w:rPr>
                                <w:t>408 016</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bottom"/>
                            </w:tcPr>
                            <w:p w14:paraId="414A608E" w14:textId="77777777" w:rsidR="009B061D" w:rsidRPr="00696FAD" w:rsidRDefault="009B061D" w:rsidP="009B061D">
                              <w:pPr>
                                <w:rPr>
                                  <w:sz w:val="18"/>
                                  <w:szCs w:val="18"/>
                                </w:rPr>
                              </w:pPr>
                              <w:r w:rsidRPr="00696FAD">
                                <w:rPr>
                                  <w:sz w:val="18"/>
                                  <w:szCs w:val="18"/>
                                </w:rPr>
                                <w:t>1 043 783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tcPr>
                            <w:p w14:paraId="5D67059F" w14:textId="77777777" w:rsidR="009B061D" w:rsidRPr="00696FAD" w:rsidRDefault="009B061D" w:rsidP="009B061D">
                              <w:pPr>
                                <w:rPr>
                                  <w:sz w:val="18"/>
                                  <w:szCs w:val="18"/>
                                </w:rPr>
                              </w:pPr>
                              <w:r w:rsidRPr="00696FAD">
                                <w:rPr>
                                  <w:sz w:val="18"/>
                                  <w:szCs w:val="18"/>
                                </w:rPr>
                                <w:t>2 373 201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tcPr>
                            <w:p w14:paraId="544F7D07" w14:textId="77777777" w:rsidR="009B061D" w:rsidRPr="00696FAD" w:rsidRDefault="009B061D" w:rsidP="009B061D">
                              <w:pPr>
                                <w:rPr>
                                  <w:sz w:val="18"/>
                                  <w:szCs w:val="1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tcPr>
                            <w:p w14:paraId="087C4E56" w14:textId="77777777" w:rsidR="009B061D" w:rsidRPr="00696FAD" w:rsidRDefault="009B061D" w:rsidP="009B061D">
                              <w:pPr>
                                <w:rPr>
                                  <w:sz w:val="18"/>
                                  <w:szCs w:val="18"/>
                                </w:rPr>
                              </w:pP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bottom"/>
                            </w:tcPr>
                            <w:p w14:paraId="23D5F616" w14:textId="77777777" w:rsidR="009B061D" w:rsidRPr="00696FAD" w:rsidRDefault="009B061D" w:rsidP="009B061D">
                              <w:pPr>
                                <w:rPr>
                                  <w:sz w:val="18"/>
                                  <w:szCs w:val="18"/>
                                </w:rPr>
                              </w:pPr>
                              <w:r w:rsidRPr="00696FAD">
                                <w:rPr>
                                  <w:sz w:val="18"/>
                                  <w:szCs w:val="18"/>
                                </w:rPr>
                                <w:t>3 825 000</w:t>
                              </w:r>
                            </w:p>
                          </w:tc>
                        </w:tr>
                        <w:tr w:rsidR="00696FAD" w:rsidRPr="00696FAD" w14:paraId="1F45731B" w14:textId="77777777" w:rsidTr="009A7491">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8F5AC" w14:textId="77777777" w:rsidR="009B061D" w:rsidRPr="00696FAD" w:rsidRDefault="009B061D" w:rsidP="009B061D">
                              <w:pPr>
                                <w:rPr>
                                  <w:sz w:val="18"/>
                                  <w:szCs w:val="18"/>
                                </w:rPr>
                              </w:pPr>
                              <w:r w:rsidRPr="00696FAD">
                                <w:rPr>
                                  <w:sz w:val="18"/>
                                  <w:szCs w:val="18"/>
                                </w:rPr>
                                <w:t>2.kārta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35C48B" w14:textId="77777777" w:rsidR="009B061D" w:rsidRPr="00696FAD" w:rsidRDefault="009B061D" w:rsidP="009B061D">
                              <w:pPr>
                                <w:rPr>
                                  <w:sz w:val="18"/>
                                  <w:szCs w:val="18"/>
                                </w:rPr>
                              </w:pPr>
                              <w:r w:rsidRPr="00696FAD">
                                <w:rPr>
                                  <w:sz w:val="18"/>
                                  <w:szCs w:val="18"/>
                                </w:rPr>
                                <w:t>0</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C1C21D" w14:textId="77777777" w:rsidR="009B061D" w:rsidRPr="00696FAD" w:rsidRDefault="009B061D" w:rsidP="009B061D">
                              <w:pPr>
                                <w:rPr>
                                  <w:sz w:val="18"/>
                                  <w:szCs w:val="18"/>
                                </w:rPr>
                              </w:pPr>
                              <w:r w:rsidRPr="00696FAD">
                                <w:rPr>
                                  <w:sz w:val="18"/>
                                  <w:szCs w:val="18"/>
                                </w:rPr>
                                <w:t>820 000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40C687" w14:textId="77777777" w:rsidR="009B061D" w:rsidRPr="00696FAD" w:rsidRDefault="009B061D" w:rsidP="009B061D">
                              <w:pPr>
                                <w:rPr>
                                  <w:sz w:val="18"/>
                                  <w:szCs w:val="18"/>
                                </w:rPr>
                              </w:pPr>
                              <w:r w:rsidRPr="00696FAD">
                                <w:rPr>
                                  <w:sz w:val="18"/>
                                  <w:szCs w:val="18"/>
                                </w:rPr>
                                <w:t>3 928 850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0CFA6B" w14:textId="77777777" w:rsidR="009B061D" w:rsidRPr="00696FAD" w:rsidRDefault="009B061D" w:rsidP="009B061D">
                              <w:pPr>
                                <w:rPr>
                                  <w:sz w:val="18"/>
                                  <w:szCs w:val="18"/>
                                </w:rPr>
                              </w:pPr>
                              <w:r w:rsidRPr="00696FAD">
                                <w:rPr>
                                  <w:sz w:val="18"/>
                                  <w:szCs w:val="18"/>
                                </w:rPr>
                                <w:t>3 006 770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EF9863" w14:textId="77777777" w:rsidR="009B061D" w:rsidRPr="00696FAD" w:rsidRDefault="009B061D" w:rsidP="009B061D">
                              <w:pPr>
                                <w:rPr>
                                  <w:sz w:val="18"/>
                                  <w:szCs w:val="18"/>
                                </w:rPr>
                              </w:pPr>
                              <w:r w:rsidRPr="00696FAD">
                                <w:rPr>
                                  <w:sz w:val="18"/>
                                  <w:szCs w:val="18"/>
                                </w:rPr>
                                <w:t>0</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B5ECAD" w14:textId="77777777" w:rsidR="009B061D" w:rsidRPr="00696FAD" w:rsidRDefault="009B061D" w:rsidP="009B061D">
                              <w:pPr>
                                <w:rPr>
                                  <w:sz w:val="18"/>
                                  <w:szCs w:val="18"/>
                                </w:rPr>
                              </w:pPr>
                              <w:r w:rsidRPr="00696FAD">
                                <w:rPr>
                                  <w:sz w:val="18"/>
                                  <w:szCs w:val="18"/>
                                </w:rPr>
                                <w:t>7 755 620</w:t>
                              </w:r>
                            </w:p>
                          </w:tc>
                        </w:tr>
                        <w:tr w:rsidR="00696FAD" w:rsidRPr="00696FAD" w14:paraId="0F4892F3" w14:textId="77777777" w:rsidTr="009A7491">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D8682" w14:textId="77777777" w:rsidR="009B061D" w:rsidRPr="00696FAD" w:rsidRDefault="009B061D" w:rsidP="009B061D">
                              <w:pPr>
                                <w:rPr>
                                  <w:sz w:val="18"/>
                                  <w:szCs w:val="18"/>
                                </w:rPr>
                              </w:pPr>
                              <w:r w:rsidRPr="00696FAD">
                                <w:rPr>
                                  <w:sz w:val="18"/>
                                  <w:szCs w:val="18"/>
                                </w:rPr>
                                <w:t>3.kārta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FE0FCF" w14:textId="77777777" w:rsidR="009B061D" w:rsidRPr="00696FAD" w:rsidRDefault="009B061D" w:rsidP="009B061D">
                              <w:pPr>
                                <w:rPr>
                                  <w:sz w:val="18"/>
                                  <w:szCs w:val="18"/>
                                </w:rPr>
                              </w:pPr>
                              <w:r w:rsidRPr="00696FAD">
                                <w:rPr>
                                  <w:sz w:val="18"/>
                                  <w:szCs w:val="18"/>
                                </w:rPr>
                                <w:t>0</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B11EDE" w14:textId="77777777" w:rsidR="009B061D" w:rsidRPr="00696FAD" w:rsidRDefault="009B061D" w:rsidP="009B061D">
                              <w:pPr>
                                <w:rPr>
                                  <w:sz w:val="18"/>
                                  <w:szCs w:val="18"/>
                                </w:rPr>
                              </w:pPr>
                              <w:r w:rsidRPr="00696FAD">
                                <w:rPr>
                                  <w:sz w:val="18"/>
                                  <w:szCs w:val="18"/>
                                </w:rPr>
                                <w:t>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F9D3A2" w14:textId="77777777" w:rsidR="009B061D" w:rsidRPr="00696FAD" w:rsidRDefault="009B061D" w:rsidP="009B061D">
                              <w:pPr>
                                <w:rPr>
                                  <w:sz w:val="18"/>
                                  <w:szCs w:val="18"/>
                                </w:rPr>
                              </w:pPr>
                              <w:r w:rsidRPr="00696FAD">
                                <w:rPr>
                                  <w:sz w:val="18"/>
                                  <w:szCs w:val="18"/>
                                </w:rPr>
                                <w:t>820 000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38D568" w14:textId="77777777" w:rsidR="009B061D" w:rsidRPr="00696FAD" w:rsidRDefault="009B061D" w:rsidP="009B061D">
                              <w:pPr>
                                <w:rPr>
                                  <w:sz w:val="18"/>
                                  <w:szCs w:val="18"/>
                                </w:rPr>
                              </w:pPr>
                              <w:r w:rsidRPr="00696FAD">
                                <w:rPr>
                                  <w:sz w:val="18"/>
                                  <w:szCs w:val="18"/>
                                </w:rPr>
                                <w:t>1 230 000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5FAB74" w14:textId="77777777" w:rsidR="009B061D" w:rsidRPr="00696FAD" w:rsidRDefault="009B061D" w:rsidP="009B061D">
                              <w:pPr>
                                <w:rPr>
                                  <w:sz w:val="18"/>
                                  <w:szCs w:val="18"/>
                                </w:rPr>
                              </w:pPr>
                              <w:r w:rsidRPr="00696FAD">
                                <w:rPr>
                                  <w:sz w:val="18"/>
                                  <w:szCs w:val="18"/>
                                </w:rPr>
                                <w:t>2 690 000</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417594" w14:textId="77777777" w:rsidR="009B061D" w:rsidRPr="00696FAD" w:rsidRDefault="009B061D" w:rsidP="009B061D">
                              <w:pPr>
                                <w:rPr>
                                  <w:sz w:val="18"/>
                                  <w:szCs w:val="18"/>
                                </w:rPr>
                              </w:pPr>
                              <w:r w:rsidRPr="00696FAD">
                                <w:rPr>
                                  <w:sz w:val="18"/>
                                  <w:szCs w:val="18"/>
                                </w:rPr>
                                <w:t>4 740 000</w:t>
                              </w:r>
                            </w:p>
                          </w:tc>
                        </w:tr>
                        <w:tr w:rsidR="00696FAD" w:rsidRPr="00696FAD" w14:paraId="71E6F921" w14:textId="77777777" w:rsidTr="009A7491">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A2222" w14:textId="77777777" w:rsidR="009B061D" w:rsidRPr="00696FAD" w:rsidRDefault="009B061D" w:rsidP="009B061D">
                              <w:pPr>
                                <w:rPr>
                                  <w:b/>
                                  <w:bCs/>
                                  <w:sz w:val="18"/>
                                  <w:szCs w:val="18"/>
                                </w:rPr>
                              </w:pPr>
                              <w:r w:rsidRPr="00696FAD">
                                <w:rPr>
                                  <w:b/>
                                  <w:bCs/>
                                  <w:sz w:val="18"/>
                                  <w:szCs w:val="18"/>
                                </w:rPr>
                                <w:t>Kopā pa gadiem, EUR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3C527C" w14:textId="77777777" w:rsidR="009B061D" w:rsidRPr="00696FAD" w:rsidRDefault="009B061D" w:rsidP="009B061D">
                              <w:pPr>
                                <w:rPr>
                                  <w:b/>
                                  <w:bCs/>
                                  <w:sz w:val="18"/>
                                  <w:szCs w:val="18"/>
                                </w:rPr>
                              </w:pPr>
                              <w:r w:rsidRPr="00696FAD">
                                <w:rPr>
                                  <w:sz w:val="18"/>
                                  <w:szCs w:val="18"/>
                                </w:rPr>
                                <w:t>480 019</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353AAE" w14:textId="77777777" w:rsidR="009B061D" w:rsidRPr="00696FAD" w:rsidRDefault="009B061D" w:rsidP="009B061D">
                              <w:pPr>
                                <w:rPr>
                                  <w:b/>
                                  <w:bCs/>
                                  <w:sz w:val="18"/>
                                  <w:szCs w:val="18"/>
                                </w:rPr>
                              </w:pPr>
                              <w:r w:rsidRPr="00696FAD">
                                <w:rPr>
                                  <w:sz w:val="18"/>
                                  <w:szCs w:val="18"/>
                                </w:rPr>
                                <w:t>2 047 980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192B08" w14:textId="77777777" w:rsidR="009B061D" w:rsidRPr="00696FAD" w:rsidRDefault="009B061D" w:rsidP="009B061D">
                              <w:pPr>
                                <w:rPr>
                                  <w:b/>
                                  <w:bCs/>
                                  <w:sz w:val="18"/>
                                  <w:szCs w:val="18"/>
                                </w:rPr>
                              </w:pPr>
                              <w:r w:rsidRPr="00696FAD">
                                <w:rPr>
                                  <w:sz w:val="18"/>
                                  <w:szCs w:val="18"/>
                                </w:rPr>
                                <w:t>7 540 851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94BBA1" w14:textId="77777777" w:rsidR="009B061D" w:rsidRPr="00696FAD" w:rsidRDefault="009B061D" w:rsidP="009B061D">
                              <w:pPr>
                                <w:rPr>
                                  <w:b/>
                                  <w:bCs/>
                                  <w:sz w:val="18"/>
                                  <w:szCs w:val="18"/>
                                </w:rPr>
                              </w:pPr>
                              <w:r w:rsidRPr="00696FAD">
                                <w:rPr>
                                  <w:sz w:val="18"/>
                                  <w:szCs w:val="18"/>
                                </w:rPr>
                                <w:t>4 236 770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EEF4A4" w14:textId="77777777" w:rsidR="009B061D" w:rsidRPr="00696FAD" w:rsidRDefault="009B061D" w:rsidP="009B061D">
                              <w:pPr>
                                <w:rPr>
                                  <w:b/>
                                  <w:bCs/>
                                  <w:sz w:val="18"/>
                                  <w:szCs w:val="18"/>
                                </w:rPr>
                              </w:pPr>
                              <w:r w:rsidRPr="00696FAD">
                                <w:rPr>
                                  <w:b/>
                                  <w:bCs/>
                                  <w:sz w:val="18"/>
                                  <w:szCs w:val="18"/>
                                </w:rPr>
                                <w:t>2 690 000</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bottom"/>
                            </w:tcPr>
                            <w:p w14:paraId="772C19CE" w14:textId="77777777" w:rsidR="009B061D" w:rsidRPr="00696FAD" w:rsidRDefault="009B061D" w:rsidP="009B061D">
                              <w:pPr>
                                <w:rPr>
                                  <w:b/>
                                  <w:bCs/>
                                  <w:sz w:val="18"/>
                                  <w:szCs w:val="18"/>
                                </w:rPr>
                              </w:pPr>
                            </w:p>
                          </w:tc>
                        </w:tr>
                        <w:tr w:rsidR="00696FAD" w:rsidRPr="00696FAD" w14:paraId="69246758" w14:textId="77777777" w:rsidTr="009A7491">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06C96" w14:textId="77777777" w:rsidR="009B061D" w:rsidRPr="00696FAD" w:rsidRDefault="009B061D" w:rsidP="009A7425">
                              <w:pPr>
                                <w:jc w:val="right"/>
                                <w:rPr>
                                  <w:b/>
                                  <w:bCs/>
                                  <w:sz w:val="18"/>
                                  <w:szCs w:val="18"/>
                                </w:rPr>
                              </w:pPr>
                              <w:r w:rsidRPr="00696FAD">
                                <w:rPr>
                                  <w:b/>
                                  <w:bCs/>
                                  <w:sz w:val="18"/>
                                  <w:szCs w:val="18"/>
                                </w:rPr>
                                <w:t>Kopā, EUR</w:t>
                              </w:r>
                            </w:p>
                          </w:tc>
                          <w:tc>
                            <w:tcPr>
                              <w:tcW w:w="5907"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56828B3C" w14:textId="77777777" w:rsidR="009B061D" w:rsidRPr="00696FAD" w:rsidRDefault="009B061D" w:rsidP="009A7491">
                              <w:pPr>
                                <w:ind w:right="176"/>
                                <w:jc w:val="right"/>
                                <w:rPr>
                                  <w:b/>
                                  <w:bCs/>
                                  <w:sz w:val="18"/>
                                  <w:szCs w:val="18"/>
                                </w:rPr>
                              </w:pPr>
                              <w:r w:rsidRPr="00696FAD">
                                <w:rPr>
                                  <w:b/>
                                  <w:bCs/>
                                  <w:sz w:val="18"/>
                                  <w:szCs w:val="18"/>
                                </w:rPr>
                                <w:t>16 995 620</w:t>
                              </w:r>
                            </w:p>
                          </w:tc>
                        </w:tr>
                      </w:tbl>
                      <w:p w14:paraId="349D800C" w14:textId="77777777" w:rsidR="009B061D" w:rsidRPr="00696FAD" w:rsidRDefault="009B061D" w:rsidP="009B061D">
                        <w:pPr>
                          <w:jc w:val="both"/>
                          <w:rPr>
                            <w:rFonts w:eastAsiaTheme="minorHAnsi"/>
                          </w:rPr>
                        </w:pPr>
                      </w:p>
                      <w:p w14:paraId="5E4DD9F7" w14:textId="7BF755FD" w:rsidR="009A7491" w:rsidRDefault="009A7491" w:rsidP="009A7491">
                        <w:pPr>
                          <w:ind w:right="254"/>
                          <w:jc w:val="both"/>
                        </w:pPr>
                        <w:r>
                          <w:t xml:space="preserve">Pēc projekta pabeigšanas sistēmas uzturēšanai </w:t>
                        </w:r>
                        <w:r w:rsidRPr="00696FAD">
                          <w:t>papildus nepieciešamais finansējums</w:t>
                        </w:r>
                        <w:r>
                          <w:t>, kas tiks pieprasīts normatīvajos aktos noteiktajā kārtībā.</w:t>
                        </w:r>
                      </w:p>
                      <w:p w14:paraId="1946277A" w14:textId="6BAFBA49" w:rsidR="009B061D" w:rsidRPr="00696FAD" w:rsidRDefault="009B061D" w:rsidP="009B061D">
                        <w:pPr>
                          <w:jc w:val="both"/>
                        </w:pPr>
                      </w:p>
                      <w:tbl>
                        <w:tblPr>
                          <w:tblW w:w="6910" w:type="dxa"/>
                          <w:tblLayout w:type="fixed"/>
                          <w:tblCellMar>
                            <w:left w:w="0" w:type="dxa"/>
                            <w:right w:w="0" w:type="dxa"/>
                          </w:tblCellMar>
                          <w:tblLook w:val="04A0" w:firstRow="1" w:lastRow="0" w:firstColumn="1" w:lastColumn="0" w:noHBand="0" w:noVBand="1"/>
                        </w:tblPr>
                        <w:tblGrid>
                          <w:gridCol w:w="2400"/>
                          <w:gridCol w:w="1434"/>
                          <w:gridCol w:w="1985"/>
                          <w:gridCol w:w="1091"/>
                        </w:tblGrid>
                        <w:tr w:rsidR="00696FAD" w:rsidRPr="00696FAD" w14:paraId="7FCF37A0" w14:textId="77777777" w:rsidTr="00922E76">
                          <w:trPr>
                            <w:trHeight w:val="389"/>
                          </w:trPr>
                          <w:tc>
                            <w:tcPr>
                              <w:tcW w:w="240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14:paraId="33652200" w14:textId="77777777" w:rsidR="009B061D" w:rsidRPr="00696FAD" w:rsidRDefault="009B061D" w:rsidP="009A7425">
                              <w:pPr>
                                <w:jc w:val="center"/>
                                <w:rPr>
                                  <w:sz w:val="20"/>
                                  <w:szCs w:val="20"/>
                                </w:rPr>
                              </w:pPr>
                              <w:r w:rsidRPr="00696FAD">
                                <w:rPr>
                                  <w:sz w:val="20"/>
                                  <w:szCs w:val="20"/>
                                </w:rPr>
                                <w:t>Uzturēšana</w:t>
                              </w:r>
                            </w:p>
                          </w:tc>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D63A0F" w14:textId="77777777" w:rsidR="009B061D" w:rsidRPr="00696FAD" w:rsidRDefault="009B061D" w:rsidP="009A7425">
                              <w:pPr>
                                <w:jc w:val="center"/>
                                <w:rPr>
                                  <w:sz w:val="20"/>
                                  <w:szCs w:val="20"/>
                                </w:rPr>
                              </w:pPr>
                              <w:r w:rsidRPr="00696FAD">
                                <w:rPr>
                                  <w:sz w:val="20"/>
                                  <w:szCs w:val="20"/>
                                </w:rPr>
                                <w:t>2021.gadā</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7E260B" w14:textId="77777777" w:rsidR="009B061D" w:rsidRPr="00696FAD" w:rsidRDefault="009B061D" w:rsidP="009A7425">
                              <w:pPr>
                                <w:jc w:val="center"/>
                                <w:rPr>
                                  <w:sz w:val="20"/>
                                  <w:szCs w:val="20"/>
                                </w:rPr>
                              </w:pPr>
                              <w:r w:rsidRPr="00696FAD">
                                <w:rPr>
                                  <w:sz w:val="20"/>
                                  <w:szCs w:val="20"/>
                                </w:rPr>
                                <w:t>2022.gadā</w:t>
                              </w:r>
                            </w:p>
                          </w:tc>
                          <w:tc>
                            <w:tcPr>
                              <w:tcW w:w="10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86509C" w14:textId="77777777" w:rsidR="009B061D" w:rsidRPr="00696FAD" w:rsidRDefault="009B061D" w:rsidP="009A7425">
                              <w:pPr>
                                <w:jc w:val="center"/>
                                <w:rPr>
                                  <w:sz w:val="20"/>
                                  <w:szCs w:val="20"/>
                                </w:rPr>
                              </w:pPr>
                              <w:r w:rsidRPr="00696FAD">
                                <w:rPr>
                                  <w:sz w:val="20"/>
                                  <w:szCs w:val="20"/>
                                </w:rPr>
                                <w:t>2023.gadā un turpmāk</w:t>
                              </w:r>
                            </w:p>
                          </w:tc>
                        </w:tr>
                        <w:tr w:rsidR="00696FAD" w:rsidRPr="00696FAD" w14:paraId="14F4E844" w14:textId="77777777" w:rsidTr="00922E76">
                          <w:trPr>
                            <w:trHeight w:val="408"/>
                          </w:trPr>
                          <w:tc>
                            <w:tcPr>
                              <w:tcW w:w="2400" w:type="dxa"/>
                              <w:tcBorders>
                                <w:top w:val="nil"/>
                                <w:left w:val="single" w:sz="8" w:space="0" w:color="auto"/>
                                <w:bottom w:val="single" w:sz="8" w:space="0" w:color="auto"/>
                                <w:right w:val="nil"/>
                              </w:tcBorders>
                              <w:tcMar>
                                <w:top w:w="0" w:type="dxa"/>
                                <w:left w:w="108" w:type="dxa"/>
                                <w:bottom w:w="0" w:type="dxa"/>
                                <w:right w:w="108" w:type="dxa"/>
                              </w:tcMar>
                              <w:vAlign w:val="bottom"/>
                              <w:hideMark/>
                            </w:tcPr>
                            <w:p w14:paraId="4B95F5DA" w14:textId="77777777" w:rsidR="009B061D" w:rsidRPr="00696FAD" w:rsidRDefault="009B061D" w:rsidP="009A7425">
                              <w:pPr>
                                <w:rPr>
                                  <w:sz w:val="20"/>
                                  <w:szCs w:val="20"/>
                                </w:rPr>
                              </w:pPr>
                              <w:r w:rsidRPr="00696FAD">
                                <w:rPr>
                                  <w:sz w:val="20"/>
                                  <w:szCs w:val="20"/>
                                </w:rPr>
                                <w:t>Papildus nepieciešams, EUR</w:t>
                              </w:r>
                            </w:p>
                          </w:tc>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05886E" w14:textId="77777777" w:rsidR="009B061D" w:rsidRPr="00696FAD" w:rsidRDefault="009B061D" w:rsidP="009A7425">
                              <w:pPr>
                                <w:jc w:val="right"/>
                                <w:rPr>
                                  <w:sz w:val="20"/>
                                  <w:szCs w:val="20"/>
                                </w:rPr>
                              </w:pPr>
                              <w:r w:rsidRPr="00696FAD">
                                <w:rPr>
                                  <w:sz w:val="20"/>
                                  <w:szCs w:val="20"/>
                                </w:rPr>
                                <w:t>561 770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4FD4CE" w14:textId="77777777" w:rsidR="009B061D" w:rsidRPr="00696FAD" w:rsidRDefault="009B061D" w:rsidP="009A7425">
                              <w:pPr>
                                <w:jc w:val="right"/>
                                <w:rPr>
                                  <w:sz w:val="20"/>
                                  <w:szCs w:val="20"/>
                                </w:rPr>
                              </w:pPr>
                              <w:r w:rsidRPr="00696FAD">
                                <w:rPr>
                                  <w:sz w:val="20"/>
                                  <w:szCs w:val="20"/>
                                </w:rPr>
                                <w:t>749 570</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A3AB72" w14:textId="77777777" w:rsidR="009B061D" w:rsidRPr="00696FAD" w:rsidRDefault="009B061D" w:rsidP="009A7425">
                              <w:pPr>
                                <w:jc w:val="right"/>
                                <w:rPr>
                                  <w:sz w:val="20"/>
                                  <w:szCs w:val="20"/>
                                </w:rPr>
                              </w:pPr>
                              <w:r w:rsidRPr="00696FAD">
                                <w:rPr>
                                  <w:sz w:val="20"/>
                                  <w:szCs w:val="20"/>
                                </w:rPr>
                                <w:t>749 570</w:t>
                              </w:r>
                            </w:p>
                          </w:tc>
                        </w:tr>
                      </w:tbl>
                      <w:p w14:paraId="127F46DB" w14:textId="77777777" w:rsidR="009B061D" w:rsidRDefault="009B061D" w:rsidP="009B061D">
                        <w:pPr>
                          <w:jc w:val="both"/>
                        </w:pPr>
                      </w:p>
                      <w:p w14:paraId="586003C6" w14:textId="77777777" w:rsidR="009B061D" w:rsidRDefault="009B061D" w:rsidP="00371511">
                        <w:pPr>
                          <w:jc w:val="both"/>
                          <w:rPr>
                            <w:color w:val="000000"/>
                          </w:rPr>
                        </w:pPr>
                      </w:p>
                      <w:p w14:paraId="3DB4C36D" w14:textId="77777777" w:rsidR="00154DBA" w:rsidRPr="00DF6E70" w:rsidRDefault="00154DBA" w:rsidP="00A80AB2">
                        <w:pPr>
                          <w:jc w:val="both"/>
                        </w:pPr>
                      </w:p>
                    </w:tc>
                  </w:tr>
                </w:tbl>
                <w:p w14:paraId="2BC6FD2F" w14:textId="77777777" w:rsidR="00154DBA" w:rsidRPr="00DF6E70" w:rsidRDefault="00154DBA" w:rsidP="009A51BF">
                  <w:pPr>
                    <w:jc w:val="center"/>
                    <w:rPr>
                      <w:bCs/>
                      <w:i/>
                    </w:rPr>
                  </w:pPr>
                </w:p>
              </w:tc>
            </w:tr>
          </w:tbl>
          <w:p w14:paraId="6C286B24" w14:textId="77777777" w:rsidR="00154DBA" w:rsidRPr="00DF6E70" w:rsidRDefault="00154DBA" w:rsidP="009A51BF">
            <w:pPr>
              <w:jc w:val="center"/>
              <w:rPr>
                <w:bCs/>
                <w:i/>
              </w:rPr>
            </w:pPr>
          </w:p>
        </w:tc>
      </w:tr>
    </w:tbl>
    <w:p w14:paraId="401E16E8" w14:textId="77777777" w:rsidR="00154DBA" w:rsidRPr="00DF6E70" w:rsidRDefault="00154DBA" w:rsidP="00154DBA">
      <w:pPr>
        <w:pStyle w:val="naisf"/>
        <w:spacing w:before="0" w:after="0"/>
        <w:rPr>
          <w:b/>
        </w:rPr>
      </w:pPr>
    </w:p>
    <w:p w14:paraId="5D61900E" w14:textId="77777777" w:rsidR="00154DBA" w:rsidRDefault="00154DBA" w:rsidP="00154DBA">
      <w:pPr>
        <w:pStyle w:val="naisf"/>
        <w:spacing w:before="0" w:after="0"/>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5670"/>
      </w:tblGrid>
      <w:tr w:rsidR="00154DBA" w:rsidRPr="00711F59" w14:paraId="73936BD0" w14:textId="77777777" w:rsidTr="00696FAD">
        <w:trPr>
          <w:jc w:val="center"/>
        </w:trPr>
        <w:tc>
          <w:tcPr>
            <w:tcW w:w="9586" w:type="dxa"/>
            <w:gridSpan w:val="3"/>
          </w:tcPr>
          <w:p w14:paraId="02E057C2" w14:textId="77777777" w:rsidR="00154DBA" w:rsidRPr="007C0F2C" w:rsidRDefault="00154DBA" w:rsidP="009A51BF">
            <w:pPr>
              <w:pStyle w:val="naisnod"/>
              <w:spacing w:before="0" w:after="0"/>
            </w:pPr>
            <w:r w:rsidRPr="007C0F2C">
              <w:t>IV. Tiesību akta projekta ietekme uz spēkā esošo tiesību normu sistēmu</w:t>
            </w:r>
          </w:p>
        </w:tc>
      </w:tr>
      <w:tr w:rsidR="00154DBA" w:rsidRPr="00C46301" w14:paraId="5691446A" w14:textId="77777777" w:rsidTr="00696FAD">
        <w:trPr>
          <w:jc w:val="center"/>
        </w:trPr>
        <w:tc>
          <w:tcPr>
            <w:tcW w:w="798" w:type="dxa"/>
          </w:tcPr>
          <w:p w14:paraId="799C0F8F" w14:textId="77777777" w:rsidR="00154DBA" w:rsidRPr="00994213" w:rsidRDefault="00154DBA" w:rsidP="009A51BF">
            <w:pPr>
              <w:pStyle w:val="naiskr"/>
              <w:tabs>
                <w:tab w:val="left" w:pos="2628"/>
              </w:tabs>
              <w:spacing w:before="0" w:after="0"/>
              <w:jc w:val="both"/>
              <w:rPr>
                <w:iCs/>
              </w:rPr>
            </w:pPr>
            <w:r w:rsidRPr="00994213">
              <w:rPr>
                <w:iCs/>
              </w:rPr>
              <w:t>1.</w:t>
            </w:r>
          </w:p>
        </w:tc>
        <w:tc>
          <w:tcPr>
            <w:tcW w:w="3118" w:type="dxa"/>
          </w:tcPr>
          <w:p w14:paraId="730DE199" w14:textId="77777777" w:rsidR="00154DBA" w:rsidRPr="00994213" w:rsidRDefault="00154DBA" w:rsidP="009A51BF">
            <w:pPr>
              <w:pStyle w:val="naiskr"/>
              <w:tabs>
                <w:tab w:val="left" w:pos="2628"/>
              </w:tabs>
              <w:spacing w:before="0" w:after="0"/>
              <w:jc w:val="both"/>
              <w:rPr>
                <w:iCs/>
              </w:rPr>
            </w:pPr>
            <w:r w:rsidRPr="00C46301">
              <w:t>Nepieciešamie saistītie tiesību aktu projekti</w:t>
            </w:r>
          </w:p>
        </w:tc>
        <w:tc>
          <w:tcPr>
            <w:tcW w:w="5670" w:type="dxa"/>
          </w:tcPr>
          <w:p w14:paraId="4A4B82E2" w14:textId="516BA416" w:rsidR="00696FAD" w:rsidRDefault="00696FAD" w:rsidP="00696FAD">
            <w:pPr>
              <w:ind w:right="142" w:firstLine="283"/>
              <w:jc w:val="both"/>
            </w:pPr>
            <w:r>
              <w:t xml:space="preserve">Likumprojekts paredz </w:t>
            </w:r>
            <w:r w:rsidR="00922E76">
              <w:t>līdz 2018.gada 1.maijam izdot</w:t>
            </w:r>
            <w:r w:rsidR="00922E76" w:rsidRPr="00922E76">
              <w:t xml:space="preserve"> </w:t>
            </w:r>
            <w:r w:rsidR="00922E76">
              <w:t>Ministru kabineta noteikumus, kuros</w:t>
            </w:r>
            <w:r>
              <w:t>:</w:t>
            </w:r>
          </w:p>
          <w:p w14:paraId="4DE8F1F1" w14:textId="5E08883A" w:rsidR="00696FAD" w:rsidRDefault="00696FAD" w:rsidP="00696FAD">
            <w:pPr>
              <w:ind w:right="142" w:firstLine="283"/>
              <w:jc w:val="both"/>
            </w:pPr>
            <w:r>
              <w:t>- </w:t>
            </w:r>
            <w:r w:rsidR="00922E76">
              <w:t xml:space="preserve">noteikti </w:t>
            </w:r>
            <w:r>
              <w:t>izņēmuma gadījum</w:t>
            </w:r>
            <w:r w:rsidR="00922E76">
              <w:t>i</w:t>
            </w:r>
            <w:r>
              <w:t xml:space="preserve"> no likumprojektā noteiktās vispārējās kārtības, kādā vienotajā nodokļu kontā saņemtie maksājumi tiek novirzīti nodokļu maksājumu saistību segšanai;</w:t>
            </w:r>
          </w:p>
          <w:p w14:paraId="7C967C38" w14:textId="383389A0" w:rsidR="00696FAD" w:rsidRDefault="00696FAD" w:rsidP="00696FAD">
            <w:pPr>
              <w:ind w:right="142" w:firstLine="283"/>
              <w:jc w:val="both"/>
            </w:pPr>
            <w:r>
              <w:t>- </w:t>
            </w:r>
            <w:r w:rsidR="00922E76">
              <w:t>noteikta kārtība</w:t>
            </w:r>
            <w:r>
              <w:t xml:space="preserve">, kādā VID administrē nodokļu maksātāja vienotajā nodokļu kontā ieskaitītos maksājumus, </w:t>
            </w:r>
            <w:r w:rsidR="00922E76">
              <w:t xml:space="preserve">un </w:t>
            </w:r>
            <w:r>
              <w:t>kārtīb</w:t>
            </w:r>
            <w:r w:rsidR="00922E76">
              <w:t>a</w:t>
            </w:r>
            <w:r>
              <w:t xml:space="preserve">, kādā tos novirza konkrēta nodokļa, nodevas, citu valsts noteikto maksājumu vai </w:t>
            </w:r>
            <w:r>
              <w:lastRenderedPageBreak/>
              <w:t>ar tiem saistīto maksājumu saistību segšanai, un vienotajā nodokļu kontā saņemto maksājumu ieskaitīšanas kārtīb</w:t>
            </w:r>
            <w:r w:rsidR="00922E76">
              <w:t>a</w:t>
            </w:r>
            <w:r>
              <w:t>;</w:t>
            </w:r>
          </w:p>
          <w:p w14:paraId="34287019" w14:textId="04B793C3" w:rsidR="00696FAD" w:rsidRPr="00696FAD" w:rsidRDefault="00696FAD" w:rsidP="00696FAD">
            <w:pPr>
              <w:ind w:right="142" w:firstLine="283"/>
              <w:jc w:val="both"/>
            </w:pPr>
            <w:r>
              <w:t>- noteikt</w:t>
            </w:r>
            <w:r w:rsidR="00922E76">
              <w:t>a</w:t>
            </w:r>
            <w:r>
              <w:t xml:space="preserve"> kārtīb</w:t>
            </w:r>
            <w:r w:rsidR="00922E76">
              <w:t>a</w:t>
            </w:r>
            <w:r>
              <w:t xml:space="preserve">, kādā saskaņā ar nodokļu likumiem tiek ieskaitīti budžetā kārtējie nodokļu maksājumi un nokavētie nodokļu maksājumi, kas </w:t>
            </w:r>
            <w:r w:rsidRPr="00696FAD">
              <w:t>nav maksājami vienotajā nodokļu kontā.</w:t>
            </w:r>
          </w:p>
          <w:p w14:paraId="3FB67AC9" w14:textId="4F5F2398" w:rsidR="00696FAD" w:rsidRPr="006A75EF" w:rsidRDefault="00696FAD" w:rsidP="006A75EF">
            <w:pPr>
              <w:pStyle w:val="ListParagraph"/>
              <w:tabs>
                <w:tab w:val="left" w:pos="0"/>
              </w:tabs>
              <w:ind w:left="0" w:firstLine="203"/>
              <w:jc w:val="both"/>
              <w:rPr>
                <w:iCs/>
              </w:rPr>
            </w:pPr>
            <w:r w:rsidRPr="00696FAD">
              <w:rPr>
                <w:iCs/>
              </w:rPr>
              <w:t>Vienlaikus papildu likumprojektam ir sagatavots Ministru kabineta protokollēmuma projekts, kas</w:t>
            </w:r>
            <w:r>
              <w:rPr>
                <w:iCs/>
              </w:rPr>
              <w:t xml:space="preserve"> paredz, </w:t>
            </w:r>
            <w:r w:rsidR="00922E76">
              <w:rPr>
                <w:iCs/>
              </w:rPr>
              <w:t>veikt grozījumus normatīvajos aktos, kas nosaka nodokļu deklarāciju iesniegšanas termiņus un nodokļu</w:t>
            </w:r>
            <w:r w:rsidR="00B00234">
              <w:rPr>
                <w:iCs/>
              </w:rPr>
              <w:t>,</w:t>
            </w:r>
            <w:r w:rsidR="00922E76">
              <w:rPr>
                <w:iCs/>
              </w:rPr>
              <w:t xml:space="preserve"> uzņēmējdarbības riska valsts nodevas </w:t>
            </w:r>
            <w:r w:rsidR="00B00234">
              <w:rPr>
                <w:iCs/>
              </w:rPr>
              <w:t xml:space="preserve">un </w:t>
            </w:r>
            <w:r w:rsidR="00B00234" w:rsidRPr="005C6C12">
              <w:t>valsts nodev</w:t>
            </w:r>
            <w:r w:rsidR="00B00234">
              <w:t>as</w:t>
            </w:r>
            <w:r w:rsidR="00B00234" w:rsidRPr="005C6C12">
              <w:t xml:space="preserve"> par numerācijas lietošanas tiesībām</w:t>
            </w:r>
            <w:r w:rsidR="00B00234">
              <w:rPr>
                <w:iCs/>
              </w:rPr>
              <w:t xml:space="preserve"> </w:t>
            </w:r>
            <w:r w:rsidR="00922E76">
              <w:rPr>
                <w:iCs/>
              </w:rPr>
              <w:t>maksāšanas termiņus, lai vienādotu maksāšanas termiņus un noteiktu, ka nodokļu deklarācija iesniedzama pirms</w:t>
            </w:r>
            <w:r w:rsidR="00D02B24">
              <w:rPr>
                <w:iCs/>
              </w:rPr>
              <w:t xml:space="preserve"> vienotā</w:t>
            </w:r>
            <w:r w:rsidR="00922E76">
              <w:rPr>
                <w:iCs/>
              </w:rPr>
              <w:t xml:space="preserve"> nodokļu maksāšanas </w:t>
            </w:r>
            <w:r w:rsidR="00D02B24">
              <w:rPr>
                <w:iCs/>
              </w:rPr>
              <w:t xml:space="preserve">gala </w:t>
            </w:r>
            <w:r w:rsidR="00922E76">
              <w:rPr>
                <w:iCs/>
              </w:rPr>
              <w:t>termiņa.</w:t>
            </w:r>
          </w:p>
        </w:tc>
      </w:tr>
      <w:tr w:rsidR="00154DBA" w:rsidRPr="00C46301" w14:paraId="71889692" w14:textId="77777777" w:rsidTr="00696FAD">
        <w:trPr>
          <w:jc w:val="center"/>
        </w:trPr>
        <w:tc>
          <w:tcPr>
            <w:tcW w:w="798" w:type="dxa"/>
          </w:tcPr>
          <w:p w14:paraId="1DFA76B8" w14:textId="1F237A61" w:rsidR="00154DBA" w:rsidRPr="00994213" w:rsidRDefault="00154DBA" w:rsidP="009A51BF">
            <w:pPr>
              <w:pStyle w:val="naiskr"/>
              <w:tabs>
                <w:tab w:val="left" w:pos="2628"/>
              </w:tabs>
              <w:spacing w:before="0" w:after="0"/>
              <w:jc w:val="both"/>
              <w:rPr>
                <w:iCs/>
              </w:rPr>
            </w:pPr>
            <w:r w:rsidRPr="00994213">
              <w:rPr>
                <w:iCs/>
              </w:rPr>
              <w:lastRenderedPageBreak/>
              <w:t>2.</w:t>
            </w:r>
          </w:p>
        </w:tc>
        <w:tc>
          <w:tcPr>
            <w:tcW w:w="3118" w:type="dxa"/>
          </w:tcPr>
          <w:p w14:paraId="2CA92D03" w14:textId="77777777" w:rsidR="00154DBA" w:rsidRPr="00C46301" w:rsidRDefault="00154DBA" w:rsidP="009A51BF">
            <w:pPr>
              <w:pStyle w:val="naiskr"/>
              <w:tabs>
                <w:tab w:val="left" w:pos="2628"/>
              </w:tabs>
              <w:spacing w:before="0" w:after="0"/>
              <w:jc w:val="both"/>
            </w:pPr>
            <w:r>
              <w:t>Atbildīgā institūcija</w:t>
            </w:r>
          </w:p>
        </w:tc>
        <w:tc>
          <w:tcPr>
            <w:tcW w:w="5670" w:type="dxa"/>
          </w:tcPr>
          <w:p w14:paraId="28829ADD" w14:textId="5E292C99" w:rsidR="00154DBA" w:rsidRDefault="00154DBA" w:rsidP="00922E76">
            <w:pPr>
              <w:pStyle w:val="naiskr"/>
              <w:tabs>
                <w:tab w:val="left" w:pos="2628"/>
              </w:tabs>
              <w:spacing w:before="0" w:after="0"/>
              <w:ind w:firstLine="203"/>
              <w:jc w:val="both"/>
            </w:pPr>
            <w:r>
              <w:t xml:space="preserve">Finanšu ministrija </w:t>
            </w:r>
            <w:r w:rsidR="00922E76">
              <w:t>ir atbildīga par Ministru kabineta noteikumu izstrādi.</w:t>
            </w:r>
          </w:p>
          <w:p w14:paraId="7130A075" w14:textId="7C645841" w:rsidR="00922E76" w:rsidRPr="00922E76" w:rsidRDefault="00922E76" w:rsidP="00B00234">
            <w:pPr>
              <w:pStyle w:val="ListParagraph"/>
              <w:tabs>
                <w:tab w:val="left" w:pos="0"/>
              </w:tabs>
              <w:ind w:left="0" w:firstLine="203"/>
              <w:jc w:val="both"/>
              <w:rPr>
                <w:iCs/>
              </w:rPr>
            </w:pPr>
            <w:r>
              <w:t>Finanšu ministrija,</w:t>
            </w:r>
            <w:r w:rsidR="006F4402">
              <w:t xml:space="preserve"> Satiksmes ministrija,</w:t>
            </w:r>
            <w:r>
              <w:t xml:space="preserve"> Ekonomikas ministrija, Labklājības ministrija</w:t>
            </w:r>
            <w:r w:rsidRPr="00922E76">
              <w:t>, Tieslietu ministrija un Vides aizsardzības un r</w:t>
            </w:r>
            <w:r>
              <w:t xml:space="preserve">eģionālās attīstības ministrija ir atbildīga par </w:t>
            </w:r>
            <w:r>
              <w:rPr>
                <w:iCs/>
              </w:rPr>
              <w:t>grozījumu izstrādi normatīvajos aktos, kas nosaka nodokļu deklarāciju iesniegšanas termiņus un nodokļu</w:t>
            </w:r>
            <w:r w:rsidR="00B00234">
              <w:rPr>
                <w:iCs/>
              </w:rPr>
              <w:t xml:space="preserve">, </w:t>
            </w:r>
            <w:r>
              <w:rPr>
                <w:iCs/>
              </w:rPr>
              <w:t>uzņēmējdarbības riska valsts nodevas</w:t>
            </w:r>
            <w:r w:rsidR="00B00234">
              <w:rPr>
                <w:iCs/>
              </w:rPr>
              <w:t xml:space="preserve"> un </w:t>
            </w:r>
            <w:r w:rsidR="00B00234" w:rsidRPr="005C6C12">
              <w:t>valsts nodev</w:t>
            </w:r>
            <w:r w:rsidR="00B00234">
              <w:t>as</w:t>
            </w:r>
            <w:r w:rsidR="00B00234" w:rsidRPr="005C6C12">
              <w:t xml:space="preserve"> par numerācijas lietošanas tiesībām</w:t>
            </w:r>
            <w:r>
              <w:rPr>
                <w:iCs/>
              </w:rPr>
              <w:t xml:space="preserve"> maksāšanas termiņus, lai vienādotu maksāšanas termiņus un noteiktu, ka nodokļu deklarācija iesniedzama pirms</w:t>
            </w:r>
            <w:r w:rsidR="00D02B24">
              <w:rPr>
                <w:iCs/>
              </w:rPr>
              <w:t xml:space="preserve"> vienotā</w:t>
            </w:r>
            <w:r>
              <w:rPr>
                <w:iCs/>
              </w:rPr>
              <w:t xml:space="preserve"> nodokļu maksāšanas </w:t>
            </w:r>
            <w:r w:rsidR="00D02B24">
              <w:rPr>
                <w:iCs/>
              </w:rPr>
              <w:t xml:space="preserve">gala </w:t>
            </w:r>
            <w:r>
              <w:rPr>
                <w:iCs/>
              </w:rPr>
              <w:t>termiņa.</w:t>
            </w:r>
          </w:p>
        </w:tc>
      </w:tr>
      <w:tr w:rsidR="00154DBA" w:rsidRPr="00994213" w14:paraId="636E0043" w14:textId="77777777" w:rsidTr="00696FAD">
        <w:trPr>
          <w:jc w:val="center"/>
        </w:trPr>
        <w:tc>
          <w:tcPr>
            <w:tcW w:w="798" w:type="dxa"/>
          </w:tcPr>
          <w:p w14:paraId="200558CD" w14:textId="714A3750" w:rsidR="00154DBA" w:rsidRPr="00994213" w:rsidRDefault="00154DBA" w:rsidP="009A51BF">
            <w:pPr>
              <w:pStyle w:val="naiskr"/>
              <w:tabs>
                <w:tab w:val="left" w:pos="2628"/>
              </w:tabs>
              <w:spacing w:before="0" w:after="0"/>
              <w:jc w:val="both"/>
              <w:rPr>
                <w:iCs/>
              </w:rPr>
            </w:pPr>
            <w:r>
              <w:rPr>
                <w:iCs/>
              </w:rPr>
              <w:t>3.</w:t>
            </w:r>
          </w:p>
        </w:tc>
        <w:tc>
          <w:tcPr>
            <w:tcW w:w="3118" w:type="dxa"/>
          </w:tcPr>
          <w:p w14:paraId="082C6A65" w14:textId="77777777" w:rsidR="00154DBA" w:rsidRPr="00994213" w:rsidRDefault="00154DBA" w:rsidP="009A51BF">
            <w:pPr>
              <w:pStyle w:val="naiskr"/>
              <w:tabs>
                <w:tab w:val="left" w:pos="2628"/>
              </w:tabs>
              <w:spacing w:before="0" w:after="0"/>
              <w:jc w:val="both"/>
              <w:rPr>
                <w:iCs/>
              </w:rPr>
            </w:pPr>
            <w:r w:rsidRPr="00C46301">
              <w:t>Cita informācija</w:t>
            </w:r>
          </w:p>
        </w:tc>
        <w:tc>
          <w:tcPr>
            <w:tcW w:w="5670" w:type="dxa"/>
          </w:tcPr>
          <w:p w14:paraId="2AFA67D4" w14:textId="77777777" w:rsidR="00154DBA" w:rsidRPr="00994213" w:rsidRDefault="00154DBA" w:rsidP="009A51BF">
            <w:pPr>
              <w:pStyle w:val="naiskr"/>
              <w:tabs>
                <w:tab w:val="left" w:pos="2628"/>
              </w:tabs>
              <w:spacing w:before="0" w:after="0"/>
              <w:jc w:val="both"/>
              <w:rPr>
                <w:iCs/>
              </w:rPr>
            </w:pPr>
            <w:r w:rsidRPr="00C46301">
              <w:t>Nav.</w:t>
            </w:r>
          </w:p>
        </w:tc>
      </w:tr>
    </w:tbl>
    <w:p w14:paraId="0E0CF8CA" w14:textId="77777777" w:rsidR="00154DBA" w:rsidRDefault="00154DBA" w:rsidP="00154DBA">
      <w:pPr>
        <w:pStyle w:val="naisf"/>
        <w:spacing w:before="0" w:after="0"/>
      </w:pPr>
    </w:p>
    <w:p w14:paraId="22B106D2" w14:textId="77777777" w:rsidR="00154DBA" w:rsidRDefault="00154DBA" w:rsidP="00154DBA">
      <w:pPr>
        <w:pStyle w:val="naisf"/>
        <w:spacing w:before="0" w:after="0"/>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154DBA" w:rsidRPr="00BA3C4F" w14:paraId="7395C842" w14:textId="77777777" w:rsidTr="009A51BF">
        <w:tc>
          <w:tcPr>
            <w:tcW w:w="10206" w:type="dxa"/>
            <w:tcBorders>
              <w:top w:val="outset" w:sz="6" w:space="0" w:color="auto"/>
              <w:left w:val="outset" w:sz="6" w:space="0" w:color="auto"/>
              <w:bottom w:val="outset" w:sz="6" w:space="0" w:color="auto"/>
              <w:right w:val="outset" w:sz="6" w:space="0" w:color="auto"/>
            </w:tcBorders>
            <w:vAlign w:val="center"/>
          </w:tcPr>
          <w:p w14:paraId="7C5F6AEC" w14:textId="77777777" w:rsidR="00154DBA" w:rsidRPr="00BA3C4F" w:rsidRDefault="00154DBA" w:rsidP="009A51BF">
            <w:pPr>
              <w:jc w:val="center"/>
              <w:rPr>
                <w:b/>
              </w:rPr>
            </w:pPr>
            <w:r w:rsidRPr="00BA3C4F">
              <w:rPr>
                <w:b/>
              </w:rPr>
              <w:t>V. Tiesību akta projekta atbilstība Latvijas Republikas starptautiskajām saistībām</w:t>
            </w:r>
          </w:p>
        </w:tc>
      </w:tr>
      <w:tr w:rsidR="00154DBA" w:rsidRPr="00BA3C4F" w14:paraId="61FDBACE" w14:textId="77777777" w:rsidTr="009A51BF">
        <w:tc>
          <w:tcPr>
            <w:tcW w:w="10206" w:type="dxa"/>
            <w:tcBorders>
              <w:top w:val="outset" w:sz="6" w:space="0" w:color="auto"/>
              <w:left w:val="outset" w:sz="6" w:space="0" w:color="auto"/>
              <w:bottom w:val="outset" w:sz="6" w:space="0" w:color="auto"/>
              <w:right w:val="outset" w:sz="6" w:space="0" w:color="auto"/>
            </w:tcBorders>
            <w:vAlign w:val="center"/>
          </w:tcPr>
          <w:p w14:paraId="543074CD" w14:textId="77777777" w:rsidR="00154DBA" w:rsidRPr="002C10A7" w:rsidRDefault="00154DBA" w:rsidP="009A51BF">
            <w:pPr>
              <w:jc w:val="center"/>
            </w:pPr>
            <w:r w:rsidRPr="002C10A7">
              <w:rPr>
                <w:i/>
              </w:rPr>
              <w:t>Projekts šo jomu neskar</w:t>
            </w:r>
          </w:p>
        </w:tc>
      </w:tr>
    </w:tbl>
    <w:p w14:paraId="5DF464F9" w14:textId="77777777" w:rsidR="00154DBA" w:rsidRDefault="00154DBA" w:rsidP="00154DBA">
      <w:pPr>
        <w:pStyle w:val="naisf"/>
        <w:spacing w:before="0" w:after="0"/>
      </w:pPr>
    </w:p>
    <w:p w14:paraId="03D29321" w14:textId="77777777" w:rsidR="00154DBA" w:rsidRDefault="00154DBA" w:rsidP="00154DBA">
      <w:pPr>
        <w:pStyle w:val="naisf"/>
        <w:spacing w:before="0" w:after="0"/>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56"/>
      </w:tblGrid>
      <w:tr w:rsidR="00154DBA" w:rsidRPr="007C0F2C" w14:paraId="3482D027" w14:textId="77777777" w:rsidTr="009A51BF">
        <w:trPr>
          <w:jc w:val="center"/>
        </w:trPr>
        <w:tc>
          <w:tcPr>
            <w:tcW w:w="10256" w:type="dxa"/>
          </w:tcPr>
          <w:p w14:paraId="40631754" w14:textId="77777777" w:rsidR="00154DBA" w:rsidRPr="007C0F2C" w:rsidRDefault="00154DBA" w:rsidP="009A51BF">
            <w:pPr>
              <w:pStyle w:val="naisnod"/>
              <w:spacing w:before="0" w:after="0"/>
              <w:ind w:left="57" w:right="57"/>
            </w:pPr>
            <w:r w:rsidRPr="001C6FE5">
              <w:t>VI. Sabiedrības līdzdalība un komunikācijas aktivitātes</w:t>
            </w:r>
          </w:p>
        </w:tc>
      </w:tr>
      <w:tr w:rsidR="00154DBA" w:rsidRPr="007C0F2C" w14:paraId="74268A05" w14:textId="77777777" w:rsidTr="009A51BF">
        <w:trPr>
          <w:jc w:val="center"/>
        </w:trPr>
        <w:tc>
          <w:tcPr>
            <w:tcW w:w="10256" w:type="dxa"/>
            <w:tcBorders>
              <w:top w:val="single" w:sz="4" w:space="0" w:color="auto"/>
              <w:left w:val="single" w:sz="4" w:space="0" w:color="auto"/>
              <w:bottom w:val="single" w:sz="4" w:space="0" w:color="auto"/>
              <w:right w:val="single" w:sz="4" w:space="0" w:color="auto"/>
            </w:tcBorders>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3587"/>
              <w:gridCol w:w="6161"/>
            </w:tblGrid>
            <w:tr w:rsidR="00154DBA" w:rsidRPr="00C3347C" w14:paraId="6803C89B" w14:textId="77777777" w:rsidTr="009A51BF">
              <w:trPr>
                <w:trHeight w:val="553"/>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19782B75" w14:textId="77777777" w:rsidR="00154DBA" w:rsidRPr="00C3347C" w:rsidRDefault="00154DBA" w:rsidP="009A51BF">
                  <w:pPr>
                    <w:spacing w:before="100" w:beforeAutospacing="1" w:after="100" w:afterAutospacing="1"/>
                  </w:pPr>
                  <w:r w:rsidRPr="00C3347C">
                    <w:t> 1.</w:t>
                  </w:r>
                </w:p>
              </w:tc>
              <w:tc>
                <w:tcPr>
                  <w:tcW w:w="3587" w:type="dxa"/>
                  <w:tcBorders>
                    <w:top w:val="outset" w:sz="6" w:space="0" w:color="auto"/>
                    <w:left w:val="outset" w:sz="6" w:space="0" w:color="auto"/>
                    <w:bottom w:val="outset" w:sz="6" w:space="0" w:color="auto"/>
                    <w:right w:val="outset" w:sz="6" w:space="0" w:color="auto"/>
                  </w:tcBorders>
                  <w:hideMark/>
                </w:tcPr>
                <w:p w14:paraId="3227DF54" w14:textId="77777777" w:rsidR="00154DBA" w:rsidRPr="00C3347C" w:rsidRDefault="00154DBA" w:rsidP="009A51BF">
                  <w:pPr>
                    <w:spacing w:before="100" w:beforeAutospacing="1" w:after="100" w:afterAutospacing="1"/>
                  </w:pPr>
                  <w:r w:rsidRPr="00C3347C">
                    <w:t> </w:t>
                  </w:r>
                  <w:r>
                    <w:t>Plānotās sabiedrības līdzdalības un komunikācijas aktivitātes saistībā ar projektu</w:t>
                  </w:r>
                </w:p>
              </w:tc>
              <w:tc>
                <w:tcPr>
                  <w:tcW w:w="6161" w:type="dxa"/>
                  <w:tcBorders>
                    <w:top w:val="outset" w:sz="6" w:space="0" w:color="auto"/>
                    <w:left w:val="outset" w:sz="6" w:space="0" w:color="auto"/>
                    <w:bottom w:val="outset" w:sz="6" w:space="0" w:color="auto"/>
                    <w:right w:val="outset" w:sz="6" w:space="0" w:color="auto"/>
                  </w:tcBorders>
                  <w:hideMark/>
                </w:tcPr>
                <w:p w14:paraId="3EAF595B" w14:textId="77777777" w:rsidR="00154DBA" w:rsidRPr="00C3347C" w:rsidRDefault="00154DBA" w:rsidP="00371511">
                  <w:pPr>
                    <w:spacing w:before="100" w:beforeAutospacing="1" w:after="100" w:afterAutospacing="1"/>
                    <w:jc w:val="both"/>
                  </w:pPr>
                  <w:r w:rsidRPr="001C6FE5">
                    <w:t xml:space="preserve">Informācija par </w:t>
                  </w:r>
                  <w:r>
                    <w:t>likumprojektu</w:t>
                  </w:r>
                  <w:r w:rsidRPr="001C6FE5">
                    <w:t xml:space="preserve"> ir ievietota Finanšu ministrijas mājas lapā</w:t>
                  </w:r>
                  <w:r>
                    <w:t xml:space="preserve">, publicējot </w:t>
                  </w:r>
                  <w:r w:rsidR="00371511">
                    <w:t xml:space="preserve">informāciju par likumprojekta </w:t>
                  </w:r>
                  <w:r>
                    <w:t>izstrādi</w:t>
                  </w:r>
                  <w:r w:rsidRPr="001C6FE5">
                    <w:t>.</w:t>
                  </w:r>
                </w:p>
              </w:tc>
            </w:tr>
            <w:tr w:rsidR="00154DBA" w:rsidRPr="00C3347C" w14:paraId="1EC0C397" w14:textId="77777777" w:rsidTr="009A51BF">
              <w:trPr>
                <w:trHeight w:val="339"/>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7433C643" w14:textId="77777777" w:rsidR="00154DBA" w:rsidRPr="00C3347C" w:rsidRDefault="00154DBA" w:rsidP="009A51BF">
                  <w:pPr>
                    <w:spacing w:before="100" w:beforeAutospacing="1" w:after="100" w:afterAutospacing="1"/>
                  </w:pPr>
                  <w:r w:rsidRPr="00C3347C">
                    <w:t> 2.</w:t>
                  </w:r>
                </w:p>
              </w:tc>
              <w:tc>
                <w:tcPr>
                  <w:tcW w:w="3587" w:type="dxa"/>
                  <w:tcBorders>
                    <w:top w:val="outset" w:sz="6" w:space="0" w:color="auto"/>
                    <w:left w:val="outset" w:sz="6" w:space="0" w:color="auto"/>
                    <w:bottom w:val="outset" w:sz="6" w:space="0" w:color="auto"/>
                    <w:right w:val="outset" w:sz="6" w:space="0" w:color="auto"/>
                  </w:tcBorders>
                  <w:hideMark/>
                </w:tcPr>
                <w:p w14:paraId="0149DE06" w14:textId="77777777" w:rsidR="00154DBA" w:rsidRPr="00C3347C" w:rsidRDefault="00154DBA" w:rsidP="009A51BF">
                  <w:pPr>
                    <w:spacing w:before="100" w:beforeAutospacing="1" w:after="100" w:afterAutospacing="1"/>
                  </w:pPr>
                  <w:r w:rsidRPr="00C3347C">
                    <w:t> Sabiedrības līdzdalība projekta izstrādē</w:t>
                  </w:r>
                </w:p>
              </w:tc>
              <w:tc>
                <w:tcPr>
                  <w:tcW w:w="6161" w:type="dxa"/>
                  <w:tcBorders>
                    <w:top w:val="outset" w:sz="6" w:space="0" w:color="auto"/>
                    <w:left w:val="outset" w:sz="6" w:space="0" w:color="auto"/>
                    <w:bottom w:val="outset" w:sz="6" w:space="0" w:color="auto"/>
                    <w:right w:val="outset" w:sz="6" w:space="0" w:color="auto"/>
                  </w:tcBorders>
                </w:tcPr>
                <w:p w14:paraId="09D72C07" w14:textId="4B17B6DF" w:rsidR="00154DBA" w:rsidRPr="00C3347C" w:rsidRDefault="00154DBA" w:rsidP="008D4F72">
                  <w:pPr>
                    <w:spacing w:before="100" w:beforeAutospacing="1" w:after="100" w:afterAutospacing="1"/>
                    <w:jc w:val="both"/>
                  </w:pPr>
                  <w:r w:rsidRPr="007E2C13">
                    <w:t xml:space="preserve">Projekta izstrādē </w:t>
                  </w:r>
                  <w:r>
                    <w:t>notikušas konsultācijas ar</w:t>
                  </w:r>
                  <w:r w:rsidRPr="007E2C13">
                    <w:t xml:space="preserve"> </w:t>
                  </w:r>
                  <w:r w:rsidR="00371511">
                    <w:t xml:space="preserve">Valsts kasi, </w:t>
                  </w:r>
                  <w:r w:rsidR="008D4F72">
                    <w:t>VID</w:t>
                  </w:r>
                  <w:r w:rsidRPr="007E2C13">
                    <w:t>.</w:t>
                  </w:r>
                </w:p>
              </w:tc>
            </w:tr>
            <w:tr w:rsidR="00154DBA" w:rsidRPr="00C3347C" w14:paraId="1A29713E" w14:textId="77777777" w:rsidTr="009A51BF">
              <w:trPr>
                <w:trHeight w:val="375"/>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641C3BED" w14:textId="77777777" w:rsidR="00154DBA" w:rsidRPr="00C3347C" w:rsidRDefault="00154DBA" w:rsidP="009A51BF">
                  <w:pPr>
                    <w:spacing w:before="100" w:beforeAutospacing="1" w:after="100" w:afterAutospacing="1"/>
                  </w:pPr>
                  <w:r w:rsidRPr="00C3347C">
                    <w:t> 3.</w:t>
                  </w:r>
                </w:p>
              </w:tc>
              <w:tc>
                <w:tcPr>
                  <w:tcW w:w="3587" w:type="dxa"/>
                  <w:tcBorders>
                    <w:top w:val="outset" w:sz="6" w:space="0" w:color="auto"/>
                    <w:left w:val="outset" w:sz="6" w:space="0" w:color="auto"/>
                    <w:bottom w:val="outset" w:sz="6" w:space="0" w:color="auto"/>
                    <w:right w:val="outset" w:sz="6" w:space="0" w:color="auto"/>
                  </w:tcBorders>
                  <w:hideMark/>
                </w:tcPr>
                <w:p w14:paraId="2A33E0E8" w14:textId="77777777" w:rsidR="00154DBA" w:rsidRPr="00C3347C" w:rsidRDefault="00154DBA" w:rsidP="009A51BF">
                  <w:pPr>
                    <w:spacing w:before="100" w:beforeAutospacing="1" w:after="100" w:afterAutospacing="1"/>
                  </w:pPr>
                  <w:r w:rsidRPr="00C3347C">
                    <w:t> Sabiedrības līdzdalības rezultāti</w:t>
                  </w:r>
                </w:p>
              </w:tc>
              <w:tc>
                <w:tcPr>
                  <w:tcW w:w="6161" w:type="dxa"/>
                  <w:tcBorders>
                    <w:top w:val="outset" w:sz="6" w:space="0" w:color="auto"/>
                    <w:left w:val="outset" w:sz="6" w:space="0" w:color="auto"/>
                    <w:bottom w:val="outset" w:sz="6" w:space="0" w:color="auto"/>
                    <w:right w:val="outset" w:sz="6" w:space="0" w:color="auto"/>
                  </w:tcBorders>
                </w:tcPr>
                <w:p w14:paraId="1200033A" w14:textId="00501C35" w:rsidR="00444C19" w:rsidRDefault="00444C19" w:rsidP="00444C19">
                  <w:pPr>
                    <w:jc w:val="both"/>
                  </w:pPr>
                  <w:r>
                    <w:t>Atbilstoši Valsts sekretāru sanāksmes 2017.gada 17.augusta sanāksmes protokola (prot.Nr.32 7.§</w:t>
                  </w:r>
                  <w:r w:rsidR="00FF4FC6">
                    <w:t xml:space="preserve"> VSS-870</w:t>
                  </w:r>
                  <w:r>
                    <w:t xml:space="preserve">) 1. un 2.punktam Finanšu ministrijai Likumprojekts, anotācija un protokollēmuma projekts jāsaskaņo ar </w:t>
                  </w:r>
                  <w:r w:rsidR="006620FB">
                    <w:t xml:space="preserve">šādām nevalstiskā sektora institūcijām: </w:t>
                  </w:r>
                  <w:r>
                    <w:t>Latvijas Pašvaldību savienību, Latvijas Brīvo arodbiedrību savienību un Latvijas Darba devēju konfederāciju, kā arī ar Latvijas Tirdzniecības un rūpniecības kameru.</w:t>
                  </w:r>
                </w:p>
                <w:p w14:paraId="63B17127" w14:textId="1C56DC45" w:rsidR="00444C19" w:rsidRDefault="00444C19" w:rsidP="00444C19">
                  <w:pPr>
                    <w:jc w:val="both"/>
                  </w:pPr>
                  <w:r>
                    <w:t xml:space="preserve">Likumprojekta saskaņošanas laikā nav panākta vienošanās par </w:t>
                  </w:r>
                  <w:r>
                    <w:lastRenderedPageBreak/>
                    <w:t>Latvijas Pašvaldību savienības, Latvijas Brīvo arodbiedrību savienības, Latvijas Darba devēju konfederācijas  un Latvijas Lielo pilsētu asociācijas izteiktajiem iebildumiem.</w:t>
                  </w:r>
                  <w:r w:rsidR="006620FB">
                    <w:t xml:space="preserve"> Vienošanās nav panākta attiecībā par VSAOI noteikšanu kā prioritāri ieskaitāmo nodokli vienotajā nodokļu kontā. Detalizēta informācija par sniegtajiem iebildumiem apkopota izziņā par atzinumos sniegtajiem iebildumiem.</w:t>
                  </w:r>
                </w:p>
                <w:p w14:paraId="2347F25C" w14:textId="03228DA7" w:rsidR="00245F2F" w:rsidRPr="00C3347C" w:rsidRDefault="00444C19" w:rsidP="006620FB">
                  <w:pPr>
                    <w:jc w:val="both"/>
                  </w:pPr>
                  <w:r>
                    <w:t xml:space="preserve">Likumprojekts ir komplicēts un skar visu šobrīd esošo nodokļu maksāšanas un administrēšanas sistēmu, taču projekta izstrādes procesā ir ticis panākts kompromiss par vairākiem problēmjautājumiem. Kopumā Likumprojekta izstrādē iesaistītie pārstāvji atbalstīja projekta virzību. </w:t>
                  </w:r>
                </w:p>
              </w:tc>
            </w:tr>
            <w:tr w:rsidR="00154DBA" w:rsidRPr="00C3347C" w14:paraId="16FBF365" w14:textId="77777777" w:rsidTr="009A51BF">
              <w:trPr>
                <w:trHeight w:val="564"/>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42EA0561" w14:textId="77777777" w:rsidR="00154DBA" w:rsidRPr="00C3347C" w:rsidRDefault="00154DBA" w:rsidP="009A51BF">
                  <w:pPr>
                    <w:spacing w:before="100" w:beforeAutospacing="1" w:after="100" w:afterAutospacing="1"/>
                  </w:pPr>
                  <w:r w:rsidRPr="00C3347C">
                    <w:lastRenderedPageBreak/>
                    <w:t> </w:t>
                  </w:r>
                  <w:r>
                    <w:t>4</w:t>
                  </w:r>
                  <w:r w:rsidRPr="00C3347C">
                    <w:t>.</w:t>
                  </w:r>
                </w:p>
              </w:tc>
              <w:tc>
                <w:tcPr>
                  <w:tcW w:w="3587" w:type="dxa"/>
                  <w:tcBorders>
                    <w:top w:val="outset" w:sz="6" w:space="0" w:color="auto"/>
                    <w:left w:val="outset" w:sz="6" w:space="0" w:color="auto"/>
                    <w:bottom w:val="outset" w:sz="6" w:space="0" w:color="auto"/>
                    <w:right w:val="outset" w:sz="6" w:space="0" w:color="auto"/>
                  </w:tcBorders>
                  <w:hideMark/>
                </w:tcPr>
                <w:p w14:paraId="26DD3A60" w14:textId="77777777" w:rsidR="00154DBA" w:rsidRPr="00C3347C" w:rsidRDefault="00154DBA" w:rsidP="009A51BF">
                  <w:pPr>
                    <w:spacing w:before="100" w:beforeAutospacing="1" w:after="100" w:afterAutospacing="1"/>
                  </w:pPr>
                  <w:r w:rsidRPr="00C3347C">
                    <w:t> Cita informācija</w:t>
                  </w:r>
                </w:p>
              </w:tc>
              <w:tc>
                <w:tcPr>
                  <w:tcW w:w="6161" w:type="dxa"/>
                  <w:tcBorders>
                    <w:top w:val="outset" w:sz="6" w:space="0" w:color="auto"/>
                    <w:left w:val="outset" w:sz="6" w:space="0" w:color="auto"/>
                    <w:bottom w:val="outset" w:sz="6" w:space="0" w:color="auto"/>
                    <w:right w:val="outset" w:sz="6" w:space="0" w:color="auto"/>
                  </w:tcBorders>
                  <w:hideMark/>
                </w:tcPr>
                <w:p w14:paraId="10152A14" w14:textId="77777777" w:rsidR="00154DBA" w:rsidRPr="00C3347C" w:rsidRDefault="00154DBA" w:rsidP="009A51BF">
                  <w:pPr>
                    <w:spacing w:before="100" w:beforeAutospacing="1" w:after="100" w:afterAutospacing="1"/>
                  </w:pPr>
                  <w:r>
                    <w:t>Nav.</w:t>
                  </w:r>
                </w:p>
              </w:tc>
            </w:tr>
          </w:tbl>
          <w:p w14:paraId="5AB53106" w14:textId="77777777" w:rsidR="00154DBA" w:rsidRDefault="00154DBA" w:rsidP="009A51BF"/>
        </w:tc>
      </w:tr>
    </w:tbl>
    <w:p w14:paraId="0589CFAA" w14:textId="77777777" w:rsidR="00154DBA" w:rsidRDefault="00154DBA" w:rsidP="00154DBA">
      <w:pPr>
        <w:pStyle w:val="naiskr"/>
        <w:tabs>
          <w:tab w:val="left" w:pos="2628"/>
        </w:tabs>
        <w:spacing w:before="0" w:after="0"/>
        <w:rPr>
          <w:i/>
          <w:sz w:val="22"/>
          <w:szCs w:val="22"/>
        </w:rPr>
      </w:pPr>
    </w:p>
    <w:p w14:paraId="12F06B53" w14:textId="77777777" w:rsidR="00154DBA" w:rsidRPr="007C0F2C" w:rsidRDefault="00154DBA" w:rsidP="00154DBA">
      <w:pPr>
        <w:pStyle w:val="naiskr"/>
        <w:tabs>
          <w:tab w:val="left" w:pos="2628"/>
        </w:tabs>
        <w:spacing w:before="0" w:after="0"/>
        <w:rPr>
          <w:i/>
          <w:sz w:val="22"/>
          <w:szCs w:val="22"/>
        </w:rPr>
      </w:pPr>
    </w:p>
    <w:tbl>
      <w:tblPr>
        <w:tblW w:w="1026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4115"/>
        <w:gridCol w:w="5724"/>
      </w:tblGrid>
      <w:tr w:rsidR="00154DBA" w:rsidRPr="00A457E1" w14:paraId="65159FCD" w14:textId="77777777" w:rsidTr="009A51BF">
        <w:tc>
          <w:tcPr>
            <w:tcW w:w="10264" w:type="dxa"/>
            <w:gridSpan w:val="3"/>
            <w:tcBorders>
              <w:top w:val="single" w:sz="4" w:space="0" w:color="auto"/>
              <w:left w:val="single" w:sz="4" w:space="0" w:color="auto"/>
              <w:bottom w:val="single" w:sz="4" w:space="0" w:color="auto"/>
              <w:right w:val="single" w:sz="4" w:space="0" w:color="auto"/>
            </w:tcBorders>
          </w:tcPr>
          <w:p w14:paraId="2C521C54" w14:textId="77777777" w:rsidR="00154DBA" w:rsidRPr="004C49D2" w:rsidRDefault="00154DBA" w:rsidP="009A51BF">
            <w:pPr>
              <w:pStyle w:val="naisnod"/>
              <w:ind w:left="57" w:right="57"/>
            </w:pPr>
            <w:r w:rsidRPr="004C49D2">
              <w:t>VII. Tiesību akta projekta izpildes nodrošināšana un tās ietekme uz institūcijām</w:t>
            </w:r>
          </w:p>
        </w:tc>
      </w:tr>
      <w:tr w:rsidR="00154DBA" w:rsidRPr="00A457E1" w14:paraId="4AA844F7" w14:textId="77777777" w:rsidTr="009A51B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09A05AC9" w14:textId="77777777" w:rsidR="00154DBA" w:rsidRPr="00A457E1" w:rsidRDefault="00154DBA" w:rsidP="009A51BF">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1.</w:t>
            </w:r>
          </w:p>
        </w:tc>
        <w:tc>
          <w:tcPr>
            <w:tcW w:w="4115" w:type="dxa"/>
            <w:tcBorders>
              <w:top w:val="outset" w:sz="6" w:space="0" w:color="000000"/>
              <w:left w:val="outset" w:sz="6" w:space="0" w:color="000000"/>
              <w:bottom w:val="outset" w:sz="6" w:space="0" w:color="000000"/>
              <w:right w:val="outset" w:sz="6" w:space="0" w:color="000000"/>
            </w:tcBorders>
            <w:hideMark/>
          </w:tcPr>
          <w:p w14:paraId="67C7864B" w14:textId="77777777" w:rsidR="00154DBA" w:rsidRPr="00A457E1" w:rsidRDefault="00154DBA" w:rsidP="009A51BF">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Projekta izpildē iesaistītās institūcijas</w:t>
            </w:r>
          </w:p>
        </w:tc>
        <w:tc>
          <w:tcPr>
            <w:tcW w:w="5724" w:type="dxa"/>
            <w:tcBorders>
              <w:top w:val="outset" w:sz="6" w:space="0" w:color="000000"/>
              <w:left w:val="outset" w:sz="6" w:space="0" w:color="000000"/>
              <w:bottom w:val="outset" w:sz="6" w:space="0" w:color="000000"/>
              <w:right w:val="outset" w:sz="6" w:space="0" w:color="000000"/>
            </w:tcBorders>
            <w:hideMark/>
          </w:tcPr>
          <w:p w14:paraId="6C77CAB4" w14:textId="5959E412" w:rsidR="00154DBA" w:rsidRPr="00A457E1" w:rsidRDefault="00154DBA" w:rsidP="00371511">
            <w:pPr>
              <w:pStyle w:val="NormalWeb"/>
              <w:spacing w:before="0" w:beforeAutospacing="0" w:after="0" w:afterAutospacing="0"/>
              <w:jc w:val="both"/>
              <w:rPr>
                <w:rFonts w:ascii="Times New Roman" w:hAnsi="Times New Roman" w:cs="Times New Roman"/>
                <w:lang w:val="lv-LV"/>
              </w:rPr>
            </w:pPr>
            <w:r>
              <w:rPr>
                <w:rFonts w:ascii="Times New Roman" w:hAnsi="Times New Roman"/>
                <w:lang w:val="lv-LV"/>
              </w:rPr>
              <w:t>VID</w:t>
            </w:r>
            <w:r w:rsidR="00696FAD">
              <w:rPr>
                <w:rFonts w:ascii="Times New Roman" w:hAnsi="Times New Roman"/>
                <w:lang w:val="lv-LV"/>
              </w:rPr>
              <w:t>, Valsts kase</w:t>
            </w:r>
            <w:r>
              <w:rPr>
                <w:rFonts w:ascii="Times New Roman" w:hAnsi="Times New Roman"/>
                <w:lang w:val="lv-LV"/>
              </w:rPr>
              <w:t xml:space="preserve"> </w:t>
            </w:r>
          </w:p>
        </w:tc>
      </w:tr>
      <w:tr w:rsidR="00154DBA" w:rsidRPr="00A457E1" w14:paraId="15CD2A4C" w14:textId="77777777" w:rsidTr="009A51B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346A8F06" w14:textId="77777777" w:rsidR="00154DBA" w:rsidRPr="00A457E1" w:rsidRDefault="00154DBA" w:rsidP="009A51BF">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2.</w:t>
            </w:r>
          </w:p>
        </w:tc>
        <w:tc>
          <w:tcPr>
            <w:tcW w:w="4115" w:type="dxa"/>
            <w:tcBorders>
              <w:top w:val="outset" w:sz="6" w:space="0" w:color="000000"/>
              <w:left w:val="outset" w:sz="6" w:space="0" w:color="000000"/>
              <w:bottom w:val="outset" w:sz="6" w:space="0" w:color="000000"/>
              <w:right w:val="outset" w:sz="6" w:space="0" w:color="000000"/>
            </w:tcBorders>
            <w:hideMark/>
          </w:tcPr>
          <w:p w14:paraId="76FDA41B" w14:textId="77777777" w:rsidR="00154DBA" w:rsidRDefault="00154DBA" w:rsidP="009A51BF">
            <w:pPr>
              <w:pStyle w:val="NormalWeb"/>
              <w:spacing w:before="0" w:beforeAutospacing="0" w:after="0" w:afterAutospacing="0"/>
              <w:jc w:val="both"/>
              <w:rPr>
                <w:rFonts w:ascii="Times New Roman" w:hAnsi="Times New Roman" w:cs="Times New Roman"/>
                <w:lang w:val="lv-LV"/>
              </w:rPr>
            </w:pPr>
            <w:r w:rsidRPr="00A457E1">
              <w:rPr>
                <w:rFonts w:ascii="Times New Roman" w:hAnsi="Times New Roman" w:cs="Times New Roman"/>
                <w:lang w:val="lv-LV"/>
              </w:rPr>
              <w:t>Projekta izpildes ietekme uz pārvaldes funkcijām</w:t>
            </w:r>
            <w:r>
              <w:rPr>
                <w:rFonts w:ascii="Times New Roman" w:hAnsi="Times New Roman" w:cs="Times New Roman"/>
                <w:lang w:val="lv-LV"/>
              </w:rPr>
              <w:t xml:space="preserve"> un</w:t>
            </w:r>
            <w:r w:rsidRPr="00A457E1">
              <w:rPr>
                <w:rFonts w:ascii="Times New Roman" w:hAnsi="Times New Roman" w:cs="Times New Roman"/>
                <w:lang w:val="lv-LV"/>
              </w:rPr>
              <w:t xml:space="preserve"> institucionālo struktūru</w:t>
            </w:r>
            <w:r>
              <w:rPr>
                <w:rFonts w:ascii="Times New Roman" w:hAnsi="Times New Roman" w:cs="Times New Roman"/>
                <w:lang w:val="lv-LV"/>
              </w:rPr>
              <w:t>.</w:t>
            </w:r>
          </w:p>
          <w:p w14:paraId="7B8D9239" w14:textId="77777777" w:rsidR="00154DBA" w:rsidRPr="00A457E1" w:rsidRDefault="00154DBA" w:rsidP="009A51BF">
            <w:pPr>
              <w:pStyle w:val="NormalWeb"/>
              <w:spacing w:before="0" w:beforeAutospacing="0" w:after="0" w:afterAutospacing="0"/>
              <w:jc w:val="both"/>
              <w:rPr>
                <w:rFonts w:ascii="Times New Roman" w:hAnsi="Times New Roman" w:cs="Times New Roman"/>
                <w:lang w:val="lv-LV"/>
              </w:rPr>
            </w:pPr>
            <w:r w:rsidRPr="009B253E">
              <w:rPr>
                <w:rFonts w:ascii="Times New Roman" w:hAnsi="Times New Roman" w:cs="Times New Roman"/>
                <w:lang w:val="lv-LV"/>
              </w:rPr>
              <w:t>Jaunu institūciju izveide, esošo institūciju likvidācija vai reorganizācija, to ietekme uz institūcijas cilvēkresursiem</w:t>
            </w:r>
          </w:p>
        </w:tc>
        <w:tc>
          <w:tcPr>
            <w:tcW w:w="5724" w:type="dxa"/>
            <w:tcBorders>
              <w:top w:val="outset" w:sz="6" w:space="0" w:color="000000"/>
              <w:left w:val="outset" w:sz="6" w:space="0" w:color="000000"/>
              <w:bottom w:val="outset" w:sz="6" w:space="0" w:color="000000"/>
              <w:right w:val="outset" w:sz="6" w:space="0" w:color="000000"/>
            </w:tcBorders>
            <w:hideMark/>
          </w:tcPr>
          <w:p w14:paraId="012F7CA3" w14:textId="77777777" w:rsidR="00154DBA" w:rsidRPr="00A457E1" w:rsidRDefault="00154DBA" w:rsidP="009A51BF">
            <w:pPr>
              <w:pStyle w:val="naiskr"/>
              <w:spacing w:before="0" w:after="0"/>
              <w:jc w:val="both"/>
              <w:rPr>
                <w:iCs/>
              </w:rPr>
            </w:pPr>
            <w:r w:rsidRPr="00A457E1">
              <w:t>Projekts šo jomu neskar.</w:t>
            </w:r>
          </w:p>
        </w:tc>
      </w:tr>
      <w:tr w:rsidR="00154DBA" w:rsidRPr="00643536" w14:paraId="4B92E47E" w14:textId="77777777" w:rsidTr="009A51B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7ADC581C" w14:textId="77777777" w:rsidR="00154DBA" w:rsidRPr="00A457E1" w:rsidRDefault="00154DBA" w:rsidP="009A51BF">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6.</w:t>
            </w:r>
          </w:p>
        </w:tc>
        <w:tc>
          <w:tcPr>
            <w:tcW w:w="4115" w:type="dxa"/>
            <w:tcBorders>
              <w:top w:val="outset" w:sz="6" w:space="0" w:color="000000"/>
              <w:left w:val="outset" w:sz="6" w:space="0" w:color="000000"/>
              <w:bottom w:val="outset" w:sz="6" w:space="0" w:color="000000"/>
              <w:right w:val="outset" w:sz="6" w:space="0" w:color="000000"/>
            </w:tcBorders>
            <w:hideMark/>
          </w:tcPr>
          <w:p w14:paraId="722D1FD8" w14:textId="77777777" w:rsidR="00154DBA" w:rsidRPr="00A457E1" w:rsidRDefault="00154DBA" w:rsidP="009A51BF">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Cita informācija</w:t>
            </w:r>
          </w:p>
        </w:tc>
        <w:tc>
          <w:tcPr>
            <w:tcW w:w="5724" w:type="dxa"/>
            <w:tcBorders>
              <w:top w:val="outset" w:sz="6" w:space="0" w:color="000000"/>
              <w:left w:val="outset" w:sz="6" w:space="0" w:color="000000"/>
              <w:bottom w:val="outset" w:sz="6" w:space="0" w:color="000000"/>
              <w:right w:val="outset" w:sz="6" w:space="0" w:color="000000"/>
            </w:tcBorders>
            <w:hideMark/>
          </w:tcPr>
          <w:p w14:paraId="482B98D4" w14:textId="77777777" w:rsidR="00154DBA" w:rsidRPr="00643536" w:rsidRDefault="00154DBA" w:rsidP="009A51BF">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Nav.</w:t>
            </w:r>
          </w:p>
        </w:tc>
      </w:tr>
    </w:tbl>
    <w:p w14:paraId="5D5489B1" w14:textId="0AE74245" w:rsidR="00154DBA" w:rsidRDefault="00154DBA" w:rsidP="00154DBA">
      <w:pPr>
        <w:pStyle w:val="naisf"/>
        <w:tabs>
          <w:tab w:val="left" w:pos="6804"/>
        </w:tabs>
        <w:spacing w:before="0" w:after="0"/>
        <w:ind w:firstLine="0"/>
        <w:rPr>
          <w:sz w:val="28"/>
          <w:szCs w:val="28"/>
        </w:rPr>
      </w:pPr>
    </w:p>
    <w:p w14:paraId="64E610C1" w14:textId="2C3AD771" w:rsidR="00350958" w:rsidRDefault="00350958" w:rsidP="00154DBA">
      <w:pPr>
        <w:pStyle w:val="naisf"/>
        <w:tabs>
          <w:tab w:val="left" w:pos="6804"/>
        </w:tabs>
        <w:spacing w:before="0" w:after="0"/>
        <w:ind w:firstLine="0"/>
        <w:rPr>
          <w:sz w:val="28"/>
          <w:szCs w:val="28"/>
        </w:rPr>
      </w:pPr>
    </w:p>
    <w:p w14:paraId="6867C2FF" w14:textId="77777777" w:rsidR="00350958" w:rsidRDefault="00350958" w:rsidP="00154DBA">
      <w:pPr>
        <w:pStyle w:val="naisf"/>
        <w:tabs>
          <w:tab w:val="left" w:pos="6804"/>
        </w:tabs>
        <w:spacing w:before="0" w:after="0"/>
        <w:ind w:firstLine="0"/>
        <w:rPr>
          <w:sz w:val="28"/>
          <w:szCs w:val="28"/>
        </w:rPr>
      </w:pPr>
    </w:p>
    <w:p w14:paraId="41B46BDB" w14:textId="77777777" w:rsidR="00350958" w:rsidRDefault="00350958" w:rsidP="00350958">
      <w:pPr>
        <w:tabs>
          <w:tab w:val="left" w:pos="851"/>
          <w:tab w:val="left" w:pos="6663"/>
        </w:tabs>
        <w:rPr>
          <w:sz w:val="28"/>
          <w:szCs w:val="28"/>
        </w:rPr>
      </w:pPr>
      <w:r w:rsidRPr="00CB266D">
        <w:rPr>
          <w:sz w:val="28"/>
          <w:szCs w:val="28"/>
        </w:rPr>
        <w:t>Finanšu ministr</w:t>
      </w:r>
      <w:r>
        <w:rPr>
          <w:sz w:val="28"/>
          <w:szCs w:val="28"/>
        </w:rPr>
        <w:t xml:space="preserve">a vietā - </w:t>
      </w:r>
    </w:p>
    <w:p w14:paraId="419A83A8" w14:textId="70A57E28" w:rsidR="00350958" w:rsidRPr="00CB266D" w:rsidRDefault="00350958" w:rsidP="00350958">
      <w:pPr>
        <w:tabs>
          <w:tab w:val="left" w:pos="851"/>
          <w:tab w:val="left" w:pos="6663"/>
        </w:tabs>
        <w:rPr>
          <w:sz w:val="28"/>
          <w:szCs w:val="28"/>
        </w:rPr>
      </w:pPr>
      <w:r>
        <w:rPr>
          <w:sz w:val="28"/>
          <w:szCs w:val="28"/>
        </w:rPr>
        <w:t xml:space="preserve">Ministru prezidents </w:t>
      </w:r>
      <w:r>
        <w:rPr>
          <w:sz w:val="28"/>
          <w:szCs w:val="28"/>
        </w:rPr>
        <w:tab/>
      </w:r>
      <w:r>
        <w:rPr>
          <w:sz w:val="28"/>
          <w:szCs w:val="28"/>
        </w:rPr>
        <w:tab/>
        <w:t>M.Kučinskis</w:t>
      </w:r>
    </w:p>
    <w:p w14:paraId="6EE0F1A5" w14:textId="77777777" w:rsidR="00154DBA" w:rsidRDefault="00154DBA" w:rsidP="00154DBA">
      <w:pPr>
        <w:pStyle w:val="naisf"/>
        <w:tabs>
          <w:tab w:val="left" w:pos="6804"/>
        </w:tabs>
        <w:spacing w:before="0" w:after="0"/>
        <w:ind w:firstLine="0"/>
        <w:rPr>
          <w:sz w:val="28"/>
          <w:szCs w:val="28"/>
        </w:rPr>
      </w:pPr>
    </w:p>
    <w:p w14:paraId="00438FBF" w14:textId="77777777" w:rsidR="00154DBA" w:rsidRDefault="00154DBA" w:rsidP="00154DBA">
      <w:pPr>
        <w:pStyle w:val="naisf"/>
        <w:tabs>
          <w:tab w:val="left" w:pos="6804"/>
        </w:tabs>
        <w:spacing w:before="0" w:after="0"/>
        <w:ind w:firstLine="0"/>
        <w:rPr>
          <w:sz w:val="28"/>
          <w:szCs w:val="28"/>
        </w:rPr>
      </w:pPr>
    </w:p>
    <w:p w14:paraId="3AEE5260" w14:textId="77777777" w:rsidR="00154DBA" w:rsidRDefault="00154DBA" w:rsidP="00154DBA">
      <w:pPr>
        <w:pStyle w:val="naisf"/>
        <w:tabs>
          <w:tab w:val="left" w:pos="6804"/>
        </w:tabs>
        <w:spacing w:before="0" w:after="0"/>
        <w:ind w:firstLine="0"/>
        <w:rPr>
          <w:sz w:val="28"/>
          <w:szCs w:val="28"/>
        </w:rPr>
      </w:pPr>
    </w:p>
    <w:p w14:paraId="7C871E05" w14:textId="44842BE2" w:rsidR="002D788D" w:rsidRDefault="002D788D" w:rsidP="00E534C0">
      <w:pPr>
        <w:rPr>
          <w:sz w:val="20"/>
          <w:szCs w:val="20"/>
        </w:rPr>
      </w:pPr>
    </w:p>
    <w:p w14:paraId="1D9460E9" w14:textId="157B10A0" w:rsidR="00350958" w:rsidRDefault="00350958" w:rsidP="00E534C0">
      <w:pPr>
        <w:rPr>
          <w:sz w:val="20"/>
          <w:szCs w:val="20"/>
        </w:rPr>
      </w:pPr>
    </w:p>
    <w:p w14:paraId="2D397416" w14:textId="01C32376" w:rsidR="00350958" w:rsidRDefault="00350958" w:rsidP="00E534C0">
      <w:pPr>
        <w:rPr>
          <w:sz w:val="20"/>
          <w:szCs w:val="20"/>
        </w:rPr>
      </w:pPr>
    </w:p>
    <w:p w14:paraId="363418AB" w14:textId="1BB7003D" w:rsidR="00350958" w:rsidRDefault="00350958" w:rsidP="00E534C0">
      <w:pPr>
        <w:rPr>
          <w:sz w:val="20"/>
          <w:szCs w:val="20"/>
        </w:rPr>
      </w:pPr>
    </w:p>
    <w:p w14:paraId="5690DF0E" w14:textId="53280A84" w:rsidR="00350958" w:rsidRDefault="00350958" w:rsidP="00E534C0">
      <w:pPr>
        <w:rPr>
          <w:sz w:val="20"/>
          <w:szCs w:val="20"/>
        </w:rPr>
      </w:pPr>
    </w:p>
    <w:p w14:paraId="42284058" w14:textId="77777777" w:rsidR="00350958" w:rsidRDefault="00350958" w:rsidP="00E534C0">
      <w:pPr>
        <w:rPr>
          <w:sz w:val="20"/>
          <w:szCs w:val="20"/>
        </w:rPr>
      </w:pPr>
    </w:p>
    <w:p w14:paraId="4202ED46" w14:textId="77777777" w:rsidR="00245F2F" w:rsidRDefault="00245F2F" w:rsidP="00E534C0">
      <w:pPr>
        <w:rPr>
          <w:sz w:val="20"/>
          <w:szCs w:val="20"/>
        </w:rPr>
      </w:pPr>
    </w:p>
    <w:p w14:paraId="055572F8" w14:textId="77777777" w:rsidR="00245F2F" w:rsidRDefault="00245F2F" w:rsidP="00E534C0">
      <w:pPr>
        <w:rPr>
          <w:sz w:val="20"/>
          <w:szCs w:val="20"/>
        </w:rPr>
      </w:pPr>
    </w:p>
    <w:p w14:paraId="3A285415" w14:textId="77777777" w:rsidR="00245F2F" w:rsidRDefault="00245F2F" w:rsidP="00E534C0">
      <w:pPr>
        <w:rPr>
          <w:sz w:val="20"/>
          <w:szCs w:val="20"/>
        </w:rPr>
      </w:pPr>
    </w:p>
    <w:p w14:paraId="382E881D" w14:textId="77777777" w:rsidR="00245F2F" w:rsidRPr="00E534C0" w:rsidRDefault="00245F2F" w:rsidP="00E534C0">
      <w:pPr>
        <w:rPr>
          <w:sz w:val="20"/>
          <w:szCs w:val="20"/>
        </w:rPr>
      </w:pPr>
    </w:p>
    <w:p w14:paraId="04D32CC2" w14:textId="77777777" w:rsidR="00154DBA" w:rsidRPr="00E534C0" w:rsidRDefault="00154DBA" w:rsidP="00E534C0">
      <w:pPr>
        <w:rPr>
          <w:sz w:val="20"/>
          <w:szCs w:val="20"/>
        </w:rPr>
      </w:pPr>
    </w:p>
    <w:p w14:paraId="4F47950B" w14:textId="005BB55F" w:rsidR="00236764" w:rsidRDefault="00E534C0" w:rsidP="00154DBA">
      <w:pPr>
        <w:rPr>
          <w:sz w:val="20"/>
          <w:szCs w:val="20"/>
        </w:rPr>
      </w:pPr>
      <w:r>
        <w:rPr>
          <w:sz w:val="20"/>
          <w:szCs w:val="20"/>
        </w:rPr>
        <w:t>K.</w:t>
      </w:r>
      <w:r w:rsidR="00154DBA">
        <w:rPr>
          <w:sz w:val="20"/>
          <w:szCs w:val="20"/>
        </w:rPr>
        <w:t>Voiniča</w:t>
      </w:r>
      <w:r w:rsidR="00236764">
        <w:rPr>
          <w:sz w:val="20"/>
          <w:szCs w:val="20"/>
        </w:rPr>
        <w:t xml:space="preserve"> </w:t>
      </w:r>
      <w:r w:rsidR="00154DBA" w:rsidRPr="00D54AB5">
        <w:rPr>
          <w:sz w:val="20"/>
          <w:szCs w:val="20"/>
        </w:rPr>
        <w:t>670955</w:t>
      </w:r>
      <w:r w:rsidR="00154DBA">
        <w:rPr>
          <w:sz w:val="20"/>
          <w:szCs w:val="20"/>
        </w:rPr>
        <w:t>67</w:t>
      </w:r>
      <w:r w:rsidR="00154DBA" w:rsidRPr="00D54AB5">
        <w:rPr>
          <w:sz w:val="20"/>
          <w:szCs w:val="20"/>
        </w:rPr>
        <w:t xml:space="preserve">, </w:t>
      </w:r>
    </w:p>
    <w:p w14:paraId="49D6324E" w14:textId="6FE8C12B" w:rsidR="00154DBA" w:rsidRDefault="00154DBA" w:rsidP="00154DBA">
      <w:pPr>
        <w:rPr>
          <w:sz w:val="20"/>
          <w:szCs w:val="20"/>
        </w:rPr>
      </w:pPr>
      <w:r>
        <w:rPr>
          <w:sz w:val="20"/>
          <w:szCs w:val="20"/>
        </w:rPr>
        <w:t>Kristine.Voinica</w:t>
      </w:r>
      <w:r w:rsidRPr="00D54AB5">
        <w:rPr>
          <w:sz w:val="20"/>
          <w:szCs w:val="20"/>
        </w:rPr>
        <w:t>@fm.gov.lv</w:t>
      </w:r>
      <w:r w:rsidRPr="00E534C0">
        <w:rPr>
          <w:sz w:val="20"/>
          <w:szCs w:val="20"/>
        </w:rPr>
        <w:t> </w:t>
      </w:r>
      <w:r w:rsidRPr="00E534C0">
        <w:rPr>
          <w:sz w:val="20"/>
          <w:szCs w:val="20"/>
        </w:rPr>
        <w:tab/>
      </w:r>
    </w:p>
    <w:p w14:paraId="5CF7B2FA" w14:textId="77777777" w:rsidR="00E534C0" w:rsidRPr="00E534C0" w:rsidRDefault="00E534C0" w:rsidP="00154DBA">
      <w:pPr>
        <w:rPr>
          <w:sz w:val="20"/>
          <w:szCs w:val="20"/>
        </w:rPr>
      </w:pPr>
    </w:p>
    <w:p w14:paraId="2E3EB01C" w14:textId="7DE975DE" w:rsidR="00E534C0" w:rsidRPr="00E534C0" w:rsidRDefault="00E534C0" w:rsidP="00E534C0">
      <w:pPr>
        <w:rPr>
          <w:sz w:val="20"/>
          <w:szCs w:val="20"/>
        </w:rPr>
      </w:pPr>
      <w:r>
        <w:rPr>
          <w:sz w:val="20"/>
          <w:szCs w:val="20"/>
        </w:rPr>
        <w:t>M.</w:t>
      </w:r>
      <w:r w:rsidRPr="00E534C0">
        <w:rPr>
          <w:sz w:val="20"/>
          <w:szCs w:val="20"/>
        </w:rPr>
        <w:t>Valdmane, 67095524</w:t>
      </w:r>
    </w:p>
    <w:p w14:paraId="3954BE37" w14:textId="35F6DBB8" w:rsidR="001672EE" w:rsidRPr="00E534C0" w:rsidRDefault="00E534C0" w:rsidP="00E534C0">
      <w:pPr>
        <w:rPr>
          <w:sz w:val="20"/>
          <w:szCs w:val="20"/>
        </w:rPr>
      </w:pPr>
      <w:r w:rsidRPr="00E534C0">
        <w:rPr>
          <w:sz w:val="20"/>
          <w:szCs w:val="20"/>
        </w:rPr>
        <w:t>Marika.Valdmane@fm.gov.lv</w:t>
      </w:r>
    </w:p>
    <w:sectPr w:rsidR="001672EE" w:rsidRPr="00E534C0" w:rsidSect="006A75EF">
      <w:headerReference w:type="even" r:id="rId8"/>
      <w:headerReference w:type="default" r:id="rId9"/>
      <w:footerReference w:type="even" r:id="rId10"/>
      <w:footerReference w:type="default" r:id="rId11"/>
      <w:headerReference w:type="first" r:id="rId12"/>
      <w:footerReference w:type="first" r:id="rId13"/>
      <w:pgSz w:w="11906" w:h="16838" w:code="9"/>
      <w:pgMar w:top="1418"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683AD" w14:textId="77777777" w:rsidR="009A7425" w:rsidRDefault="009A7425" w:rsidP="00154DBA">
      <w:r>
        <w:separator/>
      </w:r>
    </w:p>
  </w:endnote>
  <w:endnote w:type="continuationSeparator" w:id="0">
    <w:p w14:paraId="51B1625F" w14:textId="77777777" w:rsidR="009A7425" w:rsidRDefault="009A7425" w:rsidP="0015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8F67" w14:textId="77777777" w:rsidR="009A7425" w:rsidRDefault="009A7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3A72" w14:textId="3BDEECA7" w:rsidR="009A7425" w:rsidRPr="00842996" w:rsidRDefault="009A7425" w:rsidP="00842996">
    <w:pPr>
      <w:pStyle w:val="Footer"/>
      <w:jc w:val="both"/>
    </w:pPr>
    <w:r>
      <w:rPr>
        <w:sz w:val="20"/>
        <w:szCs w:val="20"/>
      </w:rPr>
      <w:t>FMAnot_140917</w:t>
    </w:r>
    <w:r w:rsidRPr="002A3E3E">
      <w:rPr>
        <w:sz w:val="20"/>
        <w:szCs w:val="20"/>
      </w:rPr>
      <w:t>_</w:t>
    </w:r>
    <w:r>
      <w:rPr>
        <w:sz w:val="20"/>
        <w:szCs w:val="20"/>
      </w:rPr>
      <w:t>NNL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DDDB" w14:textId="3F8BAE3D" w:rsidR="009A7425" w:rsidRPr="0029446D" w:rsidRDefault="009A7425" w:rsidP="009A51BF">
    <w:pPr>
      <w:pStyle w:val="Footer"/>
      <w:jc w:val="both"/>
    </w:pPr>
    <w:r>
      <w:rPr>
        <w:sz w:val="20"/>
        <w:szCs w:val="20"/>
      </w:rPr>
      <w:t>FMAnot_140917</w:t>
    </w:r>
    <w:r w:rsidRPr="002A3E3E">
      <w:rPr>
        <w:sz w:val="20"/>
        <w:szCs w:val="20"/>
      </w:rPr>
      <w:t>_</w:t>
    </w:r>
    <w:r>
      <w:rPr>
        <w:sz w:val="20"/>
        <w:szCs w:val="20"/>
      </w:rPr>
      <w:t>NNL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1B5DA" w14:textId="77777777" w:rsidR="009A7425" w:rsidRDefault="009A7425" w:rsidP="00154DBA">
      <w:r>
        <w:separator/>
      </w:r>
    </w:p>
  </w:footnote>
  <w:footnote w:type="continuationSeparator" w:id="0">
    <w:p w14:paraId="04B01164" w14:textId="77777777" w:rsidR="009A7425" w:rsidRDefault="009A7425" w:rsidP="00154DBA">
      <w:r>
        <w:continuationSeparator/>
      </w:r>
    </w:p>
  </w:footnote>
  <w:footnote w:id="1">
    <w:p w14:paraId="4903F49C" w14:textId="5F25BF3F" w:rsidR="00691C43" w:rsidRDefault="00691C43">
      <w:pPr>
        <w:pStyle w:val="FootnoteText"/>
      </w:pPr>
      <w:r>
        <w:rPr>
          <w:rStyle w:val="FootnoteReference"/>
        </w:rPr>
        <w:footnoteRef/>
      </w:r>
      <w:r>
        <w:t xml:space="preserve"> </w:t>
      </w:r>
      <w:r w:rsidRPr="00691C43">
        <w:t>https://www.vid.gov.lv/sites/default/files/paradu_struktura_01_08_2017.pdf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25FE2" w14:textId="77777777" w:rsidR="009A7425" w:rsidRDefault="009A7425" w:rsidP="009A51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251D0C" w14:textId="77777777" w:rsidR="009A7425" w:rsidRDefault="009A7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B6B9" w14:textId="4C1408C8" w:rsidR="009A7425" w:rsidRDefault="009A7425" w:rsidP="009A51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763">
      <w:rPr>
        <w:rStyle w:val="PageNumber"/>
        <w:noProof/>
      </w:rPr>
      <w:t>2</w:t>
    </w:r>
    <w:r>
      <w:rPr>
        <w:rStyle w:val="PageNumber"/>
      </w:rPr>
      <w:fldChar w:fldCharType="end"/>
    </w:r>
  </w:p>
  <w:p w14:paraId="65A5A967" w14:textId="77777777" w:rsidR="009A7425" w:rsidRPr="002C0A7A" w:rsidRDefault="009A7425" w:rsidP="009A51BF">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1E727" w14:textId="77777777" w:rsidR="009A7425" w:rsidRDefault="009A7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3FCE"/>
    <w:multiLevelType w:val="hybridMultilevel"/>
    <w:tmpl w:val="09C07132"/>
    <w:lvl w:ilvl="0" w:tplc="EF60D4CE">
      <w:start w:val="1"/>
      <w:numFmt w:val="bullet"/>
      <w:lvlText w:val="-"/>
      <w:lvlJc w:val="left"/>
      <w:pPr>
        <w:tabs>
          <w:tab w:val="num" w:pos="720"/>
        </w:tabs>
        <w:ind w:left="720" w:hanging="360"/>
      </w:pPr>
      <w:rPr>
        <w:rFonts w:ascii="Times New Roman" w:hAnsi="Times New Roman" w:hint="default"/>
      </w:rPr>
    </w:lvl>
    <w:lvl w:ilvl="1" w:tplc="7D129AEE" w:tentative="1">
      <w:start w:val="1"/>
      <w:numFmt w:val="bullet"/>
      <w:lvlText w:val="-"/>
      <w:lvlJc w:val="left"/>
      <w:pPr>
        <w:tabs>
          <w:tab w:val="num" w:pos="1440"/>
        </w:tabs>
        <w:ind w:left="1440" w:hanging="360"/>
      </w:pPr>
      <w:rPr>
        <w:rFonts w:ascii="Times New Roman" w:hAnsi="Times New Roman" w:hint="default"/>
      </w:rPr>
    </w:lvl>
    <w:lvl w:ilvl="2" w:tplc="3C9805F8" w:tentative="1">
      <w:start w:val="1"/>
      <w:numFmt w:val="bullet"/>
      <w:lvlText w:val="-"/>
      <w:lvlJc w:val="left"/>
      <w:pPr>
        <w:tabs>
          <w:tab w:val="num" w:pos="2160"/>
        </w:tabs>
        <w:ind w:left="2160" w:hanging="360"/>
      </w:pPr>
      <w:rPr>
        <w:rFonts w:ascii="Times New Roman" w:hAnsi="Times New Roman" w:hint="default"/>
      </w:rPr>
    </w:lvl>
    <w:lvl w:ilvl="3" w:tplc="477269CC" w:tentative="1">
      <w:start w:val="1"/>
      <w:numFmt w:val="bullet"/>
      <w:lvlText w:val="-"/>
      <w:lvlJc w:val="left"/>
      <w:pPr>
        <w:tabs>
          <w:tab w:val="num" w:pos="2880"/>
        </w:tabs>
        <w:ind w:left="2880" w:hanging="360"/>
      </w:pPr>
      <w:rPr>
        <w:rFonts w:ascii="Times New Roman" w:hAnsi="Times New Roman" w:hint="default"/>
      </w:rPr>
    </w:lvl>
    <w:lvl w:ilvl="4" w:tplc="41F6C856" w:tentative="1">
      <w:start w:val="1"/>
      <w:numFmt w:val="bullet"/>
      <w:lvlText w:val="-"/>
      <w:lvlJc w:val="left"/>
      <w:pPr>
        <w:tabs>
          <w:tab w:val="num" w:pos="3600"/>
        </w:tabs>
        <w:ind w:left="3600" w:hanging="360"/>
      </w:pPr>
      <w:rPr>
        <w:rFonts w:ascii="Times New Roman" w:hAnsi="Times New Roman" w:hint="default"/>
      </w:rPr>
    </w:lvl>
    <w:lvl w:ilvl="5" w:tplc="02D63960" w:tentative="1">
      <w:start w:val="1"/>
      <w:numFmt w:val="bullet"/>
      <w:lvlText w:val="-"/>
      <w:lvlJc w:val="left"/>
      <w:pPr>
        <w:tabs>
          <w:tab w:val="num" w:pos="4320"/>
        </w:tabs>
        <w:ind w:left="4320" w:hanging="360"/>
      </w:pPr>
      <w:rPr>
        <w:rFonts w:ascii="Times New Roman" w:hAnsi="Times New Roman" w:hint="default"/>
      </w:rPr>
    </w:lvl>
    <w:lvl w:ilvl="6" w:tplc="7206BA3A" w:tentative="1">
      <w:start w:val="1"/>
      <w:numFmt w:val="bullet"/>
      <w:lvlText w:val="-"/>
      <w:lvlJc w:val="left"/>
      <w:pPr>
        <w:tabs>
          <w:tab w:val="num" w:pos="5040"/>
        </w:tabs>
        <w:ind w:left="5040" w:hanging="360"/>
      </w:pPr>
      <w:rPr>
        <w:rFonts w:ascii="Times New Roman" w:hAnsi="Times New Roman" w:hint="default"/>
      </w:rPr>
    </w:lvl>
    <w:lvl w:ilvl="7" w:tplc="F596FD10" w:tentative="1">
      <w:start w:val="1"/>
      <w:numFmt w:val="bullet"/>
      <w:lvlText w:val="-"/>
      <w:lvlJc w:val="left"/>
      <w:pPr>
        <w:tabs>
          <w:tab w:val="num" w:pos="5760"/>
        </w:tabs>
        <w:ind w:left="5760" w:hanging="360"/>
      </w:pPr>
      <w:rPr>
        <w:rFonts w:ascii="Times New Roman" w:hAnsi="Times New Roman" w:hint="default"/>
      </w:rPr>
    </w:lvl>
    <w:lvl w:ilvl="8" w:tplc="FCF256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8F74EE"/>
    <w:multiLevelType w:val="hybridMultilevel"/>
    <w:tmpl w:val="271E0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9D777F"/>
    <w:multiLevelType w:val="hybridMultilevel"/>
    <w:tmpl w:val="2A7C48E4"/>
    <w:lvl w:ilvl="0" w:tplc="031CA7BA">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15:restartNumberingAfterBreak="0">
    <w:nsid w:val="0E5C1D07"/>
    <w:multiLevelType w:val="hybridMultilevel"/>
    <w:tmpl w:val="B096FA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444BBE"/>
    <w:multiLevelType w:val="hybridMultilevel"/>
    <w:tmpl w:val="DC7C412A"/>
    <w:lvl w:ilvl="0" w:tplc="296EDBD4">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4178559A"/>
    <w:multiLevelType w:val="hybridMultilevel"/>
    <w:tmpl w:val="5898538E"/>
    <w:lvl w:ilvl="0" w:tplc="0050359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8AB5D56"/>
    <w:multiLevelType w:val="hybridMultilevel"/>
    <w:tmpl w:val="80F6FC76"/>
    <w:lvl w:ilvl="0" w:tplc="ECD6595C">
      <w:start w:val="1"/>
      <w:numFmt w:val="decimal"/>
      <w:lvlText w:val="%1)"/>
      <w:lvlJc w:val="left"/>
      <w:pPr>
        <w:ind w:left="643" w:hanging="360"/>
      </w:pPr>
      <w:rPr>
        <w:rFonts w:hint="default"/>
        <w:b/>
        <w:u w:val="single"/>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8" w15:restartNumberingAfterBreak="0">
    <w:nsid w:val="6639723A"/>
    <w:multiLevelType w:val="hybridMultilevel"/>
    <w:tmpl w:val="C5249F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19811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6"/>
  </w:num>
  <w:num w:numId="5">
    <w:abstractNumId w:val="5"/>
  </w:num>
  <w:num w:numId="6">
    <w:abstractNumId w:val="9"/>
  </w:num>
  <w:num w:numId="7">
    <w:abstractNumId w:val="7"/>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72"/>
    <w:rsid w:val="00012460"/>
    <w:rsid w:val="00032751"/>
    <w:rsid w:val="0003484C"/>
    <w:rsid w:val="00052C31"/>
    <w:rsid w:val="00085799"/>
    <w:rsid w:val="0009458E"/>
    <w:rsid w:val="000A6F82"/>
    <w:rsid w:val="000B208D"/>
    <w:rsid w:val="000B6B2D"/>
    <w:rsid w:val="000E0226"/>
    <w:rsid w:val="000E2204"/>
    <w:rsid w:val="00104B3B"/>
    <w:rsid w:val="00123026"/>
    <w:rsid w:val="001479B8"/>
    <w:rsid w:val="00154DBA"/>
    <w:rsid w:val="00157E9D"/>
    <w:rsid w:val="001672EE"/>
    <w:rsid w:val="00172016"/>
    <w:rsid w:val="00173ACE"/>
    <w:rsid w:val="001C06FD"/>
    <w:rsid w:val="001F21B5"/>
    <w:rsid w:val="0020386A"/>
    <w:rsid w:val="00207739"/>
    <w:rsid w:val="002148BF"/>
    <w:rsid w:val="00214D6D"/>
    <w:rsid w:val="00227302"/>
    <w:rsid w:val="00230431"/>
    <w:rsid w:val="00230687"/>
    <w:rsid w:val="002310EE"/>
    <w:rsid w:val="00236764"/>
    <w:rsid w:val="00245F2F"/>
    <w:rsid w:val="002474CD"/>
    <w:rsid w:val="00257493"/>
    <w:rsid w:val="00261C96"/>
    <w:rsid w:val="00261DBA"/>
    <w:rsid w:val="0027094F"/>
    <w:rsid w:val="0028671C"/>
    <w:rsid w:val="00286C11"/>
    <w:rsid w:val="0029461A"/>
    <w:rsid w:val="00296D1C"/>
    <w:rsid w:val="002B13C4"/>
    <w:rsid w:val="002B1FCA"/>
    <w:rsid w:val="002D4C32"/>
    <w:rsid w:val="002D788D"/>
    <w:rsid w:val="002E0381"/>
    <w:rsid w:val="002E05BB"/>
    <w:rsid w:val="002E6E21"/>
    <w:rsid w:val="002E7C30"/>
    <w:rsid w:val="002F525F"/>
    <w:rsid w:val="002F604E"/>
    <w:rsid w:val="00307583"/>
    <w:rsid w:val="0031784A"/>
    <w:rsid w:val="00321152"/>
    <w:rsid w:val="00350958"/>
    <w:rsid w:val="00357A29"/>
    <w:rsid w:val="003704FF"/>
    <w:rsid w:val="00371511"/>
    <w:rsid w:val="00381412"/>
    <w:rsid w:val="00392F30"/>
    <w:rsid w:val="00394ADA"/>
    <w:rsid w:val="00394F6C"/>
    <w:rsid w:val="003956AD"/>
    <w:rsid w:val="003A1CB2"/>
    <w:rsid w:val="003A41D8"/>
    <w:rsid w:val="003B126F"/>
    <w:rsid w:val="003D1DA7"/>
    <w:rsid w:val="003D41C0"/>
    <w:rsid w:val="003E0A9E"/>
    <w:rsid w:val="003E38F7"/>
    <w:rsid w:val="003F3741"/>
    <w:rsid w:val="00410DEB"/>
    <w:rsid w:val="00420633"/>
    <w:rsid w:val="00424C01"/>
    <w:rsid w:val="00434CF8"/>
    <w:rsid w:val="00440A71"/>
    <w:rsid w:val="00444C19"/>
    <w:rsid w:val="004465F2"/>
    <w:rsid w:val="00471C83"/>
    <w:rsid w:val="00472447"/>
    <w:rsid w:val="00474D44"/>
    <w:rsid w:val="00493205"/>
    <w:rsid w:val="004955B1"/>
    <w:rsid w:val="004C6A2E"/>
    <w:rsid w:val="004E6AEB"/>
    <w:rsid w:val="004F0BD5"/>
    <w:rsid w:val="00510AAF"/>
    <w:rsid w:val="00520645"/>
    <w:rsid w:val="00522716"/>
    <w:rsid w:val="00546027"/>
    <w:rsid w:val="005469DB"/>
    <w:rsid w:val="00555170"/>
    <w:rsid w:val="00555533"/>
    <w:rsid w:val="00555BEA"/>
    <w:rsid w:val="005567EE"/>
    <w:rsid w:val="005624B2"/>
    <w:rsid w:val="00584AD7"/>
    <w:rsid w:val="00585118"/>
    <w:rsid w:val="0059049F"/>
    <w:rsid w:val="005A28E2"/>
    <w:rsid w:val="005B7879"/>
    <w:rsid w:val="005E5F9E"/>
    <w:rsid w:val="005F4307"/>
    <w:rsid w:val="005F4982"/>
    <w:rsid w:val="006340A7"/>
    <w:rsid w:val="0065398C"/>
    <w:rsid w:val="00660A92"/>
    <w:rsid w:val="006620FB"/>
    <w:rsid w:val="006630A9"/>
    <w:rsid w:val="00673C24"/>
    <w:rsid w:val="006858FE"/>
    <w:rsid w:val="00691C43"/>
    <w:rsid w:val="00696FAD"/>
    <w:rsid w:val="006A226A"/>
    <w:rsid w:val="006A436F"/>
    <w:rsid w:val="006A75EF"/>
    <w:rsid w:val="006D480E"/>
    <w:rsid w:val="006E070D"/>
    <w:rsid w:val="006F4402"/>
    <w:rsid w:val="00716DB1"/>
    <w:rsid w:val="007323CF"/>
    <w:rsid w:val="00744F75"/>
    <w:rsid w:val="007548DA"/>
    <w:rsid w:val="00761C66"/>
    <w:rsid w:val="00772BF4"/>
    <w:rsid w:val="00777591"/>
    <w:rsid w:val="00784C79"/>
    <w:rsid w:val="007871E6"/>
    <w:rsid w:val="007A4D43"/>
    <w:rsid w:val="007D6991"/>
    <w:rsid w:val="007D7336"/>
    <w:rsid w:val="007E539B"/>
    <w:rsid w:val="007F39C2"/>
    <w:rsid w:val="007F5F2D"/>
    <w:rsid w:val="0080158E"/>
    <w:rsid w:val="008070FD"/>
    <w:rsid w:val="00842996"/>
    <w:rsid w:val="00843867"/>
    <w:rsid w:val="00853BA4"/>
    <w:rsid w:val="00854730"/>
    <w:rsid w:val="00857021"/>
    <w:rsid w:val="0085768A"/>
    <w:rsid w:val="008661D6"/>
    <w:rsid w:val="00867089"/>
    <w:rsid w:val="00877B7C"/>
    <w:rsid w:val="00880F22"/>
    <w:rsid w:val="0088280B"/>
    <w:rsid w:val="008865EC"/>
    <w:rsid w:val="00887F18"/>
    <w:rsid w:val="0089603C"/>
    <w:rsid w:val="008A0EB0"/>
    <w:rsid w:val="008B2521"/>
    <w:rsid w:val="008C19DF"/>
    <w:rsid w:val="008D4F72"/>
    <w:rsid w:val="008D5D8B"/>
    <w:rsid w:val="008E2DEE"/>
    <w:rsid w:val="00922E76"/>
    <w:rsid w:val="009316B5"/>
    <w:rsid w:val="009364EA"/>
    <w:rsid w:val="00941564"/>
    <w:rsid w:val="00957BD0"/>
    <w:rsid w:val="0096047D"/>
    <w:rsid w:val="009631EF"/>
    <w:rsid w:val="009667E1"/>
    <w:rsid w:val="00974885"/>
    <w:rsid w:val="009A1C42"/>
    <w:rsid w:val="009A51BF"/>
    <w:rsid w:val="009A5997"/>
    <w:rsid w:val="009A7425"/>
    <w:rsid w:val="009A7491"/>
    <w:rsid w:val="009B061D"/>
    <w:rsid w:val="009B31A2"/>
    <w:rsid w:val="009B7D0F"/>
    <w:rsid w:val="009C3175"/>
    <w:rsid w:val="009D0B94"/>
    <w:rsid w:val="009D7EF6"/>
    <w:rsid w:val="009F02D8"/>
    <w:rsid w:val="009F1F1B"/>
    <w:rsid w:val="00A01D09"/>
    <w:rsid w:val="00A11C25"/>
    <w:rsid w:val="00A12AAC"/>
    <w:rsid w:val="00A14AA9"/>
    <w:rsid w:val="00A25981"/>
    <w:rsid w:val="00A3251C"/>
    <w:rsid w:val="00A463A9"/>
    <w:rsid w:val="00A50FA7"/>
    <w:rsid w:val="00A718AD"/>
    <w:rsid w:val="00A80AB2"/>
    <w:rsid w:val="00A8342C"/>
    <w:rsid w:val="00A872F9"/>
    <w:rsid w:val="00A87613"/>
    <w:rsid w:val="00A92B50"/>
    <w:rsid w:val="00A97560"/>
    <w:rsid w:val="00AA7125"/>
    <w:rsid w:val="00AC49EA"/>
    <w:rsid w:val="00AD283B"/>
    <w:rsid w:val="00AE16AA"/>
    <w:rsid w:val="00AE493A"/>
    <w:rsid w:val="00AF1651"/>
    <w:rsid w:val="00B00234"/>
    <w:rsid w:val="00B14175"/>
    <w:rsid w:val="00B31E01"/>
    <w:rsid w:val="00B500A4"/>
    <w:rsid w:val="00B52C07"/>
    <w:rsid w:val="00B77201"/>
    <w:rsid w:val="00B8035B"/>
    <w:rsid w:val="00B85279"/>
    <w:rsid w:val="00B8641C"/>
    <w:rsid w:val="00B9629A"/>
    <w:rsid w:val="00BB0200"/>
    <w:rsid w:val="00BC32B0"/>
    <w:rsid w:val="00BE170D"/>
    <w:rsid w:val="00BF233F"/>
    <w:rsid w:val="00C03CE7"/>
    <w:rsid w:val="00C07DB4"/>
    <w:rsid w:val="00C15E03"/>
    <w:rsid w:val="00C227A0"/>
    <w:rsid w:val="00C241A5"/>
    <w:rsid w:val="00C24C91"/>
    <w:rsid w:val="00C257D5"/>
    <w:rsid w:val="00C25A06"/>
    <w:rsid w:val="00C33360"/>
    <w:rsid w:val="00C4149B"/>
    <w:rsid w:val="00C43F61"/>
    <w:rsid w:val="00C65472"/>
    <w:rsid w:val="00C82AC8"/>
    <w:rsid w:val="00C869D2"/>
    <w:rsid w:val="00C93212"/>
    <w:rsid w:val="00CA4F78"/>
    <w:rsid w:val="00CB2849"/>
    <w:rsid w:val="00CB473C"/>
    <w:rsid w:val="00CC7C72"/>
    <w:rsid w:val="00CD220E"/>
    <w:rsid w:val="00CD270A"/>
    <w:rsid w:val="00CD42EC"/>
    <w:rsid w:val="00CD6E60"/>
    <w:rsid w:val="00CE0A25"/>
    <w:rsid w:val="00CF1AF4"/>
    <w:rsid w:val="00CF37EC"/>
    <w:rsid w:val="00CF6C0F"/>
    <w:rsid w:val="00D02B24"/>
    <w:rsid w:val="00D11E9E"/>
    <w:rsid w:val="00D317BF"/>
    <w:rsid w:val="00D608DB"/>
    <w:rsid w:val="00D61C20"/>
    <w:rsid w:val="00D67A83"/>
    <w:rsid w:val="00D71265"/>
    <w:rsid w:val="00D90CE7"/>
    <w:rsid w:val="00D96D4C"/>
    <w:rsid w:val="00DA42C3"/>
    <w:rsid w:val="00DD6091"/>
    <w:rsid w:val="00DD640A"/>
    <w:rsid w:val="00DF2B37"/>
    <w:rsid w:val="00E11991"/>
    <w:rsid w:val="00E41654"/>
    <w:rsid w:val="00E41B7D"/>
    <w:rsid w:val="00E5070A"/>
    <w:rsid w:val="00E534C0"/>
    <w:rsid w:val="00E6271D"/>
    <w:rsid w:val="00E91AFC"/>
    <w:rsid w:val="00E96680"/>
    <w:rsid w:val="00EA5BAB"/>
    <w:rsid w:val="00EB44B2"/>
    <w:rsid w:val="00EC2F23"/>
    <w:rsid w:val="00EE3E07"/>
    <w:rsid w:val="00F01391"/>
    <w:rsid w:val="00F03763"/>
    <w:rsid w:val="00F10D62"/>
    <w:rsid w:val="00F12D3F"/>
    <w:rsid w:val="00F308C8"/>
    <w:rsid w:val="00F32B9D"/>
    <w:rsid w:val="00F42C57"/>
    <w:rsid w:val="00F46B9D"/>
    <w:rsid w:val="00F474A4"/>
    <w:rsid w:val="00F54647"/>
    <w:rsid w:val="00F75A9F"/>
    <w:rsid w:val="00F8240D"/>
    <w:rsid w:val="00F86D8A"/>
    <w:rsid w:val="00F86F87"/>
    <w:rsid w:val="00FD208B"/>
    <w:rsid w:val="00FF4F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FDCB"/>
  <w15:docId w15:val="{279B0634-782F-4F12-ADB8-6AE72892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BA"/>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4DBA"/>
    <w:pPr>
      <w:tabs>
        <w:tab w:val="center" w:pos="4153"/>
        <w:tab w:val="right" w:pos="8306"/>
      </w:tabs>
    </w:pPr>
  </w:style>
  <w:style w:type="character" w:customStyle="1" w:styleId="HeaderChar">
    <w:name w:val="Header Char"/>
    <w:basedOn w:val="DefaultParagraphFont"/>
    <w:link w:val="Header"/>
    <w:rsid w:val="00154DBA"/>
    <w:rPr>
      <w:rFonts w:eastAsia="Times New Roman" w:cs="Times New Roman"/>
      <w:szCs w:val="24"/>
      <w:lang w:eastAsia="lv-LV"/>
    </w:rPr>
  </w:style>
  <w:style w:type="character" w:styleId="PageNumber">
    <w:name w:val="page number"/>
    <w:basedOn w:val="DefaultParagraphFont"/>
    <w:rsid w:val="00154DBA"/>
  </w:style>
  <w:style w:type="paragraph" w:customStyle="1" w:styleId="naisf">
    <w:name w:val="naisf"/>
    <w:basedOn w:val="Normal"/>
    <w:rsid w:val="00154DBA"/>
    <w:pPr>
      <w:spacing w:before="75" w:after="75"/>
      <w:ind w:firstLine="375"/>
      <w:jc w:val="both"/>
    </w:pPr>
  </w:style>
  <w:style w:type="paragraph" w:customStyle="1" w:styleId="naisnod">
    <w:name w:val="naisnod"/>
    <w:basedOn w:val="Normal"/>
    <w:rsid w:val="00154DBA"/>
    <w:pPr>
      <w:spacing w:before="150" w:after="150"/>
      <w:jc w:val="center"/>
    </w:pPr>
    <w:rPr>
      <w:b/>
      <w:bCs/>
    </w:rPr>
  </w:style>
  <w:style w:type="paragraph" w:customStyle="1" w:styleId="naislab">
    <w:name w:val="naislab"/>
    <w:basedOn w:val="Normal"/>
    <w:rsid w:val="00154DBA"/>
    <w:pPr>
      <w:spacing w:before="75" w:after="75"/>
      <w:jc w:val="right"/>
    </w:pPr>
  </w:style>
  <w:style w:type="paragraph" w:customStyle="1" w:styleId="naiskr">
    <w:name w:val="naiskr"/>
    <w:basedOn w:val="Normal"/>
    <w:rsid w:val="00154DBA"/>
    <w:pPr>
      <w:spacing w:before="75" w:after="75"/>
    </w:pPr>
  </w:style>
  <w:style w:type="paragraph" w:customStyle="1" w:styleId="naisc">
    <w:name w:val="naisc"/>
    <w:basedOn w:val="Normal"/>
    <w:rsid w:val="00154DBA"/>
    <w:pPr>
      <w:spacing w:before="75" w:after="75"/>
      <w:jc w:val="center"/>
    </w:pPr>
  </w:style>
  <w:style w:type="character" w:customStyle="1" w:styleId="th1">
    <w:name w:val="th1"/>
    <w:rsid w:val="00154DBA"/>
    <w:rPr>
      <w:b/>
      <w:bCs/>
      <w:color w:val="333333"/>
    </w:rPr>
  </w:style>
  <w:style w:type="character" w:styleId="CommentReference">
    <w:name w:val="annotation reference"/>
    <w:uiPriority w:val="99"/>
    <w:rsid w:val="00154DBA"/>
    <w:rPr>
      <w:sz w:val="16"/>
      <w:szCs w:val="16"/>
    </w:rPr>
  </w:style>
  <w:style w:type="paragraph" w:styleId="CommentText">
    <w:name w:val="annotation text"/>
    <w:basedOn w:val="Normal"/>
    <w:link w:val="CommentTextChar"/>
    <w:uiPriority w:val="99"/>
    <w:semiHidden/>
    <w:rsid w:val="00154DBA"/>
    <w:rPr>
      <w:sz w:val="20"/>
      <w:szCs w:val="20"/>
    </w:rPr>
  </w:style>
  <w:style w:type="character" w:customStyle="1" w:styleId="CommentTextChar">
    <w:name w:val="Comment Text Char"/>
    <w:basedOn w:val="DefaultParagraphFont"/>
    <w:link w:val="CommentText"/>
    <w:uiPriority w:val="99"/>
    <w:semiHidden/>
    <w:rsid w:val="00154DBA"/>
    <w:rPr>
      <w:rFonts w:eastAsia="Times New Roman" w:cs="Times New Roman"/>
      <w:sz w:val="20"/>
      <w:szCs w:val="20"/>
      <w:lang w:eastAsia="lv-LV"/>
    </w:rPr>
  </w:style>
  <w:style w:type="paragraph" w:styleId="BalloonText">
    <w:name w:val="Balloon Text"/>
    <w:basedOn w:val="Normal"/>
    <w:link w:val="BalloonTextChar"/>
    <w:semiHidden/>
    <w:rsid w:val="00154DBA"/>
    <w:rPr>
      <w:rFonts w:ascii="Tahoma" w:hAnsi="Tahoma" w:cs="Tahoma"/>
      <w:sz w:val="16"/>
      <w:szCs w:val="16"/>
    </w:rPr>
  </w:style>
  <w:style w:type="character" w:customStyle="1" w:styleId="BalloonTextChar">
    <w:name w:val="Balloon Text Char"/>
    <w:basedOn w:val="DefaultParagraphFont"/>
    <w:link w:val="BalloonText"/>
    <w:semiHidden/>
    <w:rsid w:val="00154DBA"/>
    <w:rPr>
      <w:rFonts w:ascii="Tahoma" w:eastAsia="Times New Roman" w:hAnsi="Tahoma" w:cs="Tahoma"/>
      <w:sz w:val="16"/>
      <w:szCs w:val="16"/>
      <w:lang w:eastAsia="lv-LV"/>
    </w:rPr>
  </w:style>
  <w:style w:type="table" w:styleId="TableGrid">
    <w:name w:val="Table Grid"/>
    <w:basedOn w:val="TableNormal"/>
    <w:rsid w:val="00154DBA"/>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54DBA"/>
    <w:rPr>
      <w:sz w:val="20"/>
      <w:szCs w:val="20"/>
    </w:rPr>
  </w:style>
  <w:style w:type="character" w:customStyle="1" w:styleId="FootnoteTextChar">
    <w:name w:val="Footnote Text Char"/>
    <w:basedOn w:val="DefaultParagraphFont"/>
    <w:link w:val="FootnoteText"/>
    <w:semiHidden/>
    <w:rsid w:val="00154DBA"/>
    <w:rPr>
      <w:rFonts w:eastAsia="Times New Roman" w:cs="Times New Roman"/>
      <w:sz w:val="20"/>
      <w:szCs w:val="20"/>
      <w:lang w:eastAsia="lv-LV"/>
    </w:rPr>
  </w:style>
  <w:style w:type="character" w:styleId="FootnoteReference">
    <w:name w:val="footnote reference"/>
    <w:semiHidden/>
    <w:rsid w:val="00154DBA"/>
    <w:rPr>
      <w:vertAlign w:val="superscript"/>
    </w:rPr>
  </w:style>
  <w:style w:type="paragraph" w:styleId="CommentSubject">
    <w:name w:val="annotation subject"/>
    <w:basedOn w:val="CommentText"/>
    <w:next w:val="CommentText"/>
    <w:link w:val="CommentSubjectChar"/>
    <w:semiHidden/>
    <w:rsid w:val="00154DBA"/>
    <w:rPr>
      <w:b/>
      <w:bCs/>
    </w:rPr>
  </w:style>
  <w:style w:type="character" w:customStyle="1" w:styleId="CommentSubjectChar">
    <w:name w:val="Comment Subject Char"/>
    <w:basedOn w:val="CommentTextChar"/>
    <w:link w:val="CommentSubject"/>
    <w:semiHidden/>
    <w:rsid w:val="00154DBA"/>
    <w:rPr>
      <w:rFonts w:eastAsia="Times New Roman" w:cs="Times New Roman"/>
      <w:b/>
      <w:bCs/>
      <w:sz w:val="20"/>
      <w:szCs w:val="20"/>
      <w:lang w:eastAsia="lv-LV"/>
    </w:rPr>
  </w:style>
  <w:style w:type="paragraph" w:styleId="Footer">
    <w:name w:val="footer"/>
    <w:basedOn w:val="Normal"/>
    <w:link w:val="FooterChar"/>
    <w:rsid w:val="00154DBA"/>
    <w:pPr>
      <w:tabs>
        <w:tab w:val="center" w:pos="4153"/>
        <w:tab w:val="right" w:pos="8306"/>
      </w:tabs>
    </w:pPr>
  </w:style>
  <w:style w:type="character" w:customStyle="1" w:styleId="FooterChar">
    <w:name w:val="Footer Char"/>
    <w:basedOn w:val="DefaultParagraphFont"/>
    <w:link w:val="Footer"/>
    <w:rsid w:val="00154DBA"/>
    <w:rPr>
      <w:rFonts w:eastAsia="Times New Roman" w:cs="Times New Roman"/>
      <w:szCs w:val="24"/>
      <w:lang w:eastAsia="lv-LV"/>
    </w:rPr>
  </w:style>
  <w:style w:type="character" w:styleId="Hyperlink">
    <w:name w:val="Hyperlink"/>
    <w:rsid w:val="00154DBA"/>
    <w:rPr>
      <w:color w:val="0000FF"/>
      <w:u w:val="single"/>
    </w:rPr>
  </w:style>
  <w:style w:type="paragraph" w:styleId="DocumentMap">
    <w:name w:val="Document Map"/>
    <w:basedOn w:val="Normal"/>
    <w:link w:val="DocumentMapChar"/>
    <w:semiHidden/>
    <w:rsid w:val="00154D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54DBA"/>
    <w:rPr>
      <w:rFonts w:ascii="Tahoma" w:eastAsia="Times New Roman" w:hAnsi="Tahoma" w:cs="Tahoma"/>
      <w:sz w:val="20"/>
      <w:szCs w:val="20"/>
      <w:shd w:val="clear" w:color="auto" w:fill="000080"/>
      <w:lang w:eastAsia="lv-LV"/>
    </w:rPr>
  </w:style>
  <w:style w:type="paragraph" w:customStyle="1" w:styleId="Default">
    <w:name w:val="Default"/>
    <w:rsid w:val="00154DBA"/>
    <w:pPr>
      <w:autoSpaceDE w:val="0"/>
      <w:autoSpaceDN w:val="0"/>
      <w:adjustRightInd w:val="0"/>
    </w:pPr>
    <w:rPr>
      <w:rFonts w:ascii="EUAlbertina" w:eastAsia="Calibri" w:hAnsi="EUAlbertina" w:cs="EUAlbertina"/>
      <w:color w:val="000000"/>
      <w:szCs w:val="24"/>
      <w:lang w:val="en-US"/>
    </w:rPr>
  </w:style>
  <w:style w:type="paragraph" w:customStyle="1" w:styleId="CM4">
    <w:name w:val="CM4"/>
    <w:basedOn w:val="Default"/>
    <w:next w:val="Default"/>
    <w:uiPriority w:val="99"/>
    <w:rsid w:val="00154DBA"/>
    <w:rPr>
      <w:rFonts w:cs="Times New Roman"/>
      <w:color w:val="auto"/>
    </w:rPr>
  </w:style>
  <w:style w:type="paragraph" w:styleId="ListBullet">
    <w:name w:val="List Bullet"/>
    <w:basedOn w:val="Normal"/>
    <w:rsid w:val="00154DBA"/>
    <w:pPr>
      <w:numPr>
        <w:numId w:val="1"/>
      </w:numPr>
      <w:contextualSpacing/>
    </w:pPr>
  </w:style>
  <w:style w:type="paragraph" w:customStyle="1" w:styleId="naispant">
    <w:name w:val="naispant"/>
    <w:basedOn w:val="Normal"/>
    <w:uiPriority w:val="99"/>
    <w:rsid w:val="00154DBA"/>
    <w:pPr>
      <w:spacing w:before="100" w:beforeAutospacing="1" w:after="100" w:afterAutospacing="1"/>
    </w:pPr>
  </w:style>
  <w:style w:type="paragraph" w:styleId="NormalWeb">
    <w:name w:val="Normal (Web)"/>
    <w:basedOn w:val="Normal"/>
    <w:uiPriority w:val="99"/>
    <w:rsid w:val="00154DBA"/>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154DBA"/>
    <w:rPr>
      <w:szCs w:val="20"/>
      <w:lang w:val="en-US" w:eastAsia="en-US"/>
    </w:rPr>
  </w:style>
  <w:style w:type="paragraph" w:customStyle="1" w:styleId="tv2131">
    <w:name w:val="tv2131"/>
    <w:basedOn w:val="Normal"/>
    <w:rsid w:val="00154DBA"/>
    <w:pPr>
      <w:spacing w:before="240" w:line="360" w:lineRule="auto"/>
      <w:ind w:firstLine="300"/>
      <w:jc w:val="both"/>
    </w:pPr>
    <w:rPr>
      <w:rFonts w:ascii="Verdana" w:hAnsi="Verdana"/>
      <w:sz w:val="18"/>
      <w:szCs w:val="18"/>
    </w:rPr>
  </w:style>
  <w:style w:type="paragraph" w:customStyle="1" w:styleId="list0020paragraph">
    <w:name w:val="list_0020paragraph"/>
    <w:basedOn w:val="Normal"/>
    <w:uiPriority w:val="99"/>
    <w:rsid w:val="00154DBA"/>
    <w:pPr>
      <w:ind w:left="720"/>
    </w:pPr>
    <w:rPr>
      <w:rFonts w:ascii="Calibri" w:hAnsi="Calibri"/>
      <w:sz w:val="22"/>
      <w:szCs w:val="22"/>
    </w:rPr>
  </w:style>
  <w:style w:type="character" w:customStyle="1" w:styleId="list0020paragraphchar">
    <w:name w:val="list_0020paragraph__char"/>
    <w:rsid w:val="00154DBA"/>
  </w:style>
  <w:style w:type="paragraph" w:styleId="Revision">
    <w:name w:val="Revision"/>
    <w:hidden/>
    <w:uiPriority w:val="99"/>
    <w:semiHidden/>
    <w:rsid w:val="00154DBA"/>
    <w:rPr>
      <w:rFonts w:eastAsia="Times New Roman" w:cs="Times New Roman"/>
      <w:szCs w:val="24"/>
      <w:lang w:eastAsia="lv-LV"/>
    </w:rPr>
  </w:style>
  <w:style w:type="paragraph" w:styleId="ListParagraph">
    <w:name w:val="List Paragraph"/>
    <w:basedOn w:val="Normal"/>
    <w:uiPriority w:val="34"/>
    <w:qFormat/>
    <w:rsid w:val="00154DBA"/>
    <w:pPr>
      <w:ind w:left="720"/>
      <w:contextualSpacing/>
    </w:pPr>
  </w:style>
  <w:style w:type="paragraph" w:styleId="BodyTextIndent">
    <w:name w:val="Body Text Indent"/>
    <w:basedOn w:val="Normal"/>
    <w:link w:val="BodyTextIndentChar"/>
    <w:unhideWhenUsed/>
    <w:rsid w:val="00154DBA"/>
    <w:pPr>
      <w:ind w:firstLine="720"/>
      <w:jc w:val="both"/>
    </w:pPr>
  </w:style>
  <w:style w:type="character" w:customStyle="1" w:styleId="BodyTextIndentChar">
    <w:name w:val="Body Text Indent Char"/>
    <w:basedOn w:val="DefaultParagraphFont"/>
    <w:link w:val="BodyTextIndent"/>
    <w:rsid w:val="00154DBA"/>
    <w:rPr>
      <w:rFonts w:eastAsia="Times New Roman" w:cs="Times New Roman"/>
      <w:szCs w:val="24"/>
      <w:lang w:eastAsia="lv-LV"/>
    </w:rPr>
  </w:style>
  <w:style w:type="paragraph" w:styleId="NoSpacing">
    <w:name w:val="No Spacing"/>
    <w:uiPriority w:val="1"/>
    <w:qFormat/>
    <w:rsid w:val="00154DBA"/>
    <w:rPr>
      <w:rFonts w:ascii="Calibri" w:eastAsia="Calibri" w:hAnsi="Calibri" w:cs="Times New Roman"/>
      <w:sz w:val="22"/>
    </w:rPr>
  </w:style>
  <w:style w:type="character" w:customStyle="1" w:styleId="st1">
    <w:name w:val="st1"/>
    <w:uiPriority w:val="99"/>
    <w:rsid w:val="00CD2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7243">
      <w:bodyDiv w:val="1"/>
      <w:marLeft w:val="0"/>
      <w:marRight w:val="0"/>
      <w:marTop w:val="0"/>
      <w:marBottom w:val="0"/>
      <w:divBdr>
        <w:top w:val="none" w:sz="0" w:space="0" w:color="auto"/>
        <w:left w:val="none" w:sz="0" w:space="0" w:color="auto"/>
        <w:bottom w:val="none" w:sz="0" w:space="0" w:color="auto"/>
        <w:right w:val="none" w:sz="0" w:space="0" w:color="auto"/>
      </w:divBdr>
    </w:div>
    <w:div w:id="579563494">
      <w:bodyDiv w:val="1"/>
      <w:marLeft w:val="0"/>
      <w:marRight w:val="0"/>
      <w:marTop w:val="0"/>
      <w:marBottom w:val="0"/>
      <w:divBdr>
        <w:top w:val="none" w:sz="0" w:space="0" w:color="auto"/>
        <w:left w:val="none" w:sz="0" w:space="0" w:color="auto"/>
        <w:bottom w:val="none" w:sz="0" w:space="0" w:color="auto"/>
        <w:right w:val="none" w:sz="0" w:space="0" w:color="auto"/>
      </w:divBdr>
    </w:div>
    <w:div w:id="605312430">
      <w:bodyDiv w:val="1"/>
      <w:marLeft w:val="0"/>
      <w:marRight w:val="0"/>
      <w:marTop w:val="0"/>
      <w:marBottom w:val="0"/>
      <w:divBdr>
        <w:top w:val="none" w:sz="0" w:space="0" w:color="auto"/>
        <w:left w:val="none" w:sz="0" w:space="0" w:color="auto"/>
        <w:bottom w:val="none" w:sz="0" w:space="0" w:color="auto"/>
        <w:right w:val="none" w:sz="0" w:space="0" w:color="auto"/>
      </w:divBdr>
    </w:div>
    <w:div w:id="646709454">
      <w:bodyDiv w:val="1"/>
      <w:marLeft w:val="0"/>
      <w:marRight w:val="0"/>
      <w:marTop w:val="0"/>
      <w:marBottom w:val="0"/>
      <w:divBdr>
        <w:top w:val="none" w:sz="0" w:space="0" w:color="auto"/>
        <w:left w:val="none" w:sz="0" w:space="0" w:color="auto"/>
        <w:bottom w:val="none" w:sz="0" w:space="0" w:color="auto"/>
        <w:right w:val="none" w:sz="0" w:space="0" w:color="auto"/>
      </w:divBdr>
    </w:div>
    <w:div w:id="682971398">
      <w:bodyDiv w:val="1"/>
      <w:marLeft w:val="0"/>
      <w:marRight w:val="0"/>
      <w:marTop w:val="0"/>
      <w:marBottom w:val="0"/>
      <w:divBdr>
        <w:top w:val="none" w:sz="0" w:space="0" w:color="auto"/>
        <w:left w:val="none" w:sz="0" w:space="0" w:color="auto"/>
        <w:bottom w:val="none" w:sz="0" w:space="0" w:color="auto"/>
        <w:right w:val="none" w:sz="0" w:space="0" w:color="auto"/>
      </w:divBdr>
    </w:div>
    <w:div w:id="772629047">
      <w:bodyDiv w:val="1"/>
      <w:marLeft w:val="0"/>
      <w:marRight w:val="0"/>
      <w:marTop w:val="0"/>
      <w:marBottom w:val="0"/>
      <w:divBdr>
        <w:top w:val="none" w:sz="0" w:space="0" w:color="auto"/>
        <w:left w:val="none" w:sz="0" w:space="0" w:color="auto"/>
        <w:bottom w:val="none" w:sz="0" w:space="0" w:color="auto"/>
        <w:right w:val="none" w:sz="0" w:space="0" w:color="auto"/>
      </w:divBdr>
    </w:div>
    <w:div w:id="829517332">
      <w:bodyDiv w:val="1"/>
      <w:marLeft w:val="0"/>
      <w:marRight w:val="0"/>
      <w:marTop w:val="0"/>
      <w:marBottom w:val="0"/>
      <w:divBdr>
        <w:top w:val="none" w:sz="0" w:space="0" w:color="auto"/>
        <w:left w:val="none" w:sz="0" w:space="0" w:color="auto"/>
        <w:bottom w:val="none" w:sz="0" w:space="0" w:color="auto"/>
        <w:right w:val="none" w:sz="0" w:space="0" w:color="auto"/>
      </w:divBdr>
      <w:divsChild>
        <w:div w:id="558171391">
          <w:marLeft w:val="0"/>
          <w:marRight w:val="0"/>
          <w:marTop w:val="0"/>
          <w:marBottom w:val="0"/>
          <w:divBdr>
            <w:top w:val="none" w:sz="0" w:space="0" w:color="auto"/>
            <w:left w:val="none" w:sz="0" w:space="0" w:color="auto"/>
            <w:bottom w:val="none" w:sz="0" w:space="0" w:color="auto"/>
            <w:right w:val="none" w:sz="0" w:space="0" w:color="auto"/>
          </w:divBdr>
          <w:divsChild>
            <w:div w:id="1821575263">
              <w:marLeft w:val="0"/>
              <w:marRight w:val="0"/>
              <w:marTop w:val="0"/>
              <w:marBottom w:val="0"/>
              <w:divBdr>
                <w:top w:val="none" w:sz="0" w:space="0" w:color="auto"/>
                <w:left w:val="none" w:sz="0" w:space="0" w:color="auto"/>
                <w:bottom w:val="none" w:sz="0" w:space="0" w:color="auto"/>
                <w:right w:val="none" w:sz="0" w:space="0" w:color="auto"/>
              </w:divBdr>
              <w:divsChild>
                <w:div w:id="905726117">
                  <w:marLeft w:val="0"/>
                  <w:marRight w:val="0"/>
                  <w:marTop w:val="0"/>
                  <w:marBottom w:val="0"/>
                  <w:divBdr>
                    <w:top w:val="none" w:sz="0" w:space="0" w:color="auto"/>
                    <w:left w:val="none" w:sz="0" w:space="0" w:color="auto"/>
                    <w:bottom w:val="none" w:sz="0" w:space="0" w:color="auto"/>
                    <w:right w:val="none" w:sz="0" w:space="0" w:color="auto"/>
                  </w:divBdr>
                  <w:divsChild>
                    <w:div w:id="1189221182">
                      <w:marLeft w:val="0"/>
                      <w:marRight w:val="0"/>
                      <w:marTop w:val="0"/>
                      <w:marBottom w:val="0"/>
                      <w:divBdr>
                        <w:top w:val="none" w:sz="0" w:space="0" w:color="auto"/>
                        <w:left w:val="none" w:sz="0" w:space="0" w:color="auto"/>
                        <w:bottom w:val="none" w:sz="0" w:space="0" w:color="auto"/>
                        <w:right w:val="none" w:sz="0" w:space="0" w:color="auto"/>
                      </w:divBdr>
                      <w:divsChild>
                        <w:div w:id="1913587471">
                          <w:marLeft w:val="0"/>
                          <w:marRight w:val="0"/>
                          <w:marTop w:val="0"/>
                          <w:marBottom w:val="0"/>
                          <w:divBdr>
                            <w:top w:val="none" w:sz="0" w:space="0" w:color="auto"/>
                            <w:left w:val="none" w:sz="0" w:space="0" w:color="auto"/>
                            <w:bottom w:val="none" w:sz="0" w:space="0" w:color="auto"/>
                            <w:right w:val="none" w:sz="0" w:space="0" w:color="auto"/>
                          </w:divBdr>
                          <w:divsChild>
                            <w:div w:id="3204264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560940">
      <w:bodyDiv w:val="1"/>
      <w:marLeft w:val="0"/>
      <w:marRight w:val="0"/>
      <w:marTop w:val="0"/>
      <w:marBottom w:val="0"/>
      <w:divBdr>
        <w:top w:val="none" w:sz="0" w:space="0" w:color="auto"/>
        <w:left w:val="none" w:sz="0" w:space="0" w:color="auto"/>
        <w:bottom w:val="none" w:sz="0" w:space="0" w:color="auto"/>
        <w:right w:val="none" w:sz="0" w:space="0" w:color="auto"/>
      </w:divBdr>
    </w:div>
    <w:div w:id="1371765966">
      <w:bodyDiv w:val="1"/>
      <w:marLeft w:val="0"/>
      <w:marRight w:val="0"/>
      <w:marTop w:val="0"/>
      <w:marBottom w:val="0"/>
      <w:divBdr>
        <w:top w:val="none" w:sz="0" w:space="0" w:color="auto"/>
        <w:left w:val="none" w:sz="0" w:space="0" w:color="auto"/>
        <w:bottom w:val="none" w:sz="0" w:space="0" w:color="auto"/>
        <w:right w:val="none" w:sz="0" w:space="0" w:color="auto"/>
      </w:divBdr>
    </w:div>
    <w:div w:id="1396078572">
      <w:bodyDiv w:val="1"/>
      <w:marLeft w:val="0"/>
      <w:marRight w:val="0"/>
      <w:marTop w:val="0"/>
      <w:marBottom w:val="0"/>
      <w:divBdr>
        <w:top w:val="none" w:sz="0" w:space="0" w:color="auto"/>
        <w:left w:val="none" w:sz="0" w:space="0" w:color="auto"/>
        <w:bottom w:val="none" w:sz="0" w:space="0" w:color="auto"/>
        <w:right w:val="none" w:sz="0" w:space="0" w:color="auto"/>
      </w:divBdr>
      <w:divsChild>
        <w:div w:id="203521632">
          <w:marLeft w:val="720"/>
          <w:marRight w:val="0"/>
          <w:marTop w:val="0"/>
          <w:marBottom w:val="0"/>
          <w:divBdr>
            <w:top w:val="none" w:sz="0" w:space="0" w:color="auto"/>
            <w:left w:val="none" w:sz="0" w:space="0" w:color="auto"/>
            <w:bottom w:val="none" w:sz="0" w:space="0" w:color="auto"/>
            <w:right w:val="none" w:sz="0" w:space="0" w:color="auto"/>
          </w:divBdr>
        </w:div>
      </w:divsChild>
    </w:div>
    <w:div w:id="1542129526">
      <w:bodyDiv w:val="1"/>
      <w:marLeft w:val="0"/>
      <w:marRight w:val="0"/>
      <w:marTop w:val="0"/>
      <w:marBottom w:val="0"/>
      <w:divBdr>
        <w:top w:val="none" w:sz="0" w:space="0" w:color="auto"/>
        <w:left w:val="none" w:sz="0" w:space="0" w:color="auto"/>
        <w:bottom w:val="none" w:sz="0" w:space="0" w:color="auto"/>
        <w:right w:val="none" w:sz="0" w:space="0" w:color="auto"/>
      </w:divBdr>
    </w:div>
    <w:div w:id="1677152050">
      <w:bodyDiv w:val="1"/>
      <w:marLeft w:val="0"/>
      <w:marRight w:val="0"/>
      <w:marTop w:val="0"/>
      <w:marBottom w:val="0"/>
      <w:divBdr>
        <w:top w:val="none" w:sz="0" w:space="0" w:color="auto"/>
        <w:left w:val="none" w:sz="0" w:space="0" w:color="auto"/>
        <w:bottom w:val="none" w:sz="0" w:space="0" w:color="auto"/>
        <w:right w:val="none" w:sz="0" w:space="0" w:color="auto"/>
      </w:divBdr>
    </w:div>
    <w:div w:id="1973366201">
      <w:bodyDiv w:val="1"/>
      <w:marLeft w:val="0"/>
      <w:marRight w:val="0"/>
      <w:marTop w:val="0"/>
      <w:marBottom w:val="0"/>
      <w:divBdr>
        <w:top w:val="none" w:sz="0" w:space="0" w:color="auto"/>
        <w:left w:val="none" w:sz="0" w:space="0" w:color="auto"/>
        <w:bottom w:val="none" w:sz="0" w:space="0" w:color="auto"/>
        <w:right w:val="none" w:sz="0" w:space="0" w:color="auto"/>
      </w:divBdr>
      <w:divsChild>
        <w:div w:id="1701585940">
          <w:marLeft w:val="0"/>
          <w:marRight w:val="0"/>
          <w:marTop w:val="0"/>
          <w:marBottom w:val="0"/>
          <w:divBdr>
            <w:top w:val="none" w:sz="0" w:space="0" w:color="auto"/>
            <w:left w:val="none" w:sz="0" w:space="0" w:color="auto"/>
            <w:bottom w:val="none" w:sz="0" w:space="0" w:color="auto"/>
            <w:right w:val="none" w:sz="0" w:space="0" w:color="auto"/>
          </w:divBdr>
        </w:div>
        <w:div w:id="833570981">
          <w:marLeft w:val="0"/>
          <w:marRight w:val="0"/>
          <w:marTop w:val="0"/>
          <w:marBottom w:val="0"/>
          <w:divBdr>
            <w:top w:val="none" w:sz="0" w:space="0" w:color="auto"/>
            <w:left w:val="none" w:sz="0" w:space="0" w:color="auto"/>
            <w:bottom w:val="none" w:sz="0" w:space="0" w:color="auto"/>
            <w:right w:val="none" w:sz="0" w:space="0" w:color="auto"/>
          </w:divBdr>
        </w:div>
        <w:div w:id="142166918">
          <w:marLeft w:val="0"/>
          <w:marRight w:val="0"/>
          <w:marTop w:val="0"/>
          <w:marBottom w:val="0"/>
          <w:divBdr>
            <w:top w:val="none" w:sz="0" w:space="0" w:color="auto"/>
            <w:left w:val="none" w:sz="0" w:space="0" w:color="auto"/>
            <w:bottom w:val="none" w:sz="0" w:space="0" w:color="auto"/>
            <w:right w:val="none" w:sz="0" w:space="0" w:color="auto"/>
          </w:divBdr>
        </w:div>
      </w:divsChild>
    </w:div>
    <w:div w:id="19874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CC166-69B7-4E1B-8D47-6155A467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14</Pages>
  <Words>22805</Words>
  <Characters>13000</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Likumprojekta „Grozījumi likumā „Par nodokļiem un nodevām”” sākotnējās ietekmes novērtējuma ziņojums (anotācija)</vt:lpstr>
    </vt:vector>
  </TitlesOfParts>
  <Company>Finanšu ministrija</Company>
  <LinksUpToDate>false</LinksUpToDate>
  <CharactersWithSpaces>35734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Anotācija</dc:subject>
  <dc:creator>Kristīne Voiniča</dc:creator>
  <dc:description>Kristine.Voinica@fm.gov.lv, 67095567
Marika.Valdmane@fm.gov.lv
tālr.67095524</dc:description>
  <cp:lastModifiedBy>Kristīne Voiniča</cp:lastModifiedBy>
  <cp:revision>64</cp:revision>
  <cp:lastPrinted>2017-09-14T13:40:00Z</cp:lastPrinted>
  <dcterms:created xsi:type="dcterms:W3CDTF">2017-08-03T19:24:00Z</dcterms:created>
  <dcterms:modified xsi:type="dcterms:W3CDTF">2017-09-14T14:13:00Z</dcterms:modified>
  <cp:category/>
</cp:coreProperties>
</file>