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2502" w14:textId="154376BB" w:rsidR="00894C55" w:rsidRPr="005F5065" w:rsidRDefault="00F61F4F" w:rsidP="00894C55">
      <w:pPr>
        <w:shd w:val="clear" w:color="auto" w:fill="FFFFFF"/>
        <w:spacing w:after="0" w:line="240" w:lineRule="auto"/>
        <w:jc w:val="center"/>
        <w:rPr>
          <w:rFonts w:eastAsia="Times New Roman" w:cs="Times New Roman"/>
          <w:b/>
          <w:bCs/>
          <w:szCs w:val="28"/>
          <w:lang w:eastAsia="lv-LV"/>
        </w:rPr>
      </w:pPr>
      <w:bookmarkStart w:id="0" w:name="_GoBack"/>
      <w:bookmarkEnd w:id="0"/>
      <w:r w:rsidRPr="005F5065">
        <w:rPr>
          <w:b/>
          <w:szCs w:val="28"/>
        </w:rPr>
        <w:t xml:space="preserve">Ministru kabineta noteikumu </w:t>
      </w:r>
      <w:r w:rsidR="00C61758" w:rsidRPr="005F5065">
        <w:rPr>
          <w:rFonts w:eastAsia="Times New Roman" w:cs="Times New Roman"/>
          <w:b/>
          <w:bCs/>
          <w:szCs w:val="28"/>
          <w:lang w:eastAsia="lv-LV"/>
        </w:rPr>
        <w:t>projekta</w:t>
      </w:r>
      <w:r w:rsidR="00C61758" w:rsidRPr="005F5065">
        <w:rPr>
          <w:b/>
          <w:szCs w:val="28"/>
        </w:rPr>
        <w:t xml:space="preserve"> </w:t>
      </w:r>
      <w:r w:rsidRPr="005F5065">
        <w:rPr>
          <w:b/>
          <w:szCs w:val="28"/>
        </w:rPr>
        <w:t>“Gr</w:t>
      </w:r>
      <w:r w:rsidR="00BF3311" w:rsidRPr="005F5065">
        <w:rPr>
          <w:b/>
          <w:szCs w:val="28"/>
        </w:rPr>
        <w:t>ozījumi Ministru kabineta 2017.</w:t>
      </w:r>
      <w:r w:rsidRPr="005F5065">
        <w:rPr>
          <w:b/>
          <w:szCs w:val="28"/>
        </w:rPr>
        <w:t xml:space="preserve">gada </w:t>
      </w:r>
      <w:r w:rsidR="00274B1F" w:rsidRPr="005F5065">
        <w:rPr>
          <w:b/>
          <w:szCs w:val="28"/>
        </w:rPr>
        <w:t>28.februāra</w:t>
      </w:r>
      <w:r w:rsidR="00BF3311" w:rsidRPr="005F5065">
        <w:rPr>
          <w:b/>
          <w:szCs w:val="28"/>
        </w:rPr>
        <w:t xml:space="preserve"> noteikumos Nr.</w:t>
      </w:r>
      <w:r w:rsidR="00274B1F" w:rsidRPr="005F5065">
        <w:rPr>
          <w:b/>
          <w:szCs w:val="28"/>
        </w:rPr>
        <w:t>10</w:t>
      </w:r>
      <w:r w:rsidR="005F5065">
        <w:rPr>
          <w:b/>
          <w:szCs w:val="28"/>
        </w:rPr>
        <w:t>4</w:t>
      </w:r>
      <w:r w:rsidRPr="005F5065">
        <w:rPr>
          <w:b/>
          <w:szCs w:val="28"/>
        </w:rPr>
        <w:t xml:space="preserve"> “</w:t>
      </w:r>
      <w:r w:rsidR="002F4FF5" w:rsidRPr="002F4FF5">
        <w:rPr>
          <w:b/>
          <w:szCs w:val="28"/>
        </w:rPr>
        <w:t>Noteikumi par iepirkuma procedūru un tās piemērošanas kārtību pasūtītāja finansētiem projektiem</w:t>
      </w:r>
      <w:r w:rsidRPr="005F5065">
        <w:rPr>
          <w:b/>
          <w:szCs w:val="28"/>
        </w:rPr>
        <w:t>”</w:t>
      </w:r>
      <w:r w:rsidR="00C61758">
        <w:rPr>
          <w:b/>
          <w:szCs w:val="28"/>
        </w:rPr>
        <w:t>”</w:t>
      </w:r>
      <w:r w:rsidR="00894C55" w:rsidRPr="005F5065">
        <w:rPr>
          <w:rFonts w:eastAsia="Times New Roman" w:cs="Times New Roman"/>
          <w:b/>
          <w:bCs/>
          <w:szCs w:val="28"/>
          <w:lang w:eastAsia="lv-LV"/>
        </w:rPr>
        <w:t xml:space="preserve"> sākotnējās ietekmes novērtējuma ziņojums (anotācija)</w:t>
      </w:r>
    </w:p>
    <w:p w14:paraId="3267886E" w14:textId="77777777" w:rsidR="00894C55" w:rsidRPr="00A3752A" w:rsidRDefault="00894C55" w:rsidP="00894C55">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7360EC" w14:paraId="4AB00CC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E9C179" w14:textId="77777777" w:rsidR="00894C55" w:rsidRPr="007360EC" w:rsidRDefault="00894C55" w:rsidP="00BC2B19">
            <w:pPr>
              <w:spacing w:after="60" w:line="240" w:lineRule="auto"/>
              <w:jc w:val="center"/>
              <w:rPr>
                <w:rFonts w:eastAsia="Times New Roman" w:cs="Times New Roman"/>
                <w:b/>
                <w:bCs/>
                <w:szCs w:val="24"/>
                <w:lang w:eastAsia="lv-LV"/>
              </w:rPr>
            </w:pPr>
            <w:r w:rsidRPr="007360EC">
              <w:rPr>
                <w:rFonts w:eastAsia="Times New Roman" w:cs="Times New Roman"/>
                <w:b/>
                <w:bCs/>
                <w:szCs w:val="24"/>
                <w:lang w:eastAsia="lv-LV"/>
              </w:rPr>
              <w:t>I.</w:t>
            </w:r>
            <w:r w:rsidR="0050178F" w:rsidRPr="007360EC">
              <w:rPr>
                <w:rFonts w:eastAsia="Times New Roman" w:cs="Times New Roman"/>
                <w:b/>
                <w:bCs/>
                <w:szCs w:val="24"/>
                <w:lang w:eastAsia="lv-LV"/>
              </w:rPr>
              <w:t> </w:t>
            </w:r>
            <w:r w:rsidRPr="007360EC">
              <w:rPr>
                <w:rFonts w:eastAsia="Times New Roman" w:cs="Times New Roman"/>
                <w:b/>
                <w:bCs/>
                <w:szCs w:val="24"/>
                <w:lang w:eastAsia="lv-LV"/>
              </w:rPr>
              <w:t>Tiesību akta projekta izstrādes nepieciešamība</w:t>
            </w:r>
          </w:p>
        </w:tc>
      </w:tr>
      <w:tr w:rsidR="0037321C" w:rsidRPr="007360EC" w14:paraId="3B56E8D6" w14:textId="77777777"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EE83079" w14:textId="77777777" w:rsidR="00894C55" w:rsidRPr="007360EC" w:rsidRDefault="00894C55" w:rsidP="0037321C">
            <w:pPr>
              <w:spacing w:after="0" w:line="240" w:lineRule="auto"/>
              <w:jc w:val="center"/>
              <w:rPr>
                <w:rFonts w:eastAsia="Times New Roman" w:cs="Times New Roman"/>
                <w:szCs w:val="24"/>
                <w:lang w:eastAsia="lv-LV"/>
              </w:rPr>
            </w:pPr>
            <w:r w:rsidRPr="007360EC">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0C98728B" w14:textId="77777777" w:rsidR="00894C55" w:rsidRPr="007360EC" w:rsidRDefault="00894C55" w:rsidP="0037321C">
            <w:pPr>
              <w:spacing w:after="0" w:line="240" w:lineRule="auto"/>
              <w:rPr>
                <w:rFonts w:eastAsia="Times New Roman" w:cs="Times New Roman"/>
                <w:szCs w:val="24"/>
                <w:lang w:eastAsia="lv-LV"/>
              </w:rPr>
            </w:pPr>
            <w:r w:rsidRPr="007360EC">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6F0C0634" w14:textId="36A6335A" w:rsidR="00740FD1" w:rsidRPr="00CA0D4D" w:rsidRDefault="00CA0D4D" w:rsidP="00CA0D4D">
            <w:pPr>
              <w:spacing w:after="60" w:line="240" w:lineRule="auto"/>
              <w:ind w:right="57"/>
              <w:jc w:val="both"/>
              <w:rPr>
                <w:rFonts w:eastAsia="Times New Roman" w:cs="Times New Roman"/>
                <w:szCs w:val="24"/>
                <w:lang w:eastAsia="lv-LV"/>
              </w:rPr>
            </w:pPr>
            <w:r w:rsidRPr="00CA0D4D">
              <w:rPr>
                <w:rFonts w:eastAsia="Times New Roman" w:cs="Times New Roman"/>
                <w:szCs w:val="24"/>
                <w:lang w:eastAsia="lv-LV"/>
              </w:rPr>
              <w:t xml:space="preserve">Ministru kabineta noteikumu </w:t>
            </w:r>
            <w:r>
              <w:rPr>
                <w:rFonts w:eastAsia="Times New Roman" w:cs="Times New Roman"/>
                <w:szCs w:val="24"/>
                <w:lang w:eastAsia="lv-LV"/>
              </w:rPr>
              <w:t xml:space="preserve">projekts </w:t>
            </w:r>
            <w:r w:rsidRPr="00CA0D4D">
              <w:rPr>
                <w:rFonts w:eastAsia="Times New Roman" w:cs="Times New Roman"/>
                <w:szCs w:val="24"/>
                <w:lang w:eastAsia="lv-LV"/>
              </w:rPr>
              <w:t>“Grozījumi Ministru kabineta 2017.gada 28.februāra noteikumos Nr.104 “</w:t>
            </w:r>
            <w:r w:rsidR="002F4FF5" w:rsidRPr="002F4FF5">
              <w:rPr>
                <w:rFonts w:eastAsia="Times New Roman" w:cs="Times New Roman"/>
                <w:szCs w:val="24"/>
                <w:lang w:eastAsia="lv-LV"/>
              </w:rPr>
              <w:t>Noteikumi par iepirkuma procedūru un tās piemērošanas kārtību pasūtītāja finansētiem projektiem</w:t>
            </w:r>
            <w:r w:rsidRPr="00CA0D4D">
              <w:rPr>
                <w:rFonts w:eastAsia="Times New Roman" w:cs="Times New Roman"/>
                <w:szCs w:val="24"/>
                <w:lang w:eastAsia="lv-LV"/>
              </w:rPr>
              <w:t>”</w:t>
            </w:r>
            <w:r w:rsidR="00C61758">
              <w:rPr>
                <w:rFonts w:eastAsia="Times New Roman" w:cs="Times New Roman"/>
                <w:szCs w:val="24"/>
                <w:lang w:eastAsia="lv-LV"/>
              </w:rPr>
              <w:t>”</w:t>
            </w:r>
            <w:r>
              <w:rPr>
                <w:rFonts w:eastAsia="Times New Roman" w:cs="Times New Roman"/>
                <w:szCs w:val="24"/>
                <w:lang w:eastAsia="lv-LV"/>
              </w:rPr>
              <w:t xml:space="preserve"> </w:t>
            </w:r>
            <w:r w:rsidRPr="00CA0D4D">
              <w:rPr>
                <w:rFonts w:eastAsia="Times New Roman" w:cs="Times New Roman"/>
                <w:szCs w:val="24"/>
                <w:lang w:eastAsia="lv-LV"/>
              </w:rPr>
              <w:t>tika izstrādāts pēc</w:t>
            </w:r>
            <w:r>
              <w:rPr>
                <w:rFonts w:eastAsia="Times New Roman" w:cs="Times New Roman"/>
                <w:szCs w:val="24"/>
                <w:lang w:eastAsia="lv-LV"/>
              </w:rPr>
              <w:t xml:space="preserve"> Finanšu ministrijas iniciatīvas.</w:t>
            </w:r>
          </w:p>
        </w:tc>
      </w:tr>
      <w:tr w:rsidR="0037321C" w:rsidRPr="007360EC" w14:paraId="55ABC9A5"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2F1B9B" w14:textId="77777777" w:rsidR="00894C55" w:rsidRPr="007360EC" w:rsidRDefault="00894C55" w:rsidP="0037321C">
            <w:pPr>
              <w:spacing w:after="0" w:line="240" w:lineRule="auto"/>
              <w:jc w:val="center"/>
              <w:rPr>
                <w:rFonts w:eastAsia="Times New Roman" w:cs="Times New Roman"/>
                <w:szCs w:val="24"/>
                <w:lang w:eastAsia="lv-LV"/>
              </w:rPr>
            </w:pPr>
            <w:r w:rsidRPr="007360EC">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A42D62F" w14:textId="43E51EF7" w:rsidR="00BE3406" w:rsidRDefault="00894C55" w:rsidP="0037321C">
            <w:pPr>
              <w:spacing w:after="0" w:line="240" w:lineRule="auto"/>
              <w:rPr>
                <w:rFonts w:eastAsia="Times New Roman" w:cs="Times New Roman"/>
                <w:szCs w:val="24"/>
                <w:lang w:eastAsia="lv-LV"/>
              </w:rPr>
            </w:pPr>
            <w:r w:rsidRPr="007360EC">
              <w:rPr>
                <w:rFonts w:eastAsia="Times New Roman" w:cs="Times New Roman"/>
                <w:szCs w:val="24"/>
                <w:lang w:eastAsia="lv-LV"/>
              </w:rPr>
              <w:t>Pašreizējā situācija un problēmas, kuru risināšanai tiesību akta projekts izstrādāts, tiesiskā regulējuma mērķis un būtība</w:t>
            </w:r>
          </w:p>
          <w:p w14:paraId="53014641" w14:textId="77777777" w:rsidR="00BE3406" w:rsidRPr="00BE3406" w:rsidRDefault="00BE3406" w:rsidP="00BE3406">
            <w:pPr>
              <w:rPr>
                <w:rFonts w:eastAsia="Times New Roman" w:cs="Times New Roman"/>
                <w:szCs w:val="24"/>
                <w:lang w:eastAsia="lv-LV"/>
              </w:rPr>
            </w:pPr>
          </w:p>
          <w:p w14:paraId="268740FE" w14:textId="77777777" w:rsidR="00BE3406" w:rsidRPr="00BE3406" w:rsidRDefault="00BE3406" w:rsidP="00BE3406">
            <w:pPr>
              <w:rPr>
                <w:rFonts w:eastAsia="Times New Roman" w:cs="Times New Roman"/>
                <w:szCs w:val="24"/>
                <w:lang w:eastAsia="lv-LV"/>
              </w:rPr>
            </w:pPr>
          </w:p>
          <w:p w14:paraId="61569EE7" w14:textId="77777777" w:rsidR="00BE3406" w:rsidRPr="00BE3406" w:rsidRDefault="00BE3406" w:rsidP="00BE3406">
            <w:pPr>
              <w:rPr>
                <w:rFonts w:eastAsia="Times New Roman" w:cs="Times New Roman"/>
                <w:szCs w:val="24"/>
                <w:lang w:eastAsia="lv-LV"/>
              </w:rPr>
            </w:pPr>
          </w:p>
          <w:p w14:paraId="47E1C25F" w14:textId="531AE181" w:rsidR="00BE3406" w:rsidRDefault="00BE3406" w:rsidP="00BE3406">
            <w:pPr>
              <w:rPr>
                <w:rFonts w:eastAsia="Times New Roman" w:cs="Times New Roman"/>
                <w:szCs w:val="24"/>
                <w:lang w:eastAsia="lv-LV"/>
              </w:rPr>
            </w:pPr>
          </w:p>
          <w:p w14:paraId="4949E6AF" w14:textId="77777777" w:rsidR="00894C55" w:rsidRPr="00BE3406" w:rsidRDefault="00894C55" w:rsidP="00BE3406">
            <w:pPr>
              <w:ind w:firstLine="720"/>
              <w:rPr>
                <w:rFonts w:eastAsia="Times New Roman" w:cs="Times New Roman"/>
                <w:szCs w:val="24"/>
                <w:lang w:eastAsia="lv-LV"/>
              </w:rPr>
            </w:pPr>
          </w:p>
        </w:tc>
        <w:tc>
          <w:tcPr>
            <w:tcW w:w="3373" w:type="pct"/>
            <w:tcBorders>
              <w:top w:val="outset" w:sz="6" w:space="0" w:color="414142"/>
              <w:left w:val="outset" w:sz="6" w:space="0" w:color="414142"/>
              <w:bottom w:val="outset" w:sz="6" w:space="0" w:color="414142"/>
              <w:right w:val="outset" w:sz="6" w:space="0" w:color="414142"/>
            </w:tcBorders>
            <w:hideMark/>
          </w:tcPr>
          <w:p w14:paraId="321473C7" w14:textId="05930E4C" w:rsidR="004E7873" w:rsidRDefault="0098264A" w:rsidP="0098264A">
            <w:pPr>
              <w:spacing w:after="60" w:line="240" w:lineRule="auto"/>
              <w:ind w:right="57"/>
              <w:jc w:val="both"/>
              <w:rPr>
                <w:rFonts w:eastAsia="Times New Roman"/>
                <w:szCs w:val="24"/>
                <w:lang w:eastAsia="lv-LV"/>
              </w:rPr>
            </w:pPr>
            <w:r w:rsidRPr="007360EC">
              <w:rPr>
                <w:szCs w:val="24"/>
              </w:rPr>
              <w:t xml:space="preserve">Ministru kabineta 2017.gada </w:t>
            </w:r>
            <w:r w:rsidR="00274B1F" w:rsidRPr="007360EC">
              <w:rPr>
                <w:szCs w:val="24"/>
              </w:rPr>
              <w:t>28.februāra</w:t>
            </w:r>
            <w:r w:rsidRPr="007360EC">
              <w:rPr>
                <w:szCs w:val="24"/>
              </w:rPr>
              <w:t xml:space="preserve"> noteikumi Nr.</w:t>
            </w:r>
            <w:r w:rsidR="00274B1F" w:rsidRPr="007360EC">
              <w:rPr>
                <w:szCs w:val="24"/>
              </w:rPr>
              <w:t>10</w:t>
            </w:r>
            <w:r w:rsidR="00CA0D4D">
              <w:rPr>
                <w:szCs w:val="24"/>
              </w:rPr>
              <w:t>4</w:t>
            </w:r>
            <w:r w:rsidRPr="007360EC">
              <w:rPr>
                <w:szCs w:val="24"/>
              </w:rPr>
              <w:t xml:space="preserve"> “</w:t>
            </w:r>
            <w:r w:rsidR="002F4FF5" w:rsidRPr="002F4FF5">
              <w:rPr>
                <w:szCs w:val="24"/>
              </w:rPr>
              <w:t>Noteikumi par iepirkuma procedūru un tās piemērošanas kārtību pasūtītāja finansētiem projektiem</w:t>
            </w:r>
            <w:r w:rsidRPr="007360EC">
              <w:rPr>
                <w:szCs w:val="24"/>
              </w:rPr>
              <w:t>”</w:t>
            </w:r>
            <w:r w:rsidR="004E7873">
              <w:rPr>
                <w:szCs w:val="24"/>
              </w:rPr>
              <w:t xml:space="preserve"> (turpmāk – noteikumi)</w:t>
            </w:r>
            <w:r w:rsidRPr="007360EC">
              <w:rPr>
                <w:szCs w:val="24"/>
              </w:rPr>
              <w:t xml:space="preserve"> </w:t>
            </w:r>
            <w:r w:rsidRPr="007360EC">
              <w:rPr>
                <w:rFonts w:eastAsia="Times New Roman"/>
                <w:szCs w:val="24"/>
                <w:lang w:eastAsia="lv-LV"/>
              </w:rPr>
              <w:t xml:space="preserve">nosaka </w:t>
            </w:r>
            <w:r w:rsidR="004E7873" w:rsidRPr="00630A23">
              <w:rPr>
                <w:szCs w:val="24"/>
                <w:lang w:eastAsia="lv-LV"/>
              </w:rPr>
              <w:t>iepirkuma procedūru un tās piemērošanas kārtību,</w:t>
            </w:r>
            <w:r w:rsidR="004E7873">
              <w:rPr>
                <w:szCs w:val="24"/>
                <w:lang w:eastAsia="lv-LV"/>
              </w:rPr>
              <w:t xml:space="preserve"> </w:t>
            </w:r>
            <w:r w:rsidR="004E7873" w:rsidRPr="00630A23">
              <w:rPr>
                <w:szCs w:val="24"/>
                <w:lang w:eastAsia="lv-LV"/>
              </w:rPr>
              <w:t>kā arī personas, kuras piemēro tajos noteikto procedūru, ja līguma izpildi, kas nav minēta Publisko iepirkumu likuma 6.pantā, no saviem līdzekļiem vai no Eiropas Savienības politiku instrumentu</w:t>
            </w:r>
            <w:r w:rsidR="004C6369">
              <w:rPr>
                <w:szCs w:val="24"/>
                <w:lang w:eastAsia="lv-LV"/>
              </w:rPr>
              <w:t xml:space="preserve"> vai citas ārvalstu finanšu palīdzības</w:t>
            </w:r>
            <w:r w:rsidR="004E7873" w:rsidRPr="00630A23">
              <w:rPr>
                <w:szCs w:val="24"/>
                <w:lang w:eastAsia="lv-LV"/>
              </w:rPr>
              <w:t xml:space="preserve"> un nacionālā līdzfinansējuma līdzekļiem finansē persona, k</w:t>
            </w:r>
            <w:r w:rsidR="00EB1B3E">
              <w:rPr>
                <w:szCs w:val="24"/>
                <w:lang w:eastAsia="lv-LV"/>
              </w:rPr>
              <w:t>as</w:t>
            </w:r>
            <w:r w:rsidR="004E7873" w:rsidRPr="00630A23">
              <w:rPr>
                <w:szCs w:val="24"/>
                <w:lang w:eastAsia="lv-LV"/>
              </w:rPr>
              <w:t xml:space="preserve"> ir pasūtītājs Publisko iepirkumu likuma izpratnē. Minētie noteikumi neattiecas uz personu, kura ir pasūtītājs Publisko iepirkumu likuma izpratnē vai sabiedrisko pakalpojumu sniedzējs Sabiedrisko pakalpojumu sniedzēju iepirkumu likuma izpratnē.</w:t>
            </w:r>
          </w:p>
          <w:p w14:paraId="28B9FA21" w14:textId="08ADDA89" w:rsidR="00232112" w:rsidRDefault="004932FB" w:rsidP="0098264A">
            <w:pPr>
              <w:spacing w:after="60" w:line="240" w:lineRule="auto"/>
              <w:ind w:right="57"/>
              <w:jc w:val="both"/>
              <w:rPr>
                <w:rFonts w:cs="Times New Roman"/>
                <w:szCs w:val="24"/>
              </w:rPr>
            </w:pPr>
            <w:r>
              <w:rPr>
                <w:rFonts w:eastAsia="Times New Roman"/>
                <w:szCs w:val="24"/>
                <w:lang w:eastAsia="lv-LV"/>
              </w:rPr>
              <w:t xml:space="preserve">Pārrunu rezultātā ar </w:t>
            </w:r>
            <w:r>
              <w:rPr>
                <w:rFonts w:cs="Times New Roman"/>
                <w:szCs w:val="24"/>
              </w:rPr>
              <w:t>Finanšu ministriju kā Eiropas Savienības fondu vadošo iestādi</w:t>
            </w:r>
            <w:r w:rsidR="000D5125">
              <w:rPr>
                <w:rFonts w:cs="Times New Roman"/>
                <w:szCs w:val="24"/>
              </w:rPr>
              <w:t xml:space="preserve"> </w:t>
            </w:r>
            <w:r>
              <w:rPr>
                <w:rFonts w:cs="Times New Roman"/>
                <w:szCs w:val="24"/>
              </w:rPr>
              <w:t xml:space="preserve">un  Centrālo finanšu un līgumu aģentūru ir secināts, ka </w:t>
            </w:r>
            <w:r w:rsidR="00574B81">
              <w:rPr>
                <w:rFonts w:cs="Times New Roman"/>
                <w:szCs w:val="24"/>
              </w:rPr>
              <w:t>noteikumos jāveic grozījumi</w:t>
            </w:r>
            <w:r>
              <w:rPr>
                <w:rFonts w:cs="Times New Roman"/>
                <w:szCs w:val="24"/>
              </w:rPr>
              <w:t xml:space="preserve">. </w:t>
            </w:r>
          </w:p>
          <w:p w14:paraId="03219E4B" w14:textId="6B985CB1" w:rsidR="004E7873" w:rsidRDefault="00BA6C91" w:rsidP="00A870E0">
            <w:pPr>
              <w:spacing w:after="60"/>
              <w:ind w:right="57"/>
              <w:jc w:val="both"/>
              <w:rPr>
                <w:rFonts w:cs="Times New Roman"/>
                <w:szCs w:val="24"/>
              </w:rPr>
            </w:pPr>
            <w:r>
              <w:rPr>
                <w:rFonts w:cs="Times New Roman"/>
                <w:szCs w:val="24"/>
              </w:rPr>
              <w:t xml:space="preserve">1. </w:t>
            </w:r>
            <w:r w:rsidR="004932FB">
              <w:rPr>
                <w:rFonts w:cs="Times New Roman"/>
                <w:szCs w:val="24"/>
              </w:rPr>
              <w:t xml:space="preserve">Ar grozījumiem plānots </w:t>
            </w:r>
            <w:r w:rsidR="00232112">
              <w:rPr>
                <w:rFonts w:cs="Times New Roman"/>
                <w:szCs w:val="24"/>
              </w:rPr>
              <w:t xml:space="preserve">papildināt un precizēt noteikumos </w:t>
            </w:r>
            <w:r w:rsidR="004932FB">
              <w:rPr>
                <w:rFonts w:cs="Times New Roman"/>
                <w:szCs w:val="24"/>
              </w:rPr>
              <w:t xml:space="preserve"> noteikt</w:t>
            </w:r>
            <w:r w:rsidR="000D5125">
              <w:rPr>
                <w:rFonts w:cs="Times New Roman"/>
                <w:szCs w:val="24"/>
              </w:rPr>
              <w:t>os</w:t>
            </w:r>
            <w:r w:rsidR="004932FB">
              <w:rPr>
                <w:rFonts w:cs="Times New Roman"/>
                <w:szCs w:val="24"/>
              </w:rPr>
              <w:t xml:space="preserve"> gadījumus, kad finansējuma saņēmējam nav jāpiemēro noteikumos minētā līgumu slēgšanas tiesību piešķiršanas kārtība.</w:t>
            </w:r>
            <w:r w:rsidR="00232112">
              <w:rPr>
                <w:rFonts w:cs="Times New Roman"/>
                <w:szCs w:val="24"/>
              </w:rPr>
              <w:t xml:space="preserve"> Ar grozījumiem </w:t>
            </w:r>
            <w:r w:rsidR="00A870E0">
              <w:rPr>
                <w:rFonts w:cs="Times New Roman"/>
                <w:szCs w:val="24"/>
              </w:rPr>
              <w:t xml:space="preserve">tiks noteikts, ka ne tikai gadījumos, kad </w:t>
            </w:r>
            <w:r w:rsidR="00A870E0" w:rsidRPr="00A870E0">
              <w:rPr>
                <w:rFonts w:cs="Times New Roman"/>
                <w:szCs w:val="24"/>
              </w:rPr>
              <w:t xml:space="preserve">piegādes vai pakalpojumu paredzamā līgumcena ir mazāka par 70 000 </w:t>
            </w:r>
            <w:proofErr w:type="spellStart"/>
            <w:r w:rsidR="00A870E0" w:rsidRPr="00A870E0">
              <w:rPr>
                <w:rFonts w:cs="Times New Roman"/>
                <w:i/>
                <w:szCs w:val="24"/>
              </w:rPr>
              <w:t>euro</w:t>
            </w:r>
            <w:proofErr w:type="spellEnd"/>
            <w:r w:rsidR="00A870E0" w:rsidRPr="00A870E0">
              <w:rPr>
                <w:rFonts w:cs="Times New Roman"/>
                <w:szCs w:val="24"/>
              </w:rPr>
              <w:t xml:space="preserve"> vai būvdarbu paredzamā līgumcena ir mazāka par 170 000 </w:t>
            </w:r>
            <w:proofErr w:type="spellStart"/>
            <w:r w:rsidR="00A870E0" w:rsidRPr="00A870E0">
              <w:rPr>
                <w:rFonts w:cs="Times New Roman"/>
                <w:i/>
                <w:szCs w:val="24"/>
              </w:rPr>
              <w:t>euro</w:t>
            </w:r>
            <w:proofErr w:type="spellEnd"/>
            <w:r w:rsidR="00A870E0" w:rsidRPr="00A870E0">
              <w:rPr>
                <w:rFonts w:cs="Times New Roman"/>
                <w:i/>
                <w:szCs w:val="24"/>
              </w:rPr>
              <w:t xml:space="preserve">, </w:t>
            </w:r>
            <w:r w:rsidR="00A870E0" w:rsidRPr="00A870E0">
              <w:rPr>
                <w:rFonts w:cs="Times New Roman"/>
                <w:szCs w:val="24"/>
              </w:rPr>
              <w:t>bet arī</w:t>
            </w:r>
            <w:r w:rsidR="00F27A61">
              <w:rPr>
                <w:rFonts w:cs="Times New Roman"/>
                <w:szCs w:val="24"/>
              </w:rPr>
              <w:t>,</w:t>
            </w:r>
            <w:r w:rsidR="00A870E0">
              <w:rPr>
                <w:rFonts w:cs="Times New Roman"/>
                <w:b/>
                <w:i/>
                <w:szCs w:val="24"/>
              </w:rPr>
              <w:t xml:space="preserve"> </w:t>
            </w:r>
            <w:r w:rsidRPr="0011187C">
              <w:rPr>
                <w:szCs w:val="24"/>
              </w:rPr>
              <w:t>slēdz</w:t>
            </w:r>
            <w:r>
              <w:rPr>
                <w:szCs w:val="24"/>
              </w:rPr>
              <w:t>ot</w:t>
            </w:r>
            <w:r w:rsidRPr="0011187C">
              <w:rPr>
                <w:szCs w:val="24"/>
              </w:rPr>
              <w:t xml:space="preserve"> </w:t>
            </w:r>
            <w:r>
              <w:rPr>
                <w:szCs w:val="24"/>
              </w:rPr>
              <w:t xml:space="preserve">iepirkuma </w:t>
            </w:r>
            <w:r w:rsidRPr="0011187C">
              <w:rPr>
                <w:szCs w:val="24"/>
              </w:rPr>
              <w:t xml:space="preserve">līgumu </w:t>
            </w:r>
            <w:r>
              <w:rPr>
                <w:szCs w:val="24"/>
              </w:rPr>
              <w:t xml:space="preserve">ar tādu piegādātāju, kam saskaņā ar </w:t>
            </w:r>
            <w:r w:rsidRPr="0011187C">
              <w:rPr>
                <w:szCs w:val="24"/>
              </w:rPr>
              <w:t>ārēj</w:t>
            </w:r>
            <w:r>
              <w:rPr>
                <w:szCs w:val="24"/>
              </w:rPr>
              <w:t>iem</w:t>
            </w:r>
            <w:r w:rsidRPr="0011187C">
              <w:rPr>
                <w:szCs w:val="24"/>
              </w:rPr>
              <w:t xml:space="preserve"> normatīvaj</w:t>
            </w:r>
            <w:r>
              <w:rPr>
                <w:szCs w:val="24"/>
              </w:rPr>
              <w:t>iem</w:t>
            </w:r>
            <w:r w:rsidRPr="0011187C">
              <w:rPr>
                <w:szCs w:val="24"/>
              </w:rPr>
              <w:t xml:space="preserve"> akt</w:t>
            </w:r>
            <w:r>
              <w:rPr>
                <w:szCs w:val="24"/>
              </w:rPr>
              <w:t xml:space="preserve">iem ir </w:t>
            </w:r>
            <w:r w:rsidRPr="0011187C">
              <w:rPr>
                <w:szCs w:val="24"/>
              </w:rPr>
              <w:t>izņēmuma tiesīb</w:t>
            </w:r>
            <w:r>
              <w:rPr>
                <w:szCs w:val="24"/>
              </w:rPr>
              <w:t>a sniegt attiecīgo pakalpojumu</w:t>
            </w:r>
            <w:r w:rsidR="00A870E0">
              <w:t>, kā arī</w:t>
            </w:r>
            <w:r w:rsidR="000D5125">
              <w:t xml:space="preserve"> gadījumos, kad </w:t>
            </w:r>
            <w:r w:rsidRPr="0011187C">
              <w:rPr>
                <w:szCs w:val="24"/>
              </w:rPr>
              <w:t>tehnisku</w:t>
            </w:r>
            <w:r>
              <w:rPr>
                <w:szCs w:val="24"/>
              </w:rPr>
              <w:t xml:space="preserve"> vai </w:t>
            </w:r>
            <w:r w:rsidRPr="0011187C">
              <w:rPr>
                <w:szCs w:val="24"/>
              </w:rPr>
              <w:t xml:space="preserve">māksliniecisku </w:t>
            </w:r>
            <w:r>
              <w:rPr>
                <w:szCs w:val="24"/>
              </w:rPr>
              <w:t xml:space="preserve">iemeslu dēļ </w:t>
            </w:r>
            <w:r w:rsidRPr="0011187C">
              <w:rPr>
                <w:szCs w:val="24"/>
              </w:rPr>
              <w:t xml:space="preserve">vai </w:t>
            </w:r>
            <w:r>
              <w:rPr>
                <w:szCs w:val="24"/>
              </w:rPr>
              <w:t xml:space="preserve">tādu iemeslu dēļ, kuri ir saistīti </w:t>
            </w:r>
            <w:r w:rsidRPr="0011187C">
              <w:rPr>
                <w:szCs w:val="24"/>
              </w:rPr>
              <w:t>ar izņēmuma tiesību aizsardzību</w:t>
            </w:r>
            <w:r>
              <w:rPr>
                <w:szCs w:val="24"/>
              </w:rPr>
              <w:t>,</w:t>
            </w:r>
            <w:r w:rsidRPr="0011187C">
              <w:rPr>
                <w:szCs w:val="24"/>
              </w:rPr>
              <w:t xml:space="preserve"> </w:t>
            </w:r>
            <w:r>
              <w:rPr>
                <w:szCs w:val="24"/>
              </w:rPr>
              <w:t xml:space="preserve">iepirkuma </w:t>
            </w:r>
            <w:r w:rsidRPr="0011187C">
              <w:rPr>
                <w:szCs w:val="24"/>
              </w:rPr>
              <w:t xml:space="preserve">līgumu var noslēgt </w:t>
            </w:r>
            <w:r>
              <w:rPr>
                <w:szCs w:val="24"/>
              </w:rPr>
              <w:t>tikai</w:t>
            </w:r>
            <w:r w:rsidRPr="0011187C">
              <w:rPr>
                <w:szCs w:val="24"/>
              </w:rPr>
              <w:t xml:space="preserve"> ar konkrēto piegādātāju</w:t>
            </w:r>
            <w:r w:rsidR="00A870E0">
              <w:rPr>
                <w:rFonts w:cs="Times New Roman"/>
                <w:szCs w:val="24"/>
              </w:rPr>
              <w:t>, finansējuma saņēmējs būs tiesīgs nepiemērot noteikumos minēto līgumu slēgšanas tiesību piešķiršanas kārtību</w:t>
            </w:r>
            <w:r w:rsidR="00A870E0" w:rsidRPr="00A870E0">
              <w:rPr>
                <w:rFonts w:cs="Times New Roman"/>
                <w:szCs w:val="24"/>
              </w:rPr>
              <w:t>.</w:t>
            </w:r>
          </w:p>
          <w:p w14:paraId="0F7D7E94" w14:textId="73BE71CC" w:rsidR="004F6206" w:rsidRDefault="00BA6C91" w:rsidP="00A870E0">
            <w:pPr>
              <w:spacing w:after="60"/>
              <w:ind w:right="57"/>
              <w:jc w:val="both"/>
              <w:rPr>
                <w:szCs w:val="24"/>
              </w:rPr>
            </w:pPr>
            <w:r>
              <w:rPr>
                <w:rFonts w:cs="Times New Roman"/>
                <w:szCs w:val="24"/>
              </w:rPr>
              <w:t xml:space="preserve">2. </w:t>
            </w:r>
            <w:r w:rsidR="004F0CF9">
              <w:rPr>
                <w:rFonts w:cs="Times New Roman"/>
                <w:szCs w:val="24"/>
              </w:rPr>
              <w:t xml:space="preserve">Lai </w:t>
            </w:r>
            <w:r w:rsidR="00F27A61">
              <w:rPr>
                <w:rFonts w:cs="Times New Roman"/>
                <w:szCs w:val="24"/>
              </w:rPr>
              <w:t xml:space="preserve">vienkāršotu </w:t>
            </w:r>
            <w:r w:rsidR="00064988">
              <w:rPr>
                <w:rFonts w:cs="Times New Roman"/>
                <w:szCs w:val="24"/>
              </w:rPr>
              <w:t>finansējuma saņēmēja iepirkumu procedūru</w:t>
            </w:r>
            <w:r w:rsidR="00F27A61">
              <w:rPr>
                <w:rFonts w:cs="Times New Roman"/>
                <w:szCs w:val="24"/>
              </w:rPr>
              <w:t xml:space="preserve">, nodrošinot papildu elastību iepirkuma procedūras norisē un formālu iepirkuma </w:t>
            </w:r>
            <w:r w:rsidR="00F3313C">
              <w:rPr>
                <w:rFonts w:cs="Times New Roman"/>
                <w:szCs w:val="24"/>
              </w:rPr>
              <w:t>procedūras</w:t>
            </w:r>
            <w:r w:rsidR="00F27A61">
              <w:rPr>
                <w:rFonts w:cs="Times New Roman"/>
                <w:szCs w:val="24"/>
              </w:rPr>
              <w:t xml:space="preserve"> norises kļūdu samazināšanu</w:t>
            </w:r>
            <w:r w:rsidR="00064988">
              <w:rPr>
                <w:rFonts w:cs="Times New Roman"/>
                <w:szCs w:val="24"/>
              </w:rPr>
              <w:t xml:space="preserve">, ar grozījumiem tiek paredzēts </w:t>
            </w:r>
            <w:r w:rsidR="00DF0CF6">
              <w:rPr>
                <w:rFonts w:cs="Times New Roman"/>
                <w:szCs w:val="24"/>
              </w:rPr>
              <w:t>turpmāk neizdalīt piedāv</w:t>
            </w:r>
            <w:r w:rsidR="00B83FF6">
              <w:rPr>
                <w:rFonts w:cs="Times New Roman"/>
                <w:szCs w:val="24"/>
              </w:rPr>
              <w:t>ājumus sākotnējos un pilnīb</w:t>
            </w:r>
            <w:r w:rsidR="00F27A61">
              <w:rPr>
                <w:rFonts w:cs="Times New Roman"/>
                <w:szCs w:val="24"/>
              </w:rPr>
              <w:t>ā</w:t>
            </w:r>
            <w:r w:rsidR="00B83FF6">
              <w:rPr>
                <w:rFonts w:cs="Times New Roman"/>
                <w:szCs w:val="24"/>
              </w:rPr>
              <w:t xml:space="preserve"> izstrādātos</w:t>
            </w:r>
            <w:r w:rsidR="009B0277">
              <w:rPr>
                <w:rFonts w:cs="Times New Roman"/>
                <w:szCs w:val="24"/>
              </w:rPr>
              <w:t xml:space="preserve"> un</w:t>
            </w:r>
            <w:r w:rsidR="00B83FF6">
              <w:rPr>
                <w:rFonts w:cs="Times New Roman"/>
                <w:szCs w:val="24"/>
              </w:rPr>
              <w:t xml:space="preserve"> galīgos piedāvājumos</w:t>
            </w:r>
            <w:r w:rsidR="002F036E">
              <w:rPr>
                <w:rFonts w:cs="Times New Roman"/>
                <w:szCs w:val="24"/>
              </w:rPr>
              <w:t xml:space="preserve">. </w:t>
            </w:r>
            <w:r w:rsidR="00CF33D9">
              <w:t>J</w:t>
            </w:r>
            <w:r w:rsidR="001726B4" w:rsidRPr="00C20533">
              <w:t xml:space="preserve">au </w:t>
            </w:r>
            <w:r w:rsidR="001726B4" w:rsidRPr="00C20533">
              <w:lastRenderedPageBreak/>
              <w:t xml:space="preserve">šobrīd spēkā esošā </w:t>
            </w:r>
            <w:r w:rsidR="001726B4">
              <w:t>n</w:t>
            </w:r>
            <w:r w:rsidR="001726B4" w:rsidRPr="00C20533">
              <w:t>oteikumu redakcija paredz finansējuma saņēmējam iespēju paredzēt sarunas, ja finansējuma saņēmējs paziņojumā par finansējuma saņēmēja iepirkumu procedūru noteicis, ka ir iesniedzami sākotnējie piedāvājumi un paredzētas sarunas.</w:t>
            </w:r>
            <w:r w:rsidR="001726B4">
              <w:t xml:space="preserve"> Ar grozījumiem tiek </w:t>
            </w:r>
            <w:r w:rsidR="002F036E">
              <w:rPr>
                <w:rFonts w:cs="Times New Roman"/>
                <w:szCs w:val="24"/>
              </w:rPr>
              <w:t xml:space="preserve"> mainīt</w:t>
            </w:r>
            <w:r w:rsidR="00003AC4">
              <w:rPr>
                <w:rFonts w:cs="Times New Roman"/>
                <w:szCs w:val="24"/>
              </w:rPr>
              <w:t>s</w:t>
            </w:r>
            <w:r w:rsidR="002F036E">
              <w:rPr>
                <w:rFonts w:cs="Times New Roman"/>
                <w:szCs w:val="24"/>
              </w:rPr>
              <w:t xml:space="preserve"> </w:t>
            </w:r>
            <w:r w:rsidR="00933F99">
              <w:rPr>
                <w:rFonts w:cs="Times New Roman"/>
                <w:szCs w:val="24"/>
              </w:rPr>
              <w:t xml:space="preserve">arī </w:t>
            </w:r>
            <w:r w:rsidR="002F036E">
              <w:rPr>
                <w:rFonts w:cs="Times New Roman"/>
                <w:szCs w:val="24"/>
              </w:rPr>
              <w:t xml:space="preserve">līdzšinējais nosacījums, ka </w:t>
            </w:r>
            <w:r w:rsidR="00AF3AF9">
              <w:rPr>
                <w:rFonts w:cs="Times New Roman"/>
                <w:szCs w:val="24"/>
              </w:rPr>
              <w:t xml:space="preserve">sarunas ar piegādātāju iespējamas tikai, ja </w:t>
            </w:r>
            <w:r w:rsidR="00AF3AF9" w:rsidRPr="00AF3AF9">
              <w:rPr>
                <w:rFonts w:cs="Times New Roman"/>
                <w:szCs w:val="24"/>
              </w:rPr>
              <w:t>finansējuma saņēmējs paziņojumā par finansējuma saņēmēja iepirkuma procedūru noteicis, ka iesniedzami sākotnējie piedāvājumi un paredzētas sarunas</w:t>
            </w:r>
            <w:r w:rsidR="00AF3AF9">
              <w:rPr>
                <w:rFonts w:cs="Times New Roman"/>
                <w:szCs w:val="24"/>
              </w:rPr>
              <w:t xml:space="preserve">. </w:t>
            </w:r>
            <w:r w:rsidR="00186002">
              <w:rPr>
                <w:rFonts w:cs="Times New Roman"/>
                <w:szCs w:val="24"/>
              </w:rPr>
              <w:t>Līdz ar to p</w:t>
            </w:r>
            <w:r w:rsidR="00AF3AF9">
              <w:rPr>
                <w:rFonts w:cs="Times New Roman"/>
                <w:szCs w:val="24"/>
              </w:rPr>
              <w:t>ēc grozījumiem finanšu saņēmējs sarunas ar piegādātājiem būs tiesīgs veikt arī tad</w:t>
            </w:r>
            <w:r w:rsidR="00003AC4">
              <w:rPr>
                <w:rFonts w:cs="Times New Roman"/>
                <w:szCs w:val="24"/>
              </w:rPr>
              <w:t>,</w:t>
            </w:r>
            <w:r w:rsidR="00AF3AF9">
              <w:rPr>
                <w:rFonts w:cs="Times New Roman"/>
                <w:szCs w:val="24"/>
              </w:rPr>
              <w:t xml:space="preserve"> ja </w:t>
            </w:r>
            <w:r w:rsidR="00F27A61">
              <w:rPr>
                <w:rFonts w:cs="Times New Roman"/>
                <w:szCs w:val="24"/>
              </w:rPr>
              <w:t xml:space="preserve">ir </w:t>
            </w:r>
            <w:r w:rsidR="00AF3AF9">
              <w:rPr>
                <w:rFonts w:cs="Times New Roman"/>
                <w:szCs w:val="24"/>
              </w:rPr>
              <w:t>iesniegts piedāvājums vai piedāvājumi, kas atbilst finansējuma saņēmēja prasībām, bet finansējuma saņēmējs uzskat</w:t>
            </w:r>
            <w:r w:rsidR="00F27A61">
              <w:rPr>
                <w:rFonts w:cs="Times New Roman"/>
                <w:szCs w:val="24"/>
              </w:rPr>
              <w:t>a</w:t>
            </w:r>
            <w:r w:rsidR="00AF3AF9">
              <w:rPr>
                <w:rFonts w:cs="Times New Roman"/>
                <w:szCs w:val="24"/>
              </w:rPr>
              <w:t xml:space="preserve">, ka </w:t>
            </w:r>
            <w:r w:rsidR="00E56314">
              <w:rPr>
                <w:rFonts w:cs="Times New Roman"/>
                <w:szCs w:val="24"/>
              </w:rPr>
              <w:t>nepieciešams lūgt pretendentus</w:t>
            </w:r>
            <w:r w:rsidR="00D86A65">
              <w:rPr>
                <w:rFonts w:cs="Times New Roman"/>
                <w:szCs w:val="24"/>
              </w:rPr>
              <w:t xml:space="preserve"> izlabot, </w:t>
            </w:r>
            <w:r w:rsidR="00E56314">
              <w:rPr>
                <w:rFonts w:cs="Times New Roman"/>
                <w:szCs w:val="24"/>
              </w:rPr>
              <w:t xml:space="preserve"> papildināt vai uzlabot piedāvājumus</w:t>
            </w:r>
            <w:r w:rsidR="00E56314" w:rsidRPr="00A167A8">
              <w:rPr>
                <w:szCs w:val="24"/>
              </w:rPr>
              <w:t xml:space="preserve"> nolūkā saņemt finansējuma saņēmējam ekonomiski </w:t>
            </w:r>
            <w:r w:rsidR="00D86A65">
              <w:rPr>
                <w:szCs w:val="24"/>
              </w:rPr>
              <w:t>vis</w:t>
            </w:r>
            <w:r w:rsidR="00E56314" w:rsidRPr="00A167A8">
              <w:rPr>
                <w:szCs w:val="24"/>
              </w:rPr>
              <w:t>izdevīgāk</w:t>
            </w:r>
            <w:r w:rsidR="00E56314">
              <w:rPr>
                <w:szCs w:val="24"/>
              </w:rPr>
              <w:t>o</w:t>
            </w:r>
            <w:r w:rsidR="00E56314" w:rsidRPr="00A167A8">
              <w:rPr>
                <w:szCs w:val="24"/>
              </w:rPr>
              <w:t>s piedāvājumus</w:t>
            </w:r>
            <w:r w:rsidR="00E56314">
              <w:rPr>
                <w:szCs w:val="24"/>
              </w:rPr>
              <w:t xml:space="preserve">. </w:t>
            </w:r>
            <w:r w:rsidR="00E77D36">
              <w:rPr>
                <w:szCs w:val="24"/>
              </w:rPr>
              <w:t>Atvieglojot un paplašinot finansējuma saņēmēja rīcības brīvību attiecībā uz sarunu rīkošanu ar piegādātājiem,</w:t>
            </w:r>
            <w:r w:rsidR="00B805AF">
              <w:rPr>
                <w:szCs w:val="24"/>
              </w:rPr>
              <w:t xml:space="preserve"> lai iegūtu </w:t>
            </w:r>
            <w:r w:rsidR="00691705">
              <w:rPr>
                <w:szCs w:val="24"/>
              </w:rPr>
              <w:t>ekonomiski visizdevīgāko</w:t>
            </w:r>
            <w:r w:rsidR="00E77D36">
              <w:rPr>
                <w:szCs w:val="24"/>
              </w:rPr>
              <w:t xml:space="preserve"> </w:t>
            </w:r>
            <w:r w:rsidR="00691705">
              <w:rPr>
                <w:szCs w:val="24"/>
              </w:rPr>
              <w:t xml:space="preserve">piedāvājumu, </w:t>
            </w:r>
            <w:r w:rsidR="00E77D36">
              <w:rPr>
                <w:szCs w:val="24"/>
              </w:rPr>
              <w:t xml:space="preserve">netiek mainīta līdzšinējā kārtībā, ka finansējuma saņēmējam tā pat kā līdz šim </w:t>
            </w:r>
            <w:r w:rsidR="00691705">
              <w:rPr>
                <w:szCs w:val="24"/>
              </w:rPr>
              <w:t xml:space="preserve">ir </w:t>
            </w:r>
            <w:r w:rsidR="00E77D36">
              <w:rPr>
                <w:szCs w:val="24"/>
              </w:rPr>
              <w:t>jāievēro konfidencialitāte</w:t>
            </w:r>
            <w:r w:rsidR="00B805AF">
              <w:rPr>
                <w:szCs w:val="24"/>
              </w:rPr>
              <w:t>, līdz galīgā lēmuma pieņemšanai neatklāj</w:t>
            </w:r>
            <w:r w:rsidR="00691705">
              <w:rPr>
                <w:szCs w:val="24"/>
              </w:rPr>
              <w:t>ot</w:t>
            </w:r>
            <w:r w:rsidR="00B805AF">
              <w:rPr>
                <w:szCs w:val="24"/>
              </w:rPr>
              <w:t xml:space="preserve"> pretendentiem informāciju par citiem pretendentiem un to piedāvājumiem.</w:t>
            </w:r>
            <w:r w:rsidR="00177AB9">
              <w:rPr>
                <w:szCs w:val="24"/>
              </w:rPr>
              <w:t xml:space="preserve"> </w:t>
            </w:r>
          </w:p>
          <w:p w14:paraId="03632415" w14:textId="578E1233" w:rsidR="00AF3AF9" w:rsidRDefault="006F49EB" w:rsidP="00A870E0">
            <w:pPr>
              <w:spacing w:after="60"/>
              <w:ind w:right="57"/>
              <w:jc w:val="both"/>
              <w:rPr>
                <w:szCs w:val="24"/>
              </w:rPr>
            </w:pPr>
            <w:r>
              <w:rPr>
                <w:szCs w:val="24"/>
              </w:rPr>
              <w:t>Arī turpmāk</w:t>
            </w:r>
            <w:r w:rsidR="00177AB9">
              <w:rPr>
                <w:szCs w:val="24"/>
              </w:rPr>
              <w:t xml:space="preserve">, lai nodrošinātu un pierādītu </w:t>
            </w:r>
            <w:r w:rsidR="00186002">
              <w:rPr>
                <w:szCs w:val="24"/>
              </w:rPr>
              <w:t>finansējuma</w:t>
            </w:r>
            <w:r w:rsidR="00177AB9">
              <w:rPr>
                <w:szCs w:val="24"/>
              </w:rPr>
              <w:t xml:space="preserve"> efektīvu izmantošanu, finansējuma saņēmējs jebkurā gadījumā nodrošina atbilstošu atklātības un konkurences līmeni iepirkumos.</w:t>
            </w:r>
          </w:p>
          <w:p w14:paraId="49927B4E" w14:textId="157FE52E" w:rsidR="00436B55" w:rsidRDefault="00656AE1" w:rsidP="00A870E0">
            <w:pPr>
              <w:spacing w:after="60"/>
              <w:ind w:right="57"/>
              <w:jc w:val="both"/>
              <w:rPr>
                <w:szCs w:val="24"/>
              </w:rPr>
            </w:pPr>
            <w:r>
              <w:rPr>
                <w:szCs w:val="24"/>
              </w:rPr>
              <w:t>Turklāt a</w:t>
            </w:r>
            <w:r w:rsidR="007556B8">
              <w:rPr>
                <w:szCs w:val="24"/>
              </w:rPr>
              <w:t>rī turpmāk</w:t>
            </w:r>
            <w:r w:rsidR="00F72BA1">
              <w:rPr>
                <w:szCs w:val="24"/>
              </w:rPr>
              <w:t xml:space="preserve"> finansējuma saņēmējam</w:t>
            </w:r>
            <w:r w:rsidR="007556B8">
              <w:rPr>
                <w:szCs w:val="24"/>
              </w:rPr>
              <w:t>,</w:t>
            </w:r>
            <w:r w:rsidR="00F72BA1">
              <w:rPr>
                <w:szCs w:val="24"/>
              </w:rPr>
              <w:t xml:space="preserve"> dokumentējot iepirkuma procedūru, jāveic </w:t>
            </w:r>
            <w:r w:rsidR="00F72BA1" w:rsidRPr="00F72BA1">
              <w:rPr>
                <w:szCs w:val="24"/>
              </w:rPr>
              <w:t>saņemto piedāvājumu salīdzinājumu, kurā norāda izraudzītā piedāvājuma priekšrocības attiecībā pret katru</w:t>
            </w:r>
            <w:r w:rsidR="00F72BA1">
              <w:rPr>
                <w:szCs w:val="24"/>
              </w:rPr>
              <w:t xml:space="preserve"> attiecīgajā posmā</w:t>
            </w:r>
            <w:r w:rsidR="00F72BA1" w:rsidRPr="00F72BA1">
              <w:rPr>
                <w:szCs w:val="24"/>
              </w:rPr>
              <w:t xml:space="preserve"> iesniegto piedāvājumu</w:t>
            </w:r>
            <w:r w:rsidR="00F72BA1">
              <w:rPr>
                <w:szCs w:val="24"/>
              </w:rPr>
              <w:t>.</w:t>
            </w:r>
          </w:p>
          <w:p w14:paraId="1E7FB087" w14:textId="55E28B87" w:rsidR="00003AC4" w:rsidRDefault="00186002" w:rsidP="00A870E0">
            <w:pPr>
              <w:spacing w:after="60"/>
              <w:ind w:right="57"/>
              <w:jc w:val="both"/>
              <w:rPr>
                <w:rFonts w:cs="Times New Roman"/>
                <w:szCs w:val="24"/>
              </w:rPr>
            </w:pPr>
            <w:r>
              <w:rPr>
                <w:rFonts w:cs="Times New Roman"/>
                <w:szCs w:val="24"/>
              </w:rPr>
              <w:t xml:space="preserve">3. </w:t>
            </w:r>
            <w:r w:rsidR="007D5D9B">
              <w:rPr>
                <w:rFonts w:cs="Times New Roman"/>
                <w:szCs w:val="24"/>
              </w:rPr>
              <w:t>Lai mazinātu administratīvo slogu un atvieglotu finansējuma saņēmējam iepirkumu procedūras veikšanas kārtību ar grozījumiem tiek paredzēts no noteikumiem svītrot nosacījumu, ka finansējuma saņēmējam</w:t>
            </w:r>
            <w:r w:rsidR="00F27A61">
              <w:rPr>
                <w:rFonts w:cs="Times New Roman"/>
                <w:szCs w:val="24"/>
              </w:rPr>
              <w:t>,</w:t>
            </w:r>
            <w:r w:rsidR="007D5D9B">
              <w:rPr>
                <w:rFonts w:cs="Times New Roman"/>
                <w:szCs w:val="24"/>
              </w:rPr>
              <w:t xml:space="preserve"> publicējot I</w:t>
            </w:r>
            <w:r w:rsidR="007D5D9B" w:rsidRPr="007D5D9B">
              <w:rPr>
                <w:rFonts w:cs="Times New Roman"/>
                <w:szCs w:val="24"/>
              </w:rPr>
              <w:t>epirkumu uzraudzības biroja tīmekļvietnē paziņojumu par finansējuma saņēmēja iepirkuma procedūru</w:t>
            </w:r>
            <w:r w:rsidR="001F6A0E">
              <w:rPr>
                <w:rFonts w:cs="Times New Roman"/>
                <w:szCs w:val="24"/>
              </w:rPr>
              <w:t>, p</w:t>
            </w:r>
            <w:r w:rsidR="007D5D9B" w:rsidRPr="007D5D9B">
              <w:rPr>
                <w:rFonts w:cs="Times New Roman"/>
                <w:szCs w:val="24"/>
              </w:rPr>
              <w:t>aziņojum</w:t>
            </w:r>
            <w:r w:rsidR="001F6A0E">
              <w:rPr>
                <w:rFonts w:cs="Times New Roman"/>
                <w:szCs w:val="24"/>
              </w:rPr>
              <w:t>am</w:t>
            </w:r>
            <w:r w:rsidR="007D5D9B" w:rsidRPr="007D5D9B">
              <w:rPr>
                <w:rFonts w:cs="Times New Roman"/>
                <w:szCs w:val="24"/>
              </w:rPr>
              <w:t xml:space="preserve"> </w:t>
            </w:r>
            <w:r w:rsidR="00891E25">
              <w:rPr>
                <w:rFonts w:cs="Times New Roman"/>
                <w:szCs w:val="24"/>
              </w:rPr>
              <w:t>jā</w:t>
            </w:r>
            <w:r w:rsidR="007D5D9B" w:rsidRPr="007D5D9B">
              <w:rPr>
                <w:rFonts w:cs="Times New Roman"/>
                <w:szCs w:val="24"/>
              </w:rPr>
              <w:t xml:space="preserve">pievieno </w:t>
            </w:r>
            <w:r w:rsidR="00891E25">
              <w:rPr>
                <w:rFonts w:cs="Times New Roman"/>
                <w:szCs w:val="24"/>
              </w:rPr>
              <w:t xml:space="preserve">iepirkuma līguma projekts. </w:t>
            </w:r>
            <w:r w:rsidR="00003AC4">
              <w:rPr>
                <w:rFonts w:cs="Times New Roman"/>
                <w:szCs w:val="24"/>
              </w:rPr>
              <w:t>Sarunu laikā ar piegādātājiem var tik secināts, ka publicētajā līguma projektā nepieciešami</w:t>
            </w:r>
            <w:r w:rsidR="00F27A61">
              <w:rPr>
                <w:rFonts w:cs="Times New Roman"/>
                <w:szCs w:val="24"/>
              </w:rPr>
              <w:t xml:space="preserve"> būtiski</w:t>
            </w:r>
            <w:r w:rsidR="00003AC4">
              <w:rPr>
                <w:rFonts w:cs="Times New Roman"/>
                <w:szCs w:val="24"/>
              </w:rPr>
              <w:t xml:space="preserve"> precizējumi un labojumi, kā rezultātā publicētais līguma projekts un faktiski noslēgtais līgums būs atšķirīgi. </w:t>
            </w:r>
            <w:r w:rsidR="00F5248D">
              <w:rPr>
                <w:rFonts w:cs="Times New Roman"/>
                <w:szCs w:val="24"/>
              </w:rPr>
              <w:t xml:space="preserve">Turklāt līdz šim ir konstatēts, ka formāla iepirkuma līguma projekta sagatavošanas nav bijusi nepieciešama, jo līguma būtiskās sastāvdaļas tika ietvertas sagatavotajā iepirkuma priekšmetu aprakstā. </w:t>
            </w:r>
            <w:r w:rsidR="00003AC4">
              <w:rPr>
                <w:rFonts w:cs="Times New Roman"/>
                <w:szCs w:val="24"/>
              </w:rPr>
              <w:t xml:space="preserve">Līdz ar to nav objektīva iemesla </w:t>
            </w:r>
            <w:r w:rsidR="00CB3369">
              <w:rPr>
                <w:rFonts w:cs="Times New Roman"/>
                <w:szCs w:val="24"/>
              </w:rPr>
              <w:t xml:space="preserve">prasīt </w:t>
            </w:r>
            <w:r w:rsidR="00CB3369" w:rsidRPr="007D5D9B">
              <w:rPr>
                <w:rFonts w:cs="Times New Roman"/>
                <w:szCs w:val="24"/>
              </w:rPr>
              <w:t>paziņojum</w:t>
            </w:r>
            <w:r w:rsidR="00CB3369">
              <w:rPr>
                <w:rFonts w:cs="Times New Roman"/>
                <w:szCs w:val="24"/>
              </w:rPr>
              <w:t>a</w:t>
            </w:r>
            <w:r w:rsidR="00F27A61">
              <w:rPr>
                <w:rFonts w:cs="Times New Roman"/>
                <w:szCs w:val="24"/>
              </w:rPr>
              <w:t>m</w:t>
            </w:r>
            <w:r w:rsidR="00CB3369" w:rsidRPr="007D5D9B">
              <w:rPr>
                <w:rFonts w:cs="Times New Roman"/>
                <w:szCs w:val="24"/>
              </w:rPr>
              <w:t xml:space="preserve"> par finansējuma saņēmēja iepirkuma procedūru</w:t>
            </w:r>
            <w:r w:rsidR="00CB3369">
              <w:rPr>
                <w:rFonts w:cs="Times New Roman"/>
                <w:szCs w:val="24"/>
              </w:rPr>
              <w:t xml:space="preserve"> </w:t>
            </w:r>
            <w:r w:rsidR="00CB3369" w:rsidRPr="007D5D9B">
              <w:rPr>
                <w:rFonts w:cs="Times New Roman"/>
                <w:szCs w:val="24"/>
              </w:rPr>
              <w:t>pievieno</w:t>
            </w:r>
            <w:r w:rsidR="00CB3369">
              <w:rPr>
                <w:rFonts w:cs="Times New Roman"/>
                <w:szCs w:val="24"/>
              </w:rPr>
              <w:t>t</w:t>
            </w:r>
            <w:r w:rsidR="00CB3369" w:rsidRPr="007D5D9B">
              <w:rPr>
                <w:rFonts w:cs="Times New Roman"/>
                <w:szCs w:val="24"/>
              </w:rPr>
              <w:t xml:space="preserve"> </w:t>
            </w:r>
            <w:r w:rsidR="00CB3369">
              <w:rPr>
                <w:rFonts w:cs="Times New Roman"/>
                <w:szCs w:val="24"/>
              </w:rPr>
              <w:t>iepirkuma līguma projektu.</w:t>
            </w:r>
            <w:r w:rsidR="00F27A61">
              <w:rPr>
                <w:rFonts w:cs="Times New Roman"/>
                <w:szCs w:val="24"/>
              </w:rPr>
              <w:t xml:space="preserve"> Vienlaikus tiek saglabāts </w:t>
            </w:r>
            <w:r w:rsidR="00F27A61">
              <w:rPr>
                <w:rFonts w:cs="Times New Roman"/>
                <w:szCs w:val="24"/>
              </w:rPr>
              <w:lastRenderedPageBreak/>
              <w:t>noteikumos jau līdz šim noteiktais pamatprincips, ka finansējuma saņēmējam ir jādara viss iespējamais, lai saņemtu pēc iespējas ekonomiski izdevīgākus piedāvājumus, tādējādi efektīvi un lietderīgi rīkojoties ar publisko finansējumu.</w:t>
            </w:r>
            <w:r w:rsidR="00412F90">
              <w:rPr>
                <w:rFonts w:cs="Times New Roman"/>
                <w:szCs w:val="24"/>
              </w:rPr>
              <w:t xml:space="preserve">  </w:t>
            </w:r>
            <w:r w:rsidR="00412F90" w:rsidRPr="00412F90">
              <w:rPr>
                <w:rFonts w:cs="Times New Roman"/>
                <w:szCs w:val="24"/>
              </w:rPr>
              <w:t xml:space="preserve">Administratīvais slogs nav objektīvi novērtējams, jo </w:t>
            </w:r>
            <w:r w:rsidR="00412F90">
              <w:rPr>
                <w:rFonts w:cs="Times New Roman"/>
                <w:szCs w:val="24"/>
              </w:rPr>
              <w:t xml:space="preserve">nav zināms aptuvenais </w:t>
            </w:r>
            <w:r w:rsidR="004D3F28">
              <w:rPr>
                <w:rFonts w:cs="Times New Roman"/>
                <w:szCs w:val="24"/>
              </w:rPr>
              <w:t xml:space="preserve">finansējuma saņēmēju </w:t>
            </w:r>
            <w:r w:rsidR="00412F90">
              <w:rPr>
                <w:rFonts w:cs="Times New Roman"/>
                <w:szCs w:val="24"/>
              </w:rPr>
              <w:t>skaits</w:t>
            </w:r>
            <w:r w:rsidR="00412F90" w:rsidRPr="00412F90">
              <w:rPr>
                <w:rFonts w:cs="Times New Roman"/>
                <w:szCs w:val="24"/>
              </w:rPr>
              <w:t xml:space="preserve">. Līdz ar to, nav prognozējams, par cik samazināsies administratīvais slogs </w:t>
            </w:r>
            <w:r w:rsidR="004D3F28">
              <w:rPr>
                <w:rFonts w:cs="Times New Roman"/>
                <w:szCs w:val="24"/>
              </w:rPr>
              <w:t>finansējuma saņēmējiem</w:t>
            </w:r>
            <w:r w:rsidR="00412F90" w:rsidRPr="00412F90">
              <w:rPr>
                <w:rFonts w:cs="Times New Roman"/>
                <w:szCs w:val="24"/>
              </w:rPr>
              <w:t>.</w:t>
            </w:r>
          </w:p>
          <w:p w14:paraId="570DC066" w14:textId="6F0F92D5" w:rsidR="00436B55" w:rsidRDefault="00186002" w:rsidP="005517E7">
            <w:pPr>
              <w:jc w:val="both"/>
              <w:rPr>
                <w:rFonts w:cs="Times New Roman"/>
                <w:szCs w:val="24"/>
              </w:rPr>
            </w:pPr>
            <w:r>
              <w:rPr>
                <w:rFonts w:cs="Times New Roman"/>
                <w:szCs w:val="24"/>
              </w:rPr>
              <w:t xml:space="preserve">4. </w:t>
            </w:r>
            <w:r w:rsidR="00D21A0B">
              <w:rPr>
                <w:rFonts w:cs="Times New Roman"/>
                <w:szCs w:val="24"/>
              </w:rPr>
              <w:t xml:space="preserve">Vienlaikus ar grozījumiem paredzēts precizēt tos gadījumus, kad finansējuma saņēmējs un piegādātājs neatrodas interešu konfliktā. </w:t>
            </w:r>
          </w:p>
          <w:p w14:paraId="384AA219" w14:textId="4380D896" w:rsidR="00AA4127" w:rsidRDefault="00186002" w:rsidP="005517E7">
            <w:pPr>
              <w:jc w:val="both"/>
              <w:rPr>
                <w:rFonts w:cs="Times New Roman"/>
                <w:szCs w:val="24"/>
              </w:rPr>
            </w:pPr>
            <w:r>
              <w:rPr>
                <w:rFonts w:cs="Times New Roman"/>
                <w:szCs w:val="24"/>
              </w:rPr>
              <w:t xml:space="preserve">5. </w:t>
            </w:r>
            <w:r w:rsidR="00AA4127">
              <w:rPr>
                <w:rFonts w:cs="Times New Roman"/>
                <w:szCs w:val="24"/>
              </w:rPr>
              <w:t xml:space="preserve">Ar grozījumiem tiek skaidrāk noteikts, cik ilgā laikā finansējuma saņēmējam, ja iepirkumu procedūra veikta pēc atbildīgās institūcijas lēmuma pieņemšanas, jāpublicē </w:t>
            </w:r>
            <w:r w:rsidR="00A45708">
              <w:rPr>
                <w:rFonts w:cs="Times New Roman"/>
                <w:szCs w:val="24"/>
              </w:rPr>
              <w:t>paziņojums par finansējuma saņēmēja iepirkuma procedūras rezultātiem.</w:t>
            </w:r>
          </w:p>
          <w:p w14:paraId="2773FBDF" w14:textId="4101B8DA" w:rsidR="00630C0A" w:rsidRDefault="00186002" w:rsidP="005517E7">
            <w:pPr>
              <w:jc w:val="both"/>
              <w:rPr>
                <w:rFonts w:cs="Times New Roman"/>
                <w:szCs w:val="24"/>
              </w:rPr>
            </w:pPr>
            <w:r>
              <w:rPr>
                <w:rFonts w:cs="Times New Roman"/>
                <w:szCs w:val="24"/>
              </w:rPr>
              <w:t xml:space="preserve">6. </w:t>
            </w:r>
            <w:r w:rsidR="00630C0A">
              <w:rPr>
                <w:rFonts w:cs="Times New Roman"/>
                <w:szCs w:val="24"/>
              </w:rPr>
              <w:t>Ņemot vērā, ka</w:t>
            </w:r>
            <w:r w:rsidR="00A25965">
              <w:rPr>
                <w:rFonts w:cs="Times New Roman"/>
                <w:szCs w:val="24"/>
              </w:rPr>
              <w:t xml:space="preserve"> finansējums tiek piešķirts no dažādiem avotiem un uz atšķirīga normatīvā regulējuma pamata, kā arī ņemot vērā to, ka</w:t>
            </w:r>
            <w:r w:rsidR="00630C0A">
              <w:rPr>
                <w:rFonts w:cs="Times New Roman"/>
                <w:szCs w:val="24"/>
              </w:rPr>
              <w:t xml:space="preserve"> normatīvajos aktos par finansējuma piešķiršanu nav noteikta līgumcenas pamatotības izvērtēšanas kārtība,</w:t>
            </w:r>
            <w:r w:rsidR="00BF4DE9">
              <w:rPr>
                <w:rFonts w:cs="Times New Roman"/>
                <w:szCs w:val="24"/>
              </w:rPr>
              <w:t xml:space="preserve"> attiecīgi</w:t>
            </w:r>
            <w:r w:rsidR="00630C0A">
              <w:rPr>
                <w:rFonts w:cs="Times New Roman"/>
                <w:szCs w:val="24"/>
              </w:rPr>
              <w:t xml:space="preserve"> tiek precizēts noteikumu 43.punkts.</w:t>
            </w:r>
          </w:p>
          <w:p w14:paraId="40B40836" w14:textId="7A1D4C2C" w:rsidR="007556B8" w:rsidRPr="000D5125" w:rsidRDefault="00186002" w:rsidP="007556B8">
            <w:pPr>
              <w:jc w:val="both"/>
              <w:rPr>
                <w:rFonts w:cs="Times New Roman"/>
                <w:szCs w:val="24"/>
              </w:rPr>
            </w:pPr>
            <w:r>
              <w:t xml:space="preserve">7. </w:t>
            </w:r>
            <w:r w:rsidR="007556B8">
              <w:t>Grozījumi papildināti ar 46¹. punktu kurš paredz, ka i</w:t>
            </w:r>
            <w:r w:rsidR="007556B8" w:rsidRPr="00AD3249">
              <w:t>epirkuma procedūras par kurām finansējuma saņēmējs ir publicējis Iepirkumu uzraudzības biroja tīmekļvietnē paziņojumu par finansēju</w:t>
            </w:r>
            <w:r w:rsidR="007556B8">
              <w:t>ma saņēmēja iepirkuma procedūru</w:t>
            </w:r>
            <w:r w:rsidR="007556B8" w:rsidRPr="00AD3249">
              <w:t xml:space="preserve"> pabeidz </w:t>
            </w:r>
            <w:r w:rsidR="007556B8">
              <w:t xml:space="preserve">saskaņā ar noteikumiem, kas bija spēkā paziņojuma publicēšanas dienā, tādejādi grozījumi noteikumos ir attiecināmi uz tām procedūrām, par kurām vēl nav publikācijas </w:t>
            </w:r>
            <w:r w:rsidR="007556B8" w:rsidRPr="00AD3249">
              <w:t>Iepirkumu uzraudzības biroja tīmekļvietnē</w:t>
            </w:r>
            <w:r w:rsidR="007556B8">
              <w:t>.</w:t>
            </w:r>
          </w:p>
        </w:tc>
      </w:tr>
      <w:tr w:rsidR="0037321C" w:rsidRPr="007360EC" w14:paraId="20AD675D"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63AA77" w14:textId="5918E182"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1C8F63CF"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43F4C81A" w14:textId="77777777" w:rsidR="00894C55" w:rsidRPr="007360EC" w:rsidRDefault="00BC2B19" w:rsidP="00166980">
            <w:pPr>
              <w:spacing w:after="60" w:line="240" w:lineRule="auto"/>
              <w:rPr>
                <w:rFonts w:eastAsia="Times New Roman" w:cs="Times New Roman"/>
                <w:szCs w:val="24"/>
                <w:lang w:eastAsia="lv-LV"/>
              </w:rPr>
            </w:pPr>
            <w:r w:rsidRPr="007360EC">
              <w:rPr>
                <w:rFonts w:eastAsia="Times New Roman" w:cs="Times New Roman"/>
                <w:szCs w:val="24"/>
                <w:lang w:eastAsia="lv-LV"/>
              </w:rPr>
              <w:t>Finanšu ministrija.</w:t>
            </w:r>
          </w:p>
        </w:tc>
      </w:tr>
      <w:tr w:rsidR="0037321C" w:rsidRPr="007360EC" w14:paraId="7EB4D7BC" w14:textId="77777777" w:rsidTr="0058464C">
        <w:tc>
          <w:tcPr>
            <w:tcW w:w="250" w:type="pct"/>
            <w:tcBorders>
              <w:top w:val="outset" w:sz="6" w:space="0" w:color="414142"/>
              <w:left w:val="outset" w:sz="6" w:space="0" w:color="414142"/>
              <w:bottom w:val="outset" w:sz="6" w:space="0" w:color="414142"/>
              <w:right w:val="outset" w:sz="6" w:space="0" w:color="414142"/>
            </w:tcBorders>
            <w:hideMark/>
          </w:tcPr>
          <w:p w14:paraId="37630D10" w14:textId="77777777"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DF8F414"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02B8983C" w14:textId="77777777" w:rsidR="00894C55" w:rsidRPr="007360EC" w:rsidRDefault="00BC2B19" w:rsidP="00BC2B19">
            <w:pPr>
              <w:spacing w:after="60" w:line="240" w:lineRule="auto"/>
              <w:rPr>
                <w:rFonts w:eastAsia="Times New Roman" w:cs="Times New Roman"/>
                <w:szCs w:val="24"/>
                <w:lang w:eastAsia="lv-LV"/>
              </w:rPr>
            </w:pPr>
            <w:r w:rsidRPr="007360EC">
              <w:rPr>
                <w:rFonts w:eastAsia="Times New Roman" w:cs="Times New Roman"/>
                <w:szCs w:val="24"/>
                <w:lang w:eastAsia="lv-LV"/>
              </w:rPr>
              <w:t>Nav.</w:t>
            </w:r>
          </w:p>
        </w:tc>
      </w:tr>
    </w:tbl>
    <w:p w14:paraId="7AC5525D" w14:textId="77777777" w:rsidR="00894C55" w:rsidRPr="00A3752A" w:rsidRDefault="00894C55" w:rsidP="00894C55">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55754C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5A82C4" w14:textId="77777777" w:rsidR="00894C55" w:rsidRPr="00A3752A" w:rsidRDefault="00894C55" w:rsidP="00BC2B19">
            <w:pPr>
              <w:spacing w:after="0" w:line="240" w:lineRule="auto"/>
              <w:jc w:val="center"/>
              <w:rPr>
                <w:rFonts w:eastAsia="Times New Roman" w:cs="Times New Roman"/>
                <w:b/>
                <w:bCs/>
                <w:szCs w:val="24"/>
                <w:lang w:eastAsia="lv-LV"/>
              </w:rPr>
            </w:pPr>
            <w:r w:rsidRPr="00A3752A">
              <w:rPr>
                <w:rFonts w:eastAsia="Times New Roman" w:cs="Times New Roman"/>
                <w:b/>
                <w:bCs/>
                <w:szCs w:val="24"/>
                <w:lang w:eastAsia="lv-LV"/>
              </w:rPr>
              <w:t>II.</w:t>
            </w:r>
            <w:r w:rsidR="0050178F" w:rsidRPr="00A3752A">
              <w:rPr>
                <w:rFonts w:eastAsia="Times New Roman" w:cs="Times New Roman"/>
                <w:b/>
                <w:bCs/>
                <w:szCs w:val="24"/>
                <w:lang w:eastAsia="lv-LV"/>
              </w:rPr>
              <w:t> </w:t>
            </w:r>
            <w:r w:rsidRPr="00A3752A">
              <w:rPr>
                <w:rFonts w:eastAsia="Times New Roman" w:cs="Times New Roman"/>
                <w:b/>
                <w:bCs/>
                <w:szCs w:val="24"/>
                <w:lang w:eastAsia="lv-LV"/>
              </w:rPr>
              <w:t>Tiesību akta projekta ietekme uz sabiedrību, tautsaimniecības attīstību un administratīvo slogu</w:t>
            </w:r>
          </w:p>
        </w:tc>
      </w:tr>
      <w:tr w:rsidR="0037321C" w:rsidRPr="00A3752A" w14:paraId="52E5F40F"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5BF2EB" w14:textId="77777777" w:rsidR="00894C55" w:rsidRPr="00A3752A" w:rsidRDefault="00894C55" w:rsidP="00BC2B19">
            <w:pPr>
              <w:spacing w:after="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C82E3AE" w14:textId="77777777" w:rsidR="00894C55" w:rsidRPr="00A3752A" w:rsidRDefault="00894C55" w:rsidP="00BC2B19">
            <w:pPr>
              <w:spacing w:after="0" w:line="240" w:lineRule="auto"/>
              <w:rPr>
                <w:rFonts w:eastAsia="Times New Roman" w:cs="Times New Roman"/>
                <w:szCs w:val="24"/>
                <w:lang w:eastAsia="lv-LV"/>
              </w:rPr>
            </w:pPr>
            <w:r w:rsidRPr="00A3752A">
              <w:rPr>
                <w:rFonts w:eastAsia="Times New Roman" w:cs="Times New Roman"/>
                <w:szCs w:val="24"/>
                <w:lang w:eastAsia="lv-LV"/>
              </w:rPr>
              <w:t xml:space="preserve">Sabiedrības </w:t>
            </w:r>
            <w:proofErr w:type="spellStart"/>
            <w:r w:rsidRPr="00A3752A">
              <w:rPr>
                <w:rFonts w:eastAsia="Times New Roman" w:cs="Times New Roman"/>
                <w:szCs w:val="24"/>
                <w:lang w:eastAsia="lv-LV"/>
              </w:rPr>
              <w:t>mērķgrupas</w:t>
            </w:r>
            <w:proofErr w:type="spellEnd"/>
            <w:r w:rsidRPr="00A3752A">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4E56AD7A" w14:textId="740A6254" w:rsidR="009E4003" w:rsidRPr="00630A23" w:rsidRDefault="003D4764" w:rsidP="009E4003">
            <w:pPr>
              <w:spacing w:after="0" w:line="240" w:lineRule="auto"/>
              <w:jc w:val="both"/>
              <w:rPr>
                <w:szCs w:val="24"/>
                <w:lang w:eastAsia="lv-LV"/>
              </w:rPr>
            </w:pPr>
            <w:r>
              <w:rPr>
                <w:szCs w:val="24"/>
                <w:lang w:eastAsia="lv-LV"/>
              </w:rPr>
              <w:t xml:space="preserve">1. </w:t>
            </w:r>
            <w:r w:rsidR="009E4003" w:rsidRPr="00630A23">
              <w:rPr>
                <w:szCs w:val="24"/>
                <w:lang w:eastAsia="lv-LV"/>
              </w:rPr>
              <w:t>Finansējuma saņēmēji, kas nav Publisko iepirkumu likuma un Sabiedrisko pakalpojumu sniedzēju iepirkumu likuma subjekti. To aptuvenais skaits nav zināms, jo par finansējuma saņēmēju var kļūt jebkurš subjekts, kurš saņem Eiropas Savienības politiku instrumentu, citas ārvalstu finanšu palīdzības, kā arī valsts vai pašvaldību budžeta finansējumu.</w:t>
            </w:r>
          </w:p>
          <w:p w14:paraId="750EC69A" w14:textId="0F623378" w:rsidR="00166980" w:rsidRPr="00A3752A" w:rsidRDefault="003D4764" w:rsidP="003D4764">
            <w:pPr>
              <w:spacing w:after="60" w:line="240" w:lineRule="auto"/>
              <w:ind w:right="57"/>
              <w:jc w:val="both"/>
              <w:rPr>
                <w:rFonts w:eastAsia="Times New Roman" w:cs="Times New Roman"/>
                <w:szCs w:val="24"/>
                <w:lang w:eastAsia="lv-LV"/>
              </w:rPr>
            </w:pPr>
            <w:r>
              <w:rPr>
                <w:szCs w:val="24"/>
                <w:lang w:eastAsia="lv-LV"/>
              </w:rPr>
              <w:t xml:space="preserve">2. </w:t>
            </w:r>
            <w:r w:rsidR="009E4003" w:rsidRPr="00E744A4">
              <w:rPr>
                <w:szCs w:val="24"/>
                <w:lang w:eastAsia="lv-LV"/>
              </w:rPr>
              <w:t>Piegādātāj</w:t>
            </w:r>
            <w:r w:rsidR="003B3C9E">
              <w:rPr>
                <w:szCs w:val="24"/>
                <w:lang w:eastAsia="lv-LV"/>
              </w:rPr>
              <w:t>i,</w:t>
            </w:r>
            <w:r>
              <w:rPr>
                <w:szCs w:val="24"/>
                <w:lang w:eastAsia="lv-LV"/>
              </w:rPr>
              <w:t xml:space="preserve"> bet</w:t>
            </w:r>
            <w:r w:rsidR="003B3C9E">
              <w:rPr>
                <w:szCs w:val="24"/>
                <w:lang w:eastAsia="lv-LV"/>
              </w:rPr>
              <w:t xml:space="preserve"> </w:t>
            </w:r>
            <w:r>
              <w:rPr>
                <w:szCs w:val="24"/>
                <w:lang w:eastAsia="lv-LV"/>
              </w:rPr>
              <w:t xml:space="preserve">to </w:t>
            </w:r>
            <w:r w:rsidR="009E4003" w:rsidRPr="00E744A4">
              <w:rPr>
                <w:szCs w:val="24"/>
                <w:lang w:eastAsia="lv-LV"/>
              </w:rPr>
              <w:t>aptuvenais skaits nav zināms, jo par piegādātāju var būt gan fiziskas, gan juridiskas personas, tajā skaitā, personas no ārvalstīm.</w:t>
            </w:r>
          </w:p>
        </w:tc>
      </w:tr>
      <w:tr w:rsidR="0037321C" w:rsidRPr="00A3752A" w14:paraId="65E7808D"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AD0D5DD"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14:paraId="18A96723"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35E67A1D" w14:textId="436757F6" w:rsidR="00894C55" w:rsidRPr="00A3752A" w:rsidRDefault="009E4003" w:rsidP="00B62D4D">
            <w:pPr>
              <w:spacing w:after="60" w:line="240" w:lineRule="auto"/>
              <w:ind w:right="57"/>
              <w:jc w:val="both"/>
              <w:rPr>
                <w:rFonts w:eastAsia="Times New Roman" w:cs="Times New Roman"/>
                <w:szCs w:val="24"/>
                <w:lang w:eastAsia="lv-LV"/>
              </w:rPr>
            </w:pPr>
            <w:r w:rsidRPr="00630A23">
              <w:rPr>
                <w:szCs w:val="24"/>
                <w:lang w:eastAsia="lv-LV"/>
              </w:rPr>
              <w:t>Noteikumu projekta tiesiskais regulējums ietekmē ārvalstu finanšu instrumentu atbalstu, kā arī mazina administratīvo slogu</w:t>
            </w:r>
            <w:r>
              <w:rPr>
                <w:szCs w:val="24"/>
                <w:lang w:eastAsia="lv-LV"/>
              </w:rPr>
              <w:t xml:space="preserve"> finansējuma saņēmējiem</w:t>
            </w:r>
            <w:r w:rsidRPr="00630A23">
              <w:rPr>
                <w:szCs w:val="24"/>
                <w:lang w:eastAsia="lv-LV"/>
              </w:rPr>
              <w:t>.</w:t>
            </w:r>
          </w:p>
        </w:tc>
      </w:tr>
      <w:tr w:rsidR="0037321C" w:rsidRPr="00A3752A" w14:paraId="6294D912"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D3B8F24"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0EF43D3"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2609D749"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EUAlbertina_Bold"/>
                <w:szCs w:val="24"/>
              </w:rPr>
              <w:t>Projekts šo jomu neskar.</w:t>
            </w:r>
          </w:p>
        </w:tc>
      </w:tr>
      <w:tr w:rsidR="0037321C" w:rsidRPr="00A3752A" w14:paraId="3EA19A4B" w14:textId="77777777"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358614F"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7099B809"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54363524"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Nav.</w:t>
            </w:r>
          </w:p>
        </w:tc>
      </w:tr>
    </w:tbl>
    <w:p w14:paraId="16754DE9" w14:textId="3AA7B646" w:rsidR="0037321C" w:rsidRDefault="0037321C"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B3233" w:rsidRPr="002B3233" w14:paraId="327311CD" w14:textId="77777777" w:rsidTr="0061531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2160964" w14:textId="77777777" w:rsidR="002B3233" w:rsidRPr="002B3233" w:rsidRDefault="002B3233" w:rsidP="002B3233">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III. Tiesību akta projekta ietekme uz valsts budžetu un pašvaldību budžetiem</w:t>
            </w:r>
          </w:p>
        </w:tc>
      </w:tr>
      <w:tr w:rsidR="002B3233" w:rsidRPr="002B3233" w14:paraId="30F6EC4E" w14:textId="77777777" w:rsidTr="0061531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37EC276" w14:textId="77777777" w:rsidR="002B3233" w:rsidRPr="002B3233" w:rsidRDefault="002B3233" w:rsidP="002B3233">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14:paraId="37FEBB57" w14:textId="77777777" w:rsidR="002B3233" w:rsidRDefault="002B3233"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B3233" w:rsidRPr="002B3233" w14:paraId="274C8E8F" w14:textId="77777777" w:rsidTr="00615311">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7E8F4F" w14:textId="77777777" w:rsidR="002B3233" w:rsidRPr="002B3233" w:rsidRDefault="002B3233" w:rsidP="00615311">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IV. Tiesību akta projekta ietekme uz spēkā esošo tiesību normu sistēmu</w:t>
            </w:r>
          </w:p>
        </w:tc>
      </w:tr>
      <w:tr w:rsidR="002B3233" w:rsidRPr="002B3233" w14:paraId="0FF2F44C" w14:textId="77777777" w:rsidTr="002B3233">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48791D8" w14:textId="77777777" w:rsidR="002B3233" w:rsidRPr="002B3233" w:rsidRDefault="002B3233" w:rsidP="00615311">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14:paraId="3E75DC0E" w14:textId="77777777" w:rsidR="002B3233" w:rsidRDefault="002B3233" w:rsidP="001C3CCC">
      <w:pPr>
        <w:shd w:val="clear" w:color="auto" w:fill="FFFFFF"/>
        <w:spacing w:after="0" w:line="240" w:lineRule="auto"/>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B3233" w:rsidRPr="00615311" w14:paraId="187DEE38" w14:textId="77777777" w:rsidTr="00615311">
        <w:tc>
          <w:tcPr>
            <w:tcW w:w="0" w:type="auto"/>
            <w:tcBorders>
              <w:top w:val="outset" w:sz="6" w:space="0" w:color="414142"/>
              <w:left w:val="outset" w:sz="6" w:space="0" w:color="414142"/>
              <w:bottom w:val="outset" w:sz="6" w:space="0" w:color="414142"/>
              <w:right w:val="outset" w:sz="6" w:space="0" w:color="414142"/>
            </w:tcBorders>
            <w:vAlign w:val="center"/>
            <w:hideMark/>
          </w:tcPr>
          <w:p w14:paraId="23DE0BF8" w14:textId="77777777" w:rsidR="002B3233" w:rsidRPr="00615311" w:rsidRDefault="002B3233" w:rsidP="00615311">
            <w:pPr>
              <w:spacing w:before="100" w:beforeAutospacing="1" w:after="100" w:afterAutospacing="1" w:line="293" w:lineRule="atLeast"/>
              <w:jc w:val="center"/>
              <w:rPr>
                <w:rFonts w:eastAsia="Times New Roman" w:cs="Times New Roman"/>
                <w:b/>
                <w:bCs/>
                <w:szCs w:val="24"/>
                <w:lang w:eastAsia="lv-LV"/>
              </w:rPr>
            </w:pPr>
            <w:r w:rsidRPr="00615311">
              <w:rPr>
                <w:rFonts w:eastAsia="Times New Roman" w:cs="Times New Roman"/>
                <w:b/>
                <w:bCs/>
                <w:szCs w:val="24"/>
                <w:lang w:eastAsia="lv-LV"/>
              </w:rPr>
              <w:t>V. Tiesību akta projekta atbilstība Latvijas Republikas starptautiskajām saistībām</w:t>
            </w:r>
          </w:p>
        </w:tc>
      </w:tr>
      <w:tr w:rsidR="002B3233" w:rsidRPr="00615311" w14:paraId="5932EEC2" w14:textId="77777777" w:rsidTr="00615311">
        <w:tc>
          <w:tcPr>
            <w:tcW w:w="0" w:type="auto"/>
            <w:tcBorders>
              <w:top w:val="outset" w:sz="6" w:space="0" w:color="414142"/>
              <w:left w:val="outset" w:sz="6" w:space="0" w:color="414142"/>
              <w:bottom w:val="outset" w:sz="6" w:space="0" w:color="414142"/>
              <w:right w:val="outset" w:sz="6" w:space="0" w:color="414142"/>
            </w:tcBorders>
            <w:vAlign w:val="center"/>
          </w:tcPr>
          <w:p w14:paraId="32289041" w14:textId="77777777" w:rsidR="002B3233" w:rsidRPr="00615311" w:rsidRDefault="002B3233" w:rsidP="00615311">
            <w:pPr>
              <w:spacing w:before="100" w:beforeAutospacing="1" w:after="100" w:afterAutospacing="1" w:line="293" w:lineRule="atLeast"/>
              <w:jc w:val="center"/>
              <w:rPr>
                <w:rFonts w:eastAsia="Times New Roman" w:cs="Times New Roman"/>
                <w:bCs/>
                <w:szCs w:val="24"/>
                <w:lang w:eastAsia="lv-LV"/>
              </w:rPr>
            </w:pPr>
            <w:r w:rsidRPr="00615311">
              <w:rPr>
                <w:rFonts w:eastAsia="Times New Roman" w:cs="Times New Roman"/>
                <w:bCs/>
                <w:szCs w:val="24"/>
                <w:lang w:eastAsia="lv-LV"/>
              </w:rPr>
              <w:t>Projekts šo jomu neskar</w:t>
            </w:r>
          </w:p>
        </w:tc>
      </w:tr>
    </w:tbl>
    <w:p w14:paraId="53496110" w14:textId="77777777" w:rsidR="002B3233" w:rsidRDefault="002B3233"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B7EC0B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9BAE68" w14:textId="77777777" w:rsidR="00894C55" w:rsidRPr="00A3752A" w:rsidRDefault="00894C55" w:rsidP="00816C11">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w:t>
            </w:r>
            <w:r w:rsidR="00816C11" w:rsidRPr="00A3752A">
              <w:rPr>
                <w:rFonts w:eastAsia="Times New Roman" w:cs="Times New Roman"/>
                <w:b/>
                <w:bCs/>
                <w:szCs w:val="24"/>
                <w:lang w:eastAsia="lv-LV"/>
              </w:rPr>
              <w:t> </w:t>
            </w:r>
            <w:r w:rsidRPr="00A3752A">
              <w:rPr>
                <w:rFonts w:eastAsia="Times New Roman" w:cs="Times New Roman"/>
                <w:b/>
                <w:bCs/>
                <w:szCs w:val="24"/>
                <w:lang w:eastAsia="lv-LV"/>
              </w:rPr>
              <w:t>Sabiedrības līdzdalība un komunikācijas aktivitātes</w:t>
            </w:r>
          </w:p>
        </w:tc>
      </w:tr>
      <w:tr w:rsidR="0037321C" w:rsidRPr="00A3752A" w14:paraId="64E8A955" w14:textId="77777777" w:rsidTr="005846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8B5279F"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48BDB622"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3101191C" w14:textId="77777777" w:rsidR="006F1C09" w:rsidRPr="00A3752A" w:rsidRDefault="006F1C09" w:rsidP="006F1C09">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Finanšu ministrijas tīmekļa vietnes sadaļā “Sabiedrības līdzdalība” ir ievietota uzziņa par projektu.</w:t>
            </w:r>
          </w:p>
          <w:p w14:paraId="122D0A16" w14:textId="77777777" w:rsidR="00894C55" w:rsidRPr="00A3752A" w:rsidRDefault="006F1C09" w:rsidP="00F974D7">
            <w:pPr>
              <w:spacing w:after="60" w:line="240" w:lineRule="auto"/>
              <w:ind w:right="57"/>
              <w:jc w:val="both"/>
              <w:rPr>
                <w:rFonts w:eastAsia="Times New Roman" w:cs="Times New Roman"/>
                <w:szCs w:val="24"/>
                <w:lang w:eastAsia="lv-LV"/>
              </w:rPr>
            </w:pPr>
            <w:r w:rsidRPr="00A3752A">
              <w:rPr>
                <w:rFonts w:cs="Times New Roman"/>
                <w:iCs/>
                <w:szCs w:val="24"/>
                <w:lang w:eastAsia="lv-LV"/>
              </w:rPr>
              <w:t xml:space="preserve">Projekts pēc tā izsludināšanas Valsts sekretāru sanāksmē būs publiski pieejams Ministru kabineta </w:t>
            </w:r>
            <w:r w:rsidRPr="00A3752A">
              <w:rPr>
                <w:rFonts w:eastAsia="Times New Roman" w:cs="Times New Roman"/>
                <w:szCs w:val="24"/>
                <w:lang w:eastAsia="lv-LV"/>
              </w:rPr>
              <w:t xml:space="preserve">tīmekļa vietnes </w:t>
            </w:r>
            <w:r w:rsidRPr="00A3752A">
              <w:rPr>
                <w:rFonts w:cs="Times New Roman"/>
                <w:iCs/>
                <w:szCs w:val="24"/>
                <w:lang w:eastAsia="lv-LV"/>
              </w:rPr>
              <w:t>sadaļā Tiesību aktu projekti.</w:t>
            </w:r>
          </w:p>
        </w:tc>
      </w:tr>
      <w:tr w:rsidR="0037321C" w:rsidRPr="00A3752A" w14:paraId="7E2FBF68" w14:textId="77777777" w:rsidTr="005846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CB51CB0"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5B1A5A9C"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1D13083D" w14:textId="77777777" w:rsidR="00894C55" w:rsidRPr="00A3752A" w:rsidRDefault="006F1C09"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37321C" w:rsidRPr="00A3752A" w14:paraId="43AE3B8E" w14:textId="77777777" w:rsidTr="009E4003">
        <w:trPr>
          <w:trHeight w:val="739"/>
          <w:jc w:val="center"/>
        </w:trPr>
        <w:tc>
          <w:tcPr>
            <w:tcW w:w="250" w:type="pct"/>
            <w:tcBorders>
              <w:top w:val="outset" w:sz="6" w:space="0" w:color="414142"/>
              <w:left w:val="outset" w:sz="6" w:space="0" w:color="414142"/>
              <w:bottom w:val="outset" w:sz="6" w:space="0" w:color="414142"/>
              <w:right w:val="outset" w:sz="6" w:space="0" w:color="414142"/>
            </w:tcBorders>
            <w:hideMark/>
          </w:tcPr>
          <w:p w14:paraId="08CF0247"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08971D43"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284A410C" w14:textId="77777777" w:rsidR="00894C55" w:rsidRPr="00A3752A" w:rsidRDefault="006F1C09"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37321C" w:rsidRPr="00A3752A" w14:paraId="226CE0B3" w14:textId="77777777"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E2F9A65"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5342C611"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43B56EEA" w14:textId="63A90E0A" w:rsidR="00894C55" w:rsidRPr="00A3752A" w:rsidRDefault="009E4003" w:rsidP="000D5125">
            <w:pPr>
              <w:spacing w:after="60" w:line="240" w:lineRule="auto"/>
              <w:jc w:val="both"/>
              <w:rPr>
                <w:rFonts w:eastAsia="Times New Roman" w:cs="Times New Roman"/>
                <w:szCs w:val="24"/>
                <w:lang w:eastAsia="lv-LV"/>
              </w:rPr>
            </w:pPr>
            <w:r w:rsidRPr="00630A23">
              <w:rPr>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F67CA24" w14:textId="77777777" w:rsidR="00720585" w:rsidRDefault="00720585" w:rsidP="00894C55">
      <w:pPr>
        <w:spacing w:after="0" w:line="240" w:lineRule="auto"/>
        <w:rPr>
          <w:rFonts w:cs="Times New Roman"/>
          <w:sz w:val="28"/>
          <w:szCs w:val="28"/>
        </w:rPr>
      </w:pPr>
    </w:p>
    <w:tbl>
      <w:tblPr>
        <w:tblW w:w="5009" w:type="pct"/>
        <w:tblInd w:w="-8" w:type="dxa"/>
        <w:tblCellMar>
          <w:left w:w="10" w:type="dxa"/>
          <w:right w:w="10" w:type="dxa"/>
        </w:tblCellMar>
        <w:tblLook w:val="0000" w:firstRow="0" w:lastRow="0" w:firstColumn="0" w:lastColumn="0" w:noHBand="0" w:noVBand="0"/>
      </w:tblPr>
      <w:tblGrid>
        <w:gridCol w:w="603"/>
        <w:gridCol w:w="2374"/>
        <w:gridCol w:w="6094"/>
      </w:tblGrid>
      <w:tr w:rsidR="00B909D7" w:rsidRPr="00B909D7" w14:paraId="0EA32A59" w14:textId="77777777" w:rsidTr="00B909D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94FC63" w14:textId="77777777" w:rsidR="00B909D7" w:rsidRPr="00B909D7" w:rsidRDefault="00B909D7" w:rsidP="00830ACF">
            <w:pPr>
              <w:spacing w:before="100" w:after="100" w:line="240" w:lineRule="auto"/>
              <w:jc w:val="both"/>
              <w:rPr>
                <w:b/>
                <w:bCs/>
                <w:szCs w:val="24"/>
                <w:lang w:eastAsia="lv-LV"/>
              </w:rPr>
            </w:pPr>
            <w:r w:rsidRPr="00B909D7">
              <w:rPr>
                <w:b/>
                <w:bCs/>
                <w:szCs w:val="24"/>
                <w:lang w:eastAsia="lv-LV"/>
              </w:rPr>
              <w:t>VII. Tiesību akta projekta izpildes nodrošināšana un tās ietekme uz institūcijām</w:t>
            </w:r>
          </w:p>
        </w:tc>
      </w:tr>
      <w:tr w:rsidR="00B909D7" w:rsidRPr="00B909D7" w14:paraId="6903FEE6"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C5DA5" w14:textId="77777777" w:rsidR="00B909D7" w:rsidRPr="00B909D7" w:rsidRDefault="00B909D7" w:rsidP="00830ACF">
            <w:pPr>
              <w:spacing w:before="100" w:after="100" w:line="240" w:lineRule="auto"/>
              <w:jc w:val="both"/>
              <w:rPr>
                <w:szCs w:val="24"/>
                <w:lang w:eastAsia="lv-LV"/>
              </w:rPr>
            </w:pPr>
            <w:r w:rsidRPr="00B909D7">
              <w:rPr>
                <w:szCs w:val="24"/>
                <w:lang w:eastAsia="lv-LV"/>
              </w:rPr>
              <w:t>1.</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C13718" w14:textId="77777777" w:rsidR="00B909D7" w:rsidRPr="00B909D7" w:rsidRDefault="00B909D7" w:rsidP="00830ACF">
            <w:pPr>
              <w:spacing w:before="100" w:after="100" w:line="240" w:lineRule="auto"/>
              <w:jc w:val="both"/>
              <w:rPr>
                <w:szCs w:val="24"/>
                <w:lang w:eastAsia="lv-LV"/>
              </w:rPr>
            </w:pPr>
            <w:r w:rsidRPr="00B909D7">
              <w:rPr>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6B5762" w14:textId="325F7218" w:rsidR="00B909D7" w:rsidRPr="00B909D7" w:rsidRDefault="000D5125" w:rsidP="00830ACF">
            <w:pPr>
              <w:spacing w:before="100" w:after="100" w:line="240" w:lineRule="auto"/>
              <w:jc w:val="both"/>
              <w:rPr>
                <w:szCs w:val="24"/>
                <w:lang w:eastAsia="lv-LV"/>
              </w:rPr>
            </w:pPr>
            <w:r>
              <w:rPr>
                <w:rFonts w:eastAsia="Times New Roman" w:cs="Times New Roman"/>
                <w:szCs w:val="24"/>
                <w:lang w:eastAsia="lv-LV"/>
              </w:rPr>
              <w:t>Nav.</w:t>
            </w:r>
          </w:p>
        </w:tc>
      </w:tr>
      <w:tr w:rsidR="00B909D7" w:rsidRPr="00B909D7" w14:paraId="66A49D5C"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56B583" w14:textId="77777777" w:rsidR="00B909D7" w:rsidRPr="00B909D7" w:rsidRDefault="00B909D7" w:rsidP="00830ACF">
            <w:pPr>
              <w:spacing w:before="100" w:after="100" w:line="240" w:lineRule="auto"/>
              <w:jc w:val="both"/>
              <w:rPr>
                <w:szCs w:val="24"/>
                <w:lang w:eastAsia="lv-LV"/>
              </w:rPr>
            </w:pPr>
            <w:r w:rsidRPr="00B909D7">
              <w:rPr>
                <w:szCs w:val="24"/>
                <w:lang w:eastAsia="lv-LV"/>
              </w:rPr>
              <w:t>2.</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7E5B5F" w14:textId="77777777" w:rsidR="00B909D7" w:rsidRPr="00B909D7" w:rsidRDefault="00B909D7" w:rsidP="00B909D7">
            <w:pPr>
              <w:spacing w:before="100" w:after="100" w:line="240" w:lineRule="auto"/>
              <w:ind w:right="112"/>
              <w:jc w:val="both"/>
              <w:rPr>
                <w:szCs w:val="24"/>
                <w:lang w:eastAsia="lv-LV"/>
              </w:rPr>
            </w:pPr>
            <w:r w:rsidRPr="00B909D7">
              <w:rPr>
                <w:szCs w:val="24"/>
                <w:lang w:eastAsia="lv-LV"/>
              </w:rPr>
              <w:t xml:space="preserve">Projekta izpildes ietekme uz pārvaldes funkcijām un institucionālo struktūru. </w:t>
            </w:r>
          </w:p>
          <w:p w14:paraId="0084443A" w14:textId="77777777" w:rsidR="00B909D7" w:rsidRPr="00B909D7" w:rsidRDefault="00B909D7" w:rsidP="00B909D7">
            <w:pPr>
              <w:spacing w:before="100" w:after="100" w:line="240" w:lineRule="auto"/>
              <w:ind w:right="112"/>
              <w:jc w:val="both"/>
              <w:rPr>
                <w:szCs w:val="24"/>
                <w:lang w:eastAsia="lv-LV"/>
              </w:rPr>
            </w:pPr>
            <w:r w:rsidRPr="00B909D7">
              <w:rPr>
                <w:szCs w:val="24"/>
                <w:lang w:eastAsia="lv-LV"/>
              </w:rPr>
              <w:lastRenderedPageBreak/>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3A0A28" w14:textId="2F1A7CB8" w:rsidR="00B909D7" w:rsidRPr="00B909D7" w:rsidRDefault="000D5125" w:rsidP="00830ACF">
            <w:pPr>
              <w:spacing w:before="100" w:after="100" w:line="240" w:lineRule="auto"/>
              <w:jc w:val="both"/>
              <w:rPr>
                <w:szCs w:val="24"/>
                <w:lang w:eastAsia="lv-LV"/>
              </w:rPr>
            </w:pPr>
            <w:r w:rsidRPr="00A3752A">
              <w:lastRenderedPageBreak/>
              <w:t>Projekts neietekmē pārvaldes funkcijas un institucionālo struktūru, kā arī cilvēkresursu nodrošinājumu.</w:t>
            </w:r>
          </w:p>
        </w:tc>
      </w:tr>
      <w:tr w:rsidR="00B909D7" w:rsidRPr="00B909D7" w14:paraId="10898FCE"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35CF54" w14:textId="77777777" w:rsidR="00B909D7" w:rsidRPr="00B909D7" w:rsidRDefault="00B909D7" w:rsidP="00830ACF">
            <w:pPr>
              <w:spacing w:after="0" w:line="240" w:lineRule="auto"/>
              <w:jc w:val="both"/>
              <w:rPr>
                <w:szCs w:val="24"/>
                <w:lang w:eastAsia="lv-LV"/>
              </w:rPr>
            </w:pPr>
            <w:r w:rsidRPr="00B909D7">
              <w:rPr>
                <w:szCs w:val="24"/>
                <w:lang w:eastAsia="lv-LV"/>
              </w:rPr>
              <w:t>3.</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5F9B7D" w14:textId="77777777" w:rsidR="00B909D7" w:rsidRPr="00B909D7" w:rsidRDefault="00B909D7" w:rsidP="00830ACF">
            <w:pPr>
              <w:spacing w:after="0" w:line="240" w:lineRule="auto"/>
              <w:jc w:val="both"/>
              <w:rPr>
                <w:szCs w:val="24"/>
                <w:lang w:eastAsia="lv-LV"/>
              </w:rPr>
            </w:pPr>
            <w:r w:rsidRPr="00B909D7">
              <w:rPr>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DCD950" w14:textId="77777777" w:rsidR="00B909D7" w:rsidRPr="00B909D7" w:rsidRDefault="00B909D7" w:rsidP="00830ACF">
            <w:pPr>
              <w:spacing w:after="0" w:line="240" w:lineRule="auto"/>
              <w:jc w:val="both"/>
              <w:rPr>
                <w:szCs w:val="24"/>
                <w:lang w:eastAsia="lv-LV"/>
              </w:rPr>
            </w:pPr>
            <w:r w:rsidRPr="00B909D7">
              <w:rPr>
                <w:szCs w:val="24"/>
                <w:lang w:eastAsia="lv-LV"/>
              </w:rPr>
              <w:t>Nav.</w:t>
            </w:r>
          </w:p>
        </w:tc>
      </w:tr>
    </w:tbl>
    <w:p w14:paraId="335F62FE" w14:textId="77777777" w:rsidR="00CB63E6" w:rsidRDefault="00CB63E6" w:rsidP="00894C55">
      <w:pPr>
        <w:spacing w:after="0" w:line="240" w:lineRule="auto"/>
        <w:rPr>
          <w:rFonts w:cs="Times New Roman"/>
          <w:sz w:val="28"/>
          <w:szCs w:val="28"/>
        </w:rPr>
      </w:pPr>
    </w:p>
    <w:p w14:paraId="76AAE547" w14:textId="77777777" w:rsidR="00467D3A" w:rsidRDefault="00467D3A" w:rsidP="00894C55">
      <w:pPr>
        <w:spacing w:after="0" w:line="240" w:lineRule="auto"/>
        <w:rPr>
          <w:rFonts w:cs="Times New Roman"/>
          <w:sz w:val="28"/>
          <w:szCs w:val="28"/>
        </w:rPr>
      </w:pPr>
    </w:p>
    <w:p w14:paraId="2DD0E30C" w14:textId="77777777" w:rsidR="005E2441" w:rsidRPr="005E2441" w:rsidRDefault="005E2441" w:rsidP="005E2441">
      <w:pPr>
        <w:tabs>
          <w:tab w:val="left" w:pos="6237"/>
        </w:tabs>
        <w:spacing w:after="0" w:line="240" w:lineRule="auto"/>
        <w:rPr>
          <w:rFonts w:cs="Times New Roman"/>
          <w:sz w:val="28"/>
          <w:szCs w:val="28"/>
        </w:rPr>
      </w:pPr>
      <w:r w:rsidRPr="005E2441">
        <w:rPr>
          <w:rFonts w:cs="Times New Roman"/>
          <w:sz w:val="28"/>
          <w:szCs w:val="28"/>
        </w:rPr>
        <w:t>Finanšu ministre</w:t>
      </w:r>
      <w:r w:rsidRPr="005E2441">
        <w:rPr>
          <w:rFonts w:cs="Times New Roman"/>
          <w:sz w:val="28"/>
          <w:szCs w:val="28"/>
        </w:rPr>
        <w:tab/>
        <w:t>D. Reizniece-Ozola</w:t>
      </w:r>
    </w:p>
    <w:p w14:paraId="41A31EEC" w14:textId="77777777" w:rsidR="005E2441" w:rsidRPr="005E2441" w:rsidRDefault="005E2441" w:rsidP="005E2441">
      <w:pPr>
        <w:tabs>
          <w:tab w:val="left" w:pos="6237"/>
        </w:tabs>
        <w:spacing w:after="0" w:line="240" w:lineRule="auto"/>
        <w:rPr>
          <w:rFonts w:cs="Times New Roman"/>
          <w:sz w:val="28"/>
          <w:szCs w:val="28"/>
        </w:rPr>
      </w:pPr>
    </w:p>
    <w:p w14:paraId="29E61C3A" w14:textId="77777777" w:rsidR="005E2441" w:rsidRPr="005E2441" w:rsidRDefault="005E2441" w:rsidP="005E2441">
      <w:pPr>
        <w:tabs>
          <w:tab w:val="left" w:pos="6237"/>
        </w:tabs>
        <w:spacing w:after="0" w:line="240" w:lineRule="auto"/>
        <w:rPr>
          <w:rFonts w:cs="Times New Roman"/>
          <w:sz w:val="28"/>
          <w:szCs w:val="28"/>
        </w:rPr>
      </w:pPr>
    </w:p>
    <w:p w14:paraId="086DDDA8" w14:textId="265F36BB" w:rsidR="0037321C" w:rsidRPr="00A3752A" w:rsidRDefault="0037321C" w:rsidP="0037321C">
      <w:pPr>
        <w:tabs>
          <w:tab w:val="left" w:pos="6237"/>
        </w:tabs>
        <w:spacing w:after="0" w:line="240" w:lineRule="auto"/>
        <w:rPr>
          <w:rFonts w:cs="Times New Roman"/>
          <w:sz w:val="26"/>
          <w:szCs w:val="26"/>
        </w:rPr>
      </w:pPr>
    </w:p>
    <w:p w14:paraId="79DD3A36" w14:textId="77777777" w:rsidR="0037321C" w:rsidRPr="00A3752A" w:rsidRDefault="0037321C" w:rsidP="0037321C">
      <w:pPr>
        <w:tabs>
          <w:tab w:val="left" w:pos="6237"/>
        </w:tabs>
        <w:spacing w:after="0" w:line="240" w:lineRule="auto"/>
        <w:rPr>
          <w:rFonts w:cs="Times New Roman"/>
          <w:sz w:val="26"/>
          <w:szCs w:val="26"/>
        </w:rPr>
      </w:pPr>
    </w:p>
    <w:p w14:paraId="370F350F" w14:textId="77777777" w:rsidR="00273D66" w:rsidRPr="00E16C7B" w:rsidRDefault="00273D66" w:rsidP="00273D66">
      <w:pPr>
        <w:spacing w:after="0" w:line="240" w:lineRule="auto"/>
        <w:rPr>
          <w:rFonts w:cs="Times New Roman"/>
          <w:sz w:val="20"/>
          <w:szCs w:val="24"/>
        </w:rPr>
      </w:pPr>
      <w:r w:rsidRPr="00E16C7B">
        <w:rPr>
          <w:rFonts w:cs="Times New Roman"/>
          <w:sz w:val="20"/>
          <w:szCs w:val="24"/>
        </w:rPr>
        <w:t xml:space="preserve">Senčilo, 67083915 </w:t>
      </w:r>
    </w:p>
    <w:p w14:paraId="2D8F583A" w14:textId="1C0D1437" w:rsidR="00750DCC" w:rsidRPr="00E16C7B" w:rsidRDefault="00273D66" w:rsidP="00273D66">
      <w:pPr>
        <w:spacing w:after="0" w:line="240" w:lineRule="auto"/>
        <w:rPr>
          <w:rFonts w:cs="Times New Roman"/>
          <w:sz w:val="20"/>
          <w:szCs w:val="24"/>
        </w:rPr>
      </w:pPr>
      <w:r w:rsidRPr="00E16C7B">
        <w:rPr>
          <w:sz w:val="20"/>
        </w:rPr>
        <w:t>agnese.sencilo@fm.gov.lv</w:t>
      </w:r>
    </w:p>
    <w:sectPr w:rsidR="00750DCC" w:rsidRPr="00E16C7B"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3B59" w14:textId="77777777" w:rsidR="00FC5ACD" w:rsidRDefault="00FC5ACD" w:rsidP="00894C55">
      <w:pPr>
        <w:spacing w:after="0" w:line="240" w:lineRule="auto"/>
      </w:pPr>
      <w:r>
        <w:separator/>
      </w:r>
    </w:p>
  </w:endnote>
  <w:endnote w:type="continuationSeparator" w:id="0">
    <w:p w14:paraId="007E7304" w14:textId="77777777" w:rsidR="00FC5ACD" w:rsidRDefault="00FC5A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FB4B" w14:textId="6030C017" w:rsidR="00F4266A" w:rsidRPr="002B3233" w:rsidRDefault="00812218" w:rsidP="00BE3406">
    <w:pPr>
      <w:pStyle w:val="Footer"/>
      <w:rPr>
        <w:sz w:val="20"/>
        <w:szCs w:val="20"/>
      </w:rPr>
    </w:pPr>
    <w:r>
      <w:rPr>
        <w:sz w:val="20"/>
        <w:szCs w:val="20"/>
      </w:rPr>
      <w:t>FMAnot_</w:t>
    </w:r>
    <w:r w:rsidR="00E5075D">
      <w:rPr>
        <w:sz w:val="20"/>
        <w:szCs w:val="20"/>
      </w:rPr>
      <w:t>18</w:t>
    </w:r>
    <w:r w:rsidR="00362588">
      <w:rPr>
        <w:sz w:val="20"/>
        <w:szCs w:val="20"/>
      </w:rPr>
      <w:t>0917</w:t>
    </w:r>
    <w:r>
      <w:rPr>
        <w:sz w:val="20"/>
        <w:szCs w:val="20"/>
      </w:rPr>
      <w:t>_MK104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76DD" w14:textId="472D37CF" w:rsidR="00F4266A" w:rsidRPr="002B3233" w:rsidRDefault="00812218" w:rsidP="00BE3406">
    <w:pPr>
      <w:pStyle w:val="Footer"/>
      <w:rPr>
        <w:sz w:val="20"/>
        <w:szCs w:val="20"/>
      </w:rPr>
    </w:pPr>
    <w:r>
      <w:rPr>
        <w:sz w:val="20"/>
        <w:szCs w:val="20"/>
      </w:rPr>
      <w:t>FMAnot_</w:t>
    </w:r>
    <w:r w:rsidR="00E5075D">
      <w:rPr>
        <w:sz w:val="20"/>
        <w:szCs w:val="20"/>
      </w:rPr>
      <w:t>18</w:t>
    </w:r>
    <w:r w:rsidR="00362588">
      <w:rPr>
        <w:sz w:val="20"/>
        <w:szCs w:val="20"/>
      </w:rPr>
      <w:t>0917</w:t>
    </w:r>
    <w:r>
      <w:rPr>
        <w:sz w:val="20"/>
        <w:szCs w:val="20"/>
      </w:rPr>
      <w:t>_MK104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FB07" w14:textId="77777777" w:rsidR="00FC5ACD" w:rsidRDefault="00FC5ACD" w:rsidP="00894C55">
      <w:pPr>
        <w:spacing w:after="0" w:line="240" w:lineRule="auto"/>
      </w:pPr>
      <w:r>
        <w:separator/>
      </w:r>
    </w:p>
  </w:footnote>
  <w:footnote w:type="continuationSeparator" w:id="0">
    <w:p w14:paraId="16FFF39B" w14:textId="77777777" w:rsidR="00FC5ACD" w:rsidRDefault="00FC5AC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cs="Times New Roman"/>
        <w:noProof/>
        <w:szCs w:val="20"/>
      </w:rPr>
    </w:sdtEndPr>
    <w:sdtContent>
      <w:p w14:paraId="6A34EAE6" w14:textId="16C15422"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4E0A95">
          <w:rPr>
            <w:rFonts w:cs="Times New Roman"/>
            <w:noProof/>
            <w:szCs w:val="20"/>
          </w:rPr>
          <w:t>2</w:t>
        </w:r>
        <w:r w:rsidRPr="00C25B49">
          <w:rPr>
            <w:rFonts w:cs="Times New Roman"/>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C4"/>
    <w:rsid w:val="000073F4"/>
    <w:rsid w:val="000209C5"/>
    <w:rsid w:val="00023071"/>
    <w:rsid w:val="0003455C"/>
    <w:rsid w:val="0004064C"/>
    <w:rsid w:val="00064988"/>
    <w:rsid w:val="00073413"/>
    <w:rsid w:val="00083DFE"/>
    <w:rsid w:val="00084F98"/>
    <w:rsid w:val="00087ECD"/>
    <w:rsid w:val="00092BE5"/>
    <w:rsid w:val="000B7320"/>
    <w:rsid w:val="000C260F"/>
    <w:rsid w:val="000D19F0"/>
    <w:rsid w:val="000D3643"/>
    <w:rsid w:val="000D5125"/>
    <w:rsid w:val="000F0089"/>
    <w:rsid w:val="000F42F6"/>
    <w:rsid w:val="00122E58"/>
    <w:rsid w:val="0012486D"/>
    <w:rsid w:val="001522BA"/>
    <w:rsid w:val="00166980"/>
    <w:rsid w:val="001726B4"/>
    <w:rsid w:val="00177AB9"/>
    <w:rsid w:val="00186002"/>
    <w:rsid w:val="001A75F5"/>
    <w:rsid w:val="001C3CCC"/>
    <w:rsid w:val="001E4A7B"/>
    <w:rsid w:val="001F3B05"/>
    <w:rsid w:val="001F6977"/>
    <w:rsid w:val="001F6A0E"/>
    <w:rsid w:val="00214B65"/>
    <w:rsid w:val="00225644"/>
    <w:rsid w:val="00232112"/>
    <w:rsid w:val="00243426"/>
    <w:rsid w:val="00273D66"/>
    <w:rsid w:val="00274B1F"/>
    <w:rsid w:val="002B3233"/>
    <w:rsid w:val="002B387D"/>
    <w:rsid w:val="002B43AF"/>
    <w:rsid w:val="002C1332"/>
    <w:rsid w:val="002C6C11"/>
    <w:rsid w:val="002D7218"/>
    <w:rsid w:val="002F036E"/>
    <w:rsid w:val="002F4FF5"/>
    <w:rsid w:val="0030553A"/>
    <w:rsid w:val="00317472"/>
    <w:rsid w:val="00362588"/>
    <w:rsid w:val="0037321C"/>
    <w:rsid w:val="00374F52"/>
    <w:rsid w:val="003A1F77"/>
    <w:rsid w:val="003B0BF9"/>
    <w:rsid w:val="003B3C9E"/>
    <w:rsid w:val="003B5AA8"/>
    <w:rsid w:val="003D4764"/>
    <w:rsid w:val="003D536A"/>
    <w:rsid w:val="003D7B12"/>
    <w:rsid w:val="003E0791"/>
    <w:rsid w:val="003E529D"/>
    <w:rsid w:val="003F28AC"/>
    <w:rsid w:val="00405B6A"/>
    <w:rsid w:val="00412F90"/>
    <w:rsid w:val="00436B55"/>
    <w:rsid w:val="0044248D"/>
    <w:rsid w:val="00443A53"/>
    <w:rsid w:val="004454FE"/>
    <w:rsid w:val="004521BF"/>
    <w:rsid w:val="0046226C"/>
    <w:rsid w:val="0046758F"/>
    <w:rsid w:val="00467D3A"/>
    <w:rsid w:val="00471DA2"/>
    <w:rsid w:val="00471F27"/>
    <w:rsid w:val="00481392"/>
    <w:rsid w:val="004907EF"/>
    <w:rsid w:val="00492322"/>
    <w:rsid w:val="004932FB"/>
    <w:rsid w:val="0049616E"/>
    <w:rsid w:val="004A1271"/>
    <w:rsid w:val="004B6D1E"/>
    <w:rsid w:val="004C6369"/>
    <w:rsid w:val="004C7A0B"/>
    <w:rsid w:val="004D3F28"/>
    <w:rsid w:val="004E0A95"/>
    <w:rsid w:val="004E0B19"/>
    <w:rsid w:val="004E7873"/>
    <w:rsid w:val="004F0CF9"/>
    <w:rsid w:val="004F32A8"/>
    <w:rsid w:val="004F47E5"/>
    <w:rsid w:val="004F6206"/>
    <w:rsid w:val="0050178F"/>
    <w:rsid w:val="00510076"/>
    <w:rsid w:val="00540677"/>
    <w:rsid w:val="005517E7"/>
    <w:rsid w:val="00555F56"/>
    <w:rsid w:val="005722BE"/>
    <w:rsid w:val="00574B81"/>
    <w:rsid w:val="0058464C"/>
    <w:rsid w:val="00587369"/>
    <w:rsid w:val="005A12DC"/>
    <w:rsid w:val="005A50AE"/>
    <w:rsid w:val="005B1BEE"/>
    <w:rsid w:val="005B4504"/>
    <w:rsid w:val="005C3408"/>
    <w:rsid w:val="005E2441"/>
    <w:rsid w:val="005E55FC"/>
    <w:rsid w:val="005F5065"/>
    <w:rsid w:val="005F553B"/>
    <w:rsid w:val="00606D94"/>
    <w:rsid w:val="00630C0A"/>
    <w:rsid w:val="00652AF6"/>
    <w:rsid w:val="00656AE1"/>
    <w:rsid w:val="00666289"/>
    <w:rsid w:val="00671EA1"/>
    <w:rsid w:val="00680BBB"/>
    <w:rsid w:val="006905AD"/>
    <w:rsid w:val="0069163B"/>
    <w:rsid w:val="00691705"/>
    <w:rsid w:val="006932F1"/>
    <w:rsid w:val="00697B59"/>
    <w:rsid w:val="006A1A24"/>
    <w:rsid w:val="006E1081"/>
    <w:rsid w:val="006F1C09"/>
    <w:rsid w:val="006F2B9E"/>
    <w:rsid w:val="006F49EB"/>
    <w:rsid w:val="00701D57"/>
    <w:rsid w:val="00720585"/>
    <w:rsid w:val="00735C29"/>
    <w:rsid w:val="007360EC"/>
    <w:rsid w:val="00740FD1"/>
    <w:rsid w:val="00750DCC"/>
    <w:rsid w:val="007556B8"/>
    <w:rsid w:val="00756670"/>
    <w:rsid w:val="00773AF6"/>
    <w:rsid w:val="007C00B5"/>
    <w:rsid w:val="007C43FA"/>
    <w:rsid w:val="007D5D9B"/>
    <w:rsid w:val="008050CA"/>
    <w:rsid w:val="00812218"/>
    <w:rsid w:val="00812E2B"/>
    <w:rsid w:val="0081317C"/>
    <w:rsid w:val="00816C11"/>
    <w:rsid w:val="00820445"/>
    <w:rsid w:val="00821E3C"/>
    <w:rsid w:val="00841A03"/>
    <w:rsid w:val="00850D0D"/>
    <w:rsid w:val="008514CF"/>
    <w:rsid w:val="00852BDA"/>
    <w:rsid w:val="00872684"/>
    <w:rsid w:val="00872FDD"/>
    <w:rsid w:val="00891E25"/>
    <w:rsid w:val="00894C55"/>
    <w:rsid w:val="008B7D12"/>
    <w:rsid w:val="008D0BF5"/>
    <w:rsid w:val="008D1E49"/>
    <w:rsid w:val="008E45D7"/>
    <w:rsid w:val="00904475"/>
    <w:rsid w:val="00916681"/>
    <w:rsid w:val="00933F99"/>
    <w:rsid w:val="00947282"/>
    <w:rsid w:val="009663BF"/>
    <w:rsid w:val="00970718"/>
    <w:rsid w:val="00980F2A"/>
    <w:rsid w:val="0098264A"/>
    <w:rsid w:val="00982DF3"/>
    <w:rsid w:val="00997E0E"/>
    <w:rsid w:val="009A08D5"/>
    <w:rsid w:val="009B0277"/>
    <w:rsid w:val="009B3E10"/>
    <w:rsid w:val="009C2FCA"/>
    <w:rsid w:val="009C6E2B"/>
    <w:rsid w:val="009E4003"/>
    <w:rsid w:val="00A01F95"/>
    <w:rsid w:val="00A03B77"/>
    <w:rsid w:val="00A04467"/>
    <w:rsid w:val="00A12865"/>
    <w:rsid w:val="00A12B0A"/>
    <w:rsid w:val="00A21477"/>
    <w:rsid w:val="00A25965"/>
    <w:rsid w:val="00A3752A"/>
    <w:rsid w:val="00A445D8"/>
    <w:rsid w:val="00A45708"/>
    <w:rsid w:val="00A47D0B"/>
    <w:rsid w:val="00A6091A"/>
    <w:rsid w:val="00A702D8"/>
    <w:rsid w:val="00A83A26"/>
    <w:rsid w:val="00A870E0"/>
    <w:rsid w:val="00AA360F"/>
    <w:rsid w:val="00AA4127"/>
    <w:rsid w:val="00AC3788"/>
    <w:rsid w:val="00AD23B1"/>
    <w:rsid w:val="00AE5567"/>
    <w:rsid w:val="00AF39B9"/>
    <w:rsid w:val="00AF3AF9"/>
    <w:rsid w:val="00B171C2"/>
    <w:rsid w:val="00B2165C"/>
    <w:rsid w:val="00B33170"/>
    <w:rsid w:val="00B337BA"/>
    <w:rsid w:val="00B41DEB"/>
    <w:rsid w:val="00B535FD"/>
    <w:rsid w:val="00B62D4D"/>
    <w:rsid w:val="00B805AF"/>
    <w:rsid w:val="00B81032"/>
    <w:rsid w:val="00B83FF6"/>
    <w:rsid w:val="00B909D7"/>
    <w:rsid w:val="00B95803"/>
    <w:rsid w:val="00BA6C91"/>
    <w:rsid w:val="00BA7D61"/>
    <w:rsid w:val="00BB77A5"/>
    <w:rsid w:val="00BC2B19"/>
    <w:rsid w:val="00BC2C33"/>
    <w:rsid w:val="00BD4425"/>
    <w:rsid w:val="00BE029D"/>
    <w:rsid w:val="00BE3406"/>
    <w:rsid w:val="00BE60D5"/>
    <w:rsid w:val="00BF3311"/>
    <w:rsid w:val="00BF4DE9"/>
    <w:rsid w:val="00C22A43"/>
    <w:rsid w:val="00C25B49"/>
    <w:rsid w:val="00C34705"/>
    <w:rsid w:val="00C55C25"/>
    <w:rsid w:val="00C61758"/>
    <w:rsid w:val="00C65498"/>
    <w:rsid w:val="00C75EF4"/>
    <w:rsid w:val="00C80902"/>
    <w:rsid w:val="00C93C7E"/>
    <w:rsid w:val="00CA0D4D"/>
    <w:rsid w:val="00CB3369"/>
    <w:rsid w:val="00CB63E6"/>
    <w:rsid w:val="00CC0E1E"/>
    <w:rsid w:val="00CD1B36"/>
    <w:rsid w:val="00CD7E8F"/>
    <w:rsid w:val="00CE5657"/>
    <w:rsid w:val="00CF33D9"/>
    <w:rsid w:val="00D21A0B"/>
    <w:rsid w:val="00D45F12"/>
    <w:rsid w:val="00D66836"/>
    <w:rsid w:val="00D82548"/>
    <w:rsid w:val="00D86A65"/>
    <w:rsid w:val="00DC4B8A"/>
    <w:rsid w:val="00DC6075"/>
    <w:rsid w:val="00DF0CF6"/>
    <w:rsid w:val="00E0101E"/>
    <w:rsid w:val="00E07422"/>
    <w:rsid w:val="00E1388A"/>
    <w:rsid w:val="00E16C7B"/>
    <w:rsid w:val="00E4487B"/>
    <w:rsid w:val="00E5075D"/>
    <w:rsid w:val="00E56314"/>
    <w:rsid w:val="00E77D36"/>
    <w:rsid w:val="00E82BC4"/>
    <w:rsid w:val="00E90C01"/>
    <w:rsid w:val="00EA0086"/>
    <w:rsid w:val="00EA1C77"/>
    <w:rsid w:val="00EA486E"/>
    <w:rsid w:val="00EA4F76"/>
    <w:rsid w:val="00EB1B3E"/>
    <w:rsid w:val="00EE1027"/>
    <w:rsid w:val="00EF097B"/>
    <w:rsid w:val="00F27A61"/>
    <w:rsid w:val="00F32503"/>
    <w:rsid w:val="00F3313C"/>
    <w:rsid w:val="00F4266A"/>
    <w:rsid w:val="00F5248D"/>
    <w:rsid w:val="00F57B0C"/>
    <w:rsid w:val="00F61F4F"/>
    <w:rsid w:val="00F72BA1"/>
    <w:rsid w:val="00F76422"/>
    <w:rsid w:val="00F81963"/>
    <w:rsid w:val="00F8665F"/>
    <w:rsid w:val="00F974D7"/>
    <w:rsid w:val="00FB0873"/>
    <w:rsid w:val="00FC5ACD"/>
    <w:rsid w:val="00FC6598"/>
    <w:rsid w:val="00FE5BC6"/>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56B4A0"/>
  <w15:docId w15:val="{A4FBEE60-7A4A-4DDF-859F-91B9EB9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TableContents">
    <w:name w:val="Table Contents"/>
    <w:basedOn w:val="Normal"/>
    <w:rsid w:val="00980F2A"/>
    <w:pPr>
      <w:widowControl w:val="0"/>
      <w:suppressLineNumbers/>
      <w:suppressAutoHyphens/>
      <w:spacing w:after="0" w:line="240" w:lineRule="auto"/>
    </w:pPr>
    <w:rPr>
      <w:rFonts w:eastAsia="Lucida Sans Unicode" w:cs="Times New Roman"/>
      <w:kern w:val="1"/>
      <w:szCs w:val="24"/>
      <w:lang w:eastAsia="lv-LV"/>
    </w:rPr>
  </w:style>
  <w:style w:type="paragraph" w:styleId="Revision">
    <w:name w:val="Revision"/>
    <w:hidden/>
    <w:uiPriority w:val="99"/>
    <w:semiHidden/>
    <w:rsid w:val="00C75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77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1433431453">
      <w:bodyDiv w:val="1"/>
      <w:marLeft w:val="0"/>
      <w:marRight w:val="0"/>
      <w:marTop w:val="0"/>
      <w:marBottom w:val="0"/>
      <w:divBdr>
        <w:top w:val="none" w:sz="0" w:space="0" w:color="auto"/>
        <w:left w:val="none" w:sz="0" w:space="0" w:color="auto"/>
        <w:bottom w:val="none" w:sz="0" w:space="0" w:color="auto"/>
        <w:right w:val="none" w:sz="0" w:space="0" w:color="auto"/>
      </w:divBdr>
    </w:div>
    <w:div w:id="2007393691">
      <w:bodyDiv w:val="1"/>
      <w:marLeft w:val="0"/>
      <w:marRight w:val="0"/>
      <w:marTop w:val="0"/>
      <w:marBottom w:val="0"/>
      <w:divBdr>
        <w:top w:val="none" w:sz="0" w:space="0" w:color="auto"/>
        <w:left w:val="none" w:sz="0" w:space="0" w:color="auto"/>
        <w:bottom w:val="none" w:sz="0" w:space="0" w:color="auto"/>
        <w:right w:val="none" w:sz="0" w:space="0" w:color="auto"/>
      </w:divBdr>
    </w:div>
    <w:div w:id="2085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C53C-8D48-459E-A8FD-B280C7A1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6152</Words>
  <Characters>3507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104 “Noteikumi par iepirkuma procedūru un tās piemērošanas kārtību pasūtītāja finansētiem projektiem”</vt:lpstr>
    </vt:vector>
  </TitlesOfParts>
  <Company>Finanšu ministrija</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104 “Noteikumi par iepirkuma procedūru un tās piemērošanas kārtību pasūtītāja finansētiem projektiem”</dc:title>
  <dc:subject>Anotācija</dc:subject>
  <dc:creator>Agnese Senčilo</dc:creator>
  <cp:keywords/>
  <dc:description>67083915, agnese.sencilo@fm.gov.lv</dc:description>
  <cp:lastModifiedBy>Agnese Senčilo</cp:lastModifiedBy>
  <cp:revision>37</cp:revision>
  <cp:lastPrinted>2017-07-12T06:05:00Z</cp:lastPrinted>
  <dcterms:created xsi:type="dcterms:W3CDTF">2017-07-13T06:33:00Z</dcterms:created>
  <dcterms:modified xsi:type="dcterms:W3CDTF">2017-09-19T12:30:00Z</dcterms:modified>
</cp:coreProperties>
</file>